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95" w:rsidRDefault="00822095" w:rsidP="00822095">
      <w:pPr>
        <w:spacing w:after="160" w:line="360" w:lineRule="auto"/>
        <w:rPr>
          <w:rFonts w:ascii="GHEA Grapalat" w:eastAsia="Times New Roman" w:hAnsi="GHEA Grapalat" w:cs="Times New Roman"/>
        </w:rPr>
      </w:pPr>
      <w:bookmarkStart w:id="0" w:name="_GoBack"/>
      <w:bookmarkEnd w:id="0"/>
    </w:p>
    <w:p w:rsidR="00AF30C6" w:rsidRPr="00822095" w:rsidRDefault="00D04F75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ПРИЛОЖЕНИЕ</w:t>
      </w:r>
    </w:p>
    <w:p w:rsidR="009868F7" w:rsidRDefault="00D04F75" w:rsidP="009868F7">
      <w:pPr>
        <w:pStyle w:val="Bodytext20"/>
        <w:shd w:val="clear" w:color="auto" w:fill="auto"/>
        <w:spacing w:after="120" w:line="360" w:lineRule="auto"/>
        <w:ind w:left="5103" w:right="-6"/>
        <w:jc w:val="center"/>
        <w:rPr>
          <w:rFonts w:ascii="GHEA Grapalat" w:hAnsi="GHEA Grapalat"/>
          <w:sz w:val="24"/>
          <w:szCs w:val="24"/>
          <w:lang w:val="en-US"/>
        </w:rPr>
      </w:pPr>
      <w:r w:rsidRPr="00822095">
        <w:rPr>
          <w:rFonts w:ascii="GHEA Grapalat" w:hAnsi="GHEA Grapalat"/>
          <w:sz w:val="24"/>
          <w:szCs w:val="24"/>
        </w:rPr>
        <w:t>к Решению Коллегии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AF30C6" w:rsidRDefault="00D04F75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822095">
        <w:rPr>
          <w:rFonts w:ascii="GHEA Grapalat" w:hAnsi="GHEA Grapalat"/>
          <w:sz w:val="24"/>
          <w:szCs w:val="24"/>
        </w:rPr>
        <w:t>от 12 мая 2015 г. № 47</w:t>
      </w:r>
    </w:p>
    <w:p w:rsidR="009868F7" w:rsidRPr="009868F7" w:rsidRDefault="009868F7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  <w:lang w:val="en-US"/>
        </w:rPr>
      </w:pPr>
    </w:p>
    <w:p w:rsidR="00AF30C6" w:rsidRPr="00822095" w:rsidRDefault="00D04F75" w:rsidP="00822095">
      <w:pPr>
        <w:pStyle w:val="Heading20"/>
        <w:keepNext/>
        <w:keepLines/>
        <w:shd w:val="clear" w:color="auto" w:fill="auto"/>
        <w:spacing w:before="0" w:after="160" w:line="360" w:lineRule="auto"/>
        <w:ind w:right="20"/>
        <w:rPr>
          <w:rFonts w:ascii="GHEA Grapalat" w:hAnsi="GHEA Grapalat"/>
          <w:sz w:val="24"/>
          <w:szCs w:val="24"/>
        </w:rPr>
      </w:pPr>
      <w:bookmarkStart w:id="1" w:name="bookmark2"/>
      <w:r w:rsidRPr="00822095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ИЗМЕНЕНИЯ,</w:t>
      </w:r>
      <w:bookmarkEnd w:id="1"/>
    </w:p>
    <w:p w:rsidR="00AF30C6" w:rsidRDefault="00D04F75" w:rsidP="009868F7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  <w:lang w:val="en-US"/>
        </w:rPr>
      </w:pPr>
      <w:r w:rsidRPr="00822095">
        <w:rPr>
          <w:rFonts w:ascii="GHEA Grapalat" w:hAnsi="GHEA Grapalat"/>
          <w:sz w:val="24"/>
          <w:szCs w:val="24"/>
        </w:rPr>
        <w:t>вносимые в Решение Коллегии Евразийской экономической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комиссии от 25 июня 2013 г. № 144</w:t>
      </w:r>
    </w:p>
    <w:p w:rsidR="009868F7" w:rsidRPr="009868F7" w:rsidRDefault="009868F7" w:rsidP="009868F7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  <w:lang w:val="en-US"/>
        </w:rPr>
      </w:pPr>
    </w:p>
    <w:p w:rsidR="00AF30C6" w:rsidRPr="00822095" w:rsidRDefault="00822095" w:rsidP="009868F7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В наименовании слова «Таможенного союза и Единого экономического пространства» заменить словами «Евразийского экономического союза».</w:t>
      </w:r>
    </w:p>
    <w:p w:rsidR="00AF30C6" w:rsidRPr="00822095" w:rsidRDefault="00822095" w:rsidP="009868F7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В преамбуле слова «пункта 1 статьи 6 Соглашения о</w:t>
      </w:r>
      <w:r w:rsidR="00D04F75"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согласованной макроэкономической политике от 9 декабря 2010 года» заменить словами «пункта 4 Протокола о проведении согласованной макроэкономической политики (приложение №</w:t>
      </w:r>
      <w:r w:rsidR="00D04F75"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14</w:t>
      </w:r>
      <w:r w:rsidR="00D04F75"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к Договору</w:t>
      </w:r>
      <w:r w:rsidR="00D04F75"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о Евразийском экономическом союзе от 29 мая 2014 года)».</w:t>
      </w:r>
    </w:p>
    <w:p w:rsidR="00AF30C6" w:rsidRPr="00822095" w:rsidRDefault="00822095" w:rsidP="009868F7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В пункте 1 слова «Таможенного союза и Единого экономического пространства» заменить словами «Евразийского экономического союза».</w:t>
      </w:r>
    </w:p>
    <w:p w:rsidR="009868F7" w:rsidRDefault="00822095" w:rsidP="009868F7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Методику расчета макроэкономических показателей, определяющих устойчивость экономического развития государств - членов Таможенного союза и Единого экономического пространства, утвержденную указанным Решением, и приложения к ней изложить в следующей редакции:</w:t>
      </w:r>
    </w:p>
    <w:p w:rsidR="009868F7" w:rsidRDefault="009868F7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AF30C6" w:rsidRPr="00822095" w:rsidRDefault="00D04F75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lastRenderedPageBreak/>
        <w:t>«УТВЕРЖДЕНА</w:t>
      </w:r>
    </w:p>
    <w:p w:rsidR="009868F7" w:rsidRDefault="00D04F75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822095">
        <w:rPr>
          <w:rFonts w:ascii="GHEA Grapalat" w:hAnsi="GHEA Grapalat"/>
          <w:sz w:val="24"/>
          <w:szCs w:val="24"/>
        </w:rPr>
        <w:t>Решением Коллегии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AF30C6" w:rsidRPr="00822095" w:rsidRDefault="00D04F75" w:rsidP="009868F7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от 25 июня 2013 г. № 144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(в редакции Решения Коллегии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9868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от 12 мая 2015 г. № 47)</w:t>
      </w:r>
    </w:p>
    <w:p w:rsidR="00AF30C6" w:rsidRPr="00822095" w:rsidRDefault="00AF30C6" w:rsidP="00822095">
      <w:pPr>
        <w:spacing w:after="160" w:line="360" w:lineRule="auto"/>
        <w:rPr>
          <w:rFonts w:ascii="GHEA Grapalat" w:hAnsi="GHEA Grapalat"/>
        </w:rPr>
      </w:pPr>
    </w:p>
    <w:p w:rsidR="00AF30C6" w:rsidRPr="00822095" w:rsidRDefault="00D04F75" w:rsidP="00822095">
      <w:pPr>
        <w:pStyle w:val="Heading20"/>
        <w:keepNext/>
        <w:keepLines/>
        <w:shd w:val="clear" w:color="auto" w:fill="auto"/>
        <w:spacing w:before="0" w:after="160" w:line="360" w:lineRule="auto"/>
        <w:ind w:left="60"/>
        <w:rPr>
          <w:rFonts w:ascii="GHEA Grapalat" w:hAnsi="GHEA Grapalat"/>
          <w:sz w:val="24"/>
          <w:szCs w:val="24"/>
        </w:rPr>
      </w:pPr>
      <w:bookmarkStart w:id="2" w:name="bookmark3"/>
      <w:r w:rsidRPr="00822095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МЕТОДИКА</w:t>
      </w:r>
      <w:bookmarkEnd w:id="2"/>
    </w:p>
    <w:p w:rsidR="00AF30C6" w:rsidRPr="00822095" w:rsidRDefault="00D04F75" w:rsidP="00CB0A57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расчета макроэкономических показателей, определяющих</w:t>
      </w:r>
      <w:r w:rsidR="00CB0A5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 xml:space="preserve">устойчивость экономического развития государств </w:t>
      </w:r>
      <w:r w:rsidR="00CB0A57">
        <w:rPr>
          <w:rFonts w:ascii="GHEA Grapalat" w:hAnsi="GHEA Grapalat"/>
          <w:sz w:val="24"/>
          <w:szCs w:val="24"/>
        </w:rPr>
        <w:t>–</w:t>
      </w:r>
      <w:r w:rsidRPr="00822095">
        <w:rPr>
          <w:rFonts w:ascii="GHEA Grapalat" w:hAnsi="GHEA Grapalat"/>
          <w:sz w:val="24"/>
          <w:szCs w:val="24"/>
        </w:rPr>
        <w:t xml:space="preserve"> членов</w:t>
      </w:r>
      <w:r w:rsidR="00CB0A5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Евразийского экономического союза</w:t>
      </w:r>
    </w:p>
    <w:p w:rsidR="00AF30C6" w:rsidRPr="00822095" w:rsidRDefault="00AF30C6" w:rsidP="00822095">
      <w:pPr>
        <w:spacing w:after="160" w:line="360" w:lineRule="auto"/>
        <w:rPr>
          <w:rFonts w:ascii="GHEA Grapalat" w:hAnsi="GHEA Grapalat"/>
        </w:rPr>
      </w:pP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Настоящая Методика разработана в соответствии с пунктом 4 Протокола о проведении согласованной макроэкономической политики (приложение № 14 к Договору о Евразийском экономическом союзе от 29 мая 2014 года).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Методологической основой расчета макроэкономических показателей, определяющих устойчивость экономического развития государств - членов Евразийского экономического союза (далее - государства-члены), являются Система национальных счетов (1993 год) и рекомендации Международного валютного фонда, изложенные в следующих документах: Руководство по статистике государственных финансов (2001 год), Статистика внешнего долга. Руководство для составителей и пользователей (2003 год), Руководство по индексу потребительских цен: теория и практика (2007 год).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 xml:space="preserve">Настоящая Методика применяется Евразийской экономической комиссией (далее - Комиссия) и государствами-членами для расчета в сопоставимых условиях </w:t>
      </w:r>
      <w:r w:rsidR="00D04F75" w:rsidRPr="00822095">
        <w:rPr>
          <w:rFonts w:ascii="GHEA Grapalat" w:hAnsi="GHEA Grapalat"/>
          <w:sz w:val="24"/>
          <w:szCs w:val="24"/>
        </w:rPr>
        <w:lastRenderedPageBreak/>
        <w:t>следующих макроэкономических показателей, определяющих устойчивость экономического развития государств-членов: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а)</w:t>
      </w:r>
      <w:r w:rsid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дефицит (профицит) консолидированного бюджета сектора государственного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б)</w:t>
      </w:r>
      <w:r w:rsid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долг сектора государственного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в)</w:t>
      </w:r>
      <w:r w:rsid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уровень инфляции (индекс потребительских цен).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В настоящей Методике используются понятия, которые означают следующее: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«безусловные долговые обязательства» - денежные требования кредитора к сектору государственного управления по выплате суммы основного долга в установленный срок, которые подлежат неукоснительному исполнению и к которым относятся: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кредитные соглашения и договоры, в том числе соглашения и договоры о пролонгации и реструктуризации долговых обязательств;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займы, осуществляемые путем выпуска ценных бумаг;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иные безусловные обязательства, отнесенные законодательством государства-члена к долговым;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«взносы (отчисления) на социальные нужды» - фактические или условно исчисленные поступления в фонд социального обеспечения и (или) в бюджет центральных органов управления от работодателей, перечисляющих средства от имени своих работников, либо от лиц, работающих не по договору найма, или незанятых лиц, перечисляющих средства от собственного имени;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«внешний долг сектора государственного управления» -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внешним долговым обязательствам, за </w:t>
      </w:r>
      <w:r w:rsidRPr="00822095">
        <w:rPr>
          <w:rFonts w:ascii="GHEA Grapalat" w:hAnsi="GHEA Grapalat"/>
          <w:sz w:val="24"/>
          <w:szCs w:val="24"/>
        </w:rPr>
        <w:lastRenderedPageBreak/>
        <w:t>исключением взаимосвязанных показателей по консолидируемым позициям;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«внутренний долг сектора государственного управления» - остаток на конкретную дату признанных и непогашенных безусловных долговых обязательств сектора государственного управления,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относимых в соответствии с законодательством государства-члена к внутренним долговым обязательствам, за исключением взаимосвязанных показателей по консолидируемым позициям;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«дефицит (профицит) консолидированного бюджета сектора государственного управления» - превышение расходов консолидированного бюджета сектора государственного управления с учетом операций с нефинансовыми активами над его доходами (превышение доходов консолидированного бюджета сектора государственного управления над его расходами с учетом операций с нефинансовыми активами);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«долг сектора государственного управления» - остаток на конкретную дату признанных и непогашенных безусловных внешних и внутренних долговых обязательств сектора государственного управления, за исключением взаимосвязанных показателей по консолидируемым позициям;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«доходы (расходы) консолидированного бюджета сектора государственного управления» - все виды операций, включаемые в консолидированный бюджет сектора государственного управления, которые приводят к увеличению (уменьшению) чистой стоимости активов сектора государственного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«консолидированный бюджет сектора государственного управления» - денежный фонд сектора государственного управления, за исключением взаимосвязанных показателей по консолидируемым позициям;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«национальный (резервный) фонд» - часть средств бюджета центральных органов управления, сосредотачиваемых на специализированных счетах и подлежащих обособленному учету и управлению для решения задач, направленных на обеспечение макроэкономической устойчивости и развитие </w:t>
      </w:r>
      <w:r w:rsidRPr="00822095">
        <w:rPr>
          <w:rFonts w:ascii="GHEA Grapalat" w:hAnsi="GHEA Grapalat"/>
          <w:sz w:val="24"/>
          <w:szCs w:val="24"/>
        </w:rPr>
        <w:lastRenderedPageBreak/>
        <w:t>экономики государства-члена;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«операции с нефинансовыми активами» - операции (приобретение за минусом выбытия), приводящие к изменению запасов нефинансовых активов, включающих в себя основные фонды, запасы материальных оборотных средств, ценности и непроизведенные активы;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«операции с финансовыми активами» - операции (приобретение за минусом выбытия), приводящие к изменению запасов финансовых активов, включающих в себя финансовые требования, монетарное золото и специальные права заимствования (СДР), предоставляемые Международным валютным фондом в порядке распределения;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«операции с обязательствами» - операции (принятие за минусом погашения), приводящие к изменению запасов обязательств;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«сектор государственного управления» - органы государственного управления, включающие в себя центральное правительство (центральные органы управления и фонд социального обеспечения), региональные органы управления, местные (муниципальные) органы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«социальные трансферты» - текущие пособия, выделяемые из фонда социального обеспечения и (или) из бюджета центральных, региональных и местных (муниципальных) органов управления для покрытия нужд населения, возникающих в результате наступления таких событий, как болезнь, отсутствие работы, выход на пенсию или иные семейные обстоятельства;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«уполномоченные органы» - органы исполнительной власти государств-членов, в компетенцию которых входят расчет макроэкономических показателей, определяющих устойчивость экономического развития этих государств, и (или) взаимодействие с Комиссией по вопросам предоставления и получения необходимой информации;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«уровень инфляции (индекс потребительских цен)» - изменение во времени </w:t>
      </w:r>
      <w:r w:rsidRPr="00822095">
        <w:rPr>
          <w:rFonts w:ascii="GHEA Grapalat" w:hAnsi="GHEA Grapalat"/>
          <w:sz w:val="24"/>
          <w:szCs w:val="24"/>
        </w:rPr>
        <w:lastRenderedPageBreak/>
        <w:t>общего уровня цен на потребительские товары и услуги, приобретаемые домашними хозяйствами (населением) для непроизводственного потребления, рассчитываемое как отношение стоимости фиксированного набора потребительских товаров и услуг в ценах текущего периода к его стоимости в ценах предыдущего (базисного) периода;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«условные долговые обязательства» - сумма полученных и непогашенных на конкретную дату негосударственных займов, обеспеченных гарантиями и поручительствами сектора государственного управления (если иное не предусмотрено законодательством государств-членов);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«фиксированный набор потребительских товаров и услуг» - перечень репрезентативно отобранных товаров и услуг, потребляемых домашними хозяйствами (населением), с определенными количественными соотношениями составляющих его элементов, не меняющимися в течение заданного периода времени;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«финансовый год» - период времени, начинающийся 1 января и заканчивающийся 31 декабря календарного года;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«фонд социального обеспечения» - внебюджетная организация, деятельность которой состоит в обеспечении функционирования социальных программ путем предоставления социальных трансфертов (выплат) населению за счет взносов (отчислений) на социальные нужды, а именно: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в Республике Беларусь - Фонд социальной защиты населения Министерства труда и социальной защиты Республики Беларусь;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в Республике Казахстан - акционерное общество «Государственный фонд социального страхования»;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в Российской Федерации - Пенсионный фонд Российской Федерации, Федеральный фонд обязательного медицинского страхования, территориальные фонды обязательного медицинского страхования и Фонд социального </w:t>
      </w:r>
      <w:r w:rsidRPr="00822095">
        <w:rPr>
          <w:rFonts w:ascii="GHEA Grapalat" w:hAnsi="GHEA Grapalat"/>
          <w:sz w:val="24"/>
          <w:szCs w:val="24"/>
        </w:rPr>
        <w:lastRenderedPageBreak/>
        <w:t>страхования Российской Федерации.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Дефицит (профицит) консолидированного бюджета сектора государственного управления рассчитывается по формуле:</w:t>
      </w:r>
    </w:p>
    <w:p w:rsidR="00AF30C6" w:rsidRPr="00822095" w:rsidRDefault="00D04F75" w:rsidP="00CB0A57">
      <w:pPr>
        <w:pStyle w:val="Bodytext7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Д(П)</w:t>
      </w:r>
      <w:r w:rsidRPr="00822095">
        <w:rPr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Fonts w:ascii="GHEA Grapalat" w:hAnsi="GHEA Grapalat"/>
          <w:sz w:val="24"/>
          <w:szCs w:val="24"/>
        </w:rPr>
        <w:t xml:space="preserve"> = Д</w:t>
      </w:r>
      <w:r w:rsidRPr="00822095">
        <w:rPr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  <w:vertAlign w:val="superscript"/>
        </w:rPr>
        <w:t>—</w:t>
      </w:r>
      <w:r w:rsidRPr="00822095">
        <w:rPr>
          <w:rFonts w:ascii="GHEA Grapalat" w:hAnsi="GHEA Grapalat"/>
          <w:sz w:val="24"/>
          <w:szCs w:val="24"/>
        </w:rPr>
        <w:t xml:space="preserve"> Р</w:t>
      </w:r>
      <w:r w:rsidRPr="00822095">
        <w:rPr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  <w:vertAlign w:val="superscript"/>
        </w:rPr>
        <w:t>—</w:t>
      </w:r>
      <w:r w:rsidRPr="00822095">
        <w:rPr>
          <w:rFonts w:ascii="GHEA Grapalat" w:hAnsi="GHEA Grapalat"/>
          <w:sz w:val="24"/>
          <w:szCs w:val="24"/>
        </w:rPr>
        <w:t xml:space="preserve"> О</w:t>
      </w:r>
      <w:r w:rsidRPr="00822095">
        <w:rPr>
          <w:rFonts w:ascii="GHEA Grapalat" w:hAnsi="GHEA Grapalat"/>
          <w:sz w:val="24"/>
          <w:szCs w:val="24"/>
          <w:vertAlign w:val="subscript"/>
        </w:rPr>
        <w:t>нФА</w:t>
      </w:r>
      <w:r w:rsidRPr="00822095">
        <w:rPr>
          <w:rFonts w:ascii="GHEA Grapalat" w:hAnsi="GHEA Grapalat"/>
          <w:sz w:val="24"/>
          <w:szCs w:val="24"/>
        </w:rPr>
        <w:t>,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где: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SmallCaps"/>
          <w:rFonts w:ascii="GHEA Grapalat" w:hAnsi="GHEA Grapalat"/>
          <w:sz w:val="24"/>
          <w:szCs w:val="24"/>
        </w:rPr>
        <w:t>Д(П)</w:t>
      </w:r>
      <w:r w:rsidRPr="00822095">
        <w:rPr>
          <w:rStyle w:val="Bodytext2SmallCaps"/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Style w:val="Bodytext2SmallCaps"/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 дефицит (профицит) консолидированного бюджета сектора государственного управления, измеренный в единицах национальной валюты;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16pt"/>
          <w:rFonts w:ascii="GHEA Grapalat" w:hAnsi="GHEA Grapalat"/>
          <w:sz w:val="24"/>
          <w:szCs w:val="24"/>
        </w:rPr>
        <w:t>Д</w:t>
      </w:r>
      <w:r w:rsidRPr="00822095">
        <w:rPr>
          <w:rStyle w:val="Bodytext212pt"/>
          <w:rFonts w:ascii="GHEA Grapalat" w:hAnsi="GHEA Grapalat"/>
          <w:vertAlign w:val="subscript"/>
        </w:rPr>
        <w:t>кб</w:t>
      </w:r>
      <w:r w:rsidR="00822095">
        <w:rPr>
          <w:rStyle w:val="Bodytext212pt"/>
          <w:rFonts w:ascii="GHEA Grapalat" w:hAnsi="GHEA Grapalat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доходы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консолидированного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бюджета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сектора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государственного управления, измеренные в единицах национальной валюты;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SmallCaps"/>
          <w:rFonts w:ascii="GHEA Grapalat" w:hAnsi="GHEA Grapalat"/>
          <w:sz w:val="24"/>
          <w:szCs w:val="24"/>
        </w:rPr>
        <w:t>Р</w:t>
      </w:r>
      <w:r w:rsidRPr="00822095">
        <w:rPr>
          <w:rStyle w:val="Bodytext2SmallCaps"/>
          <w:rFonts w:ascii="GHEA Grapalat" w:hAnsi="GHEA Grapalat"/>
          <w:sz w:val="24"/>
          <w:szCs w:val="24"/>
          <w:vertAlign w:val="subscript"/>
        </w:rPr>
        <w:t>кб</w:t>
      </w:r>
      <w:r w:rsidR="00822095">
        <w:rPr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расходы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консолидированного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бюджета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сектора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государственного управления, измеренные в единицах национальной валюты;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16pt"/>
          <w:rFonts w:ascii="GHEA Grapalat" w:hAnsi="GHEA Grapalat"/>
          <w:sz w:val="24"/>
          <w:szCs w:val="24"/>
        </w:rPr>
        <w:t>О</w:t>
      </w:r>
      <w:r w:rsidRPr="00822095">
        <w:rPr>
          <w:rStyle w:val="Bodytext216pt"/>
          <w:rFonts w:ascii="GHEA Grapalat" w:hAnsi="GHEA Grapalat"/>
          <w:sz w:val="24"/>
          <w:szCs w:val="24"/>
          <w:vertAlign w:val="subscript"/>
        </w:rPr>
        <w:t>нфа</w:t>
      </w:r>
      <w:r w:rsidRPr="00822095">
        <w:rPr>
          <w:rStyle w:val="Bodytext211pt"/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 операции с нефинансовыми активами консолидированного бюджета сектора государственного управления, измеренные в единицах национальной валюты.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Макроэкономический показатель, определяющий дефицит (профицит) консолидированного бюджета сектора государственного управления в процентах к валовому внутреннему продукту, рассчитывается по формуле: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22095">
        <w:rPr>
          <w:rStyle w:val="Bodytext2SmallCaps"/>
          <w:rFonts w:ascii="GHEA Grapalat" w:hAnsi="GHEA Grapalat"/>
          <w:sz w:val="24"/>
          <w:szCs w:val="24"/>
        </w:rPr>
        <w:t>Д(П)</w:t>
      </w:r>
      <w:r w:rsidRPr="00822095">
        <w:rPr>
          <w:rStyle w:val="Bodytext2SmallCaps"/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Style w:val="Bodytext2SmallCaps"/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 xml:space="preserve">(%) = </w:t>
      </w:r>
      <w:r w:rsidRPr="00822095">
        <w:rPr>
          <w:rStyle w:val="Bodytext2SmallCaps"/>
          <w:rFonts w:ascii="GHEA Grapalat" w:hAnsi="GHEA Grapalat"/>
          <w:sz w:val="24"/>
          <w:szCs w:val="24"/>
        </w:rPr>
        <w:t>Д(П)</w:t>
      </w:r>
      <w:r w:rsidRPr="00822095">
        <w:rPr>
          <w:rStyle w:val="Bodytext2SmallCaps"/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Style w:val="Bodytext2SmallCaps"/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 xml:space="preserve">/ ВВП 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>x</w:t>
      </w:r>
      <w:r w:rsidRPr="00822095">
        <w:rPr>
          <w:rFonts w:ascii="GHEA Grapalat" w:hAnsi="GHEA Grapalat"/>
          <w:sz w:val="24"/>
          <w:szCs w:val="24"/>
        </w:rPr>
        <w:t xml:space="preserve"> 100 %,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где: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Д(П)</w:t>
      </w:r>
      <w:r w:rsidRPr="00822095">
        <w:rPr>
          <w:rFonts w:ascii="GHEA Grapalat" w:hAnsi="GHEA Grapalat"/>
          <w:sz w:val="24"/>
          <w:szCs w:val="24"/>
          <w:vertAlign w:val="subscript"/>
        </w:rPr>
        <w:t>КБ</w:t>
      </w:r>
      <w:r w:rsidRPr="00822095">
        <w:rPr>
          <w:rFonts w:ascii="GHEA Grapalat" w:hAnsi="GHEA Grapalat"/>
          <w:sz w:val="24"/>
          <w:szCs w:val="24"/>
        </w:rPr>
        <w:t xml:space="preserve"> (%) - дефицит (профицит) консолидированного бюджета сектора государственного управления в процентах к валовому внутреннему продукту;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ВВП - объем валового внутреннего продукта в текущих ценах финансового года, измеренный в единицах национальной валюты.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По предложению государства-члена Комиссия самостоятельно рассчитывает макроэкономический показатель дефицита (профицита) консолидированного </w:t>
      </w:r>
      <w:r w:rsidRPr="00822095">
        <w:rPr>
          <w:rFonts w:ascii="GHEA Grapalat" w:hAnsi="GHEA Grapalat"/>
          <w:sz w:val="24"/>
          <w:szCs w:val="24"/>
        </w:rPr>
        <w:lastRenderedPageBreak/>
        <w:t>бюджета сектора государственного управления в процентах к валовому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внутреннему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продукту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на основе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предоставляемой уполномоченным органом в Комиссию в соответствии с настоящей Методикой информации о номинальных объемах дефицита (профицита) консолидированного бюджета сектора государственного управления и валового внутреннего продукта.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Долг сектора государственного управления рассчитывается по формуле: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</w:t>
      </w:r>
      <w:r w:rsidRPr="00822095">
        <w:rPr>
          <w:rStyle w:val="Bodytext815pt"/>
          <w:rFonts w:ascii="GHEA Grapalat" w:hAnsi="GHEA Grapalat"/>
          <w:sz w:val="24"/>
          <w:szCs w:val="24"/>
        </w:rPr>
        <w:t xml:space="preserve"> = 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цоу</w:t>
      </w:r>
      <w:r w:rsidRPr="00822095">
        <w:rPr>
          <w:rStyle w:val="Bodytext815pt"/>
          <w:rFonts w:ascii="GHEA Grapalat" w:hAnsi="GHEA Grapalat"/>
          <w:sz w:val="24"/>
          <w:szCs w:val="24"/>
        </w:rPr>
        <w:t xml:space="preserve"> + 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роу</w:t>
      </w:r>
      <w:r w:rsidRPr="00822095">
        <w:rPr>
          <w:rStyle w:val="Bodytext815pt"/>
          <w:rFonts w:ascii="GHEA Grapalat" w:hAnsi="GHEA Grapalat"/>
          <w:sz w:val="24"/>
          <w:szCs w:val="24"/>
        </w:rPr>
        <w:t xml:space="preserve"> + 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моу</w:t>
      </w:r>
      <w:r w:rsidRPr="00822095">
        <w:rPr>
          <w:rStyle w:val="Bodytext815pt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  <w:vertAlign w:val="superscript"/>
        </w:rPr>
        <w:t>_</w:t>
      </w:r>
      <w:r w:rsidRPr="00822095">
        <w:rPr>
          <w:rStyle w:val="Bodytext815pt0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Sylfaen"/>
          <w:rFonts w:ascii="GHEA Grapalat" w:hAnsi="GHEA Grapalat"/>
          <w:sz w:val="24"/>
          <w:szCs w:val="24"/>
        </w:rPr>
        <w:t>Δ</w:t>
      </w:r>
      <w:r w:rsidRPr="00822095">
        <w:rPr>
          <w:rStyle w:val="Bodytext815pt0"/>
          <w:rFonts w:ascii="GHEA Grapalat" w:hAnsi="GHEA Grapalat"/>
          <w:sz w:val="24"/>
          <w:szCs w:val="24"/>
        </w:rPr>
        <w:t>К,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где: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12pt"/>
          <w:rFonts w:ascii="GHEA Grapalat" w:hAnsi="GHEA Grapalat"/>
        </w:rPr>
        <w:t>Д</w:t>
      </w:r>
      <w:r w:rsidRPr="00822095">
        <w:rPr>
          <w:rStyle w:val="Bodytext212pt"/>
          <w:rFonts w:ascii="GHEA Grapalat" w:hAnsi="GHEA Grapalat"/>
          <w:vertAlign w:val="subscript"/>
        </w:rPr>
        <w:t>сгу</w:t>
      </w:r>
      <w:r w:rsidRPr="00822095">
        <w:rPr>
          <w:rStyle w:val="Bodytext212pt"/>
          <w:rFonts w:ascii="GHEA Grapalat" w:hAnsi="GHEA Grapalat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 долг сектора государственного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12pt"/>
          <w:rFonts w:ascii="GHEA Grapalat" w:hAnsi="GHEA Grapalat"/>
        </w:rPr>
        <w:t>Д</w:t>
      </w:r>
      <w:r w:rsidRPr="00822095">
        <w:rPr>
          <w:rStyle w:val="Bodytext212pt"/>
          <w:rFonts w:ascii="GHEA Grapalat" w:hAnsi="GHEA Grapalat"/>
          <w:vertAlign w:val="subscript"/>
        </w:rPr>
        <w:t>цоу</w:t>
      </w:r>
      <w:r w:rsidRPr="00822095">
        <w:rPr>
          <w:rStyle w:val="Bodytext212pt"/>
          <w:rFonts w:ascii="GHEA Grapalat" w:hAnsi="GHEA Grapalat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 долг центральных органов управления;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211pt"/>
          <w:rFonts w:ascii="GHEA Grapalat" w:hAnsi="GHEA Grapalat"/>
          <w:sz w:val="24"/>
          <w:szCs w:val="24"/>
        </w:rPr>
        <w:t>Д</w:t>
      </w:r>
      <w:r w:rsidRPr="00822095">
        <w:rPr>
          <w:rStyle w:val="Bodytext214pt"/>
          <w:rFonts w:ascii="GHEA Grapalat" w:hAnsi="GHEA Grapalat"/>
          <w:sz w:val="24"/>
          <w:szCs w:val="24"/>
          <w:vertAlign w:val="subscript"/>
        </w:rPr>
        <w:t>роу</w:t>
      </w:r>
      <w:r w:rsidRPr="00822095">
        <w:rPr>
          <w:rStyle w:val="Bodytext211pt"/>
          <w:rFonts w:ascii="GHEA Grapalat" w:hAnsi="GHEA Grapalat"/>
          <w:sz w:val="24"/>
          <w:szCs w:val="24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- долг региональных органов управления;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моу</w:t>
      </w:r>
      <w:r w:rsidRPr="00822095">
        <w:rPr>
          <w:rStyle w:val="Bodytext815pt0"/>
          <w:rFonts w:ascii="GHEA Grapalat" w:hAnsi="GHEA Grapalat"/>
          <w:sz w:val="24"/>
          <w:szCs w:val="24"/>
        </w:rPr>
        <w:t xml:space="preserve"> - долг местных (муниципальных) органов управления;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gramStart"/>
      <w:r w:rsidRPr="00822095">
        <w:rPr>
          <w:rStyle w:val="Bodytext8Sylfaen"/>
          <w:rFonts w:ascii="GHEA Grapalat" w:hAnsi="GHEA Grapalat"/>
          <w:sz w:val="24"/>
          <w:szCs w:val="24"/>
        </w:rPr>
        <w:t>Δ</w:t>
      </w:r>
      <w:r w:rsidRPr="00822095">
        <w:rPr>
          <w:rStyle w:val="Bodytext815pt0"/>
          <w:rFonts w:ascii="GHEA Grapalat" w:hAnsi="GHEA Grapalat"/>
          <w:sz w:val="24"/>
          <w:szCs w:val="24"/>
        </w:rPr>
        <w:t>К - взаимосвязанные показатели по консолидируемым позициям.</w:t>
      </w:r>
      <w:proofErr w:type="gramEnd"/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Долг сектора государственного управления состоит из внешнего и внутреннего долга сектора государственного управления.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В состав долга сектора государственного управления не включаются условные долговые обязательства сектора государственного управления и долговые обязательства органов денежно-кредитного регулирования.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Величина долга сектора государственного управления определяется по номинальной стоимости.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Макроэкономический показатель долга сектора государственного управления в процентах к валовому внутреннему продукту рассчитывается как сумма значений показателей внешнего и внутреннего долга сектора государственного управления в процентах к объему валового внутреннего продукта: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</w:t>
      </w:r>
      <w:r w:rsidRPr="00822095">
        <w:rPr>
          <w:rStyle w:val="Bodytext815pt"/>
          <w:rFonts w:ascii="GHEA Grapalat" w:hAnsi="GHEA Grapalat"/>
          <w:sz w:val="24"/>
          <w:szCs w:val="24"/>
        </w:rPr>
        <w:t xml:space="preserve"> (%) = 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сгув</w:t>
      </w:r>
      <w:r w:rsidRPr="00822095">
        <w:rPr>
          <w:rStyle w:val="Bodytext816pt"/>
          <w:rFonts w:ascii="GHEA Grapalat" w:hAnsi="GHEA Grapalat"/>
          <w:sz w:val="24"/>
          <w:szCs w:val="24"/>
          <w:vertAlign w:val="subscript"/>
        </w:rPr>
        <w:t>нешний</w:t>
      </w:r>
      <w:r w:rsidRPr="00822095">
        <w:rPr>
          <w:rStyle w:val="Bodytext895pt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 xml:space="preserve">(%) </w:t>
      </w: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SmallCaps"/>
          <w:rFonts w:ascii="GHEA Grapalat" w:hAnsi="GHEA Grapalat"/>
          <w:sz w:val="24"/>
          <w:szCs w:val="24"/>
          <w:vertAlign w:val="subscript"/>
        </w:rPr>
        <w:t>сгу</w:t>
      </w:r>
      <w:r w:rsidRPr="00822095">
        <w:rPr>
          <w:rFonts w:ascii="GHEA Grapalat" w:hAnsi="GHEA Grapalat"/>
          <w:sz w:val="24"/>
          <w:szCs w:val="24"/>
          <w:vertAlign w:val="subscript"/>
        </w:rPr>
        <w:t>Внутренний</w:t>
      </w:r>
      <w:r w:rsidRPr="00822095">
        <w:rPr>
          <w:rStyle w:val="Bodytext895pt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(%),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lastRenderedPageBreak/>
        <w:t>где: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</w:t>
      </w:r>
      <w:r w:rsidRPr="00822095">
        <w:rPr>
          <w:rStyle w:val="Bodytext815pt0"/>
          <w:rFonts w:ascii="GHEA Grapalat" w:hAnsi="GHEA Grapalat"/>
          <w:sz w:val="24"/>
          <w:szCs w:val="24"/>
        </w:rPr>
        <w:t xml:space="preserve"> (%) - долг сектора государственного управления в процентах к валовому внутреннему продукту;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сгув</w:t>
      </w:r>
      <w:r w:rsidRPr="00822095">
        <w:rPr>
          <w:rStyle w:val="Bodytext816pt"/>
          <w:rFonts w:ascii="GHEA Grapalat" w:hAnsi="GHEA Grapalat"/>
          <w:sz w:val="24"/>
          <w:szCs w:val="24"/>
          <w:vertAlign w:val="subscript"/>
        </w:rPr>
        <w:t>нешний</w:t>
      </w:r>
      <w:r w:rsidRPr="00822095">
        <w:rPr>
          <w:rStyle w:val="Bodytext89pt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(%)</w:t>
      </w:r>
      <w:r w:rsidR="00822095">
        <w:rPr>
          <w:rStyle w:val="Bodytext815pt0"/>
          <w:rFonts w:ascii="GHEA Grapalat" w:hAnsi="GHEA Grapalat"/>
          <w:sz w:val="24"/>
          <w:szCs w:val="24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- внешний долг сектора государственного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управления в процентах к валовому внутреннему продукту;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"/>
          <w:rFonts w:ascii="GHEA Grapalat" w:hAnsi="GHEA Grapalat"/>
          <w:sz w:val="24"/>
          <w:szCs w:val="24"/>
        </w:rPr>
        <w:t>Д</w:t>
      </w:r>
      <w:r w:rsidRPr="00822095">
        <w:rPr>
          <w:rStyle w:val="Bodytext815pt"/>
          <w:rFonts w:ascii="GHEA Grapalat" w:hAnsi="GHEA Grapalat"/>
          <w:sz w:val="24"/>
          <w:szCs w:val="24"/>
          <w:vertAlign w:val="subscript"/>
        </w:rPr>
        <w:t>сгу</w:t>
      </w:r>
      <w:r w:rsidRPr="00822095">
        <w:rPr>
          <w:rStyle w:val="Bodytext815pt0"/>
          <w:rFonts w:ascii="GHEA Grapalat" w:hAnsi="GHEA Grapalat"/>
          <w:sz w:val="24"/>
          <w:szCs w:val="24"/>
          <w:vertAlign w:val="subscript"/>
        </w:rPr>
        <w:t>Внутренний</w:t>
      </w:r>
      <w:r w:rsidRPr="00822095">
        <w:rPr>
          <w:rStyle w:val="Bodytext815pt0"/>
          <w:rFonts w:ascii="GHEA Grapalat" w:hAnsi="GHEA Grapalat"/>
          <w:sz w:val="24"/>
          <w:szCs w:val="24"/>
        </w:rPr>
        <w:t xml:space="preserve"> (%) - внутренний долг сектора государственного управления в процентах к валовому внутреннему продукту.</w:t>
      </w:r>
    </w:p>
    <w:p w:rsidR="00AF30C6" w:rsidRPr="00822095" w:rsidRDefault="00D04F75" w:rsidP="00CB0A57">
      <w:pPr>
        <w:pStyle w:val="Bodytext8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Style w:val="Bodytext815pt0"/>
          <w:rFonts w:ascii="GHEA Grapalat" w:hAnsi="GHEA Grapalat"/>
          <w:sz w:val="24"/>
          <w:szCs w:val="24"/>
        </w:rPr>
        <w:t>Показатели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внешнего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и внутреннего долга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сектора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государственного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управления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в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процентах к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объему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валового</w:t>
      </w:r>
      <w:r w:rsidRPr="00822095">
        <w:rPr>
          <w:rStyle w:val="Bodytext815pt0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Style w:val="Bodytext815pt0"/>
          <w:rFonts w:ascii="GHEA Grapalat" w:hAnsi="GHEA Grapalat"/>
          <w:sz w:val="24"/>
          <w:szCs w:val="24"/>
        </w:rPr>
        <w:t>внутреннего продукта рассчитываются как сумма отношений номинальных объемов долга, выраженных в иностранной (эквивалент объема долговых обязательств, выраженный в долларах США)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и национальной валютах заимствования, на конец последнего дня отчетного периода (финансовый год, квартал) к сумме квартальных объемов валового внутреннего продукта (за 4 предшествующих квартала). При этом часть номинального объема внешнего и внутреннего долга на конец последнего дня отчетного периода (финансовый год, квартал), выраженная в иностранной валюте заимствования (эквивалент объема долговых обязательств, выраженный в долларах США), делится на сумму квартальных объемов валового внутреннего продукта (за 4 предшествующих квартала), выраженных в национальной валюте и пересчитанных в доллары США по среднему квартальному курсу национальной валюты, рассчитанному национальными (центральными) банками государств-членов, а часть номинального объема внешнего и внутреннего долга на конец последнего дня отчетного периода (финансовый год, квартал), выраженная в национальной валюте заимствования, делится на сумму квартальных объемов валового внутреннего продукта (за 4 предшествующих квартала), выраженных в национальной валюте.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По предложению государства-члена Комиссия самостоятельно рассчитывает </w:t>
      </w:r>
      <w:r w:rsidRPr="00822095">
        <w:rPr>
          <w:rFonts w:ascii="GHEA Grapalat" w:hAnsi="GHEA Grapalat"/>
          <w:sz w:val="24"/>
          <w:szCs w:val="24"/>
        </w:rPr>
        <w:lastRenderedPageBreak/>
        <w:t>макроэкономический показатель долга сектора государственного управления в процентах к валовому внутреннему продукту на основе предоставляемой в Комиссию информации о номинальных объемах внешнего и внутреннего долга сектора государственного управления по валютам обязательств (в национальной валюте, в иностранных валютах заимствования (эквивалент объема долговых обязательств, выраженный в долларах США)) на конец последнего дня отчетного периода (финансовый год, квартал), о квартальных объемах валового внутреннего продукта (за 4 предшествующих квартала), выраженных в национальной валюте, а также о среднем квартальном курсе национальной валюты к доллару США, рассчитанном национальным (центральным) банком этого государства-члена.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По предложению государства-члена Комиссия проводит сравнительную оценку показателя долга сектора государственного управления в процентах к валовому внутреннему продукту, рассчитанного в соответствии с настоящей Методикой, с показателем долга сектора государственного управления в процентах к валовому внутреннему продукту, рассчитанным как отношение объема долга сектора государственного управления на конец последнего дня отчетного периода (финансовый год, квартал), пересчитанного в национальную валюту по официальному курсу национальной валюты к иностранной валюте (доллару США), установленному национальным (центральным) банком государства-члена на конец последнего дня отчетного периода (финансовый год, квартал), к объему валового внутреннего продукта (за 4 предшествующих квартала), выраженному в национальной валюте.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Методика расчета уровня инфляции (индекса потребительских цен) в государствах-членах основывается на международной методологии, изложенной в Руководстве по индексу потребительских цен: теория и практика (2007 год).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Показатель уровня инфляции (индекса потребительских цен) в годовом выражении измеряется как процентное отношение стоимости фиксированного набора потребительских товаров и услуг в ценах декабря анализируемого года к </w:t>
      </w:r>
      <w:r w:rsidRPr="00822095">
        <w:rPr>
          <w:rFonts w:ascii="GHEA Grapalat" w:hAnsi="GHEA Grapalat"/>
          <w:sz w:val="24"/>
          <w:szCs w:val="24"/>
        </w:rPr>
        <w:lastRenderedPageBreak/>
        <w:t>его стоимости в ценах декабря предыдущего года.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Для квартального мониторинга уровня инфляции (индекса потребительских цен) используется показатель, измеренный в годовом выражении как процентное отношение стоимости фиксированного набора потребительских товаров и услуг в ценах последнего месяца квартала текущего года к его стоимости в ценах аналогичного месяца предыдущего года.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В аналитических целях используется показатель уровня инфляции (индекса потребительских цен) за период с начала года, измеряемый как процентное отношение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стоимости фиксированного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набора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потребительских товаров и услуг в ценах анализируемого месяца к его стоимости в ценах декабря предыдущего года.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Расчет уровня инфляции (индекса потребительских цен) производится государствами-членами в соответствии с национальной методологией.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При расчете уровня инфляции (индекса потребительских цен) допускаются различия в фиксированном наборе потребительских товаров и услуг, а также в долях (весах) потребления в общем объеме фиксированного набора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потребительских товаров и услуг</w:t>
      </w:r>
      <w:r w:rsidRPr="00822095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исходя из национальных особенностей потребления товаров и услуг домашними хозяйствами (населением) в государствах-членах.</w:t>
      </w:r>
    </w:p>
    <w:p w:rsidR="00AF30C6" w:rsidRPr="00822095" w:rsidRDefault="0082209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 xml:space="preserve"> </w:t>
      </w:r>
      <w:r w:rsidR="00D04F75" w:rsidRPr="00822095">
        <w:rPr>
          <w:rFonts w:ascii="GHEA Grapalat" w:hAnsi="GHEA Grapalat"/>
          <w:sz w:val="24"/>
          <w:szCs w:val="24"/>
        </w:rPr>
        <w:t>Уполномоченные органы с учетом положений пунктов 4-6 настоящей Методики предоставляют в Комиссию информацию по показателям дефицита (профицита) консолидированного бюджета сектора государственного управления, долга сектора государственного управления, уровня инфляции (индекса потребительских цен),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рассчитанным в соответствии с настоящей Методикой, а также по показателям согласно приложению.</w:t>
      </w:r>
    </w:p>
    <w:p w:rsidR="00AF30C6" w:rsidRPr="00822095" w:rsidRDefault="00D04F75" w:rsidP="00CB0A57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 xml:space="preserve">Предоставление уполномоченными органами в Комиссию указанной информации осуществляется в соответствии с Протоколом о порядке </w:t>
      </w:r>
      <w:r w:rsidRPr="00822095">
        <w:rPr>
          <w:rFonts w:ascii="GHEA Grapalat" w:hAnsi="GHEA Grapalat"/>
          <w:sz w:val="24"/>
          <w:szCs w:val="24"/>
        </w:rPr>
        <w:lastRenderedPageBreak/>
        <w:t>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года).</w:t>
      </w:r>
    </w:p>
    <w:p w:rsidR="00CB0A57" w:rsidRDefault="00CB0A57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AF30C6" w:rsidRPr="00822095" w:rsidRDefault="00D04F75" w:rsidP="002B7576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lastRenderedPageBreak/>
        <w:t>ПРИЛОЖЕНИЕ</w:t>
      </w:r>
    </w:p>
    <w:p w:rsidR="002B7576" w:rsidRDefault="00D04F75" w:rsidP="002B7576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822095">
        <w:rPr>
          <w:rFonts w:ascii="GHEA Grapalat" w:hAnsi="GHEA Grapalat"/>
          <w:sz w:val="24"/>
          <w:szCs w:val="24"/>
        </w:rPr>
        <w:t>к Методике расчета макроэкономических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показателей, определяющих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устойчивость экономического развития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 xml:space="preserve">государств </w:t>
      </w:r>
      <w:r w:rsidR="002B7576">
        <w:rPr>
          <w:rFonts w:ascii="GHEA Grapalat" w:hAnsi="GHEA Grapalat"/>
          <w:sz w:val="24"/>
          <w:szCs w:val="24"/>
        </w:rPr>
        <w:t>–</w:t>
      </w:r>
      <w:r w:rsidRPr="00822095">
        <w:rPr>
          <w:rFonts w:ascii="GHEA Grapalat" w:hAnsi="GHEA Grapalat"/>
          <w:sz w:val="24"/>
          <w:szCs w:val="24"/>
        </w:rPr>
        <w:t xml:space="preserve"> членов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Евразийского экономического союза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(в редакции Решения Коллегии</w:t>
      </w:r>
      <w:r w:rsidR="002B757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2095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AF30C6" w:rsidRPr="00822095" w:rsidRDefault="00D04F75" w:rsidP="002B7576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от 12 мая 2015 г. № 47)</w:t>
      </w:r>
    </w:p>
    <w:p w:rsidR="00AF30C6" w:rsidRPr="00822095" w:rsidRDefault="00AF30C6" w:rsidP="00822095">
      <w:pPr>
        <w:spacing w:after="160" w:line="360" w:lineRule="auto"/>
        <w:rPr>
          <w:rFonts w:ascii="GHEA Grapalat" w:hAnsi="GHEA Grapalat"/>
        </w:rPr>
      </w:pPr>
    </w:p>
    <w:p w:rsidR="00AF30C6" w:rsidRPr="00822095" w:rsidRDefault="00D04F75" w:rsidP="00822095">
      <w:pPr>
        <w:pStyle w:val="Heading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bookmarkStart w:id="3" w:name="bookmark4"/>
      <w:r w:rsidRPr="00822095">
        <w:rPr>
          <w:rFonts w:ascii="GHEA Grapalat" w:hAnsi="GHEA Grapalat"/>
          <w:sz w:val="24"/>
          <w:szCs w:val="24"/>
        </w:rPr>
        <w:t>Перечень показателей,</w:t>
      </w:r>
      <w:bookmarkEnd w:id="3"/>
    </w:p>
    <w:p w:rsidR="00AF30C6" w:rsidRPr="00822095" w:rsidRDefault="00D04F75" w:rsidP="00822095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822095">
        <w:rPr>
          <w:rFonts w:ascii="GHEA Grapalat" w:hAnsi="GHEA Grapalat"/>
          <w:sz w:val="24"/>
          <w:szCs w:val="24"/>
        </w:rPr>
        <w:t>используемых для расчета макроэкономических</w:t>
      </w:r>
      <w:r w:rsidRPr="00822095">
        <w:rPr>
          <w:rFonts w:ascii="GHEA Grapalat" w:hAnsi="GHEA Grapalat"/>
          <w:sz w:val="24"/>
          <w:szCs w:val="24"/>
        </w:rPr>
        <w:br/>
        <w:t>показателей, определяющих устойчивость</w:t>
      </w:r>
      <w:r w:rsidRPr="00822095">
        <w:rPr>
          <w:rFonts w:ascii="GHEA Grapalat" w:hAnsi="GHEA Grapalat"/>
          <w:sz w:val="24"/>
          <w:szCs w:val="24"/>
        </w:rPr>
        <w:br/>
        <w:t>экономического развития</w:t>
      </w:r>
    </w:p>
    <w:p w:rsidR="00AF30C6" w:rsidRPr="00822095" w:rsidRDefault="00AF30C6" w:rsidP="00822095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961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463"/>
        <w:gridCol w:w="1148"/>
      </w:tblGrid>
      <w:tr w:rsidR="00AF30C6" w:rsidRPr="00822095" w:rsidTr="002B7576">
        <w:trPr>
          <w:tblHeader/>
          <w:jc w:val="center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Код*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I. Операции консолидированного бюджета сектора государственного управления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1. Доходы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2. Расходы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3. Социальные трансферты,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27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4. Пенсии,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5. Платежи на обслуживание долга центральных органов управления,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6. Операции с нефинансовыми активами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7. Дефицит (профицит)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  <w:lang w:val="en-US" w:eastAsia="en-US" w:bidi="en-US"/>
              </w:rPr>
              <w:t>CSD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8. Доходы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9. Расходы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10. Платежи на обслуживание долга региональных органов управления, выплачиваемые из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11. Операции с нефинансовыми активами бюджета региональных органов управления (в миллионах единиц национальной валюты, в процентах к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12. Дефицит (профицит)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  <w:lang w:val="en-US" w:eastAsia="en-US" w:bidi="en-US"/>
              </w:rPr>
              <w:t>CSD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13. Доходы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14. Расходы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15. Платежи на обслуживание долга местных (муниципальных) органов управления, выплачиваемые из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16. Операции с нефинансовыми активами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17. Дефицит (профицит)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  <w:lang w:val="en-US" w:eastAsia="en-US" w:bidi="en-US"/>
              </w:rPr>
              <w:t>CSD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18. Доходы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19. Взносы (отчисления) на социальные нужды, перечисляемые в бюджет фонда социального обеспечения (в миллионах единиц национальной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12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20. Расходы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21. Социальные трансферты, выплачиваемые из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27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22. Пенсии, выплачиваемые из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23. Операции с нефинансовыми активами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24. Дефицит (профицит)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  <w:lang w:val="en-US" w:eastAsia="en-US" w:bidi="en-US"/>
              </w:rPr>
              <w:t>CSD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25. Доходы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26. Расходы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27. Платежи на обслуживание долга сектора государственного управления, выплачиваемые из консолидированного бюджета сектора государственного управления (в миллионах единиц национальной валюты, в процентах к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28. Операции с нефинансовыми активами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29. Дефицит (профицит)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  <w:lang w:val="en-US" w:eastAsia="en-US" w:bidi="en-US"/>
              </w:rPr>
              <w:t>CSD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30. Средства национального (резервного) фонда на начало отчетного периода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31. Поступления в национальный (резервный) фонд в отчетном периоде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32. Использование национального (резервного) фонда в отчетном периоде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33. Средства национального (резервного) фонда на конец отчетного периода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9611" w:type="dxa"/>
            <w:gridSpan w:val="2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II. Операции с финансовыми активами и обязательствами сектора государственного управления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34. Финансовые активы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35. Внутренние финансовые активы (в миллионах единиц национальной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321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36. 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3212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37. 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3213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38. 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3214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39. Кредиты и займы бюджетам других уровней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40. Кредиты и займы юридическим лицам-резидентам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41. Кредиты и займы физическим лицам-резидентам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42. Акции и другие формы участия в капитале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3215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43. Прочая дебиторская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3218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44. Внешние финансовые активы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45. 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46. 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47. 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48. Кредиты и займы юридическим лицам-нерезидентам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49. Кредиты и займы иностранным государствам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50. Акции и другие формы участия в капитале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3225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51. Прочая дебиторская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3228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52. Монетарное золото и СДР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44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323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53. 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44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54. Внутренние 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44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331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55. 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3312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56. 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3313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57. 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3314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58. Кредиты и займы от бюджетов других уровней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59. Кредиты и займы от юридических лиц-резидентов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60. Прочая кредиторская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3318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61. Внешние 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62. 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3322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63. 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3323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64. 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30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3324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65. Кредиты и займы от юридических лиц-нерезидентов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66. Кредиты и займы от иностранных государств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67. Прочая кредиторская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3328</w:t>
            </w:r>
          </w:p>
        </w:tc>
      </w:tr>
      <w:tr w:rsidR="00AF30C6" w:rsidRPr="00822095" w:rsidTr="002B7576">
        <w:trPr>
          <w:jc w:val="center"/>
        </w:trPr>
        <w:tc>
          <w:tcPr>
            <w:tcW w:w="9611" w:type="dxa"/>
            <w:gridSpan w:val="2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III. Долг сектора государственного управления 1. Долг центрального правительства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68. Внешний долг центрального правительства (в миллионах единиц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69. Внешний долг центрального правительства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70. Внутренний долг центрального правительства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71. Внутренний долг центрального правительства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72. Условные долговые обязательства центрального правительства (в миллионах единиц национальной валюты, в процентах к валовому внутреннему продукту)**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9611" w:type="dxa"/>
            <w:gridSpan w:val="2"/>
            <w:shd w:val="clear" w:color="auto" w:fill="FFFFFF"/>
            <w:vAlign w:val="center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2. Долг региональных органов управления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73. Внешний долг региональных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74. Внешний долг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75. Внутренний долг региональных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76. Внутренний долг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77. Условные долговые обязательства региональных органов управления (в миллионах единиц национальной валюты, в процентах к валовому внутреннему продукту)**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9611" w:type="dxa"/>
            <w:gridSpan w:val="2"/>
            <w:shd w:val="clear" w:color="auto" w:fill="FFFFFF"/>
            <w:vAlign w:val="center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3. Долг местных (муниципальных) органов управления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78. Внешний долг местных (муниципальных)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79. Внешний долг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80. Внутренний долг местных (муниципальных) органов управления (в миллионах единиц иностранной валюты ((эквивалент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81. Внутренний долг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 xml:space="preserve">82. Условные долговые обязательства местных (муниципальных) органов управления (в миллионах единиц национальной валюты, в процентах к </w:t>
            </w: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валовому внутреннему продукту)**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9611" w:type="dxa"/>
            <w:gridSpan w:val="2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ind w:left="1020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lastRenderedPageBreak/>
              <w:t>4. Долг сектора государственного управления, за исключением взаимосвязанных показателей по консолидируемым позициям</w:t>
            </w: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83. Внешний долг сектора государственного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  <w:vAlign w:val="bottom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84. Внешний долг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85. Внутренний долг сектора государственного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86. Внутренний долг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AF30C6" w:rsidRPr="00822095" w:rsidTr="002B7576">
        <w:trPr>
          <w:jc w:val="center"/>
        </w:trPr>
        <w:tc>
          <w:tcPr>
            <w:tcW w:w="8463" w:type="dxa"/>
            <w:shd w:val="clear" w:color="auto" w:fill="FFFFFF"/>
          </w:tcPr>
          <w:p w:rsidR="00AF30C6" w:rsidRPr="00822095" w:rsidRDefault="00D04F75" w:rsidP="0082209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2095">
              <w:rPr>
                <w:rFonts w:ascii="GHEA Grapalat" w:hAnsi="GHEA Grapalat"/>
                <w:sz w:val="24"/>
                <w:szCs w:val="24"/>
              </w:rPr>
              <w:t>87. Условные долговые обязательства сектора государственного управления (в миллионах единиц национальной валюты, в процентах к валовому внутреннему продукту)**</w:t>
            </w:r>
          </w:p>
        </w:tc>
        <w:tc>
          <w:tcPr>
            <w:tcW w:w="1148" w:type="dxa"/>
            <w:shd w:val="clear" w:color="auto" w:fill="FFFFFF"/>
          </w:tcPr>
          <w:p w:rsidR="00AF30C6" w:rsidRPr="00822095" w:rsidRDefault="00AF30C6" w:rsidP="00822095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</w:tbl>
    <w:p w:rsidR="002B7576" w:rsidRDefault="002B7576" w:rsidP="00822095">
      <w:pPr>
        <w:pStyle w:val="Picturecaption0"/>
        <w:shd w:val="clear" w:color="auto" w:fill="auto"/>
        <w:spacing w:after="160" w:line="360" w:lineRule="auto"/>
        <w:rPr>
          <w:rFonts w:ascii="GHEA Grapalat" w:hAnsi="GHEA Grapalat"/>
          <w:lang w:val="en-US"/>
        </w:rPr>
      </w:pPr>
    </w:p>
    <w:p w:rsidR="00AF30C6" w:rsidRPr="00822095" w:rsidRDefault="00D04F75" w:rsidP="00822095">
      <w:pPr>
        <w:pStyle w:val="Picturecaption0"/>
        <w:shd w:val="clear" w:color="auto" w:fill="auto"/>
        <w:spacing w:after="160" w:line="360" w:lineRule="auto"/>
        <w:rPr>
          <w:rFonts w:ascii="GHEA Grapalat" w:hAnsi="GHEA Grapalat"/>
        </w:rPr>
      </w:pPr>
      <w:r w:rsidRPr="00822095">
        <w:rPr>
          <w:rFonts w:ascii="GHEA Grapalat" w:hAnsi="GHEA Grapalat"/>
        </w:rPr>
        <w:t>* Коды операций консолидированного бюджета сектора государственного управления, а также коды операций с финансовыми активами и обязательствами приведены в соответствии с Руководством по статистике государственных финансов (Международный валютный фонд, 2001 год).</w:t>
      </w:r>
    </w:p>
    <w:p w:rsidR="00AF30C6" w:rsidRPr="00822095" w:rsidRDefault="002B7576" w:rsidP="00822095">
      <w:pPr>
        <w:pStyle w:val="Footnote0"/>
        <w:shd w:val="clear" w:color="auto" w:fill="auto"/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lastRenderedPageBreak/>
        <w:t>**</w:t>
      </w:r>
      <w:r w:rsidR="00D04F75" w:rsidRPr="00822095">
        <w:rPr>
          <w:rFonts w:ascii="GHEA Grapalat" w:hAnsi="GHEA Grapalat"/>
        </w:rPr>
        <w:t xml:space="preserve"> Информация предоставляется в аналитических целях</w:t>
      </w:r>
      <w:proofErr w:type="gramStart"/>
      <w:r w:rsidR="00D04F75" w:rsidRPr="00822095">
        <w:rPr>
          <w:rFonts w:ascii="GHEA Grapalat" w:hAnsi="GHEA Grapalat"/>
        </w:rPr>
        <w:t>.»</w:t>
      </w:r>
      <w:proofErr w:type="gramEnd"/>
      <w:r w:rsidR="00D04F75" w:rsidRPr="00822095">
        <w:rPr>
          <w:rFonts w:ascii="GHEA Grapalat" w:hAnsi="GHEA Grapalat"/>
        </w:rPr>
        <w:t>.</w:t>
      </w:r>
    </w:p>
    <w:p w:rsidR="00AF30C6" w:rsidRPr="00822095" w:rsidRDefault="00214692" w:rsidP="00822095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"C:\\Users\\Hayk\\Desktop\\media\\image1.jpeg"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A54047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8pt;height:115pt">
            <v:imagedata r:id="rId8" r:href="rId9"/>
          </v:shape>
        </w:pict>
      </w:r>
      <w:r>
        <w:rPr>
          <w:rFonts w:ascii="GHEA Grapalat" w:hAnsi="GHEA Grapalat"/>
        </w:rPr>
        <w:fldChar w:fldCharType="end"/>
      </w:r>
    </w:p>
    <w:sectPr w:rsidR="00AF30C6" w:rsidRPr="00822095" w:rsidSect="0082209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692" w:rsidRDefault="00214692" w:rsidP="00AF30C6">
      <w:r>
        <w:separator/>
      </w:r>
    </w:p>
  </w:endnote>
  <w:endnote w:type="continuationSeparator" w:id="0">
    <w:p w:rsidR="00214692" w:rsidRDefault="00214692" w:rsidP="00A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692" w:rsidRDefault="00214692">
      <w:r>
        <w:separator/>
      </w:r>
    </w:p>
  </w:footnote>
  <w:footnote w:type="continuationSeparator" w:id="0">
    <w:p w:rsidR="00214692" w:rsidRDefault="00214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0F64"/>
    <w:multiLevelType w:val="multilevel"/>
    <w:tmpl w:val="55FE7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5213F5"/>
    <w:multiLevelType w:val="multilevel"/>
    <w:tmpl w:val="A58A1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451D9B"/>
    <w:multiLevelType w:val="multilevel"/>
    <w:tmpl w:val="5C9AE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30C6"/>
    <w:rsid w:val="00214692"/>
    <w:rsid w:val="002B7576"/>
    <w:rsid w:val="00822095"/>
    <w:rsid w:val="009868F7"/>
    <w:rsid w:val="00A54047"/>
    <w:rsid w:val="00AF30C6"/>
    <w:rsid w:val="00CB0A57"/>
    <w:rsid w:val="00D0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30C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30C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F30C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A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mallCaps">
    <w:name w:val="Body text (2) + Small Caps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6pt">
    <w:name w:val="Body text (2) + 16 pt"/>
    <w:aliases w:val="Small Caps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12pt">
    <w:name w:val="Body text (2) + 12 pt"/>
    <w:aliases w:val="Small Caps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">
    <w:name w:val="Body text (2) + 11 pt"/>
    <w:aliases w:val="Small Caps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15pt">
    <w:name w:val="Body text (8) + 15 pt"/>
    <w:aliases w:val="Small Caps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15pt0">
    <w:name w:val="Body text (8) + 15 pt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Sylfaen">
    <w:name w:val="Body text (8) + Sylfaen"/>
    <w:aliases w:val="15 pt"/>
    <w:basedOn w:val="Bodytext8"/>
    <w:rsid w:val="00AF30C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4pt">
    <w:name w:val="Body text (2) + 14 pt"/>
    <w:aliases w:val="Small Caps"/>
    <w:basedOn w:val="Bodytext2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16pt">
    <w:name w:val="Body text (8) + 16 pt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95pt">
    <w:name w:val="Body text (8) + 9.5 pt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SmallCaps">
    <w:name w:val="Body text (8) + Small Caps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9pt">
    <w:name w:val="Body text (8) + 9 pt"/>
    <w:basedOn w:val="Bodytext8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">
    <w:name w:val="Footnote_"/>
    <w:basedOn w:val="DefaultParagraphFont"/>
    <w:link w:val="Footnote0"/>
    <w:rsid w:val="00A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AF30C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F30C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AF30C6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F30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AF30C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AF30C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AF30C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Footnote0">
    <w:name w:val="Footnote"/>
    <w:basedOn w:val="Normal"/>
    <w:link w:val="Footnote"/>
    <w:rsid w:val="00AF30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24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2016-02-01T06:57:00Z</dcterms:created>
  <dcterms:modified xsi:type="dcterms:W3CDTF">2016-06-09T12:31:00Z</dcterms:modified>
</cp:coreProperties>
</file>