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0E" w:rsidRPr="00E140A5" w:rsidRDefault="00323F81" w:rsidP="00DA522D">
      <w:pPr>
        <w:spacing w:after="160" w:line="360" w:lineRule="auto"/>
        <w:ind w:left="9356" w:right="-30"/>
        <w:jc w:val="center"/>
        <w:rPr>
          <w:rFonts w:ascii="Sylfaen" w:hAnsi="Sylfaen"/>
        </w:rPr>
      </w:pPr>
      <w:bookmarkStart w:id="0" w:name="bookmark1"/>
      <w:bookmarkStart w:id="1" w:name="_GoBack"/>
      <w:bookmarkEnd w:id="1"/>
      <w:r w:rsidRPr="00E140A5">
        <w:rPr>
          <w:rFonts w:ascii="Sylfaen" w:hAnsi="Sylfaen"/>
        </w:rPr>
        <w:t>ՀԱՍՏԱՏՎԱԾ Է</w:t>
      </w:r>
    </w:p>
    <w:p w:rsidR="003C312C" w:rsidRDefault="00323F81" w:rsidP="00DA522D">
      <w:pPr>
        <w:spacing w:after="160" w:line="360" w:lineRule="auto"/>
        <w:ind w:left="9356" w:right="-30"/>
        <w:jc w:val="center"/>
        <w:rPr>
          <w:rFonts w:ascii="Sylfaen" w:hAnsi="Sylfaen"/>
        </w:rPr>
      </w:pPr>
      <w:r w:rsidRPr="00E140A5">
        <w:rPr>
          <w:rFonts w:ascii="Sylfaen" w:hAnsi="Sylfaen"/>
        </w:rPr>
        <w:t>Եվրասիական տնտեսական</w:t>
      </w:r>
      <w:bookmarkStart w:id="2" w:name="bookmark2"/>
      <w:bookmarkEnd w:id="0"/>
      <w:r w:rsidRPr="00E140A5">
        <w:rPr>
          <w:rFonts w:ascii="Sylfaen" w:hAnsi="Sylfaen"/>
        </w:rPr>
        <w:t xml:space="preserve"> </w:t>
      </w:r>
      <w:r w:rsidR="00DA522D">
        <w:rPr>
          <w:rFonts w:ascii="Sylfaen" w:hAnsi="Sylfaen"/>
        </w:rPr>
        <w:br/>
      </w:r>
      <w:r w:rsidRPr="00E140A5">
        <w:rPr>
          <w:rFonts w:ascii="Sylfaen" w:hAnsi="Sylfaen"/>
        </w:rPr>
        <w:t xml:space="preserve">հանձնաժողովի խորհրդի </w:t>
      </w:r>
      <w:r w:rsidR="00DA522D">
        <w:rPr>
          <w:rFonts w:ascii="Sylfaen" w:hAnsi="Sylfaen"/>
        </w:rPr>
        <w:br/>
      </w:r>
      <w:bookmarkEnd w:id="2"/>
      <w:r w:rsidR="00DA522D" w:rsidRPr="00DA522D">
        <w:rPr>
          <w:rFonts w:ascii="Sylfaen" w:hAnsi="Sylfaen"/>
        </w:rPr>
        <w:t>«___» _______-ի 20</w:t>
      </w:r>
      <w:r w:rsidR="00DA522D" w:rsidRPr="00E140A5">
        <w:rPr>
          <w:rFonts w:ascii="Sylfaen" w:hAnsi="Sylfaen"/>
        </w:rPr>
        <w:t>__</w:t>
      </w:r>
      <w:r w:rsidR="00DA522D">
        <w:rPr>
          <w:rFonts w:ascii="Sylfaen" w:hAnsi="Sylfaen"/>
        </w:rPr>
        <w:t xml:space="preserve"> </w:t>
      </w:r>
      <w:r w:rsidR="00DA522D" w:rsidRPr="00DA522D">
        <w:rPr>
          <w:rFonts w:ascii="Sylfaen" w:hAnsi="Sylfaen"/>
        </w:rPr>
        <w:t xml:space="preserve">թվականի </w:t>
      </w:r>
      <w:r w:rsidR="00DA522D" w:rsidRPr="00DA522D">
        <w:rPr>
          <w:rFonts w:ascii="Sylfaen" w:hAnsi="Sylfaen"/>
        </w:rPr>
        <w:br/>
        <w:t xml:space="preserve">թիվ __________ </w:t>
      </w:r>
      <w:r w:rsidR="00DA522D" w:rsidRPr="00E140A5">
        <w:rPr>
          <w:rFonts w:ascii="Sylfaen" w:hAnsi="Sylfaen"/>
        </w:rPr>
        <w:t>որոշմամբ</w:t>
      </w:r>
    </w:p>
    <w:p w:rsidR="00DA522D" w:rsidRPr="00DA522D" w:rsidRDefault="00DA522D" w:rsidP="00DA522D">
      <w:pPr>
        <w:spacing w:after="160" w:line="360" w:lineRule="auto"/>
        <w:ind w:left="9356" w:right="-30"/>
        <w:jc w:val="center"/>
        <w:rPr>
          <w:rFonts w:ascii="Sylfaen" w:hAnsi="Sylfaen"/>
        </w:rPr>
      </w:pPr>
    </w:p>
    <w:p w:rsidR="00D857EA" w:rsidRPr="00E140A5" w:rsidRDefault="00323F81" w:rsidP="00DA522D">
      <w:pPr>
        <w:pStyle w:val="Heading220"/>
        <w:keepNext/>
        <w:keepLines/>
        <w:shd w:val="clear" w:color="auto" w:fill="auto"/>
        <w:spacing w:before="0" w:after="160" w:line="360" w:lineRule="auto"/>
        <w:ind w:left="1701" w:right="1530"/>
        <w:rPr>
          <w:rFonts w:ascii="Sylfaen" w:hAnsi="Sylfaen"/>
          <w:sz w:val="24"/>
          <w:szCs w:val="24"/>
        </w:rPr>
      </w:pPr>
      <w:bookmarkStart w:id="3" w:name="bookmark3"/>
      <w:r w:rsidRPr="00E140A5">
        <w:rPr>
          <w:rStyle w:val="Heading22Spacing2pt"/>
          <w:rFonts w:ascii="Sylfaen" w:hAnsi="Sylfaen"/>
          <w:b/>
          <w:spacing w:val="0"/>
          <w:sz w:val="24"/>
          <w:szCs w:val="24"/>
        </w:rPr>
        <w:t>ԾՐԱԳԻՐ</w:t>
      </w:r>
      <w:bookmarkEnd w:id="3"/>
    </w:p>
    <w:p w:rsidR="00D857EA" w:rsidRPr="00E140A5" w:rsidRDefault="00323F81" w:rsidP="00DA522D">
      <w:pPr>
        <w:pStyle w:val="Heading220"/>
        <w:keepNext/>
        <w:keepLines/>
        <w:shd w:val="clear" w:color="auto" w:fill="auto"/>
        <w:spacing w:before="0" w:after="160" w:line="360" w:lineRule="auto"/>
        <w:ind w:left="1701" w:right="1530"/>
        <w:rPr>
          <w:rFonts w:ascii="Sylfaen" w:hAnsi="Sylfaen"/>
          <w:sz w:val="24"/>
          <w:szCs w:val="24"/>
        </w:rPr>
      </w:pPr>
      <w:bookmarkStart w:id="4" w:name="bookmark4"/>
      <w:r w:rsidRPr="00E140A5">
        <w:rPr>
          <w:rFonts w:ascii="Sylfaen" w:hAnsi="Sylfaen"/>
          <w:sz w:val="24"/>
          <w:szCs w:val="24"/>
        </w:rPr>
        <w:t>Եվրասիական տնտեսական միության շրջանակներում արդյունաբերական համագործակցության հիմնական ուղղությունների իրագործման մասով ակտերի մշակման</w:t>
      </w:r>
      <w:bookmarkEnd w:id="4"/>
    </w:p>
    <w:tbl>
      <w:tblPr>
        <w:tblOverlap w:val="never"/>
        <w:tblW w:w="163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7"/>
        <w:gridCol w:w="3428"/>
        <w:gridCol w:w="2071"/>
        <w:gridCol w:w="2313"/>
        <w:gridCol w:w="2442"/>
      </w:tblGrid>
      <w:tr w:rsidR="00D857EA" w:rsidRPr="00E140A5" w:rsidTr="00AA6FC8">
        <w:trPr>
          <w:tblHeader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7EA" w:rsidRPr="00E140A5" w:rsidRDefault="00D857EA" w:rsidP="00BD289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7EA" w:rsidRPr="00E140A5" w:rsidRDefault="00D857EA" w:rsidP="00BD289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7EA" w:rsidRPr="00E140A5" w:rsidRDefault="00B36BA7" w:rsidP="00BD289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Ո</w:t>
            </w:r>
            <w:r w:rsidR="00323F81" w:rsidRPr="00E140A5">
              <w:rPr>
                <w:rFonts w:ascii="Sylfaen" w:hAnsi="Sylfaen"/>
                <w:sz w:val="24"/>
                <w:szCs w:val="24"/>
              </w:rPr>
              <w:t xml:space="preserve">րոշումներ կայացնող մարմնին </w:t>
            </w:r>
            <w:r w:rsidR="00B5270A" w:rsidRPr="00E140A5">
              <w:rPr>
                <w:rFonts w:ascii="Sylfaen" w:hAnsi="Sylfaen"/>
                <w:sz w:val="24"/>
                <w:szCs w:val="24"/>
              </w:rPr>
              <w:t xml:space="preserve">ակտը </w:t>
            </w:r>
            <w:r w:rsidR="00323F81" w:rsidRPr="00E140A5">
              <w:rPr>
                <w:rFonts w:ascii="Sylfaen" w:hAnsi="Sylfaen"/>
                <w:sz w:val="24"/>
                <w:szCs w:val="24"/>
              </w:rPr>
              <w:t>տրամադրելու ժամկետը</w:t>
            </w:r>
          </w:p>
        </w:tc>
      </w:tr>
      <w:tr w:rsidR="00D857EA" w:rsidRPr="00E140A5" w:rsidTr="00AA6FC8">
        <w:trPr>
          <w:tblHeader/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7EA" w:rsidRPr="00E140A5" w:rsidRDefault="00323F81" w:rsidP="00BD289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Փաստաթղթի անվանումը*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7EA" w:rsidRPr="00E140A5" w:rsidRDefault="00323F81" w:rsidP="00BD289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Մշակողը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7EA" w:rsidRPr="00E140A5" w:rsidRDefault="00323F81" w:rsidP="00BD289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Հանձնաժողովի կոլեգիա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7EA" w:rsidRPr="00E140A5" w:rsidRDefault="00323F81" w:rsidP="00BD289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ԵՏՀ խորհուրդ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7EA" w:rsidRPr="00E140A5" w:rsidRDefault="00323F81" w:rsidP="00BD289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Եվրասիական միջկառ</w:t>
            </w:r>
            <w:r w:rsidR="00DA5CA8" w:rsidRPr="00E140A5">
              <w:rPr>
                <w:rFonts w:ascii="Sylfaen" w:hAnsi="Sylfaen"/>
                <w:sz w:val="24"/>
                <w:szCs w:val="24"/>
              </w:rPr>
              <w:t>ավ</w:t>
            </w:r>
            <w:r w:rsidRPr="00E140A5">
              <w:rPr>
                <w:rFonts w:ascii="Sylfaen" w:hAnsi="Sylfaen"/>
                <w:sz w:val="24"/>
                <w:szCs w:val="24"/>
              </w:rPr>
              <w:t>արական խորհուրդ</w:t>
            </w:r>
          </w:p>
        </w:tc>
      </w:tr>
      <w:tr w:rsidR="00102D28" w:rsidRPr="00E140A5" w:rsidTr="00AA6FC8">
        <w:trPr>
          <w:jc w:val="center"/>
        </w:trPr>
        <w:tc>
          <w:tcPr>
            <w:tcW w:w="1638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102D28" w:rsidRPr="00E140A5" w:rsidRDefault="00102D28" w:rsidP="00BD289C">
            <w:pPr>
              <w:pStyle w:val="Tablecaption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 xml:space="preserve">I. Արդյունաբերական արտադրության աճի տեմպերի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ծավալների ավելացումը</w:t>
            </w:r>
          </w:p>
        </w:tc>
      </w:tr>
      <w:tr w:rsidR="00102D28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 xml:space="preserve">1. Արդյունաբերական կոոպերացիայի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ենթակապալառության եվրասիական ցանցի ստեղծման ու գործունեության մոտեցումների մասին հանձնարարական</w:t>
            </w:r>
          </w:p>
        </w:tc>
        <w:tc>
          <w:tcPr>
            <w:tcW w:w="3428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 xml:space="preserve">Եվրասիական տնտեսական միության անդամ պետություններ, Եվրասիական տնտեսական հանձնաժողով (այսուհետ </w:t>
            </w: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>համապատասխանաբար՝ անդամ պետություններ, Հանձնաժողով)</w:t>
            </w:r>
          </w:p>
        </w:tc>
        <w:tc>
          <w:tcPr>
            <w:tcW w:w="2071" w:type="dxa"/>
            <w:shd w:val="clear" w:color="auto" w:fill="FFFFFF"/>
          </w:tcPr>
          <w:p w:rsidR="00102D2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lastRenderedPageBreak/>
              <w:t>—</w:t>
            </w:r>
          </w:p>
        </w:tc>
        <w:tc>
          <w:tcPr>
            <w:tcW w:w="2313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մինչ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2016 թվականի դեկտեմբերի 31-ը</w:t>
            </w:r>
          </w:p>
        </w:tc>
        <w:tc>
          <w:tcPr>
            <w:tcW w:w="2442" w:type="dxa"/>
            <w:shd w:val="clear" w:color="auto" w:fill="FFFFFF"/>
          </w:tcPr>
          <w:p w:rsidR="00102D2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</w:tr>
      <w:tr w:rsidR="00102D28" w:rsidRPr="00E140A5" w:rsidTr="00AA6FC8">
        <w:trPr>
          <w:jc w:val="center"/>
        </w:trPr>
        <w:tc>
          <w:tcPr>
            <w:tcW w:w="16381" w:type="dxa"/>
            <w:gridSpan w:val="5"/>
            <w:shd w:val="clear" w:color="auto" w:fill="FFFFFF"/>
          </w:tcPr>
          <w:p w:rsidR="00102D28" w:rsidRPr="00E140A5" w:rsidRDefault="00102D28" w:rsidP="00BD289C">
            <w:pPr>
              <w:pStyle w:val="Tablecaption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 xml:space="preserve">II. Առաջնահերթ ուղղությունների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նախագծերի ֆինանսավորման համար պայմանների ստեղծումը</w:t>
            </w:r>
          </w:p>
        </w:tc>
      </w:tr>
      <w:tr w:rsidR="00102D28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 xml:space="preserve">2. Անդամ պետությունների կողմից կոոպերացիոն այն նախագծերի համաձայնեցման կարգի մասին հանձնարարական, որոնք ունեն ինտեգրացիոն ներուժ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Եվրասիական զարգացման բանկ են ներկայացվում դրանց առաջնահերթ ֆինանսավորման հարցը քննարկելու նպատակով՝ ներառյալ այդ նախագծերին համապատասխանելու չափանիշները </w:t>
            </w:r>
          </w:p>
        </w:tc>
        <w:tc>
          <w:tcPr>
            <w:tcW w:w="3428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անդամ պետություններ, Հանձնաժողով</w:t>
            </w:r>
          </w:p>
        </w:tc>
        <w:tc>
          <w:tcPr>
            <w:tcW w:w="2071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մինչ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2016 թվականի դեկտեմբերի 1-ը</w:t>
            </w:r>
          </w:p>
        </w:tc>
        <w:tc>
          <w:tcPr>
            <w:tcW w:w="2313" w:type="dxa"/>
            <w:shd w:val="clear" w:color="auto" w:fill="FFFFFF"/>
          </w:tcPr>
          <w:p w:rsidR="00102D2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  <w:tc>
          <w:tcPr>
            <w:tcW w:w="2442" w:type="dxa"/>
            <w:shd w:val="clear" w:color="auto" w:fill="FFFFFF"/>
          </w:tcPr>
          <w:p w:rsidR="00102D2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</w:tr>
      <w:tr w:rsidR="00102D28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3. Կոոպերացիոն համագործակցության այն ուղղությունների մասին հանձնարարական, որոնք անդամ պետությունների կողմից Եվրասիական զարգացման բանկ են ներկայացվում այդ ուղղություններին համապատասխանող նախագծերի առաջնահերթ ֆինանսավորման հարցը քննարկելու նպատակով</w:t>
            </w:r>
          </w:p>
        </w:tc>
        <w:tc>
          <w:tcPr>
            <w:tcW w:w="3428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անդամ պետություններ, Հանձնաժողով</w:t>
            </w:r>
          </w:p>
        </w:tc>
        <w:tc>
          <w:tcPr>
            <w:tcW w:w="2071" w:type="dxa"/>
            <w:shd w:val="clear" w:color="auto" w:fill="FFFFFF"/>
          </w:tcPr>
          <w:p w:rsidR="00102D2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  <w:tc>
          <w:tcPr>
            <w:tcW w:w="2313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մինչ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2016 թվականի դեկտեմբերի 31–ը</w:t>
            </w:r>
          </w:p>
        </w:tc>
        <w:tc>
          <w:tcPr>
            <w:tcW w:w="2442" w:type="dxa"/>
            <w:shd w:val="clear" w:color="auto" w:fill="FFFFFF"/>
          </w:tcPr>
          <w:p w:rsidR="00102D2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</w:tr>
      <w:tr w:rsidR="00102D28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 xml:space="preserve">4. Արդյունաբերության հարցերով խորհրդատվական կոմիտեի մասին հիմնադրույթում փոփոխություններ կատարելու մասին որոշում (այդ թվում՝ Եվրասիական </w:t>
            </w: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>զարգացման բանկի կողմից առաջնահերթ ֆինանսավորման համար ինտեգրացիոն ներուժ ունեցող կոոպերացիոն նախագծերի քննարկման հարցերով ենթակոմիտեի ստեղծում)</w:t>
            </w:r>
          </w:p>
        </w:tc>
        <w:tc>
          <w:tcPr>
            <w:tcW w:w="3428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>անդամ պետություններ, Հանձնաժողով</w:t>
            </w:r>
          </w:p>
        </w:tc>
        <w:tc>
          <w:tcPr>
            <w:tcW w:w="2071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մինչ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2016 թվականի </w:t>
            </w: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>մայիսի 1-ը</w:t>
            </w:r>
          </w:p>
        </w:tc>
        <w:tc>
          <w:tcPr>
            <w:tcW w:w="2313" w:type="dxa"/>
            <w:shd w:val="clear" w:color="auto" w:fill="FFFFFF"/>
          </w:tcPr>
          <w:p w:rsidR="00102D28" w:rsidRPr="00E140A5" w:rsidRDefault="004B744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2442" w:type="dxa"/>
            <w:shd w:val="clear" w:color="auto" w:fill="FFFFFF"/>
          </w:tcPr>
          <w:p w:rsidR="00102D2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</w:tr>
      <w:tr w:rsidR="00102D28" w:rsidRPr="00E140A5" w:rsidTr="00AA6FC8">
        <w:trPr>
          <w:jc w:val="center"/>
        </w:trPr>
        <w:tc>
          <w:tcPr>
            <w:tcW w:w="16381" w:type="dxa"/>
            <w:gridSpan w:val="5"/>
            <w:shd w:val="clear" w:color="auto" w:fill="FFFFFF"/>
          </w:tcPr>
          <w:p w:rsidR="00102D28" w:rsidRPr="00E140A5" w:rsidRDefault="00102D28" w:rsidP="00BD289C">
            <w:pPr>
              <w:pStyle w:val="Tablecaption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>III. Եվրասիական տնտեսական միության ընդհանուր շուկայում անդամ պետությունների արտադրանքի մասնաբաժնի ավելացումը</w:t>
            </w:r>
          </w:p>
        </w:tc>
      </w:tr>
      <w:tr w:rsidR="00102D28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5. Համատեղ արտադրված արտադրանքի որոշման, այդ թվում՝ աջակցության համատեղ միջոցների կիրառման նպատակով տեխնոլոգիական գործառնությունների հաշվառման մեխանիզմը օգտագործելու մասին հանձնարարական</w:t>
            </w:r>
          </w:p>
        </w:tc>
        <w:tc>
          <w:tcPr>
            <w:tcW w:w="3428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անդամ պետություններ, Հանձնաժողով</w:t>
            </w:r>
          </w:p>
        </w:tc>
        <w:tc>
          <w:tcPr>
            <w:tcW w:w="2071" w:type="dxa"/>
            <w:shd w:val="clear" w:color="auto" w:fill="FFFFFF"/>
          </w:tcPr>
          <w:p w:rsidR="00102D2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  <w:tc>
          <w:tcPr>
            <w:tcW w:w="2313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մինչ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2017 թվականի նոյեմբերի 1-ը</w:t>
            </w:r>
          </w:p>
        </w:tc>
        <w:tc>
          <w:tcPr>
            <w:tcW w:w="2442" w:type="dxa"/>
            <w:shd w:val="clear" w:color="auto" w:fill="FFFFFF"/>
          </w:tcPr>
          <w:p w:rsidR="00102D2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</w:tr>
      <w:tr w:rsidR="00102D28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 xml:space="preserve">6. Եվրասիական տնտեսական միության շուկան կեղծված արտադրանքից պաշտպանելու միջոցների համալիրի մասին հանձնարարական </w:t>
            </w:r>
          </w:p>
        </w:tc>
        <w:tc>
          <w:tcPr>
            <w:tcW w:w="3428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անդամ պետություններ, Հանձնաժողով</w:t>
            </w:r>
          </w:p>
        </w:tc>
        <w:tc>
          <w:tcPr>
            <w:tcW w:w="2071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2313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մինչ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2017 թվականի ապրիլի 1-ը</w:t>
            </w:r>
          </w:p>
        </w:tc>
        <w:tc>
          <w:tcPr>
            <w:tcW w:w="2442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—</w:t>
            </w:r>
          </w:p>
        </w:tc>
      </w:tr>
      <w:tr w:rsidR="00102D28" w:rsidRPr="00E140A5" w:rsidTr="00AA6FC8">
        <w:trPr>
          <w:jc w:val="center"/>
        </w:trPr>
        <w:tc>
          <w:tcPr>
            <w:tcW w:w="16381" w:type="dxa"/>
            <w:gridSpan w:val="5"/>
            <w:shd w:val="clear" w:color="auto" w:fill="FFFFFF"/>
          </w:tcPr>
          <w:p w:rsidR="00102D28" w:rsidRPr="00E140A5" w:rsidRDefault="00102D28" w:rsidP="00BD289C">
            <w:pPr>
              <w:pStyle w:val="Tablecaption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IV. Արտահանմանն ուղղված նոր մրցունակ արտադրանքի արտադրությունների զարգացումը</w:t>
            </w:r>
          </w:p>
        </w:tc>
      </w:tr>
      <w:tr w:rsidR="00102D28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7. Երրորդ երկրների շուկաներում արդյունաբերական (համատեղ արտադրված) արտադրանքի առաջմղման մասին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հանձնարարական </w:t>
            </w:r>
          </w:p>
        </w:tc>
        <w:tc>
          <w:tcPr>
            <w:tcW w:w="3428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անդամ պետություններ, Հանձնաժողով</w:t>
            </w:r>
          </w:p>
        </w:tc>
        <w:tc>
          <w:tcPr>
            <w:tcW w:w="2071" w:type="dxa"/>
            <w:shd w:val="clear" w:color="auto" w:fill="FFFFFF"/>
          </w:tcPr>
          <w:p w:rsidR="00102D2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  <w:tc>
          <w:tcPr>
            <w:tcW w:w="2313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մինչ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2017 թվականի սեպտեմբերի 1-ը</w:t>
            </w:r>
          </w:p>
        </w:tc>
        <w:tc>
          <w:tcPr>
            <w:tcW w:w="2442" w:type="dxa"/>
            <w:shd w:val="clear" w:color="auto" w:fill="FFFFFF"/>
          </w:tcPr>
          <w:p w:rsidR="00102D28" w:rsidRPr="00E140A5" w:rsidRDefault="004B744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—</w:t>
            </w:r>
          </w:p>
        </w:tc>
      </w:tr>
      <w:tr w:rsidR="00102D28" w:rsidRPr="00E140A5" w:rsidTr="00AA6FC8">
        <w:trPr>
          <w:jc w:val="center"/>
        </w:trPr>
        <w:tc>
          <w:tcPr>
            <w:tcW w:w="16381" w:type="dxa"/>
            <w:gridSpan w:val="5"/>
            <w:shd w:val="clear" w:color="auto" w:fill="FFFFFF"/>
          </w:tcPr>
          <w:p w:rsidR="00102D28" w:rsidRPr="00E140A5" w:rsidRDefault="00102D28" w:rsidP="00BD289C">
            <w:pPr>
              <w:pStyle w:val="Tablecaption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V. Արդիականացումը (տեխնիկական վերազինումը)</w:t>
            </w:r>
          </w:p>
        </w:tc>
      </w:tr>
      <w:tr w:rsidR="00102D28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 xml:space="preserve">8. Եվրասիական տնտեսական միության շրջանակներում տեխնոլոգիական արդիականացման </w:t>
            </w: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 xml:space="preserve">գործընթացն արագացնելու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կազմակերպությունների նորարարական ակտիվությունը բարձրացնելու նպատակով համագործակցության առաջնահերթությունների մասին հանձնարարական </w:t>
            </w:r>
          </w:p>
        </w:tc>
        <w:tc>
          <w:tcPr>
            <w:tcW w:w="3428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 xml:space="preserve">անդամ պետություններ, </w:t>
            </w: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>Հանձնաժողով</w:t>
            </w:r>
          </w:p>
        </w:tc>
        <w:tc>
          <w:tcPr>
            <w:tcW w:w="2071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>մինչ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2016 թվականի </w:t>
            </w: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>դեկտեմբերի 31–ը</w:t>
            </w:r>
          </w:p>
        </w:tc>
        <w:tc>
          <w:tcPr>
            <w:tcW w:w="2313" w:type="dxa"/>
            <w:shd w:val="clear" w:color="auto" w:fill="FFFFFF"/>
          </w:tcPr>
          <w:p w:rsidR="00102D28" w:rsidRPr="00E140A5" w:rsidRDefault="004B744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2442" w:type="dxa"/>
            <w:shd w:val="clear" w:color="auto" w:fill="FFFFFF"/>
          </w:tcPr>
          <w:p w:rsidR="00102D28" w:rsidRPr="00E140A5" w:rsidRDefault="004B744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—</w:t>
            </w:r>
          </w:p>
        </w:tc>
      </w:tr>
      <w:tr w:rsidR="00102D28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 xml:space="preserve">9. Արդյունաբերանորարարական ենթակառուցվածքի օբյեկտներ ստեղծելու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դրանց գործունեությունն ապահովելու լավագույն փորձի տարածման մասին հանձնարարական </w:t>
            </w:r>
          </w:p>
        </w:tc>
        <w:tc>
          <w:tcPr>
            <w:tcW w:w="3428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անդամ պետություններ, Հանձնաժողով</w:t>
            </w:r>
          </w:p>
        </w:tc>
        <w:tc>
          <w:tcPr>
            <w:tcW w:w="2071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մինչ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2016 թվականի դեկտեմբերի 31–ը</w:t>
            </w:r>
          </w:p>
        </w:tc>
        <w:tc>
          <w:tcPr>
            <w:tcW w:w="2313" w:type="dxa"/>
            <w:shd w:val="clear" w:color="auto" w:fill="FFFFFF"/>
          </w:tcPr>
          <w:p w:rsidR="00102D28" w:rsidRPr="00E140A5" w:rsidRDefault="004B744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2442" w:type="dxa"/>
            <w:shd w:val="clear" w:color="auto" w:fill="FFFFFF"/>
          </w:tcPr>
          <w:p w:rsidR="00102D28" w:rsidRPr="00E140A5" w:rsidRDefault="004B744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—</w:t>
            </w:r>
          </w:p>
        </w:tc>
      </w:tr>
      <w:tr w:rsidR="00102D28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 xml:space="preserve">10. Անդամ պետությունների արդյունաբերության թվայնացման նկատմամբ մոտեցումների մասին հանձնարարական </w:t>
            </w:r>
          </w:p>
        </w:tc>
        <w:tc>
          <w:tcPr>
            <w:tcW w:w="3428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անդամ պետություններ, Հանձնաժողով</w:t>
            </w:r>
          </w:p>
        </w:tc>
        <w:tc>
          <w:tcPr>
            <w:tcW w:w="2071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2313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մինչ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2018 թվականի դեկտեմբերի 31-ը</w:t>
            </w:r>
          </w:p>
        </w:tc>
        <w:tc>
          <w:tcPr>
            <w:tcW w:w="2442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—</w:t>
            </w:r>
          </w:p>
        </w:tc>
      </w:tr>
      <w:tr w:rsidR="00102D28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11. Եվրասիական տեխնոլոգիական հարթակների ձ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ավորման, գործունեության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ֆինանսավորման մասին հիմնադրույթ</w:t>
            </w:r>
          </w:p>
        </w:tc>
        <w:tc>
          <w:tcPr>
            <w:tcW w:w="3428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անդամ պետություններ, Հանձնաժողով</w:t>
            </w:r>
          </w:p>
        </w:tc>
        <w:tc>
          <w:tcPr>
            <w:tcW w:w="2071" w:type="dxa"/>
            <w:shd w:val="clear" w:color="auto" w:fill="FFFFFF"/>
          </w:tcPr>
          <w:p w:rsidR="00102D2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  <w:tc>
          <w:tcPr>
            <w:tcW w:w="2313" w:type="dxa"/>
            <w:shd w:val="clear" w:color="auto" w:fill="FFFFFF"/>
          </w:tcPr>
          <w:p w:rsidR="00102D2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  <w:tc>
          <w:tcPr>
            <w:tcW w:w="2442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մինչ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2016 թվականի ապրիլի 1-ը</w:t>
            </w:r>
          </w:p>
        </w:tc>
      </w:tr>
      <w:tr w:rsidR="00102D28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 xml:space="preserve">12. Միջպետական ծրագրերի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նախագծերի մշակման, իրագործման ու ֆինանսավորման մասին հիմնադրույթ</w:t>
            </w:r>
          </w:p>
        </w:tc>
        <w:tc>
          <w:tcPr>
            <w:tcW w:w="3428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անդամ պետություններ, Հանձնաժողով</w:t>
            </w:r>
          </w:p>
        </w:tc>
        <w:tc>
          <w:tcPr>
            <w:tcW w:w="2071" w:type="dxa"/>
            <w:shd w:val="clear" w:color="auto" w:fill="FFFFFF"/>
          </w:tcPr>
          <w:p w:rsidR="00102D2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  <w:tc>
          <w:tcPr>
            <w:tcW w:w="2313" w:type="dxa"/>
            <w:shd w:val="clear" w:color="auto" w:fill="FFFFFF"/>
          </w:tcPr>
          <w:p w:rsidR="00102D2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  <w:tc>
          <w:tcPr>
            <w:tcW w:w="2442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մինչ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2017 թվականի դեկտեմբերի 31-ը</w:t>
            </w:r>
          </w:p>
        </w:tc>
      </w:tr>
      <w:tr w:rsidR="00102D28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13. Եվրասիական ինժինիրինգային կենտրոնի ստեղծման հայեցակարգ</w:t>
            </w:r>
          </w:p>
        </w:tc>
        <w:tc>
          <w:tcPr>
            <w:tcW w:w="3428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անդամ պետություններ, Հանձնաժողով</w:t>
            </w:r>
          </w:p>
        </w:tc>
        <w:tc>
          <w:tcPr>
            <w:tcW w:w="2071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2313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2442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մինչ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2016 թվականի </w:t>
            </w: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>սեպտեմբերի 1-ը</w:t>
            </w:r>
          </w:p>
        </w:tc>
      </w:tr>
      <w:tr w:rsidR="00102D28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 xml:space="preserve">14. Տեխնոլոգիաների փոխանցման եվրասիական ցանցի ստեղծման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գործունեության մոտեցումների մասին հանձնարարական </w:t>
            </w:r>
          </w:p>
        </w:tc>
        <w:tc>
          <w:tcPr>
            <w:tcW w:w="3428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անդամ պետություններ, Հանձնաժողով</w:t>
            </w:r>
          </w:p>
        </w:tc>
        <w:tc>
          <w:tcPr>
            <w:tcW w:w="2071" w:type="dxa"/>
            <w:shd w:val="clear" w:color="auto" w:fill="FFFFFF"/>
          </w:tcPr>
          <w:p w:rsidR="00102D2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  <w:tc>
          <w:tcPr>
            <w:tcW w:w="2313" w:type="dxa"/>
            <w:shd w:val="clear" w:color="auto" w:fill="FFFFFF"/>
          </w:tcPr>
          <w:p w:rsidR="00102D28" w:rsidRPr="00E140A5" w:rsidRDefault="00102D2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մինչ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2017 թվականի հուլիսի 1-ը</w:t>
            </w:r>
          </w:p>
        </w:tc>
        <w:tc>
          <w:tcPr>
            <w:tcW w:w="2442" w:type="dxa"/>
            <w:shd w:val="clear" w:color="auto" w:fill="FFFFFF"/>
          </w:tcPr>
          <w:p w:rsidR="00102D2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</w:tr>
      <w:tr w:rsidR="00102D28" w:rsidRPr="00E140A5" w:rsidTr="00AA6FC8">
        <w:trPr>
          <w:jc w:val="center"/>
        </w:trPr>
        <w:tc>
          <w:tcPr>
            <w:tcW w:w="16381" w:type="dxa"/>
            <w:gridSpan w:val="5"/>
            <w:shd w:val="clear" w:color="auto" w:fill="FFFFFF"/>
          </w:tcPr>
          <w:p w:rsidR="00102D28" w:rsidRPr="00E140A5" w:rsidRDefault="00102D2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VI. Խոչընդոտների վերացումը</w:t>
            </w:r>
          </w:p>
        </w:tc>
      </w:tr>
      <w:tr w:rsidR="00BD289C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BD289C" w:rsidRPr="00E140A5" w:rsidRDefault="00BD289C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 xml:space="preserve">15. Եվրասիական տնտեսական միության շրջանակներում արդյունաբերական արտադրանքի շուկայի դիտանցման կարգի մասին հիմնադրույթ </w:t>
            </w:r>
          </w:p>
        </w:tc>
        <w:tc>
          <w:tcPr>
            <w:tcW w:w="3428" w:type="dxa"/>
            <w:shd w:val="clear" w:color="auto" w:fill="FFFFFF"/>
          </w:tcPr>
          <w:p w:rsidR="00BD289C" w:rsidRPr="00E140A5" w:rsidRDefault="00BD289C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Հանձնաժողով, անդամ պետություններ</w:t>
            </w:r>
          </w:p>
        </w:tc>
        <w:tc>
          <w:tcPr>
            <w:tcW w:w="2071" w:type="dxa"/>
            <w:shd w:val="clear" w:color="auto" w:fill="FFFFFF"/>
          </w:tcPr>
          <w:p w:rsidR="00BD289C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  <w:tc>
          <w:tcPr>
            <w:tcW w:w="2313" w:type="dxa"/>
            <w:shd w:val="clear" w:color="auto" w:fill="FFFFFF"/>
          </w:tcPr>
          <w:p w:rsidR="00BD289C" w:rsidRPr="00E140A5" w:rsidRDefault="00BD289C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մինչ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2017 թվականի հուլիսի 1-ը</w:t>
            </w:r>
          </w:p>
        </w:tc>
        <w:tc>
          <w:tcPr>
            <w:tcW w:w="2442" w:type="dxa"/>
            <w:shd w:val="clear" w:color="auto" w:fill="FFFFFF"/>
          </w:tcPr>
          <w:p w:rsidR="00BD289C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</w:tr>
      <w:tr w:rsidR="004B7448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4B7448" w:rsidRPr="00E140A5" w:rsidRDefault="004B7448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16. Անդամ պետությունների համակարգաստեղծ արդյունաբերական ձեռնարկությունների դիտանցման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կարգի մասին հիմնադրույթ </w:t>
            </w:r>
          </w:p>
        </w:tc>
        <w:tc>
          <w:tcPr>
            <w:tcW w:w="3428" w:type="dxa"/>
            <w:shd w:val="clear" w:color="auto" w:fill="FFFFFF"/>
          </w:tcPr>
          <w:p w:rsidR="004B7448" w:rsidRPr="00E140A5" w:rsidRDefault="004B7448" w:rsidP="0039184E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անդամ պետություններ, Հանձնաժողով</w:t>
            </w:r>
          </w:p>
        </w:tc>
        <w:tc>
          <w:tcPr>
            <w:tcW w:w="2071" w:type="dxa"/>
            <w:shd w:val="clear" w:color="auto" w:fill="FFFFFF"/>
          </w:tcPr>
          <w:p w:rsidR="004B7448" w:rsidRPr="00E140A5" w:rsidRDefault="004B7448" w:rsidP="004B7448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  <w:tc>
          <w:tcPr>
            <w:tcW w:w="2313" w:type="dxa"/>
            <w:shd w:val="clear" w:color="auto" w:fill="FFFFFF"/>
          </w:tcPr>
          <w:p w:rsidR="004B7448" w:rsidRPr="00E140A5" w:rsidRDefault="004B744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մինչ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2016 թվականի դեկտեմբերի 31–ը</w:t>
            </w:r>
          </w:p>
        </w:tc>
        <w:tc>
          <w:tcPr>
            <w:tcW w:w="2442" w:type="dxa"/>
            <w:shd w:val="clear" w:color="auto" w:fill="FFFFFF"/>
          </w:tcPr>
          <w:p w:rsidR="004B744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</w:tr>
      <w:tr w:rsidR="004B7448" w:rsidRPr="00E140A5" w:rsidTr="00AA6FC8">
        <w:trPr>
          <w:trHeight w:val="714"/>
          <w:jc w:val="center"/>
        </w:trPr>
        <w:tc>
          <w:tcPr>
            <w:tcW w:w="6127" w:type="dxa"/>
            <w:shd w:val="clear" w:color="auto" w:fill="FFFFFF"/>
          </w:tcPr>
          <w:p w:rsidR="004B7448" w:rsidRPr="00E140A5" w:rsidRDefault="004B7448" w:rsidP="0039184E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17. Եվրասիական տնտեսական միության շրջանակներում արդյունաբերական համագործակցության հիմնական ուղղությունների իրագործման արդյունքների ամենամյա դիտանցման</w:t>
            </w:r>
            <w:r>
              <w:rPr>
                <w:rFonts w:ascii="Sylfaen" w:hAnsi="Sylfaen"/>
                <w:sz w:val="24"/>
                <w:szCs w:val="24"/>
              </w:rPr>
              <w:t xml:space="preserve"> 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վերլուծության մասին հիմնադրույթ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140A5">
              <w:rPr>
                <w:rFonts w:ascii="Sylfaen" w:hAnsi="Sylfaen"/>
                <w:sz w:val="24"/>
                <w:szCs w:val="24"/>
              </w:rPr>
              <w:t>անդամ պետություններ, Հանձնաժողով</w:t>
            </w:r>
          </w:p>
        </w:tc>
        <w:tc>
          <w:tcPr>
            <w:tcW w:w="3428" w:type="dxa"/>
            <w:shd w:val="clear" w:color="auto" w:fill="FFFFFF"/>
          </w:tcPr>
          <w:p w:rsidR="004B7448" w:rsidRPr="00E140A5" w:rsidRDefault="004B7448" w:rsidP="0039184E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անդամ պետություններ, Հանձնաժողով</w:t>
            </w:r>
          </w:p>
        </w:tc>
        <w:tc>
          <w:tcPr>
            <w:tcW w:w="2071" w:type="dxa"/>
            <w:shd w:val="clear" w:color="auto" w:fill="FFFFFF"/>
          </w:tcPr>
          <w:p w:rsidR="004B744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  <w:tc>
          <w:tcPr>
            <w:tcW w:w="2313" w:type="dxa"/>
            <w:shd w:val="clear" w:color="auto" w:fill="FFFFFF"/>
          </w:tcPr>
          <w:p w:rsidR="004B7448" w:rsidRPr="00E140A5" w:rsidRDefault="004B7448" w:rsidP="0039184E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մինչ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2016 թվականի հուլիսի 30-ը</w:t>
            </w:r>
          </w:p>
        </w:tc>
        <w:tc>
          <w:tcPr>
            <w:tcW w:w="2442" w:type="dxa"/>
            <w:shd w:val="clear" w:color="auto" w:fill="FFFFFF"/>
          </w:tcPr>
          <w:p w:rsidR="004B744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</w:tr>
      <w:tr w:rsidR="004B7448" w:rsidRPr="00E140A5" w:rsidTr="00AA6FC8">
        <w:trPr>
          <w:jc w:val="center"/>
        </w:trPr>
        <w:tc>
          <w:tcPr>
            <w:tcW w:w="16381" w:type="dxa"/>
            <w:gridSpan w:val="5"/>
            <w:shd w:val="clear" w:color="auto" w:fill="FFFFFF"/>
          </w:tcPr>
          <w:p w:rsidR="004B7448" w:rsidRPr="00E140A5" w:rsidRDefault="004B7448" w:rsidP="00BD289C">
            <w:pPr>
              <w:pStyle w:val="Tablecaption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 xml:space="preserve">VII. Գործունեության առաջնահերթ տեսակները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զգայուն ապրանքները</w:t>
            </w:r>
          </w:p>
        </w:tc>
      </w:tr>
      <w:tr w:rsidR="004B7448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4B7448" w:rsidRPr="00E140A5" w:rsidRDefault="004B7448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 xml:space="preserve">18. Արդյունաբերական համագործակցության զարգացման մասին հանձնարարական՝ ըստ անդամ </w:t>
            </w: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 xml:space="preserve">պետությունների արդյունաբերական համագործակցության համար տնտեսական գործունեության առաջնահերթ տեսակների ցանկի </w:t>
            </w:r>
          </w:p>
        </w:tc>
        <w:tc>
          <w:tcPr>
            <w:tcW w:w="3428" w:type="dxa"/>
            <w:shd w:val="clear" w:color="auto" w:fill="FFFFFF"/>
          </w:tcPr>
          <w:p w:rsidR="004B7448" w:rsidRPr="00E140A5" w:rsidRDefault="004B744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 xml:space="preserve">անդամ պետություններ, </w:t>
            </w: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>Հանձնաժողով</w:t>
            </w:r>
          </w:p>
        </w:tc>
        <w:tc>
          <w:tcPr>
            <w:tcW w:w="2071" w:type="dxa"/>
            <w:shd w:val="clear" w:color="auto" w:fill="FFFFFF"/>
          </w:tcPr>
          <w:p w:rsidR="004B7448" w:rsidRPr="00E140A5" w:rsidRDefault="004B744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>մինչ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2016 թվականի </w:t>
            </w: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>դեկտեմբերի 31–ը</w:t>
            </w:r>
          </w:p>
        </w:tc>
        <w:tc>
          <w:tcPr>
            <w:tcW w:w="2313" w:type="dxa"/>
            <w:shd w:val="clear" w:color="auto" w:fill="FFFFFF"/>
          </w:tcPr>
          <w:p w:rsidR="004B7448" w:rsidRPr="00E140A5" w:rsidRDefault="004B744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2442" w:type="dxa"/>
            <w:shd w:val="clear" w:color="auto" w:fill="FFFFFF"/>
          </w:tcPr>
          <w:p w:rsidR="004B744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  <w:r w:rsidRPr="00E140A5">
              <w:rPr>
                <w:rFonts w:ascii="Sylfaen" w:hAnsi="Sylfaen"/>
              </w:rPr>
              <w:t>—</w:t>
            </w:r>
          </w:p>
        </w:tc>
      </w:tr>
      <w:tr w:rsidR="004B7448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4B7448" w:rsidRPr="00E140A5" w:rsidRDefault="004B7448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lastRenderedPageBreak/>
              <w:t>19. Եվրասիական տնտեսական միության շրջանակներում արդյունաբերական համագործակցության հիմնական ուղղությունների իրագործման արդյունքներով ամենամյա դիտանցման</w:t>
            </w:r>
            <w:r>
              <w:rPr>
                <w:rFonts w:ascii="Sylfaen" w:hAnsi="Sylfaen"/>
                <w:sz w:val="24"/>
                <w:szCs w:val="24"/>
              </w:rPr>
              <w:t xml:space="preserve"> եւ</w:t>
            </w:r>
            <w:r w:rsidRPr="00E140A5">
              <w:rPr>
                <w:rFonts w:ascii="Sylfaen" w:hAnsi="Sylfaen"/>
                <w:sz w:val="24"/>
                <w:szCs w:val="24"/>
              </w:rPr>
              <w:t xml:space="preserve"> վերլուծության մասին հանձնարարական </w:t>
            </w:r>
          </w:p>
        </w:tc>
        <w:tc>
          <w:tcPr>
            <w:tcW w:w="3428" w:type="dxa"/>
            <w:shd w:val="clear" w:color="auto" w:fill="FFFFFF"/>
          </w:tcPr>
          <w:p w:rsidR="004B7448" w:rsidRPr="00E140A5" w:rsidRDefault="004B744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անդամ պետություններ, Հանձնաժողով</w:t>
            </w:r>
          </w:p>
        </w:tc>
        <w:tc>
          <w:tcPr>
            <w:tcW w:w="2071" w:type="dxa"/>
            <w:shd w:val="clear" w:color="auto" w:fill="FFFFFF"/>
          </w:tcPr>
          <w:p w:rsidR="004B744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</w:p>
        </w:tc>
        <w:tc>
          <w:tcPr>
            <w:tcW w:w="2313" w:type="dxa"/>
            <w:shd w:val="clear" w:color="auto" w:fill="FFFFFF"/>
          </w:tcPr>
          <w:p w:rsidR="004B7448" w:rsidRPr="00E140A5" w:rsidRDefault="004B744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2017 թվականից ի վեր՝ ամեն տարի</w:t>
            </w:r>
          </w:p>
        </w:tc>
        <w:tc>
          <w:tcPr>
            <w:tcW w:w="2442" w:type="dxa"/>
            <w:shd w:val="clear" w:color="auto" w:fill="FFFFFF"/>
          </w:tcPr>
          <w:p w:rsidR="004B744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</w:p>
        </w:tc>
      </w:tr>
      <w:tr w:rsidR="004B7448" w:rsidRPr="00E140A5" w:rsidTr="00AA6FC8">
        <w:trPr>
          <w:jc w:val="center"/>
        </w:trPr>
        <w:tc>
          <w:tcPr>
            <w:tcW w:w="6127" w:type="dxa"/>
            <w:shd w:val="clear" w:color="auto" w:fill="FFFFFF"/>
          </w:tcPr>
          <w:p w:rsidR="004B7448" w:rsidRPr="00E140A5" w:rsidRDefault="004B7448" w:rsidP="00BD289C">
            <w:pPr>
              <w:pStyle w:val="Bodytext20"/>
              <w:shd w:val="clear" w:color="auto" w:fill="auto"/>
              <w:spacing w:after="120" w:line="240" w:lineRule="auto"/>
              <w:ind w:left="116" w:right="37"/>
              <w:jc w:val="left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20. Եվրասիական տնտեսական միության շրջանակներում արդյունաբերական համագործակցության հիմնական ուղղությունների ճշգրտման մասին որոշում, գործունեության առաջնահերթ տեսակների ցանկ, զգայուն ապրանքների ցանկ</w:t>
            </w:r>
          </w:p>
        </w:tc>
        <w:tc>
          <w:tcPr>
            <w:tcW w:w="3428" w:type="dxa"/>
            <w:shd w:val="clear" w:color="auto" w:fill="FFFFFF"/>
          </w:tcPr>
          <w:p w:rsidR="004B7448" w:rsidRPr="00E140A5" w:rsidRDefault="004B744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անդամ պետություններ, Հանձնաժողով</w:t>
            </w:r>
          </w:p>
        </w:tc>
        <w:tc>
          <w:tcPr>
            <w:tcW w:w="2071" w:type="dxa"/>
            <w:shd w:val="clear" w:color="auto" w:fill="FFFFFF"/>
          </w:tcPr>
          <w:p w:rsidR="004B744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</w:p>
        </w:tc>
        <w:tc>
          <w:tcPr>
            <w:tcW w:w="2313" w:type="dxa"/>
            <w:shd w:val="clear" w:color="auto" w:fill="FFFFFF"/>
          </w:tcPr>
          <w:p w:rsidR="004B7448" w:rsidRPr="00E140A5" w:rsidRDefault="004B7448" w:rsidP="00BD289C">
            <w:pPr>
              <w:spacing w:after="120"/>
              <w:ind w:left="58" w:right="83" w:hanging="58"/>
              <w:jc w:val="center"/>
              <w:rPr>
                <w:rFonts w:ascii="Sylfaen" w:hAnsi="Sylfaen"/>
              </w:rPr>
            </w:pPr>
          </w:p>
        </w:tc>
        <w:tc>
          <w:tcPr>
            <w:tcW w:w="2442" w:type="dxa"/>
            <w:shd w:val="clear" w:color="auto" w:fill="FFFFFF"/>
          </w:tcPr>
          <w:p w:rsidR="004B7448" w:rsidRPr="00E140A5" w:rsidRDefault="004B7448" w:rsidP="00BD289C">
            <w:pPr>
              <w:pStyle w:val="Bodytext20"/>
              <w:shd w:val="clear" w:color="auto" w:fill="auto"/>
              <w:spacing w:after="120" w:line="240" w:lineRule="auto"/>
              <w:ind w:left="58" w:right="83" w:hanging="58"/>
              <w:jc w:val="center"/>
              <w:rPr>
                <w:rFonts w:ascii="Sylfaen" w:hAnsi="Sylfaen"/>
                <w:sz w:val="24"/>
                <w:szCs w:val="24"/>
              </w:rPr>
            </w:pPr>
            <w:r w:rsidRPr="00E140A5">
              <w:rPr>
                <w:rFonts w:ascii="Sylfaen" w:hAnsi="Sylfaen"/>
                <w:sz w:val="24"/>
                <w:szCs w:val="24"/>
              </w:rPr>
              <w:t>Անհրաժեշտության դեպքում</w:t>
            </w:r>
          </w:p>
        </w:tc>
      </w:tr>
    </w:tbl>
    <w:p w:rsidR="00DC2F65" w:rsidRDefault="00DC2F65" w:rsidP="00E140A5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D857EA" w:rsidRPr="00E140A5" w:rsidRDefault="00323F81" w:rsidP="00DC2F65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E140A5">
        <w:rPr>
          <w:rFonts w:ascii="Sylfaen" w:hAnsi="Sylfaen"/>
          <w:sz w:val="24"/>
          <w:szCs w:val="24"/>
        </w:rPr>
        <w:t>*Փաստաթղթի անվանումը կարելի է ճշտել դրա նախագի</w:t>
      </w:r>
      <w:r w:rsidR="00A20F1C" w:rsidRPr="00E140A5">
        <w:rPr>
          <w:rFonts w:ascii="Sylfaen" w:hAnsi="Sylfaen"/>
          <w:sz w:val="24"/>
          <w:szCs w:val="24"/>
        </w:rPr>
        <w:t>ծը</w:t>
      </w:r>
      <w:r w:rsidRPr="00E140A5">
        <w:rPr>
          <w:rFonts w:ascii="Sylfaen" w:hAnsi="Sylfaen"/>
          <w:sz w:val="24"/>
          <w:szCs w:val="24"/>
        </w:rPr>
        <w:t xml:space="preserve"> մշակ</w:t>
      </w:r>
      <w:r w:rsidR="00A20F1C" w:rsidRPr="00E140A5">
        <w:rPr>
          <w:rFonts w:ascii="Sylfaen" w:hAnsi="Sylfaen"/>
          <w:sz w:val="24"/>
          <w:szCs w:val="24"/>
        </w:rPr>
        <w:t>ելու</w:t>
      </w:r>
      <w:r w:rsidRPr="00E140A5">
        <w:rPr>
          <w:rFonts w:ascii="Sylfaen" w:hAnsi="Sylfaen"/>
          <w:sz w:val="24"/>
          <w:szCs w:val="24"/>
        </w:rPr>
        <w:t xml:space="preserve"> ընթացքում։</w:t>
      </w:r>
    </w:p>
    <w:sectPr w:rsidR="00D857EA" w:rsidRPr="00E140A5" w:rsidSect="00DC2F65">
      <w:headerReference w:type="first" r:id="rId9"/>
      <w:pgSz w:w="16840" w:h="11900" w:orient="landscape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4B" w:rsidRDefault="001D014B" w:rsidP="00D857EA">
      <w:r>
        <w:separator/>
      </w:r>
    </w:p>
  </w:endnote>
  <w:endnote w:type="continuationSeparator" w:id="0">
    <w:p w:rsidR="001D014B" w:rsidRDefault="001D014B" w:rsidP="00D8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4B" w:rsidRDefault="001D014B">
      <w:r>
        <w:separator/>
      </w:r>
    </w:p>
  </w:footnote>
  <w:footnote w:type="continuationSeparator" w:id="0">
    <w:p w:rsidR="001D014B" w:rsidRDefault="001D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F65" w:rsidRDefault="00DC2F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1BB"/>
    <w:multiLevelType w:val="multilevel"/>
    <w:tmpl w:val="EF9CD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3408CE"/>
    <w:multiLevelType w:val="multilevel"/>
    <w:tmpl w:val="1466E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857EA"/>
    <w:rsid w:val="00027584"/>
    <w:rsid w:val="00102D28"/>
    <w:rsid w:val="00131087"/>
    <w:rsid w:val="001A40B6"/>
    <w:rsid w:val="001D014B"/>
    <w:rsid w:val="00296AB5"/>
    <w:rsid w:val="002F033B"/>
    <w:rsid w:val="002F266A"/>
    <w:rsid w:val="00303DE0"/>
    <w:rsid w:val="00323F81"/>
    <w:rsid w:val="00336005"/>
    <w:rsid w:val="00352D35"/>
    <w:rsid w:val="003A1C5B"/>
    <w:rsid w:val="003C312C"/>
    <w:rsid w:val="003D6D5C"/>
    <w:rsid w:val="00450930"/>
    <w:rsid w:val="00466F73"/>
    <w:rsid w:val="004B57F3"/>
    <w:rsid w:val="004B7448"/>
    <w:rsid w:val="005056E2"/>
    <w:rsid w:val="005B3CD2"/>
    <w:rsid w:val="005C1301"/>
    <w:rsid w:val="005E26AC"/>
    <w:rsid w:val="0066313A"/>
    <w:rsid w:val="00712348"/>
    <w:rsid w:val="007E0826"/>
    <w:rsid w:val="007F602F"/>
    <w:rsid w:val="0086290E"/>
    <w:rsid w:val="008B7904"/>
    <w:rsid w:val="009A50CB"/>
    <w:rsid w:val="009D61EB"/>
    <w:rsid w:val="009E0E6A"/>
    <w:rsid w:val="009F11F0"/>
    <w:rsid w:val="00A20328"/>
    <w:rsid w:val="00A20F1C"/>
    <w:rsid w:val="00A25DD0"/>
    <w:rsid w:val="00A306BF"/>
    <w:rsid w:val="00AA6FC8"/>
    <w:rsid w:val="00AE4388"/>
    <w:rsid w:val="00B36BA7"/>
    <w:rsid w:val="00B5270A"/>
    <w:rsid w:val="00B65DB7"/>
    <w:rsid w:val="00B76CC5"/>
    <w:rsid w:val="00BD289C"/>
    <w:rsid w:val="00CB55ED"/>
    <w:rsid w:val="00CF64B2"/>
    <w:rsid w:val="00D30AC1"/>
    <w:rsid w:val="00D62E1B"/>
    <w:rsid w:val="00D857EA"/>
    <w:rsid w:val="00DA522D"/>
    <w:rsid w:val="00DA5CA8"/>
    <w:rsid w:val="00DC2AF4"/>
    <w:rsid w:val="00DC2F65"/>
    <w:rsid w:val="00E140A5"/>
    <w:rsid w:val="00E162BE"/>
    <w:rsid w:val="00F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57E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57E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8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5pt">
    <w:name w:val="Body text (2) + 15 pt"/>
    <w:basedOn w:val="Bodytext2"/>
    <w:rsid w:val="00D8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0">
    <w:name w:val="Body text (2) + 13 pt"/>
    <w:aliases w:val="Bold"/>
    <w:basedOn w:val="Bodytext2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9">
    <w:name w:val="Body text (9)_"/>
    <w:basedOn w:val="DefaultParagraphFont"/>
    <w:link w:val="Bodytext90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9Spacing4pt">
    <w:name w:val="Body text (9) + Spacing 4 pt"/>
    <w:basedOn w:val="Bodytext9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10">
    <w:name w:val="Body text (10)_"/>
    <w:basedOn w:val="DefaultParagraphFont"/>
    <w:link w:val="Bodytext100"/>
    <w:rsid w:val="00D8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8pt">
    <w:name w:val="Body text (2) + 18 pt"/>
    <w:aliases w:val="Italic,Spacing -2 pt"/>
    <w:basedOn w:val="Bodytext2"/>
    <w:rsid w:val="00D8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6"/>
      <w:szCs w:val="36"/>
      <w:u w:val="none"/>
    </w:rPr>
  </w:style>
  <w:style w:type="character" w:customStyle="1" w:styleId="Bodytext213pt1">
    <w:name w:val="Body text (2) + 13 pt"/>
    <w:basedOn w:val="Bodytext2"/>
    <w:rsid w:val="00D8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7pt">
    <w:name w:val="Body text (2) + 17 pt"/>
    <w:basedOn w:val="Bodytext2"/>
    <w:rsid w:val="00D8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15pt0">
    <w:name w:val="Body text (2) + 15 pt"/>
    <w:basedOn w:val="Bodytext2"/>
    <w:rsid w:val="00D8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1">
    <w:name w:val="Body text (11)_"/>
    <w:basedOn w:val="DefaultParagraphFont"/>
    <w:link w:val="Bodytext110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3">
    <w:name w:val="Table caption (3)_"/>
    <w:basedOn w:val="DefaultParagraphFont"/>
    <w:link w:val="Tablecaption30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3Spacing4pt">
    <w:name w:val="Table caption (3) + Spacing 4 pt"/>
    <w:basedOn w:val="Tablecaption3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0Bold">
    <w:name w:val="Body text (10) + Bold"/>
    <w:basedOn w:val="Bodytext10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D8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DefaultParagraphFont"/>
    <w:link w:val="Heading220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Spacing2pt">
    <w:name w:val="Heading #2 (2) + Spacing 2 pt"/>
    <w:basedOn w:val="Heading22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D8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3">
    <w:name w:val="Header or footer (3)_"/>
    <w:basedOn w:val="DefaultParagraphFont"/>
    <w:link w:val="Headerorfooter30"/>
    <w:rsid w:val="00D857E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erorfooter4">
    <w:name w:val="Header or footer (4)_"/>
    <w:basedOn w:val="DefaultParagraphFont"/>
    <w:link w:val="Headerorfooter40"/>
    <w:rsid w:val="00D8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paragraph" w:customStyle="1" w:styleId="Bodytext30">
    <w:name w:val="Body text (3)"/>
    <w:basedOn w:val="Normal"/>
    <w:link w:val="Bodytext3"/>
    <w:rsid w:val="00D857E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857E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D85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D857E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90">
    <w:name w:val="Body text (9)"/>
    <w:basedOn w:val="Normal"/>
    <w:link w:val="Bodytext9"/>
    <w:rsid w:val="00D857EA"/>
    <w:pPr>
      <w:shd w:val="clear" w:color="auto" w:fill="FFFFFF"/>
      <w:spacing w:before="480" w:after="48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100">
    <w:name w:val="Body text (10)"/>
    <w:basedOn w:val="Normal"/>
    <w:link w:val="Bodytext10"/>
    <w:rsid w:val="00D857EA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10">
    <w:name w:val="Body text (11)"/>
    <w:basedOn w:val="Normal"/>
    <w:link w:val="Bodytext11"/>
    <w:rsid w:val="00D857E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30">
    <w:name w:val="Table caption (3)"/>
    <w:basedOn w:val="Normal"/>
    <w:link w:val="Tablecaption3"/>
    <w:rsid w:val="00D85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0">
    <w:name w:val="Heading #3"/>
    <w:basedOn w:val="Normal"/>
    <w:link w:val="Heading3"/>
    <w:rsid w:val="00D857EA"/>
    <w:pPr>
      <w:shd w:val="clear" w:color="auto" w:fill="FFFFFF"/>
      <w:spacing w:line="522" w:lineRule="exact"/>
      <w:ind w:hanging="560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D857EA"/>
    <w:pPr>
      <w:shd w:val="clear" w:color="auto" w:fill="FFFFFF"/>
      <w:spacing w:before="1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D85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30">
    <w:name w:val="Header or footer (3)"/>
    <w:basedOn w:val="Normal"/>
    <w:link w:val="Headerorfooter3"/>
    <w:rsid w:val="00D857E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0"/>
      <w:szCs w:val="10"/>
    </w:rPr>
  </w:style>
  <w:style w:type="paragraph" w:customStyle="1" w:styleId="Headerorfooter40">
    <w:name w:val="Header or footer (4)"/>
    <w:basedOn w:val="Normal"/>
    <w:link w:val="Headerorfooter4"/>
    <w:rsid w:val="00D85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13A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2F6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F65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C2F6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F6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05159-DB5F-4519-B8A0-E6619075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25</cp:revision>
  <dcterms:created xsi:type="dcterms:W3CDTF">2016-03-12T12:15:00Z</dcterms:created>
  <dcterms:modified xsi:type="dcterms:W3CDTF">2017-01-25T10:16:00Z</dcterms:modified>
</cp:coreProperties>
</file>