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rawings/drawing4.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5.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6.xml" ContentType="application/vnd.openxmlformats-officedocument.drawingml.chartshapes+xml"/>
  <Override PartName="/word/charts/chart10.xml" ContentType="application/vnd.openxmlformats-officedocument.drawingml.chart+xml"/>
  <Override PartName="/word/drawings/drawing7.xml" ContentType="application/vnd.openxmlformats-officedocument.drawingml.chartshapes+xml"/>
  <Override PartName="/word/charts/chart11.xml" ContentType="application/vnd.openxmlformats-officedocument.drawingml.chart+xml"/>
  <Override PartName="/word/drawings/drawing8.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drawings/drawing9.xml" ContentType="application/vnd.openxmlformats-officedocument.drawingml.chartshapes+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drawings/drawing10.xml" ContentType="application/vnd.openxmlformats-officedocument.drawingml.chartshapes+xml"/>
  <Override PartName="/word/charts/chart16.xml" ContentType="application/vnd.openxmlformats-officedocument.drawingml.chart+xml"/>
  <Override PartName="/word/theme/themeOverride12.xml" ContentType="application/vnd.openxmlformats-officedocument.themeOverride+xml"/>
  <Override PartName="/word/drawings/drawing11.xml" ContentType="application/vnd.openxmlformats-officedocument.drawingml.chartshapes+xml"/>
  <Override PartName="/word/charts/chart17.xml" ContentType="application/vnd.openxmlformats-officedocument.drawingml.chart+xml"/>
  <Override PartName="/word/theme/themeOverride13.xml" ContentType="application/vnd.openxmlformats-officedocument.themeOverride+xml"/>
  <Override PartName="/word/drawings/drawing12.xml" ContentType="application/vnd.openxmlformats-officedocument.drawingml.chartshapes+xml"/>
  <Override PartName="/word/charts/chart18.xml" ContentType="application/vnd.openxmlformats-officedocument.drawingml.chart+xml"/>
  <Override PartName="/word/theme/themeOverride14.xml" ContentType="application/vnd.openxmlformats-officedocument.themeOverride+xml"/>
  <Override PartName="/word/drawings/drawing13.xml" ContentType="application/vnd.openxmlformats-officedocument.drawingml.chartshapes+xml"/>
  <Override PartName="/word/charts/chart19.xml" ContentType="application/vnd.openxmlformats-officedocument.drawingml.chart+xml"/>
  <Override PartName="/word/theme/themeOverride15.xml" ContentType="application/vnd.openxmlformats-officedocument.themeOverride+xml"/>
  <Override PartName="/word/charts/chart20.xml" ContentType="application/vnd.openxmlformats-officedocument.drawingml.chart+xml"/>
  <Override PartName="/word/theme/themeOverride16.xml" ContentType="application/vnd.openxmlformats-officedocument.themeOverride+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theme/themeOverride17.xml" ContentType="application/vnd.openxmlformats-officedocument.themeOverride+xml"/>
  <Override PartName="/word/drawings/drawing14.xml" ContentType="application/vnd.openxmlformats-officedocument.drawingml.chartshapes+xml"/>
  <Override PartName="/word/charts/chart24.xml" ContentType="application/vnd.openxmlformats-officedocument.drawingml.chart+xml"/>
  <Override PartName="/word/theme/themeOverride18.xml" ContentType="application/vnd.openxmlformats-officedocument.themeOverride+xml"/>
  <Override PartName="/word/drawings/drawing15.xml" ContentType="application/vnd.openxmlformats-officedocument.drawingml.chartshapes+xml"/>
  <Override PartName="/word/charts/chart25.xml" ContentType="application/vnd.openxmlformats-officedocument.drawingml.chart+xml"/>
  <Override PartName="/word/theme/themeOverride19.xml" ContentType="application/vnd.openxmlformats-officedocument.themeOverride+xml"/>
  <Override PartName="/word/charts/chart26.xml" ContentType="application/vnd.openxmlformats-officedocument.drawingml.chart+xml"/>
  <Override PartName="/word/theme/themeOverride20.xml" ContentType="application/vnd.openxmlformats-officedocument.themeOverride+xml"/>
  <Override PartName="/word/charts/chart27.xml" ContentType="application/vnd.openxmlformats-officedocument.drawingml.chart+xml"/>
  <Override PartName="/word/theme/themeOverride21.xml" ContentType="application/vnd.openxmlformats-officedocument.themeOverride+xml"/>
  <Override PartName="/word/drawings/drawing16.xml" ContentType="application/vnd.openxmlformats-officedocument.drawingml.chartshapes+xml"/>
  <Override PartName="/word/charts/chart28.xml" ContentType="application/vnd.openxmlformats-officedocument.drawingml.chart+xml"/>
  <Override PartName="/word/theme/themeOverride22.xml" ContentType="application/vnd.openxmlformats-officedocument.themeOverride+xml"/>
  <Override PartName="/word/drawings/drawing17.xml" ContentType="application/vnd.openxmlformats-officedocument.drawingml.chartshapes+xml"/>
  <Override PartName="/word/charts/chart29.xml" ContentType="application/vnd.openxmlformats-officedocument.drawingml.chart+xml"/>
  <Override PartName="/word/theme/themeOverride23.xml" ContentType="application/vnd.openxmlformats-officedocument.themeOverride+xml"/>
  <Override PartName="/word/drawings/drawing18.xml" ContentType="application/vnd.openxmlformats-officedocument.drawingml.chartshapes+xml"/>
  <Override PartName="/word/charts/chart30.xml" ContentType="application/vnd.openxmlformats-officedocument.drawingml.chart+xml"/>
  <Override PartName="/word/theme/themeOverride24.xml" ContentType="application/vnd.openxmlformats-officedocument.themeOverride+xml"/>
  <Override PartName="/word/drawings/drawing19.xml" ContentType="application/vnd.openxmlformats-officedocument.drawingml.chartshapes+xml"/>
  <Override PartName="/word/charts/chart31.xml" ContentType="application/vnd.openxmlformats-officedocument.drawingml.chart+xml"/>
  <Override PartName="/word/theme/themeOverride25.xml" ContentType="application/vnd.openxmlformats-officedocument.themeOverride+xml"/>
  <Override PartName="/word/charts/chart32.xml" ContentType="application/vnd.openxmlformats-officedocument.drawingml.chart+xml"/>
  <Override PartName="/word/theme/themeOverride26.xml" ContentType="application/vnd.openxmlformats-officedocument.themeOverride+xml"/>
  <Override PartName="/word/charts/chart33.xml" ContentType="application/vnd.openxmlformats-officedocument.drawingml.chart+xml"/>
  <Override PartName="/word/theme/themeOverride27.xml" ContentType="application/vnd.openxmlformats-officedocument.themeOverride+xml"/>
  <Override PartName="/word/charts/chart34.xml" ContentType="application/vnd.openxmlformats-officedocument.drawingml.chart+xml"/>
  <Override PartName="/word/theme/themeOverride28.xml" ContentType="application/vnd.openxmlformats-officedocument.themeOverride+xml"/>
  <Override PartName="/word/charts/chart35.xml" ContentType="application/vnd.openxmlformats-officedocument.drawingml.chart+xml"/>
  <Override PartName="/word/theme/themeOverride29.xml" ContentType="application/vnd.openxmlformats-officedocument.themeOverride+xml"/>
  <Override PartName="/word/charts/chart36.xml" ContentType="application/vnd.openxmlformats-officedocument.drawingml.chart+xml"/>
  <Override PartName="/word/theme/themeOverride30.xml" ContentType="application/vnd.openxmlformats-officedocument.themeOverride+xml"/>
  <Override PartName="/word/drawings/drawing20.xml" ContentType="application/vnd.openxmlformats-officedocument.drawingml.chartshapes+xml"/>
  <Override PartName="/word/charts/chart37.xml" ContentType="application/vnd.openxmlformats-officedocument.drawingml.chart+xml"/>
  <Override PartName="/word/theme/themeOverride31.xml" ContentType="application/vnd.openxmlformats-officedocument.themeOverride+xml"/>
  <Override PartName="/word/charts/chart38.xml" ContentType="application/vnd.openxmlformats-officedocument.drawingml.chart+xml"/>
  <Override PartName="/word/theme/themeOverride32.xml" ContentType="application/vnd.openxmlformats-officedocument.themeOverride+xml"/>
  <Override PartName="/word/charts/chart39.xml" ContentType="application/vnd.openxmlformats-officedocument.drawingml.chart+xml"/>
  <Override PartName="/word/theme/themeOverride33.xml" ContentType="application/vnd.openxmlformats-officedocument.themeOverride+xml"/>
  <Override PartName="/word/charts/chart40.xml" ContentType="application/vnd.openxmlformats-officedocument.drawingml.chart+xml"/>
  <Override PartName="/word/theme/themeOverride34.xml" ContentType="application/vnd.openxmlformats-officedocument.themeOverride+xml"/>
  <Override PartName="/word/charts/chart41.xml" ContentType="application/vnd.openxmlformats-officedocument.drawingml.chart+xml"/>
  <Override PartName="/word/charts/chart42.xml" ContentType="application/vnd.openxmlformats-officedocument.drawingml.chart+xml"/>
  <Override PartName="/word/theme/themeOverride35.xml" ContentType="application/vnd.openxmlformats-officedocument.themeOverride+xml"/>
  <Override PartName="/word/charts/chart43.xml" ContentType="application/vnd.openxmlformats-officedocument.drawingml.chart+xml"/>
  <Override PartName="/word/theme/themeOverride36.xml" ContentType="application/vnd.openxmlformats-officedocument.themeOverride+xml"/>
  <Override PartName="/word/charts/chart44.xml" ContentType="application/vnd.openxmlformats-officedocument.drawingml.chart+xml"/>
  <Override PartName="/word/theme/themeOverride37.xml" ContentType="application/vnd.openxmlformats-officedocument.themeOverride+xml"/>
  <Override PartName="/word/charts/chart45.xml" ContentType="application/vnd.openxmlformats-officedocument.drawingml.chart+xml"/>
  <Override PartName="/word/theme/themeOverride38.xml" ContentType="application/vnd.openxmlformats-officedocument.themeOverride+xml"/>
  <Override PartName="/word/drawings/drawing21.xml" ContentType="application/vnd.openxmlformats-officedocument.drawingml.chartshapes+xml"/>
  <Override PartName="/word/charts/chart46.xml" ContentType="application/vnd.openxmlformats-officedocument.drawingml.chart+xml"/>
  <Override PartName="/word/theme/themeOverride39.xml" ContentType="application/vnd.openxmlformats-officedocument.themeOverride+xml"/>
  <Override PartName="/word/drawings/drawing22.xml" ContentType="application/vnd.openxmlformats-officedocument.drawingml.chartshapes+xml"/>
  <Override PartName="/word/charts/chart47.xml" ContentType="application/vnd.openxmlformats-officedocument.drawingml.chart+xml"/>
  <Override PartName="/word/drawings/drawing23.xml" ContentType="application/vnd.openxmlformats-officedocument.drawingml.chartshapes+xml"/>
  <Override PartName="/word/charts/chart48.xml" ContentType="application/vnd.openxmlformats-officedocument.drawingml.chart+xml"/>
  <Override PartName="/word/theme/themeOverride40.xml" ContentType="application/vnd.openxmlformats-officedocument.themeOverride+xml"/>
  <Override PartName="/word/drawings/drawing24.xml" ContentType="application/vnd.openxmlformats-officedocument.drawingml.chartshapes+xml"/>
  <Override PartName="/word/charts/chart49.xml" ContentType="application/vnd.openxmlformats-officedocument.drawingml.chart+xml"/>
  <Override PartName="/word/drawings/drawing25.xml" ContentType="application/vnd.openxmlformats-officedocument.drawingml.chartshapes+xml"/>
  <Override PartName="/word/charts/chart50.xml" ContentType="application/vnd.openxmlformats-officedocument.drawingml.chart+xml"/>
  <Override PartName="/word/drawings/drawing26.xml" ContentType="application/vnd.openxmlformats-officedocument.drawingml.chartshapes+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theme/themeOverride41.xml" ContentType="application/vnd.openxmlformats-officedocument.themeOverride+xml"/>
  <Override PartName="/word/drawings/drawing27.xml" ContentType="application/vnd.openxmlformats-officedocument.drawingml.chartshapes+xml"/>
  <Override PartName="/word/charts/chart58.xml" ContentType="application/vnd.openxmlformats-officedocument.drawingml.chart+xml"/>
  <Override PartName="/word/theme/themeOverride42.xml" ContentType="application/vnd.openxmlformats-officedocument.themeOverride+xml"/>
  <Override PartName="/word/drawings/drawing28.xml" ContentType="application/vnd.openxmlformats-officedocument.drawingml.chartshapes+xml"/>
  <Override PartName="/word/charts/chart59.xml" ContentType="application/vnd.openxmlformats-officedocument.drawingml.chart+xml"/>
  <Override PartName="/word/theme/themeOverride43.xml" ContentType="application/vnd.openxmlformats-officedocument.themeOverride+xml"/>
  <Override PartName="/word/drawings/drawing29.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0C4A5" w14:textId="7D0499D4" w:rsidR="00B57350" w:rsidRPr="003C716D" w:rsidRDefault="001E3EC3" w:rsidP="001E3EC3">
      <w:pPr>
        <w:pStyle w:val="mechtex"/>
        <w:spacing w:line="240" w:lineRule="auto"/>
      </w:pPr>
      <w:bookmarkStart w:id="0" w:name="_Toc107052575"/>
      <w:r>
        <w:t xml:space="preserve">                                                                      </w:t>
      </w:r>
      <w:r w:rsidR="008E69FD">
        <w:t>Հավելված</w:t>
      </w:r>
    </w:p>
    <w:p w14:paraId="64C49B0C" w14:textId="20435E7E" w:rsidR="00173FEB" w:rsidRDefault="001E3EC3" w:rsidP="001E3EC3">
      <w:pPr>
        <w:pStyle w:val="mechtex"/>
        <w:spacing w:line="240" w:lineRule="auto"/>
      </w:pPr>
      <w:r>
        <w:t xml:space="preserve">                                                                     </w:t>
      </w:r>
      <w:r w:rsidR="00B57350" w:rsidRPr="003C716D">
        <w:t>ՀՀ կառավարության 20</w:t>
      </w:r>
      <w:r w:rsidR="004E325F">
        <w:t>20</w:t>
      </w:r>
      <w:r w:rsidR="00B57350" w:rsidRPr="003C716D">
        <w:t xml:space="preserve"> թվականի</w:t>
      </w:r>
    </w:p>
    <w:p w14:paraId="657D0289" w14:textId="194D726A" w:rsidR="00B57350" w:rsidRPr="003C716D" w:rsidRDefault="001E3EC3" w:rsidP="001E3EC3">
      <w:pPr>
        <w:pStyle w:val="mechtex"/>
        <w:spacing w:line="240" w:lineRule="auto"/>
      </w:pPr>
      <w:r>
        <w:t xml:space="preserve">                                                                     </w:t>
      </w:r>
      <w:r w:rsidR="00B57350" w:rsidRPr="003C716D">
        <w:t xml:space="preserve">հուլիսի </w:t>
      </w:r>
      <w:r w:rsidR="005F249B" w:rsidRPr="003C716D">
        <w:rPr>
          <w:lang w:val="hy-AM"/>
        </w:rPr>
        <w:t>10</w:t>
      </w:r>
      <w:r w:rsidR="00B57350" w:rsidRPr="003C716D">
        <w:t>-ի N</w:t>
      </w:r>
      <w:r w:rsidR="00F603F0">
        <w:rPr>
          <w:lang w:val="hy-AM"/>
        </w:rPr>
        <w:t xml:space="preserve"> </w:t>
      </w:r>
      <w:r w:rsidR="007022D4">
        <w:t>1212</w:t>
      </w:r>
      <w:r w:rsidR="00B57350" w:rsidRPr="003C716D">
        <w:t>-Ն որոշման</w:t>
      </w:r>
    </w:p>
    <w:p w14:paraId="07D7202F" w14:textId="77777777" w:rsidR="00B57350" w:rsidRPr="003C716D" w:rsidRDefault="00B57350" w:rsidP="003939BE">
      <w:pPr>
        <w:spacing w:after="120" w:line="360" w:lineRule="auto"/>
        <w:ind w:hanging="180"/>
        <w:jc w:val="right"/>
        <w:rPr>
          <w:rFonts w:cs="Sylfaen"/>
          <w:b/>
          <w:spacing w:val="70"/>
          <w:sz w:val="28"/>
          <w:szCs w:val="28"/>
        </w:rPr>
      </w:pPr>
    </w:p>
    <w:p w14:paraId="62FA5974" w14:textId="77777777" w:rsidR="00B57350" w:rsidRPr="003C716D" w:rsidRDefault="00B57350" w:rsidP="00F51A13">
      <w:pPr>
        <w:tabs>
          <w:tab w:val="left" w:pos="993"/>
        </w:tabs>
        <w:spacing w:line="360" w:lineRule="auto"/>
        <w:rPr>
          <w:rFonts w:cs="Sylfaen"/>
          <w:b/>
          <w:spacing w:val="70"/>
          <w:sz w:val="28"/>
          <w:szCs w:val="28"/>
        </w:rPr>
      </w:pPr>
    </w:p>
    <w:p w14:paraId="3946A1B0" w14:textId="77777777" w:rsidR="00B57350" w:rsidRPr="003C716D" w:rsidRDefault="00B57350" w:rsidP="00B57350">
      <w:pPr>
        <w:spacing w:after="120" w:line="360" w:lineRule="auto"/>
        <w:ind w:hanging="180"/>
        <w:jc w:val="center"/>
        <w:rPr>
          <w:rFonts w:cs="Sylfaen"/>
          <w:b/>
          <w:spacing w:val="70"/>
          <w:sz w:val="28"/>
          <w:szCs w:val="28"/>
        </w:rPr>
      </w:pPr>
    </w:p>
    <w:p w14:paraId="65B5C204" w14:textId="77777777" w:rsidR="00DE7093" w:rsidRDefault="00B57350" w:rsidP="00DE7093">
      <w:pPr>
        <w:spacing w:after="120" w:line="360" w:lineRule="auto"/>
        <w:ind w:hanging="180"/>
        <w:jc w:val="center"/>
        <w:rPr>
          <w:rFonts w:cs="Sylfaen"/>
          <w:b/>
          <w:spacing w:val="64"/>
          <w:sz w:val="28"/>
          <w:szCs w:val="28"/>
          <w:lang w:val="hy-AM"/>
        </w:rPr>
      </w:pPr>
      <w:r w:rsidRPr="003C716D">
        <w:rPr>
          <w:rFonts w:cs="Sylfaen"/>
          <w:b/>
          <w:spacing w:val="64"/>
          <w:sz w:val="28"/>
          <w:szCs w:val="28"/>
        </w:rPr>
        <w:t>ՀԱՅԱՍՏԱՆԻ ՀԱՆՐԱՊԵՏՈՒԹՅԱՆ</w:t>
      </w:r>
    </w:p>
    <w:p w14:paraId="08E0EE92" w14:textId="77777777" w:rsidR="00B57350" w:rsidRPr="006D2C91" w:rsidRDefault="00705DC7" w:rsidP="00DE7093">
      <w:pPr>
        <w:spacing w:after="120" w:line="360" w:lineRule="auto"/>
        <w:ind w:hanging="180"/>
        <w:jc w:val="center"/>
        <w:rPr>
          <w:rFonts w:cs="Sylfaen"/>
          <w:b/>
          <w:spacing w:val="64"/>
          <w:sz w:val="28"/>
          <w:szCs w:val="28"/>
          <w:lang w:val="hy-AM"/>
        </w:rPr>
      </w:pPr>
      <w:r w:rsidRPr="006D2C91">
        <w:rPr>
          <w:rFonts w:cs="Sylfaen"/>
          <w:b/>
          <w:spacing w:val="64"/>
          <w:sz w:val="28"/>
          <w:szCs w:val="28"/>
          <w:lang w:val="hy-AM"/>
        </w:rPr>
        <w:t>202</w:t>
      </w:r>
      <w:r>
        <w:rPr>
          <w:rFonts w:cs="Sylfaen"/>
          <w:b/>
          <w:spacing w:val="64"/>
          <w:sz w:val="28"/>
          <w:szCs w:val="28"/>
          <w:lang w:val="hy-AM"/>
        </w:rPr>
        <w:t>1</w:t>
      </w:r>
      <w:r w:rsidR="00B57350" w:rsidRPr="006D2C91">
        <w:rPr>
          <w:rFonts w:cs="Sylfaen"/>
          <w:b/>
          <w:spacing w:val="64"/>
          <w:sz w:val="28"/>
          <w:szCs w:val="28"/>
          <w:lang w:val="hy-AM"/>
        </w:rPr>
        <w:t>-</w:t>
      </w:r>
      <w:r w:rsidRPr="006D2C91">
        <w:rPr>
          <w:rFonts w:cs="Sylfaen"/>
          <w:b/>
          <w:spacing w:val="64"/>
          <w:sz w:val="28"/>
          <w:szCs w:val="28"/>
          <w:lang w:val="hy-AM"/>
        </w:rPr>
        <w:t>202</w:t>
      </w:r>
      <w:r>
        <w:rPr>
          <w:rFonts w:cs="Sylfaen"/>
          <w:b/>
          <w:spacing w:val="64"/>
          <w:sz w:val="28"/>
          <w:szCs w:val="28"/>
          <w:lang w:val="hy-AM"/>
        </w:rPr>
        <w:t>3</w:t>
      </w:r>
      <w:r w:rsidRPr="006D2C91">
        <w:rPr>
          <w:rFonts w:cs="Sylfaen"/>
          <w:b/>
          <w:spacing w:val="64"/>
          <w:sz w:val="28"/>
          <w:szCs w:val="28"/>
          <w:lang w:val="hy-AM"/>
        </w:rPr>
        <w:t xml:space="preserve"> </w:t>
      </w:r>
      <w:r w:rsidR="00B57350" w:rsidRPr="006D2C91">
        <w:rPr>
          <w:rFonts w:cs="Sylfaen"/>
          <w:b/>
          <w:spacing w:val="64"/>
          <w:sz w:val="28"/>
          <w:szCs w:val="28"/>
          <w:lang w:val="hy-AM"/>
        </w:rPr>
        <w:t>ԹՎԱԿԱՆՆԵՐԻ ՊԵՏԱԿԱՆ</w:t>
      </w:r>
      <w:r w:rsidR="00DE7093">
        <w:rPr>
          <w:rFonts w:cs="Sylfaen"/>
          <w:b/>
          <w:spacing w:val="64"/>
          <w:sz w:val="28"/>
          <w:szCs w:val="28"/>
          <w:lang w:val="hy-AM"/>
        </w:rPr>
        <w:t xml:space="preserve"> </w:t>
      </w:r>
      <w:r w:rsidR="00B57350" w:rsidRPr="006D2C91">
        <w:rPr>
          <w:rFonts w:cs="Sylfaen"/>
          <w:b/>
          <w:spacing w:val="64"/>
          <w:sz w:val="28"/>
          <w:szCs w:val="28"/>
          <w:lang w:val="hy-AM"/>
        </w:rPr>
        <w:t>ՄԻՋՆԱԺԱՄԿԵՏ</w:t>
      </w:r>
      <w:r w:rsidR="00DE7093">
        <w:rPr>
          <w:rFonts w:cs="Sylfaen"/>
          <w:b/>
          <w:spacing w:val="64"/>
          <w:sz w:val="28"/>
          <w:szCs w:val="28"/>
          <w:lang w:val="hy-AM"/>
        </w:rPr>
        <w:t xml:space="preserve"> </w:t>
      </w:r>
      <w:r w:rsidR="00B57350" w:rsidRPr="006D2C91">
        <w:rPr>
          <w:rFonts w:cs="Sylfaen"/>
          <w:b/>
          <w:spacing w:val="64"/>
          <w:sz w:val="28"/>
          <w:szCs w:val="28"/>
          <w:lang w:val="hy-AM"/>
        </w:rPr>
        <w:t>ԾԱԽՍԵՐԻ ԾՐԱԳԻՐ</w:t>
      </w:r>
    </w:p>
    <w:p w14:paraId="382D05B8" w14:textId="77777777" w:rsidR="00B57350" w:rsidRPr="006D2C91" w:rsidRDefault="00B57350" w:rsidP="00B57350">
      <w:pPr>
        <w:rPr>
          <w:lang w:val="hy-AM"/>
        </w:rPr>
      </w:pPr>
    </w:p>
    <w:p w14:paraId="324143E7" w14:textId="77777777" w:rsidR="00D868AF" w:rsidRPr="006D2C91" w:rsidRDefault="00D868AF" w:rsidP="00D868AF">
      <w:pPr>
        <w:jc w:val="right"/>
        <w:rPr>
          <w:rFonts w:cs="Sylfaen"/>
          <w:lang w:val="hy-AM"/>
        </w:rPr>
      </w:pPr>
    </w:p>
    <w:p w14:paraId="0CD6C984" w14:textId="77777777" w:rsidR="0035239C" w:rsidRDefault="00C004FB" w:rsidP="007C7329">
      <w:pPr>
        <w:tabs>
          <w:tab w:val="left" w:pos="993"/>
        </w:tabs>
        <w:spacing w:line="360" w:lineRule="auto"/>
        <w:jc w:val="center"/>
        <w:rPr>
          <w:b/>
          <w:sz w:val="24"/>
          <w:szCs w:val="24"/>
          <w:lang w:val="hy-AM"/>
        </w:rPr>
      </w:pPr>
      <w:r w:rsidRPr="006D2C91">
        <w:rPr>
          <w:noProof/>
          <w:lang w:val="hy-AM"/>
        </w:rPr>
        <w:br w:type="page"/>
      </w:r>
      <w:bookmarkStart w:id="1" w:name="_Toc265687172"/>
      <w:bookmarkStart w:id="2" w:name="_Toc296702337"/>
      <w:bookmarkStart w:id="3" w:name="_Toc519513604"/>
      <w:r w:rsidR="00DF54B1" w:rsidRPr="003C716D">
        <w:rPr>
          <w:b/>
          <w:sz w:val="24"/>
          <w:szCs w:val="24"/>
          <w:lang w:val="hy-AM"/>
        </w:rPr>
        <w:lastRenderedPageBreak/>
        <w:t>ԲՈՎԱՆԴԱԿՈՒԹՅՈՒՆ</w:t>
      </w:r>
    </w:p>
    <w:sdt>
      <w:sdtPr>
        <w:rPr>
          <w:rFonts w:eastAsiaTheme="minorEastAsia" w:cstheme="minorBidi"/>
          <w:b w:val="0"/>
          <w:bCs w:val="0"/>
          <w:color w:val="000000" w:themeColor="text1"/>
          <w:sz w:val="22"/>
          <w:szCs w:val="22"/>
          <w:lang w:bidi="ar-SA"/>
        </w:rPr>
        <w:id w:val="1531296690"/>
        <w:docPartObj>
          <w:docPartGallery w:val="Table of Contents"/>
          <w:docPartUnique/>
        </w:docPartObj>
      </w:sdtPr>
      <w:sdtEndPr>
        <w:rPr>
          <w:noProof/>
        </w:rPr>
      </w:sdtEndPr>
      <w:sdtContent>
        <w:p w14:paraId="26FD8334" w14:textId="77777777" w:rsidR="006D2C91" w:rsidRPr="00991CEB" w:rsidRDefault="006D2C91">
          <w:pPr>
            <w:pStyle w:val="TOCHeading"/>
            <w:rPr>
              <w:color w:val="000000" w:themeColor="text1"/>
            </w:rPr>
          </w:pPr>
        </w:p>
        <w:p w14:paraId="08622080" w14:textId="0D0B36E8" w:rsidR="00391160" w:rsidRDefault="004A65FD">
          <w:pPr>
            <w:pStyle w:val="TOC1"/>
            <w:tabs>
              <w:tab w:val="right" w:leader="dot" w:pos="9680"/>
            </w:tabs>
            <w:rPr>
              <w:rFonts w:cstheme="minorBidi"/>
              <w:b w:val="0"/>
              <w:bCs w:val="0"/>
              <w:i w:val="0"/>
              <w:iCs w:val="0"/>
              <w:noProof/>
            </w:rPr>
          </w:pPr>
          <w:r w:rsidRPr="00991CEB">
            <w:rPr>
              <w:rFonts w:ascii="GHEA Grapalat" w:hAnsi="GHEA Grapalat"/>
              <w:b w:val="0"/>
              <w:bCs w:val="0"/>
              <w:color w:val="000000" w:themeColor="text1"/>
            </w:rPr>
            <w:fldChar w:fldCharType="begin"/>
          </w:r>
          <w:r w:rsidR="006D2C91" w:rsidRPr="00991CEB">
            <w:rPr>
              <w:rFonts w:ascii="GHEA Grapalat" w:hAnsi="GHEA Grapalat"/>
              <w:color w:val="000000" w:themeColor="text1"/>
            </w:rPr>
            <w:instrText xml:space="preserve"> TOC \o "1-3" \h \z \u </w:instrText>
          </w:r>
          <w:r w:rsidRPr="00991CEB">
            <w:rPr>
              <w:rFonts w:ascii="GHEA Grapalat" w:hAnsi="GHEA Grapalat"/>
              <w:b w:val="0"/>
              <w:bCs w:val="0"/>
              <w:color w:val="000000" w:themeColor="text1"/>
            </w:rPr>
            <w:fldChar w:fldCharType="separate"/>
          </w:r>
          <w:hyperlink w:anchor="_Toc46154340" w:history="1">
            <w:r w:rsidR="00391160" w:rsidRPr="003F6275">
              <w:rPr>
                <w:rStyle w:val="Hyperlink"/>
                <w:rFonts w:ascii="Sylfaen" w:hAnsi="Sylfaen" w:cs="Sylfaen"/>
                <w:noProof/>
                <w:lang w:val="hy-AM"/>
              </w:rPr>
              <w:t>ՆԵՐԱԾՈՒԹՅՈՒՆ</w:t>
            </w:r>
            <w:r w:rsidR="00391160">
              <w:rPr>
                <w:noProof/>
                <w:webHidden/>
              </w:rPr>
              <w:tab/>
            </w:r>
            <w:r w:rsidR="00391160">
              <w:rPr>
                <w:noProof/>
                <w:webHidden/>
              </w:rPr>
              <w:fldChar w:fldCharType="begin"/>
            </w:r>
            <w:r w:rsidR="00391160">
              <w:rPr>
                <w:noProof/>
                <w:webHidden/>
              </w:rPr>
              <w:instrText xml:space="preserve"> PAGEREF _Toc46154340 \h </w:instrText>
            </w:r>
            <w:r w:rsidR="00391160">
              <w:rPr>
                <w:noProof/>
                <w:webHidden/>
              </w:rPr>
            </w:r>
            <w:r w:rsidR="00391160">
              <w:rPr>
                <w:noProof/>
                <w:webHidden/>
              </w:rPr>
              <w:fldChar w:fldCharType="separate"/>
            </w:r>
            <w:r w:rsidR="00391160">
              <w:rPr>
                <w:noProof/>
                <w:webHidden/>
              </w:rPr>
              <w:t>4</w:t>
            </w:r>
            <w:r w:rsidR="00391160">
              <w:rPr>
                <w:noProof/>
                <w:webHidden/>
              </w:rPr>
              <w:fldChar w:fldCharType="end"/>
            </w:r>
          </w:hyperlink>
        </w:p>
        <w:p w14:paraId="378578D6" w14:textId="30C3F51D" w:rsidR="00391160" w:rsidRDefault="00664348">
          <w:pPr>
            <w:pStyle w:val="TOC1"/>
            <w:tabs>
              <w:tab w:val="right" w:leader="dot" w:pos="9680"/>
            </w:tabs>
            <w:rPr>
              <w:rFonts w:cstheme="minorBidi"/>
              <w:b w:val="0"/>
              <w:bCs w:val="0"/>
              <w:i w:val="0"/>
              <w:iCs w:val="0"/>
              <w:noProof/>
            </w:rPr>
          </w:pPr>
          <w:hyperlink w:anchor="_Toc46154341" w:history="1">
            <w:r w:rsidR="00391160" w:rsidRPr="003F6275">
              <w:rPr>
                <w:rStyle w:val="Hyperlink"/>
                <w:rFonts w:ascii="Sylfaen" w:hAnsi="Sylfaen" w:cs="Sylfaen"/>
                <w:noProof/>
              </w:rPr>
              <w:t>ՄԱՍ</w:t>
            </w:r>
            <w:r w:rsidR="00391160" w:rsidRPr="003F6275">
              <w:rPr>
                <w:rStyle w:val="Hyperlink"/>
                <w:noProof/>
              </w:rPr>
              <w:t xml:space="preserve"> I. </w:t>
            </w:r>
            <w:r w:rsidR="00391160" w:rsidRPr="003F6275">
              <w:rPr>
                <w:rStyle w:val="Hyperlink"/>
                <w:rFonts w:ascii="Sylfaen" w:hAnsi="Sylfaen" w:cs="Sylfaen"/>
                <w:noProof/>
              </w:rPr>
              <w:t>ՀԱՐԿԱԲՅՈՒՋԵՏԱՅԻՆ</w:t>
            </w:r>
            <w:r w:rsidR="00391160" w:rsidRPr="003F6275">
              <w:rPr>
                <w:rStyle w:val="Hyperlink"/>
                <w:noProof/>
              </w:rPr>
              <w:t xml:space="preserve"> </w:t>
            </w:r>
            <w:r w:rsidR="00391160" w:rsidRPr="003F6275">
              <w:rPr>
                <w:rStyle w:val="Hyperlink"/>
                <w:rFonts w:ascii="Sylfaen" w:hAnsi="Sylfaen" w:cs="Sylfaen"/>
                <w:noProof/>
              </w:rPr>
              <w:t>ՔԱՂԱՔԱԿԱՆՈՒԹՅՈՒՆԸ</w:t>
            </w:r>
            <w:r w:rsidR="00391160">
              <w:rPr>
                <w:noProof/>
                <w:webHidden/>
              </w:rPr>
              <w:tab/>
            </w:r>
            <w:r w:rsidR="00391160">
              <w:rPr>
                <w:noProof/>
                <w:webHidden/>
              </w:rPr>
              <w:fldChar w:fldCharType="begin"/>
            </w:r>
            <w:r w:rsidR="00391160">
              <w:rPr>
                <w:noProof/>
                <w:webHidden/>
              </w:rPr>
              <w:instrText xml:space="preserve"> PAGEREF _Toc46154341 \h </w:instrText>
            </w:r>
            <w:r w:rsidR="00391160">
              <w:rPr>
                <w:noProof/>
                <w:webHidden/>
              </w:rPr>
            </w:r>
            <w:r w:rsidR="00391160">
              <w:rPr>
                <w:noProof/>
                <w:webHidden/>
              </w:rPr>
              <w:fldChar w:fldCharType="separate"/>
            </w:r>
            <w:r w:rsidR="00391160">
              <w:rPr>
                <w:noProof/>
                <w:webHidden/>
              </w:rPr>
              <w:t>6</w:t>
            </w:r>
            <w:r w:rsidR="00391160">
              <w:rPr>
                <w:noProof/>
                <w:webHidden/>
              </w:rPr>
              <w:fldChar w:fldCharType="end"/>
            </w:r>
          </w:hyperlink>
        </w:p>
        <w:p w14:paraId="16797546" w14:textId="0A23CFE0" w:rsidR="00391160" w:rsidRDefault="00664348">
          <w:pPr>
            <w:pStyle w:val="TOC2"/>
            <w:tabs>
              <w:tab w:val="left" w:pos="1860"/>
              <w:tab w:val="right" w:leader="dot" w:pos="9680"/>
            </w:tabs>
            <w:rPr>
              <w:rFonts w:cstheme="minorBidi"/>
              <w:b w:val="0"/>
              <w:bCs w:val="0"/>
              <w:noProof/>
              <w:sz w:val="24"/>
              <w:szCs w:val="24"/>
            </w:rPr>
          </w:pPr>
          <w:hyperlink w:anchor="_Toc46154342" w:history="1">
            <w:r w:rsidR="00391160" w:rsidRPr="003F6275">
              <w:rPr>
                <w:rStyle w:val="Hyperlink"/>
                <w:rFonts w:ascii="Sylfaen" w:hAnsi="Sylfaen" w:cs="Sylfaen"/>
                <w:noProof/>
              </w:rPr>
              <w:t>Գլուխ</w:t>
            </w:r>
            <w:r w:rsidR="00391160" w:rsidRPr="003F6275">
              <w:rPr>
                <w:rStyle w:val="Hyperlink"/>
                <w:noProof/>
              </w:rPr>
              <w:t xml:space="preserve"> 1.</w:t>
            </w:r>
            <w:r w:rsidR="00391160">
              <w:rPr>
                <w:rFonts w:cstheme="minorBidi"/>
                <w:b w:val="0"/>
                <w:bCs w:val="0"/>
                <w:noProof/>
                <w:sz w:val="24"/>
                <w:szCs w:val="24"/>
              </w:rPr>
              <w:tab/>
            </w:r>
            <w:r w:rsidR="00391160" w:rsidRPr="003F6275">
              <w:rPr>
                <w:rStyle w:val="Hyperlink"/>
                <w:rFonts w:ascii="Sylfaen" w:hAnsi="Sylfaen" w:cs="Sylfaen"/>
                <w:noProof/>
              </w:rPr>
              <w:t>ՄԱԿՐՈՏՆՏԵՍԱԿԱՆ</w:t>
            </w:r>
            <w:r w:rsidR="00391160" w:rsidRPr="003F6275">
              <w:rPr>
                <w:rStyle w:val="Hyperlink"/>
                <w:noProof/>
              </w:rPr>
              <w:t xml:space="preserve"> </w:t>
            </w:r>
            <w:r w:rsidR="00391160" w:rsidRPr="003F6275">
              <w:rPr>
                <w:rStyle w:val="Hyperlink"/>
                <w:rFonts w:ascii="Sylfaen" w:hAnsi="Sylfaen" w:cs="Sylfaen"/>
                <w:noProof/>
              </w:rPr>
              <w:t>ԶԱՐԳԱՑՈՒՄՆԵՐ</w:t>
            </w:r>
            <w:r w:rsidR="00391160" w:rsidRPr="003F6275">
              <w:rPr>
                <w:rStyle w:val="Hyperlink"/>
                <w:noProof/>
              </w:rPr>
              <w:t xml:space="preserve"> </w:t>
            </w:r>
            <w:r w:rsidR="00391160" w:rsidRPr="003F6275">
              <w:rPr>
                <w:rStyle w:val="Hyperlink"/>
                <w:rFonts w:ascii="Sylfaen" w:hAnsi="Sylfaen" w:cs="Sylfaen"/>
                <w:noProof/>
              </w:rPr>
              <w:t>ԵՎ</w:t>
            </w:r>
            <w:r w:rsidR="00391160" w:rsidRPr="003F6275">
              <w:rPr>
                <w:rStyle w:val="Hyperlink"/>
                <w:noProof/>
              </w:rPr>
              <w:t xml:space="preserve"> </w:t>
            </w:r>
            <w:r w:rsidR="00391160" w:rsidRPr="003F6275">
              <w:rPr>
                <w:rStyle w:val="Hyperlink"/>
                <w:rFonts w:ascii="Sylfaen" w:hAnsi="Sylfaen" w:cs="Sylfaen"/>
                <w:noProof/>
              </w:rPr>
              <w:t>ԿԱՆԽԱՏԵՍՈՒՄՆԵՐ</w:t>
            </w:r>
            <w:r w:rsidR="00391160">
              <w:rPr>
                <w:noProof/>
                <w:webHidden/>
              </w:rPr>
              <w:tab/>
            </w:r>
            <w:r w:rsidR="00391160">
              <w:rPr>
                <w:noProof/>
                <w:webHidden/>
              </w:rPr>
              <w:fldChar w:fldCharType="begin"/>
            </w:r>
            <w:r w:rsidR="00391160">
              <w:rPr>
                <w:noProof/>
                <w:webHidden/>
              </w:rPr>
              <w:instrText xml:space="preserve"> PAGEREF _Toc46154342 \h </w:instrText>
            </w:r>
            <w:r w:rsidR="00391160">
              <w:rPr>
                <w:noProof/>
                <w:webHidden/>
              </w:rPr>
            </w:r>
            <w:r w:rsidR="00391160">
              <w:rPr>
                <w:noProof/>
                <w:webHidden/>
              </w:rPr>
              <w:fldChar w:fldCharType="separate"/>
            </w:r>
            <w:r w:rsidR="00391160">
              <w:rPr>
                <w:noProof/>
                <w:webHidden/>
              </w:rPr>
              <w:t>7</w:t>
            </w:r>
            <w:r w:rsidR="00391160">
              <w:rPr>
                <w:noProof/>
                <w:webHidden/>
              </w:rPr>
              <w:fldChar w:fldCharType="end"/>
            </w:r>
          </w:hyperlink>
        </w:p>
        <w:p w14:paraId="4C94B580" w14:textId="39A4CCBB" w:rsidR="00391160" w:rsidRDefault="00664348">
          <w:pPr>
            <w:pStyle w:val="TOC3"/>
            <w:tabs>
              <w:tab w:val="right" w:leader="dot" w:pos="9680"/>
            </w:tabs>
            <w:rPr>
              <w:rFonts w:cstheme="minorBidi"/>
              <w:noProof/>
              <w:sz w:val="24"/>
              <w:szCs w:val="24"/>
            </w:rPr>
          </w:pPr>
          <w:hyperlink w:anchor="_Toc46154343" w:history="1">
            <w:r w:rsidR="00391160" w:rsidRPr="003F6275">
              <w:rPr>
                <w:rStyle w:val="Hyperlink"/>
                <w:bCs/>
                <w:noProof/>
              </w:rPr>
              <w:t>1</w:t>
            </w:r>
            <w:r w:rsidR="00391160" w:rsidRPr="003F6275">
              <w:rPr>
                <w:rStyle w:val="Hyperlink"/>
                <w:bCs/>
                <w:noProof/>
                <w:lang w:val="af-ZA"/>
              </w:rPr>
              <w:t xml:space="preserve">.1 </w:t>
            </w:r>
            <w:r w:rsidR="00391160" w:rsidRPr="003F6275">
              <w:rPr>
                <w:rStyle w:val="Hyperlink"/>
                <w:rFonts w:ascii="Sylfaen" w:hAnsi="Sylfaen" w:cs="Sylfaen"/>
                <w:bCs/>
                <w:noProof/>
              </w:rPr>
              <w:t>ՄԱԿՐՈՏՆՏԵՍԱԿԱՆ</w:t>
            </w:r>
            <w:r w:rsidR="00391160" w:rsidRPr="003F6275">
              <w:rPr>
                <w:rStyle w:val="Hyperlink"/>
                <w:bCs/>
                <w:noProof/>
              </w:rPr>
              <w:t xml:space="preserve"> </w:t>
            </w:r>
            <w:r w:rsidR="00391160" w:rsidRPr="003F6275">
              <w:rPr>
                <w:rStyle w:val="Hyperlink"/>
                <w:rFonts w:ascii="Sylfaen" w:hAnsi="Sylfaen" w:cs="Sylfaen"/>
                <w:bCs/>
                <w:noProof/>
              </w:rPr>
              <w:t>ԱՄՓՈՓԱԳԻՐ</w:t>
            </w:r>
            <w:r w:rsidR="00391160" w:rsidRPr="003F6275">
              <w:rPr>
                <w:rStyle w:val="Hyperlink"/>
                <w:bCs/>
                <w:noProof/>
              </w:rPr>
              <w:t xml:space="preserve"> </w:t>
            </w:r>
            <w:r w:rsidR="00391160" w:rsidRPr="003F6275">
              <w:rPr>
                <w:rStyle w:val="Hyperlink"/>
                <w:rFonts w:ascii="Sylfaen" w:hAnsi="Sylfaen" w:cs="Sylfaen"/>
                <w:bCs/>
                <w:noProof/>
              </w:rPr>
              <w:t>ԵՎ</w:t>
            </w:r>
            <w:r w:rsidR="00391160" w:rsidRPr="003F6275">
              <w:rPr>
                <w:rStyle w:val="Hyperlink"/>
                <w:bCs/>
                <w:noProof/>
              </w:rPr>
              <w:t xml:space="preserve"> </w:t>
            </w:r>
            <w:r w:rsidR="00391160" w:rsidRPr="003F6275">
              <w:rPr>
                <w:rStyle w:val="Hyperlink"/>
                <w:rFonts w:ascii="Sylfaen" w:hAnsi="Sylfaen" w:cs="Sylfaen"/>
                <w:bCs/>
                <w:noProof/>
              </w:rPr>
              <w:t>ՇՐՋԱՆԱԿ</w:t>
            </w:r>
            <w:r w:rsidR="00391160">
              <w:rPr>
                <w:noProof/>
                <w:webHidden/>
              </w:rPr>
              <w:tab/>
            </w:r>
            <w:r w:rsidR="00391160">
              <w:rPr>
                <w:noProof/>
                <w:webHidden/>
              </w:rPr>
              <w:fldChar w:fldCharType="begin"/>
            </w:r>
            <w:r w:rsidR="00391160">
              <w:rPr>
                <w:noProof/>
                <w:webHidden/>
              </w:rPr>
              <w:instrText xml:space="preserve"> PAGEREF _Toc46154343 \h </w:instrText>
            </w:r>
            <w:r w:rsidR="00391160">
              <w:rPr>
                <w:noProof/>
                <w:webHidden/>
              </w:rPr>
            </w:r>
            <w:r w:rsidR="00391160">
              <w:rPr>
                <w:noProof/>
                <w:webHidden/>
              </w:rPr>
              <w:fldChar w:fldCharType="separate"/>
            </w:r>
            <w:r w:rsidR="00391160">
              <w:rPr>
                <w:noProof/>
                <w:webHidden/>
              </w:rPr>
              <w:t>7</w:t>
            </w:r>
            <w:r w:rsidR="00391160">
              <w:rPr>
                <w:noProof/>
                <w:webHidden/>
              </w:rPr>
              <w:fldChar w:fldCharType="end"/>
            </w:r>
          </w:hyperlink>
        </w:p>
        <w:p w14:paraId="0003DCC0" w14:textId="79F82EBE" w:rsidR="00391160" w:rsidRDefault="00664348">
          <w:pPr>
            <w:pStyle w:val="TOC3"/>
            <w:tabs>
              <w:tab w:val="right" w:leader="dot" w:pos="9680"/>
            </w:tabs>
            <w:rPr>
              <w:rFonts w:cstheme="minorBidi"/>
              <w:noProof/>
              <w:sz w:val="24"/>
              <w:szCs w:val="24"/>
            </w:rPr>
          </w:pPr>
          <w:hyperlink w:anchor="_Toc46154344" w:history="1">
            <w:r w:rsidR="00391160" w:rsidRPr="003F6275">
              <w:rPr>
                <w:rStyle w:val="Hyperlink"/>
                <w:bCs/>
                <w:noProof/>
              </w:rPr>
              <w:t xml:space="preserve">1.2. </w:t>
            </w:r>
            <w:r w:rsidR="00391160" w:rsidRPr="003F6275">
              <w:rPr>
                <w:rStyle w:val="Hyperlink"/>
                <w:rFonts w:ascii="Sylfaen" w:hAnsi="Sylfaen" w:cs="Sylfaen"/>
                <w:bCs/>
                <w:noProof/>
              </w:rPr>
              <w:t>ՀԱՄԱՇԽԱՐՀԱՅԻՆ</w:t>
            </w:r>
            <w:r w:rsidR="00391160" w:rsidRPr="003F6275">
              <w:rPr>
                <w:rStyle w:val="Hyperlink"/>
                <w:bCs/>
                <w:noProof/>
              </w:rPr>
              <w:t xml:space="preserve"> </w:t>
            </w:r>
            <w:r w:rsidR="00391160" w:rsidRPr="003F6275">
              <w:rPr>
                <w:rStyle w:val="Hyperlink"/>
                <w:rFonts w:ascii="Sylfaen" w:hAnsi="Sylfaen" w:cs="Sylfaen"/>
                <w:bCs/>
                <w:noProof/>
              </w:rPr>
              <w:t>ՏՆՏԵՍՈՒԹՅԱՆ</w:t>
            </w:r>
            <w:r w:rsidR="00391160" w:rsidRPr="003F6275">
              <w:rPr>
                <w:rStyle w:val="Hyperlink"/>
                <w:bCs/>
                <w:noProof/>
              </w:rPr>
              <w:t xml:space="preserve"> </w:t>
            </w:r>
            <w:r w:rsidR="00391160" w:rsidRPr="003F6275">
              <w:rPr>
                <w:rStyle w:val="Hyperlink"/>
                <w:rFonts w:ascii="Sylfaen" w:hAnsi="Sylfaen" w:cs="Sylfaen"/>
                <w:bCs/>
                <w:noProof/>
              </w:rPr>
              <w:t>ԵՎ</w:t>
            </w:r>
            <w:r w:rsidR="00391160" w:rsidRPr="003F6275">
              <w:rPr>
                <w:rStyle w:val="Hyperlink"/>
                <w:bCs/>
                <w:noProof/>
              </w:rPr>
              <w:t xml:space="preserve"> </w:t>
            </w:r>
            <w:r w:rsidR="00391160" w:rsidRPr="003F6275">
              <w:rPr>
                <w:rStyle w:val="Hyperlink"/>
                <w:rFonts w:ascii="Sylfaen" w:hAnsi="Sylfaen" w:cs="Sylfaen"/>
                <w:bCs/>
                <w:noProof/>
              </w:rPr>
              <w:t>ԳՈՐԾԸՆԿԵՐ</w:t>
            </w:r>
            <w:r w:rsidR="00391160" w:rsidRPr="003F6275">
              <w:rPr>
                <w:rStyle w:val="Hyperlink"/>
                <w:bCs/>
                <w:noProof/>
              </w:rPr>
              <w:t xml:space="preserve"> </w:t>
            </w:r>
            <w:r w:rsidR="00391160" w:rsidRPr="003F6275">
              <w:rPr>
                <w:rStyle w:val="Hyperlink"/>
                <w:rFonts w:ascii="Sylfaen" w:hAnsi="Sylfaen" w:cs="Sylfaen"/>
                <w:bCs/>
                <w:noProof/>
              </w:rPr>
              <w:t>ԵՐԿՐՆԵՐԻ</w:t>
            </w:r>
            <w:r w:rsidR="00391160" w:rsidRPr="003F6275">
              <w:rPr>
                <w:rStyle w:val="Hyperlink"/>
                <w:bCs/>
                <w:noProof/>
              </w:rPr>
              <w:t xml:space="preserve"> </w:t>
            </w:r>
            <w:r w:rsidR="00391160" w:rsidRPr="003F6275">
              <w:rPr>
                <w:rStyle w:val="Hyperlink"/>
                <w:rFonts w:ascii="Sylfaen" w:hAnsi="Sylfaen" w:cs="Sylfaen"/>
                <w:bCs/>
                <w:noProof/>
              </w:rPr>
              <w:t>ԶԱՐԳԱՑՈՒՄՆԵՐ</w:t>
            </w:r>
            <w:r w:rsidR="00391160" w:rsidRPr="003F6275">
              <w:rPr>
                <w:rStyle w:val="Hyperlink"/>
                <w:bCs/>
                <w:noProof/>
              </w:rPr>
              <w:t xml:space="preserve"> </w:t>
            </w:r>
            <w:r w:rsidR="00391160" w:rsidRPr="003F6275">
              <w:rPr>
                <w:rStyle w:val="Hyperlink"/>
                <w:rFonts w:ascii="Sylfaen" w:hAnsi="Sylfaen" w:cs="Sylfaen"/>
                <w:bCs/>
                <w:noProof/>
              </w:rPr>
              <w:t>ԵՎ</w:t>
            </w:r>
            <w:r w:rsidR="00391160" w:rsidRPr="003F6275">
              <w:rPr>
                <w:rStyle w:val="Hyperlink"/>
                <w:bCs/>
                <w:noProof/>
              </w:rPr>
              <w:t xml:space="preserve"> </w:t>
            </w:r>
            <w:r w:rsidR="00391160" w:rsidRPr="003F6275">
              <w:rPr>
                <w:rStyle w:val="Hyperlink"/>
                <w:rFonts w:ascii="Sylfaen" w:hAnsi="Sylfaen" w:cs="Sylfaen"/>
                <w:bCs/>
                <w:noProof/>
              </w:rPr>
              <w:t>ԿԱՆԽԱՏԵՍՈՒՄՆԵՐ</w:t>
            </w:r>
            <w:r w:rsidR="00391160">
              <w:rPr>
                <w:noProof/>
                <w:webHidden/>
              </w:rPr>
              <w:tab/>
            </w:r>
            <w:r w:rsidR="00391160">
              <w:rPr>
                <w:noProof/>
                <w:webHidden/>
              </w:rPr>
              <w:fldChar w:fldCharType="begin"/>
            </w:r>
            <w:r w:rsidR="00391160">
              <w:rPr>
                <w:noProof/>
                <w:webHidden/>
              </w:rPr>
              <w:instrText xml:space="preserve"> PAGEREF _Toc46154344 \h </w:instrText>
            </w:r>
            <w:r w:rsidR="00391160">
              <w:rPr>
                <w:noProof/>
                <w:webHidden/>
              </w:rPr>
            </w:r>
            <w:r w:rsidR="00391160">
              <w:rPr>
                <w:noProof/>
                <w:webHidden/>
              </w:rPr>
              <w:fldChar w:fldCharType="separate"/>
            </w:r>
            <w:r w:rsidR="00391160">
              <w:rPr>
                <w:noProof/>
                <w:webHidden/>
              </w:rPr>
              <w:t>9</w:t>
            </w:r>
            <w:r w:rsidR="00391160">
              <w:rPr>
                <w:noProof/>
                <w:webHidden/>
              </w:rPr>
              <w:fldChar w:fldCharType="end"/>
            </w:r>
          </w:hyperlink>
        </w:p>
        <w:p w14:paraId="2F385EC9" w14:textId="35AC0070" w:rsidR="00391160" w:rsidRDefault="00664348">
          <w:pPr>
            <w:pStyle w:val="TOC3"/>
            <w:tabs>
              <w:tab w:val="right" w:leader="dot" w:pos="9680"/>
            </w:tabs>
            <w:rPr>
              <w:rFonts w:cstheme="minorBidi"/>
              <w:noProof/>
              <w:sz w:val="24"/>
              <w:szCs w:val="24"/>
            </w:rPr>
          </w:pPr>
          <w:hyperlink w:anchor="_Toc46154345" w:history="1">
            <w:r w:rsidR="00391160" w:rsidRPr="003F6275">
              <w:rPr>
                <w:rStyle w:val="Hyperlink"/>
                <w:rFonts w:eastAsia="Times New Roman" w:cs="Times New Roman"/>
                <w:noProof/>
              </w:rPr>
              <w:t>1</w:t>
            </w:r>
            <w:r w:rsidR="00391160" w:rsidRPr="003F6275">
              <w:rPr>
                <w:rStyle w:val="Hyperlink"/>
                <w:noProof/>
              </w:rPr>
              <w:t xml:space="preserve">.3. </w:t>
            </w:r>
            <w:r w:rsidR="00391160" w:rsidRPr="003F6275">
              <w:rPr>
                <w:rStyle w:val="Hyperlink"/>
                <w:rFonts w:ascii="Sylfaen" w:hAnsi="Sylfaen" w:cs="Sylfaen"/>
                <w:noProof/>
              </w:rPr>
              <w:t>ՀՀ</w:t>
            </w:r>
            <w:r w:rsidR="00391160" w:rsidRPr="003F6275">
              <w:rPr>
                <w:rStyle w:val="Hyperlink"/>
                <w:noProof/>
              </w:rPr>
              <w:t xml:space="preserve"> </w:t>
            </w:r>
            <w:r w:rsidR="00391160" w:rsidRPr="003F6275">
              <w:rPr>
                <w:rStyle w:val="Hyperlink"/>
                <w:rFonts w:ascii="Sylfaen" w:hAnsi="Sylfaen" w:cs="Sylfaen"/>
                <w:noProof/>
              </w:rPr>
              <w:t>ՄԱԿՐՈՏՆՏԵՍԱԿԱՆ</w:t>
            </w:r>
            <w:r w:rsidR="00391160" w:rsidRPr="003F6275">
              <w:rPr>
                <w:rStyle w:val="Hyperlink"/>
                <w:noProof/>
              </w:rPr>
              <w:t xml:space="preserve"> </w:t>
            </w:r>
            <w:r w:rsidR="00391160" w:rsidRPr="003F6275">
              <w:rPr>
                <w:rStyle w:val="Hyperlink"/>
                <w:rFonts w:ascii="Sylfaen" w:hAnsi="Sylfaen" w:cs="Sylfaen"/>
                <w:noProof/>
              </w:rPr>
              <w:t>ԶԱՐԳԱՑՈՒՄՆԵՐ</w:t>
            </w:r>
            <w:r w:rsidR="00391160" w:rsidRPr="003F6275">
              <w:rPr>
                <w:rStyle w:val="Hyperlink"/>
                <w:noProof/>
              </w:rPr>
              <w:t xml:space="preserve"> </w:t>
            </w:r>
            <w:r w:rsidR="00391160" w:rsidRPr="003F6275">
              <w:rPr>
                <w:rStyle w:val="Hyperlink"/>
                <w:rFonts w:ascii="Sylfaen" w:hAnsi="Sylfaen" w:cs="Sylfaen"/>
                <w:noProof/>
              </w:rPr>
              <w:t>ԵՎ</w:t>
            </w:r>
            <w:r w:rsidR="00391160" w:rsidRPr="003F6275">
              <w:rPr>
                <w:rStyle w:val="Hyperlink"/>
                <w:noProof/>
              </w:rPr>
              <w:t xml:space="preserve"> </w:t>
            </w:r>
            <w:r w:rsidR="00391160" w:rsidRPr="003F6275">
              <w:rPr>
                <w:rStyle w:val="Hyperlink"/>
                <w:rFonts w:ascii="Sylfaen" w:hAnsi="Sylfaen" w:cs="Sylfaen"/>
                <w:noProof/>
              </w:rPr>
              <w:t>ԿԱՆԽԱՏԵՍՈՒՄՆԵՐ</w:t>
            </w:r>
            <w:r w:rsidR="00391160">
              <w:rPr>
                <w:noProof/>
                <w:webHidden/>
              </w:rPr>
              <w:tab/>
            </w:r>
            <w:r w:rsidR="00391160">
              <w:rPr>
                <w:noProof/>
                <w:webHidden/>
              </w:rPr>
              <w:fldChar w:fldCharType="begin"/>
            </w:r>
            <w:r w:rsidR="00391160">
              <w:rPr>
                <w:noProof/>
                <w:webHidden/>
              </w:rPr>
              <w:instrText xml:space="preserve"> PAGEREF _Toc46154345 \h </w:instrText>
            </w:r>
            <w:r w:rsidR="00391160">
              <w:rPr>
                <w:noProof/>
                <w:webHidden/>
              </w:rPr>
            </w:r>
            <w:r w:rsidR="00391160">
              <w:rPr>
                <w:noProof/>
                <w:webHidden/>
              </w:rPr>
              <w:fldChar w:fldCharType="separate"/>
            </w:r>
            <w:r w:rsidR="00391160">
              <w:rPr>
                <w:noProof/>
                <w:webHidden/>
              </w:rPr>
              <w:t>12</w:t>
            </w:r>
            <w:r w:rsidR="00391160">
              <w:rPr>
                <w:noProof/>
                <w:webHidden/>
              </w:rPr>
              <w:fldChar w:fldCharType="end"/>
            </w:r>
          </w:hyperlink>
        </w:p>
        <w:p w14:paraId="2098FEDE" w14:textId="16AB165F" w:rsidR="00391160" w:rsidRDefault="00664348">
          <w:pPr>
            <w:pStyle w:val="TOC3"/>
            <w:tabs>
              <w:tab w:val="right" w:leader="dot" w:pos="9680"/>
            </w:tabs>
            <w:rPr>
              <w:rFonts w:cstheme="minorBidi"/>
              <w:noProof/>
              <w:sz w:val="24"/>
              <w:szCs w:val="24"/>
            </w:rPr>
          </w:pPr>
          <w:hyperlink w:anchor="_Toc46154346" w:history="1">
            <w:r w:rsidR="00391160" w:rsidRPr="003F6275">
              <w:rPr>
                <w:rStyle w:val="Hyperlink"/>
                <w:rFonts w:eastAsia="Times New Roman" w:cs="Times New Roman"/>
                <w:noProof/>
              </w:rPr>
              <w:t xml:space="preserve">1.4. </w:t>
            </w:r>
            <w:r w:rsidR="00391160" w:rsidRPr="003F6275">
              <w:rPr>
                <w:rStyle w:val="Hyperlink"/>
                <w:rFonts w:ascii="Sylfaen" w:eastAsia="Times New Roman" w:hAnsi="Sylfaen" w:cs="Sylfaen"/>
                <w:noProof/>
              </w:rPr>
              <w:t>ԿԱՆԽԱՏԵՍՈՒՄՆԵՐԻ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ՀԻՄՔՈՒՄ</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ԸՆԿԱԾ</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ԵՆԹԱԴՐՈՒԹՅՈՒՆՆԵՐԸ</w:t>
            </w:r>
            <w:r w:rsidR="00391160">
              <w:rPr>
                <w:noProof/>
                <w:webHidden/>
              </w:rPr>
              <w:tab/>
            </w:r>
            <w:r w:rsidR="00391160">
              <w:rPr>
                <w:noProof/>
                <w:webHidden/>
              </w:rPr>
              <w:fldChar w:fldCharType="begin"/>
            </w:r>
            <w:r w:rsidR="00391160">
              <w:rPr>
                <w:noProof/>
                <w:webHidden/>
              </w:rPr>
              <w:instrText xml:space="preserve"> PAGEREF _Toc46154346 \h </w:instrText>
            </w:r>
            <w:r w:rsidR="00391160">
              <w:rPr>
                <w:noProof/>
                <w:webHidden/>
              </w:rPr>
            </w:r>
            <w:r w:rsidR="00391160">
              <w:rPr>
                <w:noProof/>
                <w:webHidden/>
              </w:rPr>
              <w:fldChar w:fldCharType="separate"/>
            </w:r>
            <w:r w:rsidR="00391160">
              <w:rPr>
                <w:noProof/>
                <w:webHidden/>
              </w:rPr>
              <w:t>24</w:t>
            </w:r>
            <w:r w:rsidR="00391160">
              <w:rPr>
                <w:noProof/>
                <w:webHidden/>
              </w:rPr>
              <w:fldChar w:fldCharType="end"/>
            </w:r>
          </w:hyperlink>
        </w:p>
        <w:p w14:paraId="287654A4" w14:textId="3C1C9B1C" w:rsidR="00391160" w:rsidRDefault="00664348">
          <w:pPr>
            <w:pStyle w:val="TOC3"/>
            <w:tabs>
              <w:tab w:val="right" w:leader="dot" w:pos="9680"/>
            </w:tabs>
            <w:rPr>
              <w:rFonts w:cstheme="minorBidi"/>
              <w:noProof/>
              <w:sz w:val="24"/>
              <w:szCs w:val="24"/>
            </w:rPr>
          </w:pPr>
          <w:hyperlink w:anchor="_Toc46154347" w:history="1">
            <w:r w:rsidR="00391160" w:rsidRPr="003F6275">
              <w:rPr>
                <w:rStyle w:val="Hyperlink"/>
                <w:rFonts w:eastAsia="Times New Roman" w:cs="Times New Roman"/>
                <w:noProof/>
              </w:rPr>
              <w:t xml:space="preserve">1.5. </w:t>
            </w:r>
            <w:r w:rsidR="00391160" w:rsidRPr="003F6275">
              <w:rPr>
                <w:rStyle w:val="Hyperlink"/>
                <w:rFonts w:ascii="Sylfaen" w:eastAsia="Times New Roman" w:hAnsi="Sylfaen" w:cs="Sylfaen"/>
                <w:noProof/>
              </w:rPr>
              <w:t>ԿՈՐՈՆԱՎԻՐՈՒՍԻ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ՀԱՄԱՎԱՐԱԿԻ</w:t>
            </w:r>
            <w:r w:rsidR="00391160" w:rsidRPr="003F6275">
              <w:rPr>
                <w:rStyle w:val="Hyperlink"/>
                <w:rFonts w:eastAsia="Times New Roman" w:cs="Times New Roman"/>
                <w:noProof/>
              </w:rPr>
              <w:t xml:space="preserve"> (COVID-19) </w:t>
            </w:r>
            <w:r w:rsidR="00391160" w:rsidRPr="003F6275">
              <w:rPr>
                <w:rStyle w:val="Hyperlink"/>
                <w:rFonts w:ascii="Sylfaen" w:eastAsia="Times New Roman" w:hAnsi="Sylfaen" w:cs="Sylfaen"/>
                <w:noProof/>
              </w:rPr>
              <w:t>ԱԶԴԵՑՈՒԹՅԱՆ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ԳՆԱՀԱՏՈՒՄԸ</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ՀԱՐԿԱԲՅՈՒՋԵՏԱՅԻՆ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ՔԱՂԱՔԱԿԱՆՈՒԹՅԱՆ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ԸՆԴՀԱՆՈՒՐ</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ՀԱՎԱՍԱՐԱԿՇՌՈՒԹՅԱՆ</w:t>
            </w:r>
            <w:r w:rsidR="00391160" w:rsidRPr="003F6275">
              <w:rPr>
                <w:rStyle w:val="Hyperlink"/>
                <w:rFonts w:eastAsia="Times New Roman" w:cs="Times New Roman"/>
                <w:noProof/>
              </w:rPr>
              <w:t xml:space="preserve"> DSGE </w:t>
            </w:r>
            <w:r w:rsidR="00391160" w:rsidRPr="003F6275">
              <w:rPr>
                <w:rStyle w:val="Hyperlink"/>
                <w:rFonts w:ascii="Sylfaen" w:eastAsia="Times New Roman" w:hAnsi="Sylfaen" w:cs="Sylfaen"/>
                <w:noProof/>
              </w:rPr>
              <w:t>ՄՈԴԵԼՈՎ</w:t>
            </w:r>
            <w:r w:rsidR="00391160">
              <w:rPr>
                <w:noProof/>
                <w:webHidden/>
              </w:rPr>
              <w:tab/>
            </w:r>
            <w:r w:rsidR="00391160">
              <w:rPr>
                <w:noProof/>
                <w:webHidden/>
              </w:rPr>
              <w:fldChar w:fldCharType="begin"/>
            </w:r>
            <w:r w:rsidR="00391160">
              <w:rPr>
                <w:noProof/>
                <w:webHidden/>
              </w:rPr>
              <w:instrText xml:space="preserve"> PAGEREF _Toc46154347 \h </w:instrText>
            </w:r>
            <w:r w:rsidR="00391160">
              <w:rPr>
                <w:noProof/>
                <w:webHidden/>
              </w:rPr>
            </w:r>
            <w:r w:rsidR="00391160">
              <w:rPr>
                <w:noProof/>
                <w:webHidden/>
              </w:rPr>
              <w:fldChar w:fldCharType="separate"/>
            </w:r>
            <w:r w:rsidR="00391160">
              <w:rPr>
                <w:noProof/>
                <w:webHidden/>
              </w:rPr>
              <w:t>26</w:t>
            </w:r>
            <w:r w:rsidR="00391160">
              <w:rPr>
                <w:noProof/>
                <w:webHidden/>
              </w:rPr>
              <w:fldChar w:fldCharType="end"/>
            </w:r>
          </w:hyperlink>
        </w:p>
        <w:p w14:paraId="5E99EC6F" w14:textId="50C6912E" w:rsidR="00391160" w:rsidRDefault="00664348">
          <w:pPr>
            <w:pStyle w:val="TOC3"/>
            <w:tabs>
              <w:tab w:val="right" w:leader="dot" w:pos="9680"/>
            </w:tabs>
            <w:rPr>
              <w:rFonts w:cstheme="minorBidi"/>
              <w:noProof/>
              <w:sz w:val="24"/>
              <w:szCs w:val="24"/>
            </w:rPr>
          </w:pPr>
          <w:hyperlink w:anchor="_Toc46154348" w:history="1">
            <w:r w:rsidR="00391160" w:rsidRPr="003F6275">
              <w:rPr>
                <w:rStyle w:val="Hyperlink"/>
                <w:rFonts w:eastAsia="Times New Roman" w:cs="Times New Roman"/>
                <w:noProof/>
              </w:rPr>
              <w:t xml:space="preserve">1.6. </w:t>
            </w:r>
            <w:r w:rsidR="00391160" w:rsidRPr="003F6275">
              <w:rPr>
                <w:rStyle w:val="Hyperlink"/>
                <w:rFonts w:ascii="Sylfaen" w:eastAsia="Times New Roman" w:hAnsi="Sylfaen" w:cs="Sylfaen"/>
                <w:noProof/>
              </w:rPr>
              <w:t>ՄԱԿՐՈՏՆՏԵՍԱԿԱՆ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ԿԱՆԽԱՏԵՍՈՒՄՆԵՐԻ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ՌԻՍԿԵՐԸ</w:t>
            </w:r>
            <w:r w:rsidR="00391160">
              <w:rPr>
                <w:noProof/>
                <w:webHidden/>
              </w:rPr>
              <w:tab/>
            </w:r>
            <w:r w:rsidR="00391160">
              <w:rPr>
                <w:noProof/>
                <w:webHidden/>
              </w:rPr>
              <w:fldChar w:fldCharType="begin"/>
            </w:r>
            <w:r w:rsidR="00391160">
              <w:rPr>
                <w:noProof/>
                <w:webHidden/>
              </w:rPr>
              <w:instrText xml:space="preserve"> PAGEREF _Toc46154348 \h </w:instrText>
            </w:r>
            <w:r w:rsidR="00391160">
              <w:rPr>
                <w:noProof/>
                <w:webHidden/>
              </w:rPr>
            </w:r>
            <w:r w:rsidR="00391160">
              <w:rPr>
                <w:noProof/>
                <w:webHidden/>
              </w:rPr>
              <w:fldChar w:fldCharType="separate"/>
            </w:r>
            <w:r w:rsidR="00391160">
              <w:rPr>
                <w:noProof/>
                <w:webHidden/>
              </w:rPr>
              <w:t>29</w:t>
            </w:r>
            <w:r w:rsidR="00391160">
              <w:rPr>
                <w:noProof/>
                <w:webHidden/>
              </w:rPr>
              <w:fldChar w:fldCharType="end"/>
            </w:r>
          </w:hyperlink>
        </w:p>
        <w:p w14:paraId="52104024" w14:textId="0913625C" w:rsidR="00391160" w:rsidRDefault="00664348">
          <w:pPr>
            <w:pStyle w:val="TOC3"/>
            <w:tabs>
              <w:tab w:val="right" w:leader="dot" w:pos="9680"/>
            </w:tabs>
            <w:rPr>
              <w:rFonts w:cstheme="minorBidi"/>
              <w:noProof/>
              <w:sz w:val="24"/>
              <w:szCs w:val="24"/>
            </w:rPr>
          </w:pPr>
          <w:hyperlink w:anchor="_Toc46154349" w:history="1">
            <w:r w:rsidR="00391160" w:rsidRPr="003F6275">
              <w:rPr>
                <w:rStyle w:val="Hyperlink"/>
                <w:rFonts w:eastAsia="Times New Roman" w:cs="Times New Roman"/>
                <w:noProof/>
              </w:rPr>
              <w:t xml:space="preserve">1.7. </w:t>
            </w:r>
            <w:r w:rsidR="00391160" w:rsidRPr="003F6275">
              <w:rPr>
                <w:rStyle w:val="Hyperlink"/>
                <w:rFonts w:ascii="Sylfaen" w:eastAsia="Times New Roman" w:hAnsi="Sylfaen" w:cs="Sylfaen"/>
                <w:noProof/>
              </w:rPr>
              <w:t>ՀԱՄԵՄԱՏՈՒԹՅՈՒՆ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ՆԱԽՈՐԴ</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ԿԱՆԽԱՏԵՍՈՒՄՆԵՐԻ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ՀԵՏ</w:t>
            </w:r>
            <w:r w:rsidR="00391160">
              <w:rPr>
                <w:noProof/>
                <w:webHidden/>
              </w:rPr>
              <w:tab/>
            </w:r>
            <w:r w:rsidR="00391160">
              <w:rPr>
                <w:noProof/>
                <w:webHidden/>
              </w:rPr>
              <w:fldChar w:fldCharType="begin"/>
            </w:r>
            <w:r w:rsidR="00391160">
              <w:rPr>
                <w:noProof/>
                <w:webHidden/>
              </w:rPr>
              <w:instrText xml:space="preserve"> PAGEREF _Toc46154349 \h </w:instrText>
            </w:r>
            <w:r w:rsidR="00391160">
              <w:rPr>
                <w:noProof/>
                <w:webHidden/>
              </w:rPr>
            </w:r>
            <w:r w:rsidR="00391160">
              <w:rPr>
                <w:noProof/>
                <w:webHidden/>
              </w:rPr>
              <w:fldChar w:fldCharType="separate"/>
            </w:r>
            <w:r w:rsidR="00391160">
              <w:rPr>
                <w:noProof/>
                <w:webHidden/>
              </w:rPr>
              <w:t>31</w:t>
            </w:r>
            <w:r w:rsidR="00391160">
              <w:rPr>
                <w:noProof/>
                <w:webHidden/>
              </w:rPr>
              <w:fldChar w:fldCharType="end"/>
            </w:r>
          </w:hyperlink>
        </w:p>
        <w:p w14:paraId="5479971E" w14:textId="4DA38AC7" w:rsidR="00391160" w:rsidRDefault="00664348">
          <w:pPr>
            <w:pStyle w:val="TOC2"/>
            <w:tabs>
              <w:tab w:val="left" w:pos="1860"/>
              <w:tab w:val="right" w:leader="dot" w:pos="9680"/>
            </w:tabs>
            <w:rPr>
              <w:rFonts w:cstheme="minorBidi"/>
              <w:b w:val="0"/>
              <w:bCs w:val="0"/>
              <w:noProof/>
              <w:sz w:val="24"/>
              <w:szCs w:val="24"/>
            </w:rPr>
          </w:pPr>
          <w:hyperlink w:anchor="_Toc46154350" w:history="1">
            <w:r w:rsidR="00391160" w:rsidRPr="003F6275">
              <w:rPr>
                <w:rStyle w:val="Hyperlink"/>
                <w:rFonts w:ascii="Sylfaen" w:hAnsi="Sylfaen" w:cs="Sylfaen"/>
                <w:noProof/>
              </w:rPr>
              <w:t>Գլուխ</w:t>
            </w:r>
            <w:r w:rsidR="00391160" w:rsidRPr="003F6275">
              <w:rPr>
                <w:rStyle w:val="Hyperlink"/>
                <w:noProof/>
              </w:rPr>
              <w:t xml:space="preserve"> 2.</w:t>
            </w:r>
            <w:r w:rsidR="00391160">
              <w:rPr>
                <w:rFonts w:cstheme="minorBidi"/>
                <w:b w:val="0"/>
                <w:bCs w:val="0"/>
                <w:noProof/>
                <w:sz w:val="24"/>
                <w:szCs w:val="24"/>
              </w:rPr>
              <w:tab/>
            </w:r>
            <w:r w:rsidR="00391160" w:rsidRPr="003F6275">
              <w:rPr>
                <w:rStyle w:val="Hyperlink"/>
                <w:rFonts w:ascii="Sylfaen" w:hAnsi="Sylfaen" w:cs="Sylfaen"/>
                <w:noProof/>
              </w:rPr>
              <w:t>ՀԱՐԿԱԲՅՈՒՋԵՏԱՅԻՆ</w:t>
            </w:r>
            <w:r w:rsidR="00391160" w:rsidRPr="003F6275">
              <w:rPr>
                <w:rStyle w:val="Hyperlink"/>
                <w:noProof/>
              </w:rPr>
              <w:t xml:space="preserve"> </w:t>
            </w:r>
            <w:r w:rsidR="00391160" w:rsidRPr="003F6275">
              <w:rPr>
                <w:rStyle w:val="Hyperlink"/>
                <w:rFonts w:ascii="Sylfaen" w:hAnsi="Sylfaen" w:cs="Sylfaen"/>
                <w:noProof/>
              </w:rPr>
              <w:t>ՔԱՂԱՔԱԿԱՆՈՒԹՅԱՆ</w:t>
            </w:r>
            <w:r w:rsidR="00391160" w:rsidRPr="003F6275">
              <w:rPr>
                <w:rStyle w:val="Hyperlink"/>
                <w:noProof/>
              </w:rPr>
              <w:t xml:space="preserve"> </w:t>
            </w:r>
            <w:r w:rsidR="00391160" w:rsidRPr="003F6275">
              <w:rPr>
                <w:rStyle w:val="Hyperlink"/>
                <w:rFonts w:ascii="Sylfaen" w:hAnsi="Sylfaen" w:cs="Sylfaen"/>
                <w:noProof/>
              </w:rPr>
              <w:t>ՀԻՄՆԱԿԱՆ</w:t>
            </w:r>
            <w:r w:rsidR="00391160" w:rsidRPr="003F6275">
              <w:rPr>
                <w:rStyle w:val="Hyperlink"/>
                <w:noProof/>
              </w:rPr>
              <w:t xml:space="preserve"> </w:t>
            </w:r>
            <w:r w:rsidR="00391160" w:rsidRPr="003F6275">
              <w:rPr>
                <w:rStyle w:val="Hyperlink"/>
                <w:rFonts w:ascii="Sylfaen" w:hAnsi="Sylfaen" w:cs="Sylfaen"/>
                <w:noProof/>
              </w:rPr>
              <w:t>ՈՒՂՂՈՒԹՅՈՒՆՆԵՐԸ</w:t>
            </w:r>
            <w:r w:rsidR="00391160" w:rsidRPr="003F6275">
              <w:rPr>
                <w:rStyle w:val="Hyperlink"/>
                <w:noProof/>
              </w:rPr>
              <w:t xml:space="preserve"> </w:t>
            </w:r>
            <w:r w:rsidR="00391160" w:rsidRPr="003F6275">
              <w:rPr>
                <w:rStyle w:val="Hyperlink"/>
                <w:rFonts w:ascii="Sylfaen" w:hAnsi="Sylfaen" w:cs="Sylfaen"/>
                <w:noProof/>
              </w:rPr>
              <w:t>ԵՎ</w:t>
            </w:r>
            <w:r w:rsidR="00391160" w:rsidRPr="003F6275">
              <w:rPr>
                <w:rStyle w:val="Hyperlink"/>
                <w:noProof/>
              </w:rPr>
              <w:t xml:space="preserve"> </w:t>
            </w:r>
            <w:r w:rsidR="00391160" w:rsidRPr="003F6275">
              <w:rPr>
                <w:rStyle w:val="Hyperlink"/>
                <w:rFonts w:ascii="Sylfaen" w:hAnsi="Sylfaen" w:cs="Sylfaen"/>
                <w:noProof/>
              </w:rPr>
              <w:t>ԿԱՆԽԱՏԵՍՈՒՄՆԵՐԸ</w:t>
            </w:r>
            <w:r w:rsidR="00391160">
              <w:rPr>
                <w:noProof/>
                <w:webHidden/>
              </w:rPr>
              <w:tab/>
            </w:r>
            <w:r w:rsidR="00391160">
              <w:rPr>
                <w:noProof/>
                <w:webHidden/>
              </w:rPr>
              <w:fldChar w:fldCharType="begin"/>
            </w:r>
            <w:r w:rsidR="00391160">
              <w:rPr>
                <w:noProof/>
                <w:webHidden/>
              </w:rPr>
              <w:instrText xml:space="preserve"> PAGEREF _Toc46154350 \h </w:instrText>
            </w:r>
            <w:r w:rsidR="00391160">
              <w:rPr>
                <w:noProof/>
                <w:webHidden/>
              </w:rPr>
            </w:r>
            <w:r w:rsidR="00391160">
              <w:rPr>
                <w:noProof/>
                <w:webHidden/>
              </w:rPr>
              <w:fldChar w:fldCharType="separate"/>
            </w:r>
            <w:r w:rsidR="00391160">
              <w:rPr>
                <w:noProof/>
                <w:webHidden/>
              </w:rPr>
              <w:t>33</w:t>
            </w:r>
            <w:r w:rsidR="00391160">
              <w:rPr>
                <w:noProof/>
                <w:webHidden/>
              </w:rPr>
              <w:fldChar w:fldCharType="end"/>
            </w:r>
          </w:hyperlink>
        </w:p>
        <w:p w14:paraId="57A74545" w14:textId="0E009891" w:rsidR="00391160" w:rsidRDefault="00664348">
          <w:pPr>
            <w:pStyle w:val="TOC3"/>
            <w:tabs>
              <w:tab w:val="right" w:leader="dot" w:pos="9680"/>
            </w:tabs>
            <w:rPr>
              <w:rFonts w:cstheme="minorBidi"/>
              <w:noProof/>
              <w:sz w:val="24"/>
              <w:szCs w:val="24"/>
            </w:rPr>
          </w:pPr>
          <w:hyperlink w:anchor="_Toc46154351" w:history="1">
            <w:r w:rsidR="00391160" w:rsidRPr="003F6275">
              <w:rPr>
                <w:rStyle w:val="Hyperlink"/>
                <w:rFonts w:eastAsia="Times New Roman" w:cs="Times New Roman"/>
                <w:noProof/>
                <w:lang w:val="es-ES"/>
              </w:rPr>
              <w:t xml:space="preserve">2.1. </w:t>
            </w:r>
            <w:r w:rsidR="00391160" w:rsidRPr="003F6275">
              <w:rPr>
                <w:rStyle w:val="Hyperlink"/>
                <w:rFonts w:ascii="Sylfaen" w:eastAsia="Times New Roman" w:hAnsi="Sylfaen" w:cs="Sylfaen"/>
                <w:noProof/>
              </w:rPr>
              <w:t>ՀԱՐԿԱԲՅՈՒՋԵՏԱՅԻՆ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ԸՆԴՀԱՆՈՒՐ</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ԱԿՆԱՐԿ</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ԵՎ</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ՀԱՐԿԱԲՅՈՒՋԵՏԱՅԻՆ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ՇՐՋԱՆԱԿ</w:t>
            </w:r>
            <w:r w:rsidR="00391160">
              <w:rPr>
                <w:noProof/>
                <w:webHidden/>
              </w:rPr>
              <w:tab/>
            </w:r>
            <w:r w:rsidR="00391160">
              <w:rPr>
                <w:noProof/>
                <w:webHidden/>
              </w:rPr>
              <w:fldChar w:fldCharType="begin"/>
            </w:r>
            <w:r w:rsidR="00391160">
              <w:rPr>
                <w:noProof/>
                <w:webHidden/>
              </w:rPr>
              <w:instrText xml:space="preserve"> PAGEREF _Toc46154351 \h </w:instrText>
            </w:r>
            <w:r w:rsidR="00391160">
              <w:rPr>
                <w:noProof/>
                <w:webHidden/>
              </w:rPr>
            </w:r>
            <w:r w:rsidR="00391160">
              <w:rPr>
                <w:noProof/>
                <w:webHidden/>
              </w:rPr>
              <w:fldChar w:fldCharType="separate"/>
            </w:r>
            <w:r w:rsidR="00391160">
              <w:rPr>
                <w:noProof/>
                <w:webHidden/>
              </w:rPr>
              <w:t>33</w:t>
            </w:r>
            <w:r w:rsidR="00391160">
              <w:rPr>
                <w:noProof/>
                <w:webHidden/>
              </w:rPr>
              <w:fldChar w:fldCharType="end"/>
            </w:r>
          </w:hyperlink>
        </w:p>
        <w:p w14:paraId="47194D12" w14:textId="5ACF74ED" w:rsidR="00391160" w:rsidRDefault="00664348">
          <w:pPr>
            <w:pStyle w:val="TOC3"/>
            <w:tabs>
              <w:tab w:val="left" w:pos="1760"/>
              <w:tab w:val="right" w:leader="dot" w:pos="9680"/>
            </w:tabs>
            <w:rPr>
              <w:rFonts w:cstheme="minorBidi"/>
              <w:noProof/>
              <w:sz w:val="24"/>
              <w:szCs w:val="24"/>
            </w:rPr>
          </w:pPr>
          <w:hyperlink w:anchor="_Toc46154352" w:history="1">
            <w:r w:rsidR="00391160" w:rsidRPr="003F6275">
              <w:rPr>
                <w:rStyle w:val="Hyperlink"/>
                <w:rFonts w:eastAsia="Times New Roman" w:cs="Times New Roman"/>
                <w:noProof/>
              </w:rPr>
              <w:t>2.2.</w:t>
            </w:r>
            <w:r w:rsidR="00391160">
              <w:rPr>
                <w:rFonts w:cstheme="minorBidi"/>
                <w:noProof/>
                <w:sz w:val="24"/>
                <w:szCs w:val="24"/>
              </w:rPr>
              <w:tab/>
            </w:r>
            <w:r w:rsidR="00391160" w:rsidRPr="003F6275">
              <w:rPr>
                <w:rStyle w:val="Hyperlink"/>
                <w:rFonts w:ascii="Sylfaen" w:eastAsia="Times New Roman" w:hAnsi="Sylfaen" w:cs="Sylfaen"/>
                <w:noProof/>
              </w:rPr>
              <w:t>ՄԻՋՆԱԺԱՄԿԵՏ</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ՀԱՐԿԱԲՅՈՒՋԵՏԱՅԻՆ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ՔԱՂԱՔԱԿԱՆՈՒԹՅԱՆ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ԱՌԱՋՆԱՀԵՐԹՈՒԹՅՈՒՆՆԵՐԸ</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ԵՎ</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ՆՊԱՏԱԿՆԵՐԸ</w:t>
            </w:r>
            <w:r w:rsidR="00391160">
              <w:rPr>
                <w:noProof/>
                <w:webHidden/>
              </w:rPr>
              <w:tab/>
            </w:r>
            <w:r w:rsidR="00391160">
              <w:rPr>
                <w:noProof/>
                <w:webHidden/>
              </w:rPr>
              <w:fldChar w:fldCharType="begin"/>
            </w:r>
            <w:r w:rsidR="00391160">
              <w:rPr>
                <w:noProof/>
                <w:webHidden/>
              </w:rPr>
              <w:instrText xml:space="preserve"> PAGEREF _Toc46154352 \h </w:instrText>
            </w:r>
            <w:r w:rsidR="00391160">
              <w:rPr>
                <w:noProof/>
                <w:webHidden/>
              </w:rPr>
            </w:r>
            <w:r w:rsidR="00391160">
              <w:rPr>
                <w:noProof/>
                <w:webHidden/>
              </w:rPr>
              <w:fldChar w:fldCharType="separate"/>
            </w:r>
            <w:r w:rsidR="00391160">
              <w:rPr>
                <w:noProof/>
                <w:webHidden/>
              </w:rPr>
              <w:t>35</w:t>
            </w:r>
            <w:r w:rsidR="00391160">
              <w:rPr>
                <w:noProof/>
                <w:webHidden/>
              </w:rPr>
              <w:fldChar w:fldCharType="end"/>
            </w:r>
          </w:hyperlink>
        </w:p>
        <w:p w14:paraId="30AE7FAF" w14:textId="6C44C442" w:rsidR="00391160" w:rsidRDefault="00664348">
          <w:pPr>
            <w:pStyle w:val="TOC3"/>
            <w:tabs>
              <w:tab w:val="left" w:pos="1760"/>
              <w:tab w:val="right" w:leader="dot" w:pos="9680"/>
            </w:tabs>
            <w:rPr>
              <w:rFonts w:cstheme="minorBidi"/>
              <w:noProof/>
              <w:sz w:val="24"/>
              <w:szCs w:val="24"/>
            </w:rPr>
          </w:pPr>
          <w:hyperlink w:anchor="_Toc46154353" w:history="1">
            <w:r w:rsidR="00391160" w:rsidRPr="003F6275">
              <w:rPr>
                <w:rStyle w:val="Hyperlink"/>
                <w:rFonts w:eastAsia="Times New Roman" w:cs="Times New Roman"/>
                <w:noProof/>
              </w:rPr>
              <w:t>2.3.</w:t>
            </w:r>
            <w:r w:rsidR="00391160">
              <w:rPr>
                <w:rFonts w:cstheme="minorBidi"/>
                <w:noProof/>
                <w:sz w:val="24"/>
                <w:szCs w:val="24"/>
              </w:rPr>
              <w:tab/>
            </w:r>
            <w:r w:rsidR="00391160" w:rsidRPr="003F6275">
              <w:rPr>
                <w:rStyle w:val="Hyperlink"/>
                <w:rFonts w:ascii="Sylfaen" w:eastAsia="Times New Roman" w:hAnsi="Sylfaen" w:cs="Sylfaen"/>
                <w:noProof/>
              </w:rPr>
              <w:t>ՀԱՐԿԱԲՅՈՒՋԵՏԱՅԻՆ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ՔԱՂԱՔԱԿԱՆՈՒԹՅԱՆ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ՄԻՏՈՒՄՆԵՐԸ</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ԵՎ</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ԿԱՆԽԱՏԵՍՈՒՄՆԵՐԸ</w:t>
            </w:r>
            <w:r w:rsidR="00391160">
              <w:rPr>
                <w:noProof/>
                <w:webHidden/>
              </w:rPr>
              <w:tab/>
            </w:r>
            <w:r w:rsidR="00391160">
              <w:rPr>
                <w:noProof/>
                <w:webHidden/>
              </w:rPr>
              <w:fldChar w:fldCharType="begin"/>
            </w:r>
            <w:r w:rsidR="00391160">
              <w:rPr>
                <w:noProof/>
                <w:webHidden/>
              </w:rPr>
              <w:instrText xml:space="preserve"> PAGEREF _Toc46154353 \h </w:instrText>
            </w:r>
            <w:r w:rsidR="00391160">
              <w:rPr>
                <w:noProof/>
                <w:webHidden/>
              </w:rPr>
            </w:r>
            <w:r w:rsidR="00391160">
              <w:rPr>
                <w:noProof/>
                <w:webHidden/>
              </w:rPr>
              <w:fldChar w:fldCharType="separate"/>
            </w:r>
            <w:r w:rsidR="00391160">
              <w:rPr>
                <w:noProof/>
                <w:webHidden/>
              </w:rPr>
              <w:t>36</w:t>
            </w:r>
            <w:r w:rsidR="00391160">
              <w:rPr>
                <w:noProof/>
                <w:webHidden/>
              </w:rPr>
              <w:fldChar w:fldCharType="end"/>
            </w:r>
          </w:hyperlink>
        </w:p>
        <w:p w14:paraId="316535BD" w14:textId="43E32EBB" w:rsidR="00391160" w:rsidRDefault="00664348">
          <w:pPr>
            <w:pStyle w:val="TOC3"/>
            <w:tabs>
              <w:tab w:val="left" w:pos="1760"/>
              <w:tab w:val="right" w:leader="dot" w:pos="9680"/>
            </w:tabs>
            <w:rPr>
              <w:rFonts w:cstheme="minorBidi"/>
              <w:noProof/>
              <w:sz w:val="24"/>
              <w:szCs w:val="24"/>
            </w:rPr>
          </w:pPr>
          <w:hyperlink w:anchor="_Toc46154354" w:history="1">
            <w:r w:rsidR="00391160" w:rsidRPr="003F6275">
              <w:rPr>
                <w:rStyle w:val="Hyperlink"/>
                <w:rFonts w:eastAsia="Times New Roman" w:cs="Times New Roman"/>
                <w:noProof/>
              </w:rPr>
              <w:t>2.4.</w:t>
            </w:r>
            <w:r w:rsidR="00391160">
              <w:rPr>
                <w:rFonts w:cstheme="minorBidi"/>
                <w:noProof/>
                <w:sz w:val="24"/>
                <w:szCs w:val="24"/>
              </w:rPr>
              <w:tab/>
            </w:r>
            <w:r w:rsidR="00391160" w:rsidRPr="003F6275">
              <w:rPr>
                <w:rStyle w:val="Hyperlink"/>
                <w:rFonts w:ascii="Sylfaen" w:eastAsia="Times New Roman" w:hAnsi="Sylfaen" w:cs="Sylfaen"/>
                <w:noProof/>
              </w:rPr>
              <w:t>ՀԱՐԿԱԲՅՈՒՋԵՏԱՅԻՆ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ՌԻՍԿԵՐ</w:t>
            </w:r>
            <w:r w:rsidR="00391160">
              <w:rPr>
                <w:noProof/>
                <w:webHidden/>
              </w:rPr>
              <w:tab/>
            </w:r>
            <w:r w:rsidR="00391160">
              <w:rPr>
                <w:noProof/>
                <w:webHidden/>
              </w:rPr>
              <w:fldChar w:fldCharType="begin"/>
            </w:r>
            <w:r w:rsidR="00391160">
              <w:rPr>
                <w:noProof/>
                <w:webHidden/>
              </w:rPr>
              <w:instrText xml:space="preserve"> PAGEREF _Toc46154354 \h </w:instrText>
            </w:r>
            <w:r w:rsidR="00391160">
              <w:rPr>
                <w:noProof/>
                <w:webHidden/>
              </w:rPr>
            </w:r>
            <w:r w:rsidR="00391160">
              <w:rPr>
                <w:noProof/>
                <w:webHidden/>
              </w:rPr>
              <w:fldChar w:fldCharType="separate"/>
            </w:r>
            <w:r w:rsidR="00391160">
              <w:rPr>
                <w:noProof/>
                <w:webHidden/>
              </w:rPr>
              <w:t>46</w:t>
            </w:r>
            <w:r w:rsidR="00391160">
              <w:rPr>
                <w:noProof/>
                <w:webHidden/>
              </w:rPr>
              <w:fldChar w:fldCharType="end"/>
            </w:r>
          </w:hyperlink>
        </w:p>
        <w:p w14:paraId="12CB7359" w14:textId="40C9782E" w:rsidR="00391160" w:rsidRDefault="00664348">
          <w:pPr>
            <w:pStyle w:val="TOC3"/>
            <w:tabs>
              <w:tab w:val="left" w:pos="1760"/>
              <w:tab w:val="right" w:leader="dot" w:pos="9680"/>
            </w:tabs>
            <w:rPr>
              <w:rFonts w:cstheme="minorBidi"/>
              <w:noProof/>
              <w:sz w:val="24"/>
              <w:szCs w:val="24"/>
            </w:rPr>
          </w:pPr>
          <w:hyperlink w:anchor="_Toc46154355" w:history="1">
            <w:r w:rsidR="00391160" w:rsidRPr="003F6275">
              <w:rPr>
                <w:rStyle w:val="Hyperlink"/>
                <w:rFonts w:eastAsia="Times New Roman" w:cs="Times New Roman"/>
                <w:noProof/>
              </w:rPr>
              <w:t>2.5.</w:t>
            </w:r>
            <w:r w:rsidR="00391160">
              <w:rPr>
                <w:rFonts w:cstheme="minorBidi"/>
                <w:noProof/>
                <w:sz w:val="24"/>
                <w:szCs w:val="24"/>
              </w:rPr>
              <w:tab/>
            </w:r>
            <w:r w:rsidR="00391160" w:rsidRPr="003F6275">
              <w:rPr>
                <w:rStyle w:val="Hyperlink"/>
                <w:rFonts w:ascii="Sylfaen" w:eastAsia="Times New Roman" w:hAnsi="Sylfaen" w:cs="Sylfaen"/>
                <w:noProof/>
              </w:rPr>
              <w:t>ՀԱՐԿԱԲՅՈՒՋԵՏԱՅԻՆ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ՔԱՂԱՔԱԿԱՆՈՒԹՅԱՆ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ՀԱՄԱՊԱՏԱՍԽԱՆՈՒԹՅՈՒՆԸ</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ՀԱՐԿԱԲՅՈՒՋԵՏԱՅԻՆ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ԿԱՆՈՆՆԵՐԻՆ</w:t>
            </w:r>
            <w:r w:rsidR="00391160">
              <w:rPr>
                <w:noProof/>
                <w:webHidden/>
              </w:rPr>
              <w:tab/>
            </w:r>
            <w:r w:rsidR="00391160">
              <w:rPr>
                <w:noProof/>
                <w:webHidden/>
              </w:rPr>
              <w:fldChar w:fldCharType="begin"/>
            </w:r>
            <w:r w:rsidR="00391160">
              <w:rPr>
                <w:noProof/>
                <w:webHidden/>
              </w:rPr>
              <w:instrText xml:space="preserve"> PAGEREF _Toc46154355 \h </w:instrText>
            </w:r>
            <w:r w:rsidR="00391160">
              <w:rPr>
                <w:noProof/>
                <w:webHidden/>
              </w:rPr>
            </w:r>
            <w:r w:rsidR="00391160">
              <w:rPr>
                <w:noProof/>
                <w:webHidden/>
              </w:rPr>
              <w:fldChar w:fldCharType="separate"/>
            </w:r>
            <w:r w:rsidR="00391160">
              <w:rPr>
                <w:noProof/>
                <w:webHidden/>
              </w:rPr>
              <w:t>48</w:t>
            </w:r>
            <w:r w:rsidR="00391160">
              <w:rPr>
                <w:noProof/>
                <w:webHidden/>
              </w:rPr>
              <w:fldChar w:fldCharType="end"/>
            </w:r>
          </w:hyperlink>
        </w:p>
        <w:p w14:paraId="2214CF16" w14:textId="1B66AF39" w:rsidR="00391160" w:rsidRDefault="00664348">
          <w:pPr>
            <w:pStyle w:val="TOC3"/>
            <w:tabs>
              <w:tab w:val="right" w:leader="dot" w:pos="9680"/>
            </w:tabs>
            <w:rPr>
              <w:rFonts w:cstheme="minorBidi"/>
              <w:noProof/>
              <w:sz w:val="24"/>
              <w:szCs w:val="24"/>
            </w:rPr>
          </w:pPr>
          <w:hyperlink w:anchor="_Toc46154356" w:history="1">
            <w:r w:rsidR="00391160" w:rsidRPr="003F6275">
              <w:rPr>
                <w:rStyle w:val="Hyperlink"/>
                <w:rFonts w:eastAsia="Times New Roman" w:cs="Times New Roman"/>
                <w:noProof/>
              </w:rPr>
              <w:t xml:space="preserve">2.6. </w:t>
            </w:r>
            <w:r w:rsidR="00391160" w:rsidRPr="003F6275">
              <w:rPr>
                <w:rStyle w:val="Hyperlink"/>
                <w:rFonts w:ascii="Sylfaen" w:eastAsia="Times New Roman" w:hAnsi="Sylfaen" w:cs="Sylfaen"/>
                <w:noProof/>
              </w:rPr>
              <w:t>ՊԵՏԱԿԱՆ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ԲՅՈՒՋԵԻ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ՑՈՒՑԱՆԻՇՆԵՐԻ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ԿԱՆԽԱՏԵՍՈՒՄՆԵՐԻ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ՀԱՄԵՄԱՏԱԿԱՆ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ԱՂՅՈՒՍԱԿՆԵՐ</w:t>
            </w:r>
            <w:r w:rsidR="00391160">
              <w:rPr>
                <w:noProof/>
                <w:webHidden/>
              </w:rPr>
              <w:tab/>
            </w:r>
            <w:r w:rsidR="00391160">
              <w:rPr>
                <w:noProof/>
                <w:webHidden/>
              </w:rPr>
              <w:fldChar w:fldCharType="begin"/>
            </w:r>
            <w:r w:rsidR="00391160">
              <w:rPr>
                <w:noProof/>
                <w:webHidden/>
              </w:rPr>
              <w:instrText xml:space="preserve"> PAGEREF _Toc46154356 \h </w:instrText>
            </w:r>
            <w:r w:rsidR="00391160">
              <w:rPr>
                <w:noProof/>
                <w:webHidden/>
              </w:rPr>
            </w:r>
            <w:r w:rsidR="00391160">
              <w:rPr>
                <w:noProof/>
                <w:webHidden/>
              </w:rPr>
              <w:fldChar w:fldCharType="separate"/>
            </w:r>
            <w:r w:rsidR="00391160">
              <w:rPr>
                <w:noProof/>
                <w:webHidden/>
              </w:rPr>
              <w:t>51</w:t>
            </w:r>
            <w:r w:rsidR="00391160">
              <w:rPr>
                <w:noProof/>
                <w:webHidden/>
              </w:rPr>
              <w:fldChar w:fldCharType="end"/>
            </w:r>
          </w:hyperlink>
        </w:p>
        <w:p w14:paraId="135949D9" w14:textId="42170BA3" w:rsidR="00391160" w:rsidRDefault="00664348">
          <w:pPr>
            <w:pStyle w:val="TOC2"/>
            <w:tabs>
              <w:tab w:val="left" w:pos="1860"/>
              <w:tab w:val="right" w:leader="dot" w:pos="9680"/>
            </w:tabs>
            <w:rPr>
              <w:rFonts w:cstheme="minorBidi"/>
              <w:b w:val="0"/>
              <w:bCs w:val="0"/>
              <w:noProof/>
              <w:sz w:val="24"/>
              <w:szCs w:val="24"/>
            </w:rPr>
          </w:pPr>
          <w:hyperlink w:anchor="_Toc46154357" w:history="1">
            <w:r w:rsidR="00391160" w:rsidRPr="003F6275">
              <w:rPr>
                <w:rStyle w:val="Hyperlink"/>
                <w:rFonts w:ascii="Sylfaen" w:hAnsi="Sylfaen" w:cs="Sylfaen"/>
                <w:noProof/>
              </w:rPr>
              <w:t>Գլուխ</w:t>
            </w:r>
            <w:r w:rsidR="00391160" w:rsidRPr="003F6275">
              <w:rPr>
                <w:rStyle w:val="Hyperlink"/>
                <w:noProof/>
              </w:rPr>
              <w:t xml:space="preserve"> 3.</w:t>
            </w:r>
            <w:r w:rsidR="00391160">
              <w:rPr>
                <w:rFonts w:cstheme="minorBidi"/>
                <w:b w:val="0"/>
                <w:bCs w:val="0"/>
                <w:noProof/>
                <w:sz w:val="24"/>
                <w:szCs w:val="24"/>
              </w:rPr>
              <w:tab/>
            </w:r>
            <w:r w:rsidR="00391160" w:rsidRPr="003F6275">
              <w:rPr>
                <w:rStyle w:val="Hyperlink"/>
                <w:rFonts w:ascii="Sylfaen" w:hAnsi="Sylfaen" w:cs="Sylfaen"/>
                <w:noProof/>
              </w:rPr>
              <w:t>ՀՀ</w:t>
            </w:r>
            <w:r w:rsidR="00391160" w:rsidRPr="003F6275">
              <w:rPr>
                <w:rStyle w:val="Hyperlink"/>
                <w:noProof/>
              </w:rPr>
              <w:t xml:space="preserve"> 2021–2023</w:t>
            </w:r>
            <w:r w:rsidR="00391160" w:rsidRPr="003F6275">
              <w:rPr>
                <w:rStyle w:val="Hyperlink"/>
                <w:rFonts w:ascii="Sylfaen" w:hAnsi="Sylfaen" w:cs="Sylfaen"/>
                <w:noProof/>
              </w:rPr>
              <w:t>ԹԹ</w:t>
            </w:r>
            <w:r w:rsidR="00391160" w:rsidRPr="003F6275">
              <w:rPr>
                <w:rStyle w:val="Hyperlink"/>
                <w:noProof/>
              </w:rPr>
              <w:t xml:space="preserve"> </w:t>
            </w:r>
            <w:r w:rsidR="00391160" w:rsidRPr="003F6275">
              <w:rPr>
                <w:rStyle w:val="Hyperlink"/>
                <w:rFonts w:ascii="Sylfaen" w:hAnsi="Sylfaen" w:cs="Sylfaen"/>
                <w:noProof/>
              </w:rPr>
              <w:t>ՊԵՏԱԿԱՆ</w:t>
            </w:r>
            <w:r w:rsidR="00391160" w:rsidRPr="003F6275">
              <w:rPr>
                <w:rStyle w:val="Hyperlink"/>
                <w:noProof/>
              </w:rPr>
              <w:t xml:space="preserve"> </w:t>
            </w:r>
            <w:r w:rsidR="00391160" w:rsidRPr="003F6275">
              <w:rPr>
                <w:rStyle w:val="Hyperlink"/>
                <w:rFonts w:ascii="Sylfaen" w:hAnsi="Sylfaen" w:cs="Sylfaen"/>
                <w:noProof/>
              </w:rPr>
              <w:t>ԲՅՈՒՋԵՆԵՐԻ</w:t>
            </w:r>
            <w:r w:rsidR="00391160" w:rsidRPr="003F6275">
              <w:rPr>
                <w:rStyle w:val="Hyperlink"/>
                <w:noProof/>
              </w:rPr>
              <w:t xml:space="preserve"> </w:t>
            </w:r>
            <w:r w:rsidR="00391160" w:rsidRPr="003F6275">
              <w:rPr>
                <w:rStyle w:val="Hyperlink"/>
                <w:rFonts w:ascii="Sylfaen" w:hAnsi="Sylfaen" w:cs="Sylfaen"/>
                <w:noProof/>
              </w:rPr>
              <w:t>ԵԿԱՄՈՒՏՆԵՐԻ</w:t>
            </w:r>
            <w:r w:rsidR="00391160" w:rsidRPr="003F6275">
              <w:rPr>
                <w:rStyle w:val="Hyperlink"/>
                <w:noProof/>
              </w:rPr>
              <w:t xml:space="preserve"> </w:t>
            </w:r>
            <w:r w:rsidR="00391160" w:rsidRPr="003F6275">
              <w:rPr>
                <w:rStyle w:val="Hyperlink"/>
                <w:rFonts w:ascii="Sylfaen" w:hAnsi="Sylfaen" w:cs="Sylfaen"/>
                <w:noProof/>
              </w:rPr>
              <w:t>ՔԱՂԱՔԱԿԱՆՈՒԹՅՈՒՆ</w:t>
            </w:r>
            <w:r w:rsidR="00391160" w:rsidRPr="003F6275">
              <w:rPr>
                <w:rStyle w:val="Hyperlink"/>
                <w:noProof/>
              </w:rPr>
              <w:t xml:space="preserve"> </w:t>
            </w:r>
            <w:r w:rsidR="00391160" w:rsidRPr="003F6275">
              <w:rPr>
                <w:rStyle w:val="Hyperlink"/>
                <w:rFonts w:ascii="Sylfaen" w:hAnsi="Sylfaen" w:cs="Sylfaen"/>
                <w:noProof/>
              </w:rPr>
              <w:t>ԵՎ</w:t>
            </w:r>
            <w:r w:rsidR="00391160" w:rsidRPr="003F6275">
              <w:rPr>
                <w:rStyle w:val="Hyperlink"/>
                <w:noProof/>
              </w:rPr>
              <w:t xml:space="preserve"> </w:t>
            </w:r>
            <w:r w:rsidR="00391160" w:rsidRPr="003F6275">
              <w:rPr>
                <w:rStyle w:val="Hyperlink"/>
                <w:rFonts w:ascii="Sylfaen" w:hAnsi="Sylfaen" w:cs="Sylfaen"/>
                <w:noProof/>
              </w:rPr>
              <w:t>ԿԱՆԽԱՏԵՍՈՒՄ</w:t>
            </w:r>
            <w:r w:rsidR="00391160">
              <w:rPr>
                <w:noProof/>
                <w:webHidden/>
              </w:rPr>
              <w:tab/>
            </w:r>
            <w:r w:rsidR="00391160">
              <w:rPr>
                <w:noProof/>
                <w:webHidden/>
              </w:rPr>
              <w:fldChar w:fldCharType="begin"/>
            </w:r>
            <w:r w:rsidR="00391160">
              <w:rPr>
                <w:noProof/>
                <w:webHidden/>
              </w:rPr>
              <w:instrText xml:space="preserve"> PAGEREF _Toc46154357 \h </w:instrText>
            </w:r>
            <w:r w:rsidR="00391160">
              <w:rPr>
                <w:noProof/>
                <w:webHidden/>
              </w:rPr>
            </w:r>
            <w:r w:rsidR="00391160">
              <w:rPr>
                <w:noProof/>
                <w:webHidden/>
              </w:rPr>
              <w:fldChar w:fldCharType="separate"/>
            </w:r>
            <w:r w:rsidR="00391160">
              <w:rPr>
                <w:noProof/>
                <w:webHidden/>
              </w:rPr>
              <w:t>53</w:t>
            </w:r>
            <w:r w:rsidR="00391160">
              <w:rPr>
                <w:noProof/>
                <w:webHidden/>
              </w:rPr>
              <w:fldChar w:fldCharType="end"/>
            </w:r>
          </w:hyperlink>
        </w:p>
        <w:p w14:paraId="6372CEEA" w14:textId="5E386A2D" w:rsidR="00391160" w:rsidRDefault="00664348">
          <w:pPr>
            <w:pStyle w:val="TOC3"/>
            <w:tabs>
              <w:tab w:val="right" w:leader="dot" w:pos="9680"/>
            </w:tabs>
            <w:rPr>
              <w:rFonts w:cstheme="minorBidi"/>
              <w:noProof/>
              <w:sz w:val="24"/>
              <w:szCs w:val="24"/>
            </w:rPr>
          </w:pPr>
          <w:hyperlink w:anchor="_Toc46154358" w:history="1">
            <w:r w:rsidR="00391160" w:rsidRPr="003F6275">
              <w:rPr>
                <w:rStyle w:val="Hyperlink"/>
                <w:rFonts w:eastAsia="Times New Roman" w:cs="Times New Roman"/>
                <w:noProof/>
                <w:lang w:val="es-ES"/>
              </w:rPr>
              <w:t>3.1</w:t>
            </w:r>
            <w:r w:rsidR="00391160" w:rsidRPr="003F6275">
              <w:rPr>
                <w:rStyle w:val="Hyperlink"/>
                <w:rFonts w:eastAsia="Times New Roman" w:cs="Times New Roman"/>
                <w:noProof/>
              </w:rPr>
              <w:t>.</w:t>
            </w:r>
            <w:r w:rsidR="00391160" w:rsidRPr="003F6275">
              <w:rPr>
                <w:rStyle w:val="Hyperlink"/>
                <w:rFonts w:eastAsia="Times New Roman" w:cs="Times New Roman"/>
                <w:noProof/>
                <w:lang w:val="es-ES"/>
              </w:rPr>
              <w:t xml:space="preserve"> </w:t>
            </w:r>
            <w:r w:rsidR="00391160" w:rsidRPr="003F6275">
              <w:rPr>
                <w:rStyle w:val="Hyperlink"/>
                <w:rFonts w:ascii="Sylfaen" w:eastAsia="Times New Roman" w:hAnsi="Sylfaen" w:cs="Sylfaen"/>
                <w:noProof/>
              </w:rPr>
              <w:t>ՊԵՏԱԿԱՆ</w:t>
            </w:r>
            <w:r w:rsidR="00391160" w:rsidRPr="003F6275">
              <w:rPr>
                <w:rStyle w:val="Hyperlink"/>
                <w:rFonts w:eastAsia="Times New Roman" w:cs="Times New Roman"/>
                <w:noProof/>
                <w:lang w:val="es-ES"/>
              </w:rPr>
              <w:t xml:space="preserve"> </w:t>
            </w:r>
            <w:r w:rsidR="00391160" w:rsidRPr="003F6275">
              <w:rPr>
                <w:rStyle w:val="Hyperlink"/>
                <w:rFonts w:ascii="Sylfaen" w:eastAsia="Times New Roman" w:hAnsi="Sylfaen" w:cs="Sylfaen"/>
                <w:noProof/>
              </w:rPr>
              <w:t>ԵԿԱՄՈՒՏՆԵՐԻ</w:t>
            </w:r>
            <w:r w:rsidR="00391160" w:rsidRPr="003F6275">
              <w:rPr>
                <w:rStyle w:val="Hyperlink"/>
                <w:rFonts w:eastAsia="Times New Roman" w:cs="Times New Roman"/>
                <w:noProof/>
                <w:lang w:val="es-ES"/>
              </w:rPr>
              <w:t xml:space="preserve"> </w:t>
            </w:r>
            <w:r w:rsidR="00391160" w:rsidRPr="003F6275">
              <w:rPr>
                <w:rStyle w:val="Hyperlink"/>
                <w:rFonts w:ascii="Sylfaen" w:eastAsia="Times New Roman" w:hAnsi="Sylfaen" w:cs="Sylfaen"/>
                <w:noProof/>
              </w:rPr>
              <w:t>ՔԱՂԱՔԱԿԱՆՈՒԹՅԱՆ</w:t>
            </w:r>
            <w:r w:rsidR="00391160" w:rsidRPr="003F6275">
              <w:rPr>
                <w:rStyle w:val="Hyperlink"/>
                <w:rFonts w:eastAsia="Times New Roman" w:cs="Times New Roman"/>
                <w:noProof/>
                <w:lang w:val="es-ES"/>
              </w:rPr>
              <w:t xml:space="preserve"> </w:t>
            </w:r>
            <w:r w:rsidR="00391160" w:rsidRPr="003F6275">
              <w:rPr>
                <w:rStyle w:val="Hyperlink"/>
                <w:rFonts w:ascii="Sylfaen" w:eastAsia="Times New Roman" w:hAnsi="Sylfaen" w:cs="Sylfaen"/>
                <w:noProof/>
              </w:rPr>
              <w:t>ՀԻՄՆԱԿԱՆ</w:t>
            </w:r>
            <w:r w:rsidR="00391160" w:rsidRPr="003F6275">
              <w:rPr>
                <w:rStyle w:val="Hyperlink"/>
                <w:rFonts w:eastAsia="Times New Roman" w:cs="Times New Roman"/>
                <w:noProof/>
                <w:lang w:val="es-ES"/>
              </w:rPr>
              <w:t xml:space="preserve"> </w:t>
            </w:r>
            <w:r w:rsidR="00391160" w:rsidRPr="003F6275">
              <w:rPr>
                <w:rStyle w:val="Hyperlink"/>
                <w:rFonts w:ascii="Sylfaen" w:eastAsia="Times New Roman" w:hAnsi="Sylfaen" w:cs="Sylfaen"/>
                <w:noProof/>
              </w:rPr>
              <w:t>ԱՌԱՆՁՆԱՀԱՏԿՈՒԹՅՈՒՆՆԵՐԸ</w:t>
            </w:r>
            <w:r w:rsidR="00391160" w:rsidRPr="003F6275">
              <w:rPr>
                <w:rStyle w:val="Hyperlink"/>
                <w:rFonts w:eastAsia="Times New Roman" w:cs="Times New Roman"/>
                <w:noProof/>
                <w:lang w:val="es-ES"/>
              </w:rPr>
              <w:t xml:space="preserve"> 2021-2023  </w:t>
            </w:r>
            <w:r w:rsidR="00391160" w:rsidRPr="003F6275">
              <w:rPr>
                <w:rStyle w:val="Hyperlink"/>
                <w:rFonts w:ascii="Sylfaen" w:eastAsia="Times New Roman" w:hAnsi="Sylfaen" w:cs="Sylfaen"/>
                <w:noProof/>
              </w:rPr>
              <w:t>ԹՎԱԿԱՆՆԵՐԻՆ</w:t>
            </w:r>
            <w:r w:rsidR="00391160">
              <w:rPr>
                <w:noProof/>
                <w:webHidden/>
              </w:rPr>
              <w:tab/>
            </w:r>
            <w:r w:rsidR="00391160">
              <w:rPr>
                <w:noProof/>
                <w:webHidden/>
              </w:rPr>
              <w:fldChar w:fldCharType="begin"/>
            </w:r>
            <w:r w:rsidR="00391160">
              <w:rPr>
                <w:noProof/>
                <w:webHidden/>
              </w:rPr>
              <w:instrText xml:space="preserve"> PAGEREF _Toc46154358 \h </w:instrText>
            </w:r>
            <w:r w:rsidR="00391160">
              <w:rPr>
                <w:noProof/>
                <w:webHidden/>
              </w:rPr>
            </w:r>
            <w:r w:rsidR="00391160">
              <w:rPr>
                <w:noProof/>
                <w:webHidden/>
              </w:rPr>
              <w:fldChar w:fldCharType="separate"/>
            </w:r>
            <w:r w:rsidR="00391160">
              <w:rPr>
                <w:noProof/>
                <w:webHidden/>
              </w:rPr>
              <w:t>53</w:t>
            </w:r>
            <w:r w:rsidR="00391160">
              <w:rPr>
                <w:noProof/>
                <w:webHidden/>
              </w:rPr>
              <w:fldChar w:fldCharType="end"/>
            </w:r>
          </w:hyperlink>
        </w:p>
        <w:p w14:paraId="4678D2FB" w14:textId="75F500DF" w:rsidR="00391160" w:rsidRDefault="00664348">
          <w:pPr>
            <w:pStyle w:val="TOC3"/>
            <w:tabs>
              <w:tab w:val="right" w:leader="dot" w:pos="9680"/>
            </w:tabs>
            <w:rPr>
              <w:rFonts w:cstheme="minorBidi"/>
              <w:noProof/>
              <w:sz w:val="24"/>
              <w:szCs w:val="24"/>
            </w:rPr>
          </w:pPr>
          <w:hyperlink w:anchor="_Toc46154359" w:history="1">
            <w:r w:rsidR="00391160" w:rsidRPr="003F6275">
              <w:rPr>
                <w:rStyle w:val="Hyperlink"/>
                <w:rFonts w:eastAsia="Times New Roman" w:cs="Times New Roman"/>
                <w:noProof/>
              </w:rPr>
              <w:t xml:space="preserve">3.2. </w:t>
            </w:r>
            <w:r w:rsidR="00391160" w:rsidRPr="003F6275">
              <w:rPr>
                <w:rStyle w:val="Hyperlink"/>
                <w:rFonts w:ascii="Sylfaen" w:eastAsia="Times New Roman" w:hAnsi="Sylfaen" w:cs="Sylfaen"/>
                <w:noProof/>
              </w:rPr>
              <w:t>ՀՀ</w:t>
            </w:r>
            <w:r w:rsidR="00391160" w:rsidRPr="003F6275">
              <w:rPr>
                <w:rStyle w:val="Hyperlink"/>
                <w:rFonts w:eastAsia="Times New Roman" w:cs="Times New Roman"/>
                <w:noProof/>
              </w:rPr>
              <w:t xml:space="preserve"> 2021-2023 </w:t>
            </w:r>
            <w:r w:rsidR="00391160" w:rsidRPr="003F6275">
              <w:rPr>
                <w:rStyle w:val="Hyperlink"/>
                <w:rFonts w:ascii="Sylfaen" w:eastAsia="Times New Roman" w:hAnsi="Sylfaen" w:cs="Sylfaen"/>
                <w:noProof/>
              </w:rPr>
              <w:t>ԹՎԱԿԱՆՆԵՐԻ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ՊԵՏԱԿԱՆ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ԲՅՈՒՋԵՆԵՐԻ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ԵԿԱՄՈՒՏՆԵՐԻ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ԿԱՆԽԱՏԵՍՈՒՄԸ</w:t>
            </w:r>
            <w:r w:rsidR="00391160">
              <w:rPr>
                <w:noProof/>
                <w:webHidden/>
              </w:rPr>
              <w:tab/>
            </w:r>
            <w:r w:rsidR="00391160">
              <w:rPr>
                <w:noProof/>
                <w:webHidden/>
              </w:rPr>
              <w:fldChar w:fldCharType="begin"/>
            </w:r>
            <w:r w:rsidR="00391160">
              <w:rPr>
                <w:noProof/>
                <w:webHidden/>
              </w:rPr>
              <w:instrText xml:space="preserve"> PAGEREF _Toc46154359 \h </w:instrText>
            </w:r>
            <w:r w:rsidR="00391160">
              <w:rPr>
                <w:noProof/>
                <w:webHidden/>
              </w:rPr>
            </w:r>
            <w:r w:rsidR="00391160">
              <w:rPr>
                <w:noProof/>
                <w:webHidden/>
              </w:rPr>
              <w:fldChar w:fldCharType="separate"/>
            </w:r>
            <w:r w:rsidR="00391160">
              <w:rPr>
                <w:noProof/>
                <w:webHidden/>
              </w:rPr>
              <w:t>54</w:t>
            </w:r>
            <w:r w:rsidR="00391160">
              <w:rPr>
                <w:noProof/>
                <w:webHidden/>
              </w:rPr>
              <w:fldChar w:fldCharType="end"/>
            </w:r>
          </w:hyperlink>
        </w:p>
        <w:p w14:paraId="2442B736" w14:textId="5F280D90" w:rsidR="00391160" w:rsidRDefault="00664348">
          <w:pPr>
            <w:pStyle w:val="TOC2"/>
            <w:tabs>
              <w:tab w:val="left" w:pos="1860"/>
              <w:tab w:val="right" w:leader="dot" w:pos="9680"/>
            </w:tabs>
            <w:rPr>
              <w:rFonts w:cstheme="minorBidi"/>
              <w:b w:val="0"/>
              <w:bCs w:val="0"/>
              <w:noProof/>
              <w:sz w:val="24"/>
              <w:szCs w:val="24"/>
            </w:rPr>
          </w:pPr>
          <w:hyperlink w:anchor="_Toc46154360" w:history="1">
            <w:r w:rsidR="00391160" w:rsidRPr="003F6275">
              <w:rPr>
                <w:rStyle w:val="Hyperlink"/>
                <w:rFonts w:ascii="Sylfaen" w:hAnsi="Sylfaen" w:cs="Sylfaen"/>
                <w:noProof/>
              </w:rPr>
              <w:t>Գլուխ</w:t>
            </w:r>
            <w:r w:rsidR="00391160" w:rsidRPr="003F6275">
              <w:rPr>
                <w:rStyle w:val="Hyperlink"/>
                <w:noProof/>
              </w:rPr>
              <w:t xml:space="preserve"> 4.</w:t>
            </w:r>
            <w:r w:rsidR="00391160">
              <w:rPr>
                <w:rFonts w:cstheme="minorBidi"/>
                <w:b w:val="0"/>
                <w:bCs w:val="0"/>
                <w:noProof/>
                <w:sz w:val="24"/>
                <w:szCs w:val="24"/>
              </w:rPr>
              <w:tab/>
            </w:r>
            <w:r w:rsidR="00391160" w:rsidRPr="003F6275">
              <w:rPr>
                <w:rStyle w:val="Hyperlink"/>
                <w:rFonts w:ascii="Sylfaen" w:hAnsi="Sylfaen" w:cs="Sylfaen"/>
                <w:noProof/>
              </w:rPr>
              <w:t>ԲՅՈՒՋԵՏԱՅԻՆ</w:t>
            </w:r>
            <w:r w:rsidR="00391160" w:rsidRPr="003F6275">
              <w:rPr>
                <w:rStyle w:val="Hyperlink"/>
                <w:noProof/>
              </w:rPr>
              <w:t xml:space="preserve"> </w:t>
            </w:r>
            <w:r w:rsidR="00391160" w:rsidRPr="003F6275">
              <w:rPr>
                <w:rStyle w:val="Hyperlink"/>
                <w:rFonts w:ascii="Sylfaen" w:hAnsi="Sylfaen" w:cs="Sylfaen"/>
                <w:noProof/>
              </w:rPr>
              <w:t>ՇՐՋԱՆԱԿ</w:t>
            </w:r>
            <w:r w:rsidR="00391160">
              <w:rPr>
                <w:noProof/>
                <w:webHidden/>
              </w:rPr>
              <w:tab/>
            </w:r>
            <w:r w:rsidR="00391160">
              <w:rPr>
                <w:noProof/>
                <w:webHidden/>
              </w:rPr>
              <w:fldChar w:fldCharType="begin"/>
            </w:r>
            <w:r w:rsidR="00391160">
              <w:rPr>
                <w:noProof/>
                <w:webHidden/>
              </w:rPr>
              <w:instrText xml:space="preserve"> PAGEREF _Toc46154360 \h </w:instrText>
            </w:r>
            <w:r w:rsidR="00391160">
              <w:rPr>
                <w:noProof/>
                <w:webHidden/>
              </w:rPr>
            </w:r>
            <w:r w:rsidR="00391160">
              <w:rPr>
                <w:noProof/>
                <w:webHidden/>
              </w:rPr>
              <w:fldChar w:fldCharType="separate"/>
            </w:r>
            <w:r w:rsidR="00391160">
              <w:rPr>
                <w:noProof/>
                <w:webHidden/>
              </w:rPr>
              <w:t>58</w:t>
            </w:r>
            <w:r w:rsidR="00391160">
              <w:rPr>
                <w:noProof/>
                <w:webHidden/>
              </w:rPr>
              <w:fldChar w:fldCharType="end"/>
            </w:r>
          </w:hyperlink>
        </w:p>
        <w:p w14:paraId="2E7B45CB" w14:textId="1BC7C243" w:rsidR="00391160" w:rsidRDefault="00664348">
          <w:pPr>
            <w:pStyle w:val="TOC3"/>
            <w:tabs>
              <w:tab w:val="right" w:leader="dot" w:pos="9680"/>
            </w:tabs>
            <w:rPr>
              <w:rFonts w:cstheme="minorBidi"/>
              <w:noProof/>
              <w:sz w:val="24"/>
              <w:szCs w:val="24"/>
            </w:rPr>
          </w:pPr>
          <w:hyperlink w:anchor="_Toc46154361" w:history="1">
            <w:r w:rsidR="00391160" w:rsidRPr="003F6275">
              <w:rPr>
                <w:rStyle w:val="Hyperlink"/>
                <w:rFonts w:eastAsia="Times New Roman" w:cs="Times New Roman"/>
                <w:noProof/>
                <w:lang w:val="es-ES"/>
              </w:rPr>
              <w:t>4.</w:t>
            </w:r>
            <w:r w:rsidR="00391160" w:rsidRPr="003F6275">
              <w:rPr>
                <w:rStyle w:val="Hyperlink"/>
                <w:rFonts w:eastAsia="Times New Roman" w:cs="Times New Roman"/>
                <w:noProof/>
              </w:rPr>
              <w:t xml:space="preserve">1. </w:t>
            </w:r>
            <w:r w:rsidR="00391160" w:rsidRPr="003F6275">
              <w:rPr>
                <w:rStyle w:val="Hyperlink"/>
                <w:rFonts w:ascii="Sylfaen" w:eastAsia="Times New Roman" w:hAnsi="Sylfaen" w:cs="Sylfaen"/>
                <w:noProof/>
              </w:rPr>
              <w:t>ՊԵՏԱԿԱՆ</w:t>
            </w:r>
            <w:r w:rsidR="00391160" w:rsidRPr="003F6275">
              <w:rPr>
                <w:rStyle w:val="Hyperlink"/>
                <w:rFonts w:eastAsia="Times New Roman" w:cs="Times New Roman"/>
                <w:noProof/>
                <w:lang w:val="es-ES"/>
              </w:rPr>
              <w:t xml:space="preserve"> </w:t>
            </w:r>
            <w:r w:rsidR="00391160" w:rsidRPr="003F6275">
              <w:rPr>
                <w:rStyle w:val="Hyperlink"/>
                <w:rFonts w:ascii="Sylfaen" w:eastAsia="Times New Roman" w:hAnsi="Sylfaen" w:cs="Sylfaen"/>
                <w:noProof/>
              </w:rPr>
              <w:t>ԲՅՈՒՋԵԻ</w:t>
            </w:r>
            <w:r w:rsidR="00391160" w:rsidRPr="003F6275">
              <w:rPr>
                <w:rStyle w:val="Hyperlink"/>
                <w:rFonts w:eastAsia="Times New Roman" w:cs="Times New Roman"/>
                <w:noProof/>
                <w:lang w:val="es-ES"/>
              </w:rPr>
              <w:t xml:space="preserve"> </w:t>
            </w:r>
            <w:r w:rsidR="00391160" w:rsidRPr="003F6275">
              <w:rPr>
                <w:rStyle w:val="Hyperlink"/>
                <w:rFonts w:ascii="Sylfaen" w:eastAsia="Times New Roman" w:hAnsi="Sylfaen" w:cs="Sylfaen"/>
                <w:noProof/>
              </w:rPr>
              <w:t>ԴԵՖԻՑԻՏԸ</w:t>
            </w:r>
            <w:r w:rsidR="00391160">
              <w:rPr>
                <w:noProof/>
                <w:webHidden/>
              </w:rPr>
              <w:tab/>
            </w:r>
            <w:r w:rsidR="00391160">
              <w:rPr>
                <w:noProof/>
                <w:webHidden/>
              </w:rPr>
              <w:fldChar w:fldCharType="begin"/>
            </w:r>
            <w:r w:rsidR="00391160">
              <w:rPr>
                <w:noProof/>
                <w:webHidden/>
              </w:rPr>
              <w:instrText xml:space="preserve"> PAGEREF _Toc46154361 \h </w:instrText>
            </w:r>
            <w:r w:rsidR="00391160">
              <w:rPr>
                <w:noProof/>
                <w:webHidden/>
              </w:rPr>
            </w:r>
            <w:r w:rsidR="00391160">
              <w:rPr>
                <w:noProof/>
                <w:webHidden/>
              </w:rPr>
              <w:fldChar w:fldCharType="separate"/>
            </w:r>
            <w:r w:rsidR="00391160">
              <w:rPr>
                <w:noProof/>
                <w:webHidden/>
              </w:rPr>
              <w:t>58</w:t>
            </w:r>
            <w:r w:rsidR="00391160">
              <w:rPr>
                <w:noProof/>
                <w:webHidden/>
              </w:rPr>
              <w:fldChar w:fldCharType="end"/>
            </w:r>
          </w:hyperlink>
        </w:p>
        <w:p w14:paraId="4A3158E8" w14:textId="66508326" w:rsidR="00391160" w:rsidRDefault="00664348">
          <w:pPr>
            <w:pStyle w:val="TOC3"/>
            <w:tabs>
              <w:tab w:val="right" w:leader="dot" w:pos="9680"/>
            </w:tabs>
            <w:rPr>
              <w:rFonts w:cstheme="minorBidi"/>
              <w:noProof/>
              <w:sz w:val="24"/>
              <w:szCs w:val="24"/>
            </w:rPr>
          </w:pPr>
          <w:hyperlink w:anchor="_Toc46154362" w:history="1">
            <w:r w:rsidR="00391160" w:rsidRPr="003F6275">
              <w:rPr>
                <w:rStyle w:val="Hyperlink"/>
                <w:rFonts w:eastAsia="Times New Roman" w:cs="Times New Roman"/>
                <w:noProof/>
              </w:rPr>
              <w:t xml:space="preserve">4.2. </w:t>
            </w:r>
            <w:r w:rsidR="00391160" w:rsidRPr="003F6275">
              <w:rPr>
                <w:rStyle w:val="Hyperlink"/>
                <w:rFonts w:ascii="Sylfaen" w:eastAsia="Times New Roman" w:hAnsi="Sylfaen" w:cs="Sylfaen"/>
                <w:noProof/>
              </w:rPr>
              <w:t>ՀՀ</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ՊԵՏԱԿԱՆ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ԲՅՈՒՋԵԻ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ՌԵՍՈՒՐՍՆԵՐԻ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ԵՎ</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ԾԱԽՍԵՐԻ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ՓԱԹԵԹՈՒՄ</w:t>
            </w:r>
            <w:r w:rsidR="00391160" w:rsidRPr="003F6275">
              <w:rPr>
                <w:rStyle w:val="Hyperlink"/>
                <w:rFonts w:eastAsia="Times New Roman" w:cs="Times New Roman"/>
                <w:noProof/>
              </w:rPr>
              <w:t xml:space="preserve"> 2021-2023</w:t>
            </w:r>
            <w:r w:rsidR="00391160" w:rsidRPr="003F6275">
              <w:rPr>
                <w:rStyle w:val="Hyperlink"/>
                <w:rFonts w:ascii="Sylfaen" w:eastAsia="Times New Roman" w:hAnsi="Sylfaen" w:cs="Sylfaen"/>
                <w:noProof/>
              </w:rPr>
              <w:t>ԹԹ</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ԿԱՆԽԱՏԵՍՎՈՂ</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ՓՈՓՈԽՈՒԹՅՈՒՆՆԵՐԸ</w:t>
            </w:r>
            <w:r w:rsidR="00391160">
              <w:rPr>
                <w:noProof/>
                <w:webHidden/>
              </w:rPr>
              <w:tab/>
            </w:r>
            <w:r w:rsidR="00391160">
              <w:rPr>
                <w:noProof/>
                <w:webHidden/>
              </w:rPr>
              <w:fldChar w:fldCharType="begin"/>
            </w:r>
            <w:r w:rsidR="00391160">
              <w:rPr>
                <w:noProof/>
                <w:webHidden/>
              </w:rPr>
              <w:instrText xml:space="preserve"> PAGEREF _Toc46154362 \h </w:instrText>
            </w:r>
            <w:r w:rsidR="00391160">
              <w:rPr>
                <w:noProof/>
                <w:webHidden/>
              </w:rPr>
            </w:r>
            <w:r w:rsidR="00391160">
              <w:rPr>
                <w:noProof/>
                <w:webHidden/>
              </w:rPr>
              <w:fldChar w:fldCharType="separate"/>
            </w:r>
            <w:r w:rsidR="00391160">
              <w:rPr>
                <w:noProof/>
                <w:webHidden/>
              </w:rPr>
              <w:t>59</w:t>
            </w:r>
            <w:r w:rsidR="00391160">
              <w:rPr>
                <w:noProof/>
                <w:webHidden/>
              </w:rPr>
              <w:fldChar w:fldCharType="end"/>
            </w:r>
          </w:hyperlink>
        </w:p>
        <w:p w14:paraId="622CA627" w14:textId="30A323C7" w:rsidR="00391160" w:rsidRDefault="00664348">
          <w:pPr>
            <w:pStyle w:val="TOC3"/>
            <w:tabs>
              <w:tab w:val="right" w:leader="dot" w:pos="9680"/>
            </w:tabs>
            <w:rPr>
              <w:rFonts w:cstheme="minorBidi"/>
              <w:noProof/>
              <w:sz w:val="24"/>
              <w:szCs w:val="24"/>
            </w:rPr>
          </w:pPr>
          <w:hyperlink w:anchor="_Toc46154363" w:history="1">
            <w:r w:rsidR="00391160" w:rsidRPr="003F6275">
              <w:rPr>
                <w:rStyle w:val="Hyperlink"/>
                <w:rFonts w:eastAsia="Times New Roman" w:cs="Times New Roman"/>
                <w:noProof/>
                <w:lang w:val="it-IT"/>
              </w:rPr>
              <w:t>4.3. 2021-2023</w:t>
            </w:r>
            <w:r w:rsidR="00391160" w:rsidRPr="003F6275">
              <w:rPr>
                <w:rStyle w:val="Hyperlink"/>
                <w:rFonts w:ascii="Sylfaen" w:eastAsia="Times New Roman" w:hAnsi="Sylfaen" w:cs="Sylfaen"/>
                <w:noProof/>
              </w:rPr>
              <w:t>ԹԹ</w:t>
            </w:r>
            <w:r w:rsidR="00391160" w:rsidRPr="003F6275">
              <w:rPr>
                <w:rStyle w:val="Hyperlink"/>
                <w:rFonts w:eastAsia="Times New Roman" w:cs="Times New Roman"/>
                <w:noProof/>
                <w:lang w:val="it-IT"/>
              </w:rPr>
              <w:t xml:space="preserve"> </w:t>
            </w:r>
            <w:r w:rsidR="00391160" w:rsidRPr="003F6275">
              <w:rPr>
                <w:rStyle w:val="Hyperlink"/>
                <w:rFonts w:ascii="Sylfaen" w:eastAsia="Times New Roman" w:hAnsi="Sylfaen" w:cs="Sylfaen"/>
                <w:noProof/>
              </w:rPr>
              <w:t>ՊԵՏԱԿԱՆ</w:t>
            </w:r>
            <w:r w:rsidR="00391160" w:rsidRPr="003F6275">
              <w:rPr>
                <w:rStyle w:val="Hyperlink"/>
                <w:rFonts w:eastAsia="Times New Roman" w:cs="Times New Roman"/>
                <w:noProof/>
                <w:lang w:val="it-IT"/>
              </w:rPr>
              <w:t xml:space="preserve"> </w:t>
            </w:r>
            <w:r w:rsidR="00391160" w:rsidRPr="003F6275">
              <w:rPr>
                <w:rStyle w:val="Hyperlink"/>
                <w:rFonts w:ascii="Sylfaen" w:eastAsia="Times New Roman" w:hAnsi="Sylfaen" w:cs="Sylfaen"/>
                <w:noProof/>
              </w:rPr>
              <w:t>ԲՅՈՒՋԵՆԵՐԻ</w:t>
            </w:r>
            <w:r w:rsidR="00391160" w:rsidRPr="003F6275">
              <w:rPr>
                <w:rStyle w:val="Hyperlink"/>
                <w:rFonts w:eastAsia="Times New Roman" w:cs="Times New Roman"/>
                <w:noProof/>
                <w:lang w:val="it-IT"/>
              </w:rPr>
              <w:t xml:space="preserve"> </w:t>
            </w:r>
            <w:r w:rsidR="00391160" w:rsidRPr="003F6275">
              <w:rPr>
                <w:rStyle w:val="Hyperlink"/>
                <w:rFonts w:ascii="Sylfaen" w:eastAsia="Times New Roman" w:hAnsi="Sylfaen" w:cs="Sylfaen"/>
                <w:noProof/>
              </w:rPr>
              <w:t>ԾԱԽՍԵՐԻ</w:t>
            </w:r>
            <w:r w:rsidR="00391160" w:rsidRPr="003F6275">
              <w:rPr>
                <w:rStyle w:val="Hyperlink"/>
                <w:rFonts w:eastAsia="Times New Roman" w:cs="Times New Roman"/>
                <w:noProof/>
                <w:lang w:val="it-IT"/>
              </w:rPr>
              <w:t xml:space="preserve"> </w:t>
            </w:r>
            <w:r w:rsidR="00391160" w:rsidRPr="003F6275">
              <w:rPr>
                <w:rStyle w:val="Hyperlink"/>
                <w:rFonts w:ascii="Sylfaen" w:eastAsia="Times New Roman" w:hAnsi="Sylfaen" w:cs="Sylfaen"/>
                <w:noProof/>
              </w:rPr>
              <w:t>ԿԱՆԽԱՏԵՍՈՒՄԸ</w:t>
            </w:r>
            <w:r w:rsidR="00391160" w:rsidRPr="003F6275">
              <w:rPr>
                <w:rStyle w:val="Hyperlink"/>
                <w:rFonts w:eastAsia="Times New Roman" w:cs="Times New Roman"/>
                <w:noProof/>
                <w:lang w:val="it-IT"/>
              </w:rPr>
              <w:t xml:space="preserve">` </w:t>
            </w:r>
            <w:r w:rsidR="00391160" w:rsidRPr="003F6275">
              <w:rPr>
                <w:rStyle w:val="Hyperlink"/>
                <w:rFonts w:ascii="Sylfaen" w:eastAsia="Times New Roman" w:hAnsi="Sylfaen" w:cs="Sylfaen"/>
                <w:noProof/>
              </w:rPr>
              <w:t>ԸՍՏ</w:t>
            </w:r>
            <w:r w:rsidR="00391160" w:rsidRPr="003F6275">
              <w:rPr>
                <w:rStyle w:val="Hyperlink"/>
                <w:rFonts w:eastAsia="Times New Roman" w:cs="Times New Roman"/>
                <w:noProof/>
                <w:lang w:val="it-IT"/>
              </w:rPr>
              <w:t xml:space="preserve"> </w:t>
            </w:r>
            <w:r w:rsidR="00391160" w:rsidRPr="003F6275">
              <w:rPr>
                <w:rStyle w:val="Hyperlink"/>
                <w:rFonts w:ascii="Sylfaen" w:eastAsia="Times New Roman" w:hAnsi="Sylfaen" w:cs="Sylfaen"/>
                <w:noProof/>
              </w:rPr>
              <w:t>ՈԼՈՐՏՆԵՐԻ</w:t>
            </w:r>
            <w:r w:rsidR="00391160">
              <w:rPr>
                <w:noProof/>
                <w:webHidden/>
              </w:rPr>
              <w:tab/>
            </w:r>
            <w:r w:rsidR="00391160">
              <w:rPr>
                <w:noProof/>
                <w:webHidden/>
              </w:rPr>
              <w:fldChar w:fldCharType="begin"/>
            </w:r>
            <w:r w:rsidR="00391160">
              <w:rPr>
                <w:noProof/>
                <w:webHidden/>
              </w:rPr>
              <w:instrText xml:space="preserve"> PAGEREF _Toc46154363 \h </w:instrText>
            </w:r>
            <w:r w:rsidR="00391160">
              <w:rPr>
                <w:noProof/>
                <w:webHidden/>
              </w:rPr>
            </w:r>
            <w:r w:rsidR="00391160">
              <w:rPr>
                <w:noProof/>
                <w:webHidden/>
              </w:rPr>
              <w:fldChar w:fldCharType="separate"/>
            </w:r>
            <w:r w:rsidR="00391160">
              <w:rPr>
                <w:noProof/>
                <w:webHidden/>
              </w:rPr>
              <w:t>60</w:t>
            </w:r>
            <w:r w:rsidR="00391160">
              <w:rPr>
                <w:noProof/>
                <w:webHidden/>
              </w:rPr>
              <w:fldChar w:fldCharType="end"/>
            </w:r>
          </w:hyperlink>
        </w:p>
        <w:p w14:paraId="65EF1941" w14:textId="50FCCA82" w:rsidR="00391160" w:rsidRDefault="00664348">
          <w:pPr>
            <w:pStyle w:val="TOC3"/>
            <w:tabs>
              <w:tab w:val="right" w:leader="dot" w:pos="9680"/>
            </w:tabs>
            <w:rPr>
              <w:rFonts w:cstheme="minorBidi"/>
              <w:noProof/>
              <w:sz w:val="24"/>
              <w:szCs w:val="24"/>
            </w:rPr>
          </w:pPr>
          <w:hyperlink w:anchor="_Toc46154364" w:history="1">
            <w:r w:rsidR="00391160" w:rsidRPr="003F6275">
              <w:rPr>
                <w:rStyle w:val="Hyperlink"/>
                <w:rFonts w:eastAsia="Times New Roman" w:cs="Times New Roman"/>
                <w:noProof/>
              </w:rPr>
              <w:t xml:space="preserve">4.4.  </w:t>
            </w:r>
            <w:r w:rsidR="00391160" w:rsidRPr="003F6275">
              <w:rPr>
                <w:rStyle w:val="Hyperlink"/>
                <w:rFonts w:ascii="Sylfaen" w:eastAsia="Times New Roman" w:hAnsi="Sylfaen" w:cs="Sylfaen"/>
                <w:noProof/>
              </w:rPr>
              <w:t>ԿԱՆԽԱՏԵՍՎՈՂ</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ՓՈՓՈԽՈՒԹՅՈՒՆՆԵՐՆ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ԸՍՏ</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ՏՆՏԵՍԱԳԻՏԱԿԱՆ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ԴԱՍԱԿԱՐԳՄԱՆ</w:t>
            </w:r>
            <w:r w:rsidR="00391160">
              <w:rPr>
                <w:noProof/>
                <w:webHidden/>
              </w:rPr>
              <w:tab/>
            </w:r>
            <w:r w:rsidR="00391160">
              <w:rPr>
                <w:noProof/>
                <w:webHidden/>
              </w:rPr>
              <w:fldChar w:fldCharType="begin"/>
            </w:r>
            <w:r w:rsidR="00391160">
              <w:rPr>
                <w:noProof/>
                <w:webHidden/>
              </w:rPr>
              <w:instrText xml:space="preserve"> PAGEREF _Toc46154364 \h </w:instrText>
            </w:r>
            <w:r w:rsidR="00391160">
              <w:rPr>
                <w:noProof/>
                <w:webHidden/>
              </w:rPr>
            </w:r>
            <w:r w:rsidR="00391160">
              <w:rPr>
                <w:noProof/>
                <w:webHidden/>
              </w:rPr>
              <w:fldChar w:fldCharType="separate"/>
            </w:r>
            <w:r w:rsidR="00391160">
              <w:rPr>
                <w:noProof/>
                <w:webHidden/>
              </w:rPr>
              <w:t>65</w:t>
            </w:r>
            <w:r w:rsidR="00391160">
              <w:rPr>
                <w:noProof/>
                <w:webHidden/>
              </w:rPr>
              <w:fldChar w:fldCharType="end"/>
            </w:r>
          </w:hyperlink>
        </w:p>
        <w:p w14:paraId="20A8D2D1" w14:textId="7DC76AF3" w:rsidR="00391160" w:rsidRDefault="00664348">
          <w:pPr>
            <w:pStyle w:val="TOC3"/>
            <w:tabs>
              <w:tab w:val="right" w:leader="dot" w:pos="9680"/>
            </w:tabs>
            <w:rPr>
              <w:rFonts w:cstheme="minorBidi"/>
              <w:noProof/>
              <w:sz w:val="24"/>
              <w:szCs w:val="24"/>
            </w:rPr>
          </w:pPr>
          <w:hyperlink w:anchor="_Toc46154365" w:history="1">
            <w:r w:rsidR="00391160" w:rsidRPr="003F6275">
              <w:rPr>
                <w:rStyle w:val="Hyperlink"/>
                <w:rFonts w:eastAsia="Times New Roman" w:cs="Times New Roman"/>
                <w:noProof/>
              </w:rPr>
              <w:t>4.5. 2021-2023</w:t>
            </w:r>
            <w:r w:rsidR="00391160" w:rsidRPr="003F6275">
              <w:rPr>
                <w:rStyle w:val="Hyperlink"/>
                <w:rFonts w:ascii="Sylfaen" w:eastAsia="Times New Roman" w:hAnsi="Sylfaen" w:cs="Sylfaen"/>
                <w:noProof/>
              </w:rPr>
              <w:t>ԹԹ</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ՄԺԾԾ</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ԿԱՊԻՏԱԼ</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ԾԱԽՍԵՐԻ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ԵՎ</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ՆՈՐ</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ՆԱԽԱՁԵՌՆՈՒԹՅՈՒՆՆԵՐԻ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ԳԾՈՎ</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ԱՌԱՋՆԱՀԵՐԹՈՒԹՅՈՒՆՆԵՐԸ</w:t>
            </w:r>
            <w:r w:rsidR="00391160">
              <w:rPr>
                <w:noProof/>
                <w:webHidden/>
              </w:rPr>
              <w:tab/>
            </w:r>
            <w:r w:rsidR="00391160">
              <w:rPr>
                <w:noProof/>
                <w:webHidden/>
              </w:rPr>
              <w:fldChar w:fldCharType="begin"/>
            </w:r>
            <w:r w:rsidR="00391160">
              <w:rPr>
                <w:noProof/>
                <w:webHidden/>
              </w:rPr>
              <w:instrText xml:space="preserve"> PAGEREF _Toc46154365 \h </w:instrText>
            </w:r>
            <w:r w:rsidR="00391160">
              <w:rPr>
                <w:noProof/>
                <w:webHidden/>
              </w:rPr>
            </w:r>
            <w:r w:rsidR="00391160">
              <w:rPr>
                <w:noProof/>
                <w:webHidden/>
              </w:rPr>
              <w:fldChar w:fldCharType="separate"/>
            </w:r>
            <w:r w:rsidR="00391160">
              <w:rPr>
                <w:noProof/>
                <w:webHidden/>
              </w:rPr>
              <w:t>71</w:t>
            </w:r>
            <w:r w:rsidR="00391160">
              <w:rPr>
                <w:noProof/>
                <w:webHidden/>
              </w:rPr>
              <w:fldChar w:fldCharType="end"/>
            </w:r>
          </w:hyperlink>
        </w:p>
        <w:p w14:paraId="07AC6D9A" w14:textId="3E778E86" w:rsidR="00391160" w:rsidRDefault="00664348">
          <w:pPr>
            <w:pStyle w:val="TOC1"/>
            <w:tabs>
              <w:tab w:val="right" w:leader="dot" w:pos="9680"/>
            </w:tabs>
            <w:rPr>
              <w:rFonts w:cstheme="minorBidi"/>
              <w:b w:val="0"/>
              <w:bCs w:val="0"/>
              <w:i w:val="0"/>
              <w:iCs w:val="0"/>
              <w:noProof/>
            </w:rPr>
          </w:pPr>
          <w:hyperlink w:anchor="_Toc46154366" w:history="1">
            <w:r w:rsidR="00391160" w:rsidRPr="003F6275">
              <w:rPr>
                <w:rStyle w:val="Hyperlink"/>
                <w:rFonts w:ascii="Sylfaen" w:hAnsi="Sylfaen" w:cs="Sylfaen"/>
                <w:noProof/>
                <w:lang w:val="hy-AM"/>
              </w:rPr>
              <w:t>ՄԱՍ</w:t>
            </w:r>
            <w:r w:rsidR="00391160" w:rsidRPr="003F6275">
              <w:rPr>
                <w:rStyle w:val="Hyperlink"/>
                <w:noProof/>
                <w:lang w:val="hy-AM"/>
              </w:rPr>
              <w:t xml:space="preserve"> II. </w:t>
            </w:r>
            <w:r w:rsidR="00391160" w:rsidRPr="003F6275">
              <w:rPr>
                <w:rStyle w:val="Hyperlink"/>
                <w:rFonts w:ascii="Sylfaen" w:hAnsi="Sylfaen" w:cs="Sylfaen"/>
                <w:noProof/>
                <w:lang w:val="hy-AM"/>
              </w:rPr>
              <w:t>ԾԱԽՍԱՅԻՆ</w:t>
            </w:r>
            <w:r w:rsidR="00391160" w:rsidRPr="003F6275">
              <w:rPr>
                <w:rStyle w:val="Hyperlink"/>
                <w:noProof/>
                <w:lang w:val="hy-AM"/>
              </w:rPr>
              <w:t xml:space="preserve"> </w:t>
            </w:r>
            <w:r w:rsidR="00391160" w:rsidRPr="003F6275">
              <w:rPr>
                <w:rStyle w:val="Hyperlink"/>
                <w:rFonts w:ascii="Sylfaen" w:hAnsi="Sylfaen" w:cs="Sylfaen"/>
                <w:noProof/>
                <w:lang w:val="hy-AM"/>
              </w:rPr>
              <w:t>ՔԱՂԱՔԱԿԱՆՈՒԹՅԱՆ</w:t>
            </w:r>
            <w:r w:rsidR="00391160" w:rsidRPr="003F6275">
              <w:rPr>
                <w:rStyle w:val="Hyperlink"/>
                <w:noProof/>
                <w:lang w:val="hy-AM"/>
              </w:rPr>
              <w:t xml:space="preserve"> </w:t>
            </w:r>
            <w:r w:rsidR="00391160" w:rsidRPr="003F6275">
              <w:rPr>
                <w:rStyle w:val="Hyperlink"/>
                <w:rFonts w:ascii="Sylfaen" w:hAnsi="Sylfaen" w:cs="Sylfaen"/>
                <w:noProof/>
                <w:lang w:val="hy-AM"/>
              </w:rPr>
              <w:t>ՌԱԶՄԱՎԱՐՈՒԹՅՈՒՆԸ</w:t>
            </w:r>
            <w:r w:rsidR="00391160">
              <w:rPr>
                <w:noProof/>
                <w:webHidden/>
              </w:rPr>
              <w:tab/>
            </w:r>
            <w:r w:rsidR="00391160">
              <w:rPr>
                <w:noProof/>
                <w:webHidden/>
              </w:rPr>
              <w:fldChar w:fldCharType="begin"/>
            </w:r>
            <w:r w:rsidR="00391160">
              <w:rPr>
                <w:noProof/>
                <w:webHidden/>
              </w:rPr>
              <w:instrText xml:space="preserve"> PAGEREF _Toc46154366 \h </w:instrText>
            </w:r>
            <w:r w:rsidR="00391160">
              <w:rPr>
                <w:noProof/>
                <w:webHidden/>
              </w:rPr>
            </w:r>
            <w:r w:rsidR="00391160">
              <w:rPr>
                <w:noProof/>
                <w:webHidden/>
              </w:rPr>
              <w:fldChar w:fldCharType="separate"/>
            </w:r>
            <w:r w:rsidR="00391160">
              <w:rPr>
                <w:noProof/>
                <w:webHidden/>
              </w:rPr>
              <w:t>73</w:t>
            </w:r>
            <w:r w:rsidR="00391160">
              <w:rPr>
                <w:noProof/>
                <w:webHidden/>
              </w:rPr>
              <w:fldChar w:fldCharType="end"/>
            </w:r>
          </w:hyperlink>
        </w:p>
        <w:p w14:paraId="7CF55FF8" w14:textId="672BB567" w:rsidR="00391160" w:rsidRDefault="00664348">
          <w:pPr>
            <w:pStyle w:val="TOC2"/>
            <w:tabs>
              <w:tab w:val="right" w:leader="dot" w:pos="9680"/>
            </w:tabs>
            <w:rPr>
              <w:rFonts w:cstheme="minorBidi"/>
              <w:b w:val="0"/>
              <w:bCs w:val="0"/>
              <w:noProof/>
              <w:sz w:val="24"/>
              <w:szCs w:val="24"/>
            </w:rPr>
          </w:pPr>
          <w:hyperlink w:anchor="_Toc46154367" w:history="1">
            <w:r w:rsidR="00391160" w:rsidRPr="003F6275">
              <w:rPr>
                <w:rStyle w:val="Hyperlink"/>
                <w:rFonts w:ascii="Sylfaen" w:hAnsi="Sylfaen" w:cs="Sylfaen"/>
                <w:noProof/>
              </w:rPr>
              <w:t>ՀՀ</w:t>
            </w:r>
            <w:r w:rsidR="00391160" w:rsidRPr="003F6275">
              <w:rPr>
                <w:rStyle w:val="Hyperlink"/>
                <w:noProof/>
              </w:rPr>
              <w:t xml:space="preserve"> 2021-2023</w:t>
            </w:r>
            <w:r w:rsidR="00391160" w:rsidRPr="003F6275">
              <w:rPr>
                <w:rStyle w:val="Hyperlink"/>
                <w:rFonts w:ascii="Sylfaen" w:hAnsi="Sylfaen" w:cs="Sylfaen"/>
                <w:noProof/>
              </w:rPr>
              <w:t>ԹԹ</w:t>
            </w:r>
            <w:r w:rsidR="00391160" w:rsidRPr="003F6275">
              <w:rPr>
                <w:rStyle w:val="Hyperlink"/>
                <w:noProof/>
                <w:lang w:val="hy-AM"/>
              </w:rPr>
              <w:t>.</w:t>
            </w:r>
            <w:r w:rsidR="00391160" w:rsidRPr="003F6275">
              <w:rPr>
                <w:rStyle w:val="Hyperlink"/>
                <w:noProof/>
              </w:rPr>
              <w:t xml:space="preserve"> </w:t>
            </w:r>
            <w:r w:rsidR="00391160" w:rsidRPr="003F6275">
              <w:rPr>
                <w:rStyle w:val="Hyperlink"/>
                <w:rFonts w:ascii="Sylfaen" w:hAnsi="Sylfaen" w:cs="Sylfaen"/>
                <w:noProof/>
              </w:rPr>
              <w:t>ՊԵՏԱԿԱՆ</w:t>
            </w:r>
            <w:r w:rsidR="00391160" w:rsidRPr="003F6275">
              <w:rPr>
                <w:rStyle w:val="Hyperlink"/>
                <w:noProof/>
              </w:rPr>
              <w:t xml:space="preserve"> </w:t>
            </w:r>
            <w:r w:rsidR="00391160" w:rsidRPr="003F6275">
              <w:rPr>
                <w:rStyle w:val="Hyperlink"/>
                <w:rFonts w:ascii="Sylfaen" w:hAnsi="Sylfaen" w:cs="Sylfaen"/>
                <w:noProof/>
              </w:rPr>
              <w:t>ԲՅՈՒՋԵՆԵՐԻ</w:t>
            </w:r>
            <w:r w:rsidR="00391160" w:rsidRPr="003F6275">
              <w:rPr>
                <w:rStyle w:val="Hyperlink"/>
                <w:noProof/>
              </w:rPr>
              <w:t xml:space="preserve"> </w:t>
            </w:r>
            <w:r w:rsidR="00391160" w:rsidRPr="003F6275">
              <w:rPr>
                <w:rStyle w:val="Hyperlink"/>
                <w:rFonts w:ascii="Sylfaen" w:hAnsi="Sylfaen" w:cs="Sylfaen"/>
                <w:noProof/>
              </w:rPr>
              <w:t>ԾԱԽՍԱՅԻՆ</w:t>
            </w:r>
            <w:r w:rsidR="00391160" w:rsidRPr="003F6275">
              <w:rPr>
                <w:rStyle w:val="Hyperlink"/>
                <w:noProof/>
              </w:rPr>
              <w:t xml:space="preserve"> </w:t>
            </w:r>
            <w:r w:rsidR="00391160" w:rsidRPr="003F6275">
              <w:rPr>
                <w:rStyle w:val="Hyperlink"/>
                <w:rFonts w:ascii="Sylfaen" w:hAnsi="Sylfaen" w:cs="Sylfaen"/>
                <w:noProof/>
              </w:rPr>
              <w:t>ԳԵՐԱԿԱՅՈՒԹՅՈՒՆՆԵՐԸ</w:t>
            </w:r>
            <w:r w:rsidR="00391160">
              <w:rPr>
                <w:noProof/>
                <w:webHidden/>
              </w:rPr>
              <w:tab/>
            </w:r>
            <w:r w:rsidR="00391160">
              <w:rPr>
                <w:noProof/>
                <w:webHidden/>
              </w:rPr>
              <w:fldChar w:fldCharType="begin"/>
            </w:r>
            <w:r w:rsidR="00391160">
              <w:rPr>
                <w:noProof/>
                <w:webHidden/>
              </w:rPr>
              <w:instrText xml:space="preserve"> PAGEREF _Toc46154367 \h </w:instrText>
            </w:r>
            <w:r w:rsidR="00391160">
              <w:rPr>
                <w:noProof/>
                <w:webHidden/>
              </w:rPr>
            </w:r>
            <w:r w:rsidR="00391160">
              <w:rPr>
                <w:noProof/>
                <w:webHidden/>
              </w:rPr>
              <w:fldChar w:fldCharType="separate"/>
            </w:r>
            <w:r w:rsidR="00391160">
              <w:rPr>
                <w:noProof/>
                <w:webHidden/>
              </w:rPr>
              <w:t>74</w:t>
            </w:r>
            <w:r w:rsidR="00391160">
              <w:rPr>
                <w:noProof/>
                <w:webHidden/>
              </w:rPr>
              <w:fldChar w:fldCharType="end"/>
            </w:r>
          </w:hyperlink>
        </w:p>
        <w:p w14:paraId="6C6FA1AE" w14:textId="2867454D" w:rsidR="00391160" w:rsidRDefault="00664348">
          <w:pPr>
            <w:pStyle w:val="TOC3"/>
            <w:tabs>
              <w:tab w:val="right" w:leader="dot" w:pos="9680"/>
            </w:tabs>
            <w:rPr>
              <w:rFonts w:cstheme="minorBidi"/>
              <w:noProof/>
              <w:sz w:val="24"/>
              <w:szCs w:val="24"/>
            </w:rPr>
          </w:pPr>
          <w:hyperlink w:anchor="_Toc46154368" w:history="1">
            <w:r w:rsidR="00391160" w:rsidRPr="003F6275">
              <w:rPr>
                <w:rStyle w:val="Hyperlink"/>
                <w:rFonts w:eastAsia="Times New Roman" w:cs="Times New Roman"/>
                <w:noProof/>
              </w:rPr>
              <w:t>1</w:t>
            </w:r>
            <w:r w:rsidR="00391160" w:rsidRPr="003F6275">
              <w:rPr>
                <w:rStyle w:val="Hyperlink"/>
                <w:rFonts w:eastAsia="Times New Roman" w:cs="Times New Roman"/>
                <w:noProof/>
                <w:lang w:val="es-ES"/>
              </w:rPr>
              <w:t>.</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ՊԵՏԱԿԱՆ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ՄԱՐՄԻՆՆԵՐԻ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ՊԱՀՊԱՆՄԱՆ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ԾԱԽՍԵՐ</w:t>
            </w:r>
            <w:r w:rsidR="00391160">
              <w:rPr>
                <w:noProof/>
                <w:webHidden/>
              </w:rPr>
              <w:tab/>
            </w:r>
            <w:r w:rsidR="00391160">
              <w:rPr>
                <w:noProof/>
                <w:webHidden/>
              </w:rPr>
              <w:fldChar w:fldCharType="begin"/>
            </w:r>
            <w:r w:rsidR="00391160">
              <w:rPr>
                <w:noProof/>
                <w:webHidden/>
              </w:rPr>
              <w:instrText xml:space="preserve"> PAGEREF _Toc46154368 \h </w:instrText>
            </w:r>
            <w:r w:rsidR="00391160">
              <w:rPr>
                <w:noProof/>
                <w:webHidden/>
              </w:rPr>
            </w:r>
            <w:r w:rsidR="00391160">
              <w:rPr>
                <w:noProof/>
                <w:webHidden/>
              </w:rPr>
              <w:fldChar w:fldCharType="separate"/>
            </w:r>
            <w:r w:rsidR="00391160">
              <w:rPr>
                <w:noProof/>
                <w:webHidden/>
              </w:rPr>
              <w:t>74</w:t>
            </w:r>
            <w:r w:rsidR="00391160">
              <w:rPr>
                <w:noProof/>
                <w:webHidden/>
              </w:rPr>
              <w:fldChar w:fldCharType="end"/>
            </w:r>
          </w:hyperlink>
        </w:p>
        <w:p w14:paraId="119A8254" w14:textId="6E0AA73D" w:rsidR="00391160" w:rsidRDefault="00664348">
          <w:pPr>
            <w:pStyle w:val="TOC3"/>
            <w:tabs>
              <w:tab w:val="right" w:leader="dot" w:pos="9680"/>
            </w:tabs>
            <w:rPr>
              <w:rFonts w:cstheme="minorBidi"/>
              <w:noProof/>
              <w:sz w:val="24"/>
              <w:szCs w:val="24"/>
            </w:rPr>
          </w:pPr>
          <w:hyperlink w:anchor="_Toc46154369" w:history="1">
            <w:r w:rsidR="00391160" w:rsidRPr="003F6275">
              <w:rPr>
                <w:rStyle w:val="Hyperlink"/>
                <w:rFonts w:eastAsia="Times New Roman" w:cs="Times New Roman"/>
                <w:noProof/>
              </w:rPr>
              <w:t xml:space="preserve">2. </w:t>
            </w:r>
            <w:r w:rsidR="00391160" w:rsidRPr="003F6275">
              <w:rPr>
                <w:rStyle w:val="Hyperlink"/>
                <w:rFonts w:ascii="Sylfaen" w:eastAsia="Times New Roman" w:hAnsi="Sylfaen" w:cs="Sylfaen"/>
                <w:noProof/>
              </w:rPr>
              <w:t>ԿՐԹՈՒԹՅՈ</w:t>
            </w:r>
            <w:r w:rsidR="007724F4">
              <w:rPr>
                <w:rStyle w:val="Hyperlink"/>
                <w:rFonts w:ascii="Sylfaen" w:eastAsia="Times New Roman" w:hAnsi="Sylfaen" w:cs="Sylfaen"/>
                <w:noProof/>
                <w:lang w:val="hy-AM"/>
              </w:rPr>
              <w:t>Ւ</w:t>
            </w:r>
            <w:r w:rsidR="00391160" w:rsidRPr="003F6275">
              <w:rPr>
                <w:rStyle w:val="Hyperlink"/>
                <w:rFonts w:ascii="Sylfaen" w:eastAsia="Times New Roman" w:hAnsi="Sylfaen" w:cs="Sylfaen"/>
                <w:noProof/>
              </w:rPr>
              <w:t>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ԳԻՏՈՒԹՅՈ</w:t>
            </w:r>
            <w:r w:rsidR="007724F4">
              <w:rPr>
                <w:rStyle w:val="Hyperlink"/>
                <w:rFonts w:ascii="Sylfaen" w:eastAsia="Times New Roman" w:hAnsi="Sylfaen" w:cs="Sylfaen"/>
                <w:noProof/>
                <w:lang w:val="hy-AM"/>
              </w:rPr>
              <w:t>Ւ</w:t>
            </w:r>
            <w:r w:rsidR="00391160" w:rsidRPr="003F6275">
              <w:rPr>
                <w:rStyle w:val="Hyperlink"/>
                <w:rFonts w:ascii="Sylfaen" w:eastAsia="Times New Roman" w:hAnsi="Sylfaen" w:cs="Sylfaen"/>
                <w:noProof/>
              </w:rPr>
              <w:t>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ՄՇԱԿՈՒՅԹ</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ՍՊՈՐՏ</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ԵՎ</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ԵՐԻՏԱՍԱՐԴՈՒԹՅՈՒՆ</w:t>
            </w:r>
            <w:r w:rsidR="00391160">
              <w:rPr>
                <w:noProof/>
                <w:webHidden/>
              </w:rPr>
              <w:tab/>
            </w:r>
            <w:r w:rsidR="00391160">
              <w:rPr>
                <w:noProof/>
                <w:webHidden/>
              </w:rPr>
              <w:fldChar w:fldCharType="begin"/>
            </w:r>
            <w:r w:rsidR="00391160">
              <w:rPr>
                <w:noProof/>
                <w:webHidden/>
              </w:rPr>
              <w:instrText xml:space="preserve"> PAGEREF _Toc46154369 \h </w:instrText>
            </w:r>
            <w:r w:rsidR="00391160">
              <w:rPr>
                <w:noProof/>
                <w:webHidden/>
              </w:rPr>
            </w:r>
            <w:r w:rsidR="00391160">
              <w:rPr>
                <w:noProof/>
                <w:webHidden/>
              </w:rPr>
              <w:fldChar w:fldCharType="separate"/>
            </w:r>
            <w:r w:rsidR="00391160">
              <w:rPr>
                <w:noProof/>
                <w:webHidden/>
              </w:rPr>
              <w:t>77</w:t>
            </w:r>
            <w:r w:rsidR="00391160">
              <w:rPr>
                <w:noProof/>
                <w:webHidden/>
              </w:rPr>
              <w:fldChar w:fldCharType="end"/>
            </w:r>
          </w:hyperlink>
        </w:p>
        <w:p w14:paraId="6F869C91" w14:textId="28D9A517" w:rsidR="00391160" w:rsidRDefault="00664348">
          <w:pPr>
            <w:pStyle w:val="TOC3"/>
            <w:tabs>
              <w:tab w:val="right" w:leader="dot" w:pos="9680"/>
            </w:tabs>
            <w:rPr>
              <w:rFonts w:cstheme="minorBidi"/>
              <w:noProof/>
              <w:sz w:val="24"/>
              <w:szCs w:val="24"/>
            </w:rPr>
          </w:pPr>
          <w:hyperlink w:anchor="_Toc46154370" w:history="1">
            <w:r w:rsidR="00391160" w:rsidRPr="003F6275">
              <w:rPr>
                <w:rStyle w:val="Hyperlink"/>
                <w:rFonts w:eastAsia="Times New Roman" w:cs="Times New Roman"/>
                <w:noProof/>
              </w:rPr>
              <w:t xml:space="preserve">3. </w:t>
            </w:r>
            <w:r w:rsidR="00391160" w:rsidRPr="003F6275">
              <w:rPr>
                <w:rStyle w:val="Hyperlink"/>
                <w:rFonts w:ascii="Sylfaen" w:eastAsia="Times New Roman" w:hAnsi="Sylfaen" w:cs="Sylfaen"/>
                <w:noProof/>
              </w:rPr>
              <w:t>ԱՌՈՂՋԱՊԱՀՈՒԹՅՈՒՆ</w:t>
            </w:r>
            <w:r w:rsidR="00391160">
              <w:rPr>
                <w:noProof/>
                <w:webHidden/>
              </w:rPr>
              <w:tab/>
            </w:r>
            <w:r w:rsidR="00391160">
              <w:rPr>
                <w:noProof/>
                <w:webHidden/>
              </w:rPr>
              <w:fldChar w:fldCharType="begin"/>
            </w:r>
            <w:r w:rsidR="00391160">
              <w:rPr>
                <w:noProof/>
                <w:webHidden/>
              </w:rPr>
              <w:instrText xml:space="preserve"> PAGEREF _Toc46154370 \h </w:instrText>
            </w:r>
            <w:r w:rsidR="00391160">
              <w:rPr>
                <w:noProof/>
                <w:webHidden/>
              </w:rPr>
            </w:r>
            <w:r w:rsidR="00391160">
              <w:rPr>
                <w:noProof/>
                <w:webHidden/>
              </w:rPr>
              <w:fldChar w:fldCharType="separate"/>
            </w:r>
            <w:r w:rsidR="00391160">
              <w:rPr>
                <w:noProof/>
                <w:webHidden/>
              </w:rPr>
              <w:t>90</w:t>
            </w:r>
            <w:r w:rsidR="00391160">
              <w:rPr>
                <w:noProof/>
                <w:webHidden/>
              </w:rPr>
              <w:fldChar w:fldCharType="end"/>
            </w:r>
          </w:hyperlink>
        </w:p>
        <w:p w14:paraId="1A314E87" w14:textId="2C6A79F6" w:rsidR="00391160" w:rsidRDefault="00664348">
          <w:pPr>
            <w:pStyle w:val="TOC3"/>
            <w:tabs>
              <w:tab w:val="right" w:leader="dot" w:pos="9680"/>
            </w:tabs>
            <w:rPr>
              <w:rFonts w:cstheme="minorBidi"/>
              <w:noProof/>
              <w:sz w:val="24"/>
              <w:szCs w:val="24"/>
            </w:rPr>
          </w:pPr>
          <w:hyperlink w:anchor="_Toc46154371" w:history="1">
            <w:r w:rsidR="00391160" w:rsidRPr="003F6275">
              <w:rPr>
                <w:rStyle w:val="Hyperlink"/>
                <w:rFonts w:eastAsia="Times New Roman" w:cs="Times New Roman"/>
                <w:noProof/>
              </w:rPr>
              <w:t xml:space="preserve">4. </w:t>
            </w:r>
            <w:r w:rsidR="00391160" w:rsidRPr="003F6275">
              <w:rPr>
                <w:rStyle w:val="Hyperlink"/>
                <w:rFonts w:ascii="Sylfaen" w:eastAsia="Times New Roman" w:hAnsi="Sylfaen" w:cs="Sylfaen"/>
                <w:noProof/>
              </w:rPr>
              <w:t>ՍՈՑԻԱԼԱԿԱՆ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ՊԱՇՏՊԱՆՈՒԹՅՈՒՆ</w:t>
            </w:r>
            <w:r w:rsidR="00391160">
              <w:rPr>
                <w:noProof/>
                <w:webHidden/>
              </w:rPr>
              <w:tab/>
            </w:r>
            <w:r w:rsidR="00391160">
              <w:rPr>
                <w:noProof/>
                <w:webHidden/>
              </w:rPr>
              <w:fldChar w:fldCharType="begin"/>
            </w:r>
            <w:r w:rsidR="00391160">
              <w:rPr>
                <w:noProof/>
                <w:webHidden/>
              </w:rPr>
              <w:instrText xml:space="preserve"> PAGEREF _Toc46154371 \h </w:instrText>
            </w:r>
            <w:r w:rsidR="00391160">
              <w:rPr>
                <w:noProof/>
                <w:webHidden/>
              </w:rPr>
            </w:r>
            <w:r w:rsidR="00391160">
              <w:rPr>
                <w:noProof/>
                <w:webHidden/>
              </w:rPr>
              <w:fldChar w:fldCharType="separate"/>
            </w:r>
            <w:r w:rsidR="00391160">
              <w:rPr>
                <w:noProof/>
                <w:webHidden/>
              </w:rPr>
              <w:t>95</w:t>
            </w:r>
            <w:r w:rsidR="00391160">
              <w:rPr>
                <w:noProof/>
                <w:webHidden/>
              </w:rPr>
              <w:fldChar w:fldCharType="end"/>
            </w:r>
          </w:hyperlink>
        </w:p>
        <w:p w14:paraId="709E6197" w14:textId="52CB33FE" w:rsidR="00391160" w:rsidRDefault="00664348">
          <w:pPr>
            <w:pStyle w:val="TOC3"/>
            <w:tabs>
              <w:tab w:val="right" w:leader="dot" w:pos="9680"/>
            </w:tabs>
            <w:rPr>
              <w:rFonts w:cstheme="minorBidi"/>
              <w:noProof/>
              <w:sz w:val="24"/>
              <w:szCs w:val="24"/>
            </w:rPr>
          </w:pPr>
          <w:hyperlink w:anchor="_Toc46154372" w:history="1">
            <w:r w:rsidR="00391160" w:rsidRPr="003F6275">
              <w:rPr>
                <w:rStyle w:val="Hyperlink"/>
                <w:rFonts w:eastAsia="Times New Roman" w:cs="Times New Roman"/>
                <w:noProof/>
              </w:rPr>
              <w:t xml:space="preserve">5. </w:t>
            </w:r>
            <w:r w:rsidR="00391160" w:rsidRPr="003F6275">
              <w:rPr>
                <w:rStyle w:val="Hyperlink"/>
                <w:rFonts w:ascii="Sylfaen" w:eastAsia="Times New Roman" w:hAnsi="Sylfaen" w:cs="Sylfaen"/>
                <w:noProof/>
              </w:rPr>
              <w:t>ՇՐՋԱԿԱ</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ՄԻՋԱՎԱՅՐ</w:t>
            </w:r>
            <w:r w:rsidR="00391160">
              <w:rPr>
                <w:noProof/>
                <w:webHidden/>
              </w:rPr>
              <w:tab/>
            </w:r>
            <w:r w:rsidR="00391160">
              <w:rPr>
                <w:noProof/>
                <w:webHidden/>
              </w:rPr>
              <w:fldChar w:fldCharType="begin"/>
            </w:r>
            <w:r w:rsidR="00391160">
              <w:rPr>
                <w:noProof/>
                <w:webHidden/>
              </w:rPr>
              <w:instrText xml:space="preserve"> PAGEREF _Toc46154372 \h </w:instrText>
            </w:r>
            <w:r w:rsidR="00391160">
              <w:rPr>
                <w:noProof/>
                <w:webHidden/>
              </w:rPr>
            </w:r>
            <w:r w:rsidR="00391160">
              <w:rPr>
                <w:noProof/>
                <w:webHidden/>
              </w:rPr>
              <w:fldChar w:fldCharType="separate"/>
            </w:r>
            <w:r w:rsidR="00391160">
              <w:rPr>
                <w:noProof/>
                <w:webHidden/>
              </w:rPr>
              <w:t>100</w:t>
            </w:r>
            <w:r w:rsidR="00391160">
              <w:rPr>
                <w:noProof/>
                <w:webHidden/>
              </w:rPr>
              <w:fldChar w:fldCharType="end"/>
            </w:r>
          </w:hyperlink>
        </w:p>
        <w:p w14:paraId="0712C1D0" w14:textId="17A1BA7C" w:rsidR="00391160" w:rsidRDefault="00664348">
          <w:pPr>
            <w:pStyle w:val="TOC3"/>
            <w:tabs>
              <w:tab w:val="right" w:leader="dot" w:pos="9680"/>
            </w:tabs>
            <w:rPr>
              <w:rFonts w:cstheme="minorBidi"/>
              <w:noProof/>
              <w:sz w:val="24"/>
              <w:szCs w:val="24"/>
            </w:rPr>
          </w:pPr>
          <w:hyperlink w:anchor="_Toc46154373" w:history="1">
            <w:r w:rsidR="00391160" w:rsidRPr="003F6275">
              <w:rPr>
                <w:rStyle w:val="Hyperlink"/>
                <w:rFonts w:eastAsia="Times New Roman" w:cs="Times New Roman"/>
                <w:noProof/>
              </w:rPr>
              <w:t>6</w:t>
            </w:r>
            <w:r w:rsidR="00391160" w:rsidRPr="003F6275">
              <w:rPr>
                <w:rStyle w:val="Hyperlink"/>
                <w:rFonts w:eastAsia="Times New Roman" w:cs="Times New Roman"/>
                <w:noProof/>
                <w:lang w:val="pt-BR"/>
              </w:rPr>
              <w:t>.</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ԲԱՐՁՐ</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ՏԵԽՆՈԼՈԳԻԱԿԱՆ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ԱՐԴՅՈՒՆԱԲԵՐՈՒԹՅՈ</w:t>
            </w:r>
            <w:r w:rsidR="007724F4">
              <w:rPr>
                <w:rStyle w:val="Hyperlink"/>
                <w:rFonts w:ascii="Sylfaen" w:eastAsia="Times New Roman" w:hAnsi="Sylfaen" w:cs="Sylfaen"/>
                <w:noProof/>
                <w:lang w:val="hy-AM"/>
              </w:rPr>
              <w:t>Ւ</w:t>
            </w:r>
            <w:r w:rsidR="00391160" w:rsidRPr="003F6275">
              <w:rPr>
                <w:rStyle w:val="Hyperlink"/>
                <w:rFonts w:ascii="Sylfaen" w:eastAsia="Times New Roman" w:hAnsi="Sylfaen" w:cs="Sylfaen"/>
                <w:noProof/>
              </w:rPr>
              <w:t>Ն</w:t>
            </w:r>
            <w:r w:rsidR="00391160">
              <w:rPr>
                <w:noProof/>
                <w:webHidden/>
              </w:rPr>
              <w:tab/>
            </w:r>
            <w:r w:rsidR="00391160">
              <w:rPr>
                <w:noProof/>
                <w:webHidden/>
              </w:rPr>
              <w:fldChar w:fldCharType="begin"/>
            </w:r>
            <w:r w:rsidR="00391160">
              <w:rPr>
                <w:noProof/>
                <w:webHidden/>
              </w:rPr>
              <w:instrText xml:space="preserve"> PAGEREF _Toc46154373 \h </w:instrText>
            </w:r>
            <w:r w:rsidR="00391160">
              <w:rPr>
                <w:noProof/>
                <w:webHidden/>
              </w:rPr>
            </w:r>
            <w:r w:rsidR="00391160">
              <w:rPr>
                <w:noProof/>
                <w:webHidden/>
              </w:rPr>
              <w:fldChar w:fldCharType="separate"/>
            </w:r>
            <w:r w:rsidR="00391160">
              <w:rPr>
                <w:noProof/>
                <w:webHidden/>
              </w:rPr>
              <w:t>102</w:t>
            </w:r>
            <w:r w:rsidR="00391160">
              <w:rPr>
                <w:noProof/>
                <w:webHidden/>
              </w:rPr>
              <w:fldChar w:fldCharType="end"/>
            </w:r>
          </w:hyperlink>
        </w:p>
        <w:p w14:paraId="75A20806" w14:textId="49019B7F" w:rsidR="00391160" w:rsidRDefault="00664348">
          <w:pPr>
            <w:pStyle w:val="TOC3"/>
            <w:tabs>
              <w:tab w:val="right" w:leader="dot" w:pos="9680"/>
            </w:tabs>
            <w:rPr>
              <w:rFonts w:cstheme="minorBidi"/>
              <w:noProof/>
              <w:sz w:val="24"/>
              <w:szCs w:val="24"/>
            </w:rPr>
          </w:pPr>
          <w:hyperlink w:anchor="_Toc46154374" w:history="1">
            <w:r w:rsidR="00391160" w:rsidRPr="003F6275">
              <w:rPr>
                <w:rStyle w:val="Hyperlink"/>
                <w:rFonts w:eastAsia="Times New Roman" w:cs="Times New Roman"/>
                <w:noProof/>
              </w:rPr>
              <w:t xml:space="preserve">7. </w:t>
            </w:r>
            <w:r w:rsidR="00391160" w:rsidRPr="003F6275">
              <w:rPr>
                <w:rStyle w:val="Hyperlink"/>
                <w:rFonts w:ascii="Sylfaen" w:eastAsia="Times New Roman" w:hAnsi="Sylfaen" w:cs="Sylfaen"/>
                <w:noProof/>
              </w:rPr>
              <w:t>ՏԱՐԱԾՔԱՅԻՆ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ԿԱՌԱՎԱՐՈՒՄ</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ԵՎ</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ԵՆԹԱԿԱՌՈՒՑՎԱԾՔՆԵՐ</w:t>
            </w:r>
            <w:r w:rsidR="00391160">
              <w:rPr>
                <w:noProof/>
                <w:webHidden/>
              </w:rPr>
              <w:tab/>
            </w:r>
            <w:r w:rsidR="00391160">
              <w:rPr>
                <w:noProof/>
                <w:webHidden/>
              </w:rPr>
              <w:fldChar w:fldCharType="begin"/>
            </w:r>
            <w:r w:rsidR="00391160">
              <w:rPr>
                <w:noProof/>
                <w:webHidden/>
              </w:rPr>
              <w:instrText xml:space="preserve"> PAGEREF _Toc46154374 \h </w:instrText>
            </w:r>
            <w:r w:rsidR="00391160">
              <w:rPr>
                <w:noProof/>
                <w:webHidden/>
              </w:rPr>
            </w:r>
            <w:r w:rsidR="00391160">
              <w:rPr>
                <w:noProof/>
                <w:webHidden/>
              </w:rPr>
              <w:fldChar w:fldCharType="separate"/>
            </w:r>
            <w:r w:rsidR="00391160">
              <w:rPr>
                <w:noProof/>
                <w:webHidden/>
              </w:rPr>
              <w:t>104</w:t>
            </w:r>
            <w:r w:rsidR="00391160">
              <w:rPr>
                <w:noProof/>
                <w:webHidden/>
              </w:rPr>
              <w:fldChar w:fldCharType="end"/>
            </w:r>
          </w:hyperlink>
        </w:p>
        <w:p w14:paraId="641AC89C" w14:textId="5753D3D8" w:rsidR="00391160" w:rsidRDefault="00664348">
          <w:pPr>
            <w:pStyle w:val="TOC3"/>
            <w:tabs>
              <w:tab w:val="right" w:leader="dot" w:pos="9680"/>
            </w:tabs>
            <w:rPr>
              <w:rFonts w:cstheme="minorBidi"/>
              <w:noProof/>
              <w:sz w:val="24"/>
              <w:szCs w:val="24"/>
            </w:rPr>
          </w:pPr>
          <w:hyperlink w:anchor="_Toc46154375" w:history="1">
            <w:r w:rsidR="00391160" w:rsidRPr="003F6275">
              <w:rPr>
                <w:rStyle w:val="Hyperlink"/>
                <w:rFonts w:eastAsia="Times New Roman" w:cs="Times New Roman"/>
                <w:noProof/>
              </w:rPr>
              <w:t xml:space="preserve">8. </w:t>
            </w:r>
            <w:r w:rsidR="00391160" w:rsidRPr="003F6275">
              <w:rPr>
                <w:rStyle w:val="Hyperlink"/>
                <w:rFonts w:ascii="Sylfaen" w:eastAsia="Times New Roman" w:hAnsi="Sylfaen" w:cs="Sylfaen"/>
                <w:noProof/>
              </w:rPr>
              <w:t>ԷԿՈՆՈՄԻԿԱ</w:t>
            </w:r>
            <w:r w:rsidR="00391160">
              <w:rPr>
                <w:noProof/>
                <w:webHidden/>
              </w:rPr>
              <w:tab/>
            </w:r>
            <w:r w:rsidR="00391160">
              <w:rPr>
                <w:noProof/>
                <w:webHidden/>
              </w:rPr>
              <w:fldChar w:fldCharType="begin"/>
            </w:r>
            <w:r w:rsidR="00391160">
              <w:rPr>
                <w:noProof/>
                <w:webHidden/>
              </w:rPr>
              <w:instrText xml:space="preserve"> PAGEREF _Toc46154375 \h </w:instrText>
            </w:r>
            <w:r w:rsidR="00391160">
              <w:rPr>
                <w:noProof/>
                <w:webHidden/>
              </w:rPr>
            </w:r>
            <w:r w:rsidR="00391160">
              <w:rPr>
                <w:noProof/>
                <w:webHidden/>
              </w:rPr>
              <w:fldChar w:fldCharType="separate"/>
            </w:r>
            <w:r w:rsidR="00391160">
              <w:rPr>
                <w:noProof/>
                <w:webHidden/>
              </w:rPr>
              <w:t>110</w:t>
            </w:r>
            <w:r w:rsidR="00391160">
              <w:rPr>
                <w:noProof/>
                <w:webHidden/>
              </w:rPr>
              <w:fldChar w:fldCharType="end"/>
            </w:r>
          </w:hyperlink>
        </w:p>
        <w:p w14:paraId="728F0161" w14:textId="6576EE0A" w:rsidR="00391160" w:rsidRDefault="00664348">
          <w:pPr>
            <w:pStyle w:val="TOC3"/>
            <w:tabs>
              <w:tab w:val="right" w:leader="dot" w:pos="9680"/>
            </w:tabs>
            <w:rPr>
              <w:rFonts w:cstheme="minorBidi"/>
              <w:noProof/>
              <w:sz w:val="24"/>
              <w:szCs w:val="24"/>
            </w:rPr>
          </w:pPr>
          <w:hyperlink w:anchor="_Toc46154376" w:history="1">
            <w:r w:rsidR="00391160" w:rsidRPr="003F6275">
              <w:rPr>
                <w:rStyle w:val="Hyperlink"/>
                <w:rFonts w:eastAsia="Times New Roman" w:cs="Times New Roman"/>
                <w:noProof/>
              </w:rPr>
              <w:t xml:space="preserve">9. </w:t>
            </w:r>
            <w:r w:rsidR="00391160" w:rsidRPr="003F6275">
              <w:rPr>
                <w:rStyle w:val="Hyperlink"/>
                <w:rFonts w:ascii="Sylfaen" w:eastAsia="Times New Roman" w:hAnsi="Sylfaen" w:cs="Sylfaen"/>
                <w:noProof/>
              </w:rPr>
              <w:t>ԱՐՏԱԿԱՐԳ</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ԻՐԱՎԻՃԱԿՆԵՐ</w:t>
            </w:r>
            <w:r w:rsidR="00391160">
              <w:rPr>
                <w:noProof/>
                <w:webHidden/>
              </w:rPr>
              <w:tab/>
            </w:r>
            <w:r w:rsidR="00391160">
              <w:rPr>
                <w:noProof/>
                <w:webHidden/>
              </w:rPr>
              <w:fldChar w:fldCharType="begin"/>
            </w:r>
            <w:r w:rsidR="00391160">
              <w:rPr>
                <w:noProof/>
                <w:webHidden/>
              </w:rPr>
              <w:instrText xml:space="preserve"> PAGEREF _Toc46154376 \h </w:instrText>
            </w:r>
            <w:r w:rsidR="00391160">
              <w:rPr>
                <w:noProof/>
                <w:webHidden/>
              </w:rPr>
            </w:r>
            <w:r w:rsidR="00391160">
              <w:rPr>
                <w:noProof/>
                <w:webHidden/>
              </w:rPr>
              <w:fldChar w:fldCharType="separate"/>
            </w:r>
            <w:r w:rsidR="00391160">
              <w:rPr>
                <w:noProof/>
                <w:webHidden/>
              </w:rPr>
              <w:t>115</w:t>
            </w:r>
            <w:r w:rsidR="00391160">
              <w:rPr>
                <w:noProof/>
                <w:webHidden/>
              </w:rPr>
              <w:fldChar w:fldCharType="end"/>
            </w:r>
          </w:hyperlink>
        </w:p>
        <w:p w14:paraId="7334D7FA" w14:textId="19CAA188" w:rsidR="00391160" w:rsidRDefault="00664348">
          <w:pPr>
            <w:pStyle w:val="TOC3"/>
            <w:tabs>
              <w:tab w:val="right" w:leader="dot" w:pos="9680"/>
            </w:tabs>
            <w:rPr>
              <w:rFonts w:cstheme="minorBidi"/>
              <w:noProof/>
              <w:sz w:val="24"/>
              <w:szCs w:val="24"/>
            </w:rPr>
          </w:pPr>
          <w:hyperlink w:anchor="_Toc46154377" w:history="1">
            <w:r w:rsidR="00391160" w:rsidRPr="003F6275">
              <w:rPr>
                <w:rStyle w:val="Hyperlink"/>
                <w:rFonts w:eastAsia="Times New Roman" w:cs="Times New Roman"/>
                <w:noProof/>
              </w:rPr>
              <w:t xml:space="preserve">10. </w:t>
            </w:r>
            <w:r w:rsidR="00391160" w:rsidRPr="003F6275">
              <w:rPr>
                <w:rStyle w:val="Hyperlink"/>
                <w:rFonts w:ascii="Sylfaen" w:eastAsia="Times New Roman" w:hAnsi="Sylfaen" w:cs="Sylfaen"/>
                <w:noProof/>
              </w:rPr>
              <w:t>ԱՐԴԱՐԱԴԱՏՈՒԹՅՈՒՆ</w:t>
            </w:r>
            <w:r w:rsidR="00391160">
              <w:rPr>
                <w:noProof/>
                <w:webHidden/>
              </w:rPr>
              <w:tab/>
            </w:r>
            <w:r w:rsidR="00391160">
              <w:rPr>
                <w:noProof/>
                <w:webHidden/>
              </w:rPr>
              <w:fldChar w:fldCharType="begin"/>
            </w:r>
            <w:r w:rsidR="00391160">
              <w:rPr>
                <w:noProof/>
                <w:webHidden/>
              </w:rPr>
              <w:instrText xml:space="preserve"> PAGEREF _Toc46154377 \h </w:instrText>
            </w:r>
            <w:r w:rsidR="00391160">
              <w:rPr>
                <w:noProof/>
                <w:webHidden/>
              </w:rPr>
            </w:r>
            <w:r w:rsidR="00391160">
              <w:rPr>
                <w:noProof/>
                <w:webHidden/>
              </w:rPr>
              <w:fldChar w:fldCharType="separate"/>
            </w:r>
            <w:r w:rsidR="00391160">
              <w:rPr>
                <w:noProof/>
                <w:webHidden/>
              </w:rPr>
              <w:t>117</w:t>
            </w:r>
            <w:r w:rsidR="00391160">
              <w:rPr>
                <w:noProof/>
                <w:webHidden/>
              </w:rPr>
              <w:fldChar w:fldCharType="end"/>
            </w:r>
          </w:hyperlink>
        </w:p>
        <w:p w14:paraId="4D4E87D5" w14:textId="75B38BCA" w:rsidR="00391160" w:rsidRDefault="00664348">
          <w:pPr>
            <w:pStyle w:val="TOC3"/>
            <w:tabs>
              <w:tab w:val="right" w:leader="dot" w:pos="9680"/>
            </w:tabs>
            <w:rPr>
              <w:rFonts w:cstheme="minorBidi"/>
              <w:noProof/>
              <w:sz w:val="24"/>
              <w:szCs w:val="24"/>
            </w:rPr>
          </w:pPr>
          <w:hyperlink w:anchor="_Toc46154378" w:history="1">
            <w:r w:rsidR="00391160" w:rsidRPr="003F6275">
              <w:rPr>
                <w:rStyle w:val="Hyperlink"/>
                <w:rFonts w:eastAsia="Times New Roman" w:cs="Times New Roman"/>
                <w:noProof/>
              </w:rPr>
              <w:t>11</w:t>
            </w:r>
            <w:r w:rsidR="00391160" w:rsidRPr="003F6275">
              <w:rPr>
                <w:rStyle w:val="Hyperlink"/>
                <w:rFonts w:eastAsia="Times New Roman" w:cs="Times New Roman"/>
                <w:noProof/>
                <w:lang w:val="af-ZA"/>
              </w:rPr>
              <w:t>.</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ԱՐՏԱՔԻՆ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ՀԱՐԱԲԵՐՈՒԹՅՈՒՆՆԵՐ</w:t>
            </w:r>
            <w:r w:rsidR="00391160">
              <w:rPr>
                <w:noProof/>
                <w:webHidden/>
              </w:rPr>
              <w:tab/>
            </w:r>
            <w:r w:rsidR="00391160">
              <w:rPr>
                <w:noProof/>
                <w:webHidden/>
              </w:rPr>
              <w:fldChar w:fldCharType="begin"/>
            </w:r>
            <w:r w:rsidR="00391160">
              <w:rPr>
                <w:noProof/>
                <w:webHidden/>
              </w:rPr>
              <w:instrText xml:space="preserve"> PAGEREF _Toc46154378 \h </w:instrText>
            </w:r>
            <w:r w:rsidR="00391160">
              <w:rPr>
                <w:noProof/>
                <w:webHidden/>
              </w:rPr>
            </w:r>
            <w:r w:rsidR="00391160">
              <w:rPr>
                <w:noProof/>
                <w:webHidden/>
              </w:rPr>
              <w:fldChar w:fldCharType="separate"/>
            </w:r>
            <w:r w:rsidR="00391160">
              <w:rPr>
                <w:noProof/>
                <w:webHidden/>
              </w:rPr>
              <w:t>120</w:t>
            </w:r>
            <w:r w:rsidR="00391160">
              <w:rPr>
                <w:noProof/>
                <w:webHidden/>
              </w:rPr>
              <w:fldChar w:fldCharType="end"/>
            </w:r>
          </w:hyperlink>
        </w:p>
        <w:p w14:paraId="58BDD383" w14:textId="2261B456" w:rsidR="00391160" w:rsidRDefault="00664348">
          <w:pPr>
            <w:pStyle w:val="TOC3"/>
            <w:tabs>
              <w:tab w:val="right" w:leader="dot" w:pos="9680"/>
            </w:tabs>
            <w:rPr>
              <w:rFonts w:cstheme="minorBidi"/>
              <w:noProof/>
              <w:sz w:val="24"/>
              <w:szCs w:val="24"/>
            </w:rPr>
          </w:pPr>
          <w:hyperlink w:anchor="_Toc46154379" w:history="1">
            <w:r w:rsidR="00391160" w:rsidRPr="003F6275">
              <w:rPr>
                <w:rStyle w:val="Hyperlink"/>
                <w:rFonts w:eastAsia="Times New Roman" w:cs="Times New Roman"/>
                <w:noProof/>
              </w:rPr>
              <w:t xml:space="preserve">12. </w:t>
            </w:r>
            <w:r w:rsidR="00391160" w:rsidRPr="003F6275">
              <w:rPr>
                <w:rStyle w:val="Hyperlink"/>
                <w:rFonts w:ascii="Sylfaen" w:eastAsia="Times New Roman" w:hAnsi="Sylfaen" w:cs="Sylfaen"/>
                <w:noProof/>
              </w:rPr>
              <w:t>ՖԻՆԱՆՍՆԵՐ</w:t>
            </w:r>
            <w:r w:rsidR="00391160">
              <w:rPr>
                <w:noProof/>
                <w:webHidden/>
              </w:rPr>
              <w:tab/>
            </w:r>
            <w:r w:rsidR="00391160">
              <w:rPr>
                <w:noProof/>
                <w:webHidden/>
              </w:rPr>
              <w:fldChar w:fldCharType="begin"/>
            </w:r>
            <w:r w:rsidR="00391160">
              <w:rPr>
                <w:noProof/>
                <w:webHidden/>
              </w:rPr>
              <w:instrText xml:space="preserve"> PAGEREF _Toc46154379 \h </w:instrText>
            </w:r>
            <w:r w:rsidR="00391160">
              <w:rPr>
                <w:noProof/>
                <w:webHidden/>
              </w:rPr>
            </w:r>
            <w:r w:rsidR="00391160">
              <w:rPr>
                <w:noProof/>
                <w:webHidden/>
              </w:rPr>
              <w:fldChar w:fldCharType="separate"/>
            </w:r>
            <w:r w:rsidR="00391160">
              <w:rPr>
                <w:noProof/>
                <w:webHidden/>
              </w:rPr>
              <w:t>124</w:t>
            </w:r>
            <w:r w:rsidR="00391160">
              <w:rPr>
                <w:noProof/>
                <w:webHidden/>
              </w:rPr>
              <w:fldChar w:fldCharType="end"/>
            </w:r>
          </w:hyperlink>
        </w:p>
        <w:p w14:paraId="05684054" w14:textId="08136876" w:rsidR="00391160" w:rsidRDefault="00664348">
          <w:pPr>
            <w:pStyle w:val="TOC3"/>
            <w:tabs>
              <w:tab w:val="right" w:leader="dot" w:pos="9680"/>
            </w:tabs>
            <w:rPr>
              <w:rFonts w:cstheme="minorBidi"/>
              <w:noProof/>
              <w:sz w:val="24"/>
              <w:szCs w:val="24"/>
            </w:rPr>
          </w:pPr>
          <w:hyperlink w:anchor="_Toc46154380" w:history="1">
            <w:r w:rsidR="00391160" w:rsidRPr="003F6275">
              <w:rPr>
                <w:rStyle w:val="Hyperlink"/>
                <w:rFonts w:eastAsia="Times New Roman" w:cs="Times New Roman"/>
                <w:noProof/>
              </w:rPr>
              <w:t xml:space="preserve">13. </w:t>
            </w:r>
            <w:r w:rsidR="00391160" w:rsidRPr="003F6275">
              <w:rPr>
                <w:rStyle w:val="Hyperlink"/>
                <w:rFonts w:ascii="Sylfaen" w:eastAsia="Times New Roman" w:hAnsi="Sylfaen" w:cs="Sylfaen"/>
                <w:noProof/>
              </w:rPr>
              <w:t>ՊԵՏԱԿԱՆ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ԵԿԱՄՈՒՏՆԵՐ</w:t>
            </w:r>
            <w:r w:rsidR="00391160">
              <w:rPr>
                <w:noProof/>
                <w:webHidden/>
              </w:rPr>
              <w:tab/>
            </w:r>
            <w:r w:rsidR="00391160">
              <w:rPr>
                <w:noProof/>
                <w:webHidden/>
              </w:rPr>
              <w:fldChar w:fldCharType="begin"/>
            </w:r>
            <w:r w:rsidR="00391160">
              <w:rPr>
                <w:noProof/>
                <w:webHidden/>
              </w:rPr>
              <w:instrText xml:space="preserve"> PAGEREF _Toc46154380 \h </w:instrText>
            </w:r>
            <w:r w:rsidR="00391160">
              <w:rPr>
                <w:noProof/>
                <w:webHidden/>
              </w:rPr>
            </w:r>
            <w:r w:rsidR="00391160">
              <w:rPr>
                <w:noProof/>
                <w:webHidden/>
              </w:rPr>
              <w:fldChar w:fldCharType="separate"/>
            </w:r>
            <w:r w:rsidR="00391160">
              <w:rPr>
                <w:noProof/>
                <w:webHidden/>
              </w:rPr>
              <w:t>126</w:t>
            </w:r>
            <w:r w:rsidR="00391160">
              <w:rPr>
                <w:noProof/>
                <w:webHidden/>
              </w:rPr>
              <w:fldChar w:fldCharType="end"/>
            </w:r>
          </w:hyperlink>
        </w:p>
        <w:p w14:paraId="0B789409" w14:textId="6BBCB22F" w:rsidR="00391160" w:rsidRDefault="00664348">
          <w:pPr>
            <w:pStyle w:val="TOC3"/>
            <w:tabs>
              <w:tab w:val="right" w:leader="dot" w:pos="9680"/>
            </w:tabs>
            <w:rPr>
              <w:rFonts w:cstheme="minorBidi"/>
              <w:noProof/>
              <w:sz w:val="24"/>
              <w:szCs w:val="24"/>
            </w:rPr>
          </w:pPr>
          <w:hyperlink w:anchor="_Toc46154381" w:history="1">
            <w:r w:rsidR="00391160" w:rsidRPr="003F6275">
              <w:rPr>
                <w:rStyle w:val="Hyperlink"/>
                <w:rFonts w:eastAsia="Times New Roman" w:cs="Times New Roman"/>
                <w:noProof/>
              </w:rPr>
              <w:t xml:space="preserve">14. </w:t>
            </w:r>
            <w:r w:rsidR="00391160" w:rsidRPr="003F6275">
              <w:rPr>
                <w:rStyle w:val="Hyperlink"/>
                <w:rFonts w:ascii="Sylfaen" w:eastAsia="Times New Roman" w:hAnsi="Sylfaen" w:cs="Sylfaen"/>
                <w:noProof/>
              </w:rPr>
              <w:t>ԱՆՇԱՐԺ</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ԳՈՒՅՔԻ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ԿԱԴԱՍՏՐ</w:t>
            </w:r>
            <w:r w:rsidR="00391160">
              <w:rPr>
                <w:noProof/>
                <w:webHidden/>
              </w:rPr>
              <w:tab/>
            </w:r>
            <w:r w:rsidR="00391160">
              <w:rPr>
                <w:noProof/>
                <w:webHidden/>
              </w:rPr>
              <w:fldChar w:fldCharType="begin"/>
            </w:r>
            <w:r w:rsidR="00391160">
              <w:rPr>
                <w:noProof/>
                <w:webHidden/>
              </w:rPr>
              <w:instrText xml:space="preserve"> PAGEREF _Toc46154381 \h </w:instrText>
            </w:r>
            <w:r w:rsidR="00391160">
              <w:rPr>
                <w:noProof/>
                <w:webHidden/>
              </w:rPr>
            </w:r>
            <w:r w:rsidR="00391160">
              <w:rPr>
                <w:noProof/>
                <w:webHidden/>
              </w:rPr>
              <w:fldChar w:fldCharType="separate"/>
            </w:r>
            <w:r w:rsidR="00391160">
              <w:rPr>
                <w:noProof/>
                <w:webHidden/>
              </w:rPr>
              <w:t>128</w:t>
            </w:r>
            <w:r w:rsidR="00391160">
              <w:rPr>
                <w:noProof/>
                <w:webHidden/>
              </w:rPr>
              <w:fldChar w:fldCharType="end"/>
            </w:r>
          </w:hyperlink>
        </w:p>
        <w:p w14:paraId="2BD3D59E" w14:textId="7DC69C9D" w:rsidR="00391160" w:rsidRDefault="00664348">
          <w:pPr>
            <w:pStyle w:val="TOC1"/>
            <w:tabs>
              <w:tab w:val="right" w:leader="dot" w:pos="9680"/>
            </w:tabs>
            <w:rPr>
              <w:rFonts w:cstheme="minorBidi"/>
              <w:b w:val="0"/>
              <w:bCs w:val="0"/>
              <w:i w:val="0"/>
              <w:iCs w:val="0"/>
              <w:noProof/>
            </w:rPr>
          </w:pPr>
          <w:hyperlink w:anchor="_Toc46154382" w:history="1">
            <w:r w:rsidR="00391160" w:rsidRPr="003F6275">
              <w:rPr>
                <w:rStyle w:val="Hyperlink"/>
                <w:rFonts w:ascii="Sylfaen" w:hAnsi="Sylfaen" w:cs="Sylfaen"/>
                <w:noProof/>
                <w:lang w:val="hy-AM"/>
              </w:rPr>
              <w:t>ՎԵՐԼՈՒԾՈՒԹՅՈՒՆՆԵՐ</w:t>
            </w:r>
            <w:r w:rsidR="00391160">
              <w:rPr>
                <w:noProof/>
                <w:webHidden/>
              </w:rPr>
              <w:tab/>
            </w:r>
            <w:r w:rsidR="00391160">
              <w:rPr>
                <w:noProof/>
                <w:webHidden/>
              </w:rPr>
              <w:fldChar w:fldCharType="begin"/>
            </w:r>
            <w:r w:rsidR="00391160">
              <w:rPr>
                <w:noProof/>
                <w:webHidden/>
              </w:rPr>
              <w:instrText xml:space="preserve"> PAGEREF _Toc46154382 \h </w:instrText>
            </w:r>
            <w:r w:rsidR="00391160">
              <w:rPr>
                <w:noProof/>
                <w:webHidden/>
              </w:rPr>
            </w:r>
            <w:r w:rsidR="00391160">
              <w:rPr>
                <w:noProof/>
                <w:webHidden/>
              </w:rPr>
              <w:fldChar w:fldCharType="separate"/>
            </w:r>
            <w:r w:rsidR="00391160">
              <w:rPr>
                <w:noProof/>
                <w:webHidden/>
              </w:rPr>
              <w:t>130</w:t>
            </w:r>
            <w:r w:rsidR="00391160">
              <w:rPr>
                <w:noProof/>
                <w:webHidden/>
              </w:rPr>
              <w:fldChar w:fldCharType="end"/>
            </w:r>
          </w:hyperlink>
        </w:p>
        <w:p w14:paraId="78B6D8A6" w14:textId="37BF3F84" w:rsidR="00391160" w:rsidRDefault="00664348">
          <w:pPr>
            <w:pStyle w:val="TOC3"/>
            <w:tabs>
              <w:tab w:val="right" w:leader="dot" w:pos="9680"/>
            </w:tabs>
            <w:rPr>
              <w:rFonts w:cstheme="minorBidi"/>
              <w:noProof/>
              <w:sz w:val="24"/>
              <w:szCs w:val="24"/>
            </w:rPr>
          </w:pPr>
          <w:hyperlink w:anchor="_Toc46154383" w:history="1">
            <w:r w:rsidR="00391160" w:rsidRPr="003F6275">
              <w:rPr>
                <w:rStyle w:val="Hyperlink"/>
                <w:rFonts w:eastAsia="Times New Roman" w:cs="Times New Roman"/>
                <w:noProof/>
              </w:rPr>
              <w:t xml:space="preserve">1. </w:t>
            </w:r>
            <w:r w:rsidR="00391160" w:rsidRPr="003F6275">
              <w:rPr>
                <w:rStyle w:val="Hyperlink"/>
                <w:rFonts w:ascii="Sylfaen" w:eastAsia="Times New Roman" w:hAnsi="Sylfaen" w:cs="Sylfaen"/>
                <w:noProof/>
              </w:rPr>
              <w:t>ՀՀ</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ԿԱՌԱՎԱՐՈՒԹՅԱՆ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ՊԱՐՏՔԻ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ԿԱՌԱՎԱՐՄԱՆ</w:t>
            </w:r>
            <w:r w:rsidR="00391160" w:rsidRPr="003F6275">
              <w:rPr>
                <w:rStyle w:val="Hyperlink"/>
                <w:rFonts w:eastAsia="Times New Roman" w:cs="Times New Roman"/>
                <w:noProof/>
              </w:rPr>
              <w:t xml:space="preserve"> 2021-2023 </w:t>
            </w:r>
            <w:r w:rsidR="00391160" w:rsidRPr="003F6275">
              <w:rPr>
                <w:rStyle w:val="Hyperlink"/>
                <w:rFonts w:ascii="Sylfaen" w:eastAsia="Times New Roman" w:hAnsi="Sylfaen" w:cs="Sylfaen"/>
                <w:noProof/>
              </w:rPr>
              <w:t>ԹՎԱԿԱՆՆԵՐԻ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ՌԱԶՄԱՎԱՐԱԿԱՆ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ԾՐԱԳԻՐ</w:t>
            </w:r>
            <w:r w:rsidR="00391160">
              <w:rPr>
                <w:noProof/>
                <w:webHidden/>
              </w:rPr>
              <w:tab/>
            </w:r>
            <w:r w:rsidR="00391160">
              <w:rPr>
                <w:noProof/>
                <w:webHidden/>
              </w:rPr>
              <w:fldChar w:fldCharType="begin"/>
            </w:r>
            <w:r w:rsidR="00391160">
              <w:rPr>
                <w:noProof/>
                <w:webHidden/>
              </w:rPr>
              <w:instrText xml:space="preserve"> PAGEREF _Toc46154383 \h </w:instrText>
            </w:r>
            <w:r w:rsidR="00391160">
              <w:rPr>
                <w:noProof/>
                <w:webHidden/>
              </w:rPr>
            </w:r>
            <w:r w:rsidR="00391160">
              <w:rPr>
                <w:noProof/>
                <w:webHidden/>
              </w:rPr>
              <w:fldChar w:fldCharType="separate"/>
            </w:r>
            <w:r w:rsidR="00391160">
              <w:rPr>
                <w:noProof/>
                <w:webHidden/>
              </w:rPr>
              <w:t>131</w:t>
            </w:r>
            <w:r w:rsidR="00391160">
              <w:rPr>
                <w:noProof/>
                <w:webHidden/>
              </w:rPr>
              <w:fldChar w:fldCharType="end"/>
            </w:r>
          </w:hyperlink>
        </w:p>
        <w:p w14:paraId="19A258BC" w14:textId="38F839C8" w:rsidR="00391160" w:rsidRDefault="00664348">
          <w:pPr>
            <w:pStyle w:val="TOC3"/>
            <w:tabs>
              <w:tab w:val="right" w:leader="dot" w:pos="9680"/>
            </w:tabs>
            <w:rPr>
              <w:rFonts w:cstheme="minorBidi"/>
              <w:noProof/>
              <w:sz w:val="24"/>
              <w:szCs w:val="24"/>
            </w:rPr>
          </w:pPr>
          <w:hyperlink w:anchor="_Toc46154384" w:history="1">
            <w:r w:rsidR="00391160" w:rsidRPr="003F6275">
              <w:rPr>
                <w:rStyle w:val="Hyperlink"/>
                <w:rFonts w:eastAsia="Times New Roman" w:cs="Times New Roman"/>
                <w:noProof/>
              </w:rPr>
              <w:t xml:space="preserve">2. </w:t>
            </w:r>
            <w:r w:rsidR="00391160" w:rsidRPr="003F6275">
              <w:rPr>
                <w:rStyle w:val="Hyperlink"/>
                <w:rFonts w:ascii="Sylfaen" w:eastAsia="Times New Roman" w:hAnsi="Sylfaen" w:cs="Sylfaen"/>
                <w:noProof/>
              </w:rPr>
              <w:t>ԱՅԼ</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ԿԱՌՈՒՅՑՆԵՐԻ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ԿՈՂՄԻՑ</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ՀՀ</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ՏՆՏԵՍԱԿԱՆ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ԱՃԻ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ԿԱՆԽԱՏԵՍՈՒՄՆԵՐԻ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ՀԵՏ</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ՀԱՄԵՄԱՏԱԿԱՆ</w:t>
            </w:r>
            <w:r w:rsidR="00391160">
              <w:rPr>
                <w:noProof/>
                <w:webHidden/>
              </w:rPr>
              <w:tab/>
            </w:r>
            <w:r w:rsidR="00391160">
              <w:rPr>
                <w:noProof/>
                <w:webHidden/>
              </w:rPr>
              <w:fldChar w:fldCharType="begin"/>
            </w:r>
            <w:r w:rsidR="00391160">
              <w:rPr>
                <w:noProof/>
                <w:webHidden/>
              </w:rPr>
              <w:instrText xml:space="preserve"> PAGEREF _Toc46154384 \h </w:instrText>
            </w:r>
            <w:r w:rsidR="00391160">
              <w:rPr>
                <w:noProof/>
                <w:webHidden/>
              </w:rPr>
            </w:r>
            <w:r w:rsidR="00391160">
              <w:rPr>
                <w:noProof/>
                <w:webHidden/>
              </w:rPr>
              <w:fldChar w:fldCharType="separate"/>
            </w:r>
            <w:r w:rsidR="00391160">
              <w:rPr>
                <w:noProof/>
                <w:webHidden/>
              </w:rPr>
              <w:t>168</w:t>
            </w:r>
            <w:r w:rsidR="00391160">
              <w:rPr>
                <w:noProof/>
                <w:webHidden/>
              </w:rPr>
              <w:fldChar w:fldCharType="end"/>
            </w:r>
          </w:hyperlink>
        </w:p>
        <w:p w14:paraId="0432E4AA" w14:textId="4F96788B" w:rsidR="00391160" w:rsidRDefault="00664348">
          <w:pPr>
            <w:pStyle w:val="TOC3"/>
            <w:tabs>
              <w:tab w:val="right" w:leader="dot" w:pos="9680"/>
            </w:tabs>
            <w:rPr>
              <w:rFonts w:cstheme="minorBidi"/>
              <w:noProof/>
              <w:sz w:val="24"/>
              <w:szCs w:val="24"/>
            </w:rPr>
          </w:pPr>
          <w:hyperlink w:anchor="_Toc46154385" w:history="1">
            <w:r w:rsidR="00391160" w:rsidRPr="003F6275">
              <w:rPr>
                <w:rStyle w:val="Hyperlink"/>
                <w:rFonts w:eastAsia="Times New Roman" w:cs="Times New Roman"/>
                <w:noProof/>
              </w:rPr>
              <w:t xml:space="preserve">3. </w:t>
            </w:r>
            <w:r w:rsidR="00391160" w:rsidRPr="003F6275">
              <w:rPr>
                <w:rStyle w:val="Hyperlink"/>
                <w:rFonts w:ascii="Sylfaen" w:eastAsia="Times New Roman" w:hAnsi="Sylfaen" w:cs="Sylfaen"/>
                <w:noProof/>
              </w:rPr>
              <w:t>ՊԵՏԱԿԱՆ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ԲՅՈՒՋԵԻ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ՎՐԱ</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ՄԱԿՐՈՏՆՏԵՍԱԿԱՆ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ԿԱՆԽԱՏԵՍՎԱԾ</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ՑՈՒՑԱՆԻՇՆԵՐԻՑ</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ՇԵՂՄԱՆ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ՌԻՍԿԵՐԻ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ԱԶԴԵՑՈՒԹՅԱՆ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ՔԱՆԱԿԱԿԱՆ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ԳՆԱՀԱՏՈՒՄ</w:t>
            </w:r>
            <w:r w:rsidR="00391160">
              <w:rPr>
                <w:noProof/>
                <w:webHidden/>
              </w:rPr>
              <w:tab/>
            </w:r>
            <w:r w:rsidR="00391160">
              <w:rPr>
                <w:noProof/>
                <w:webHidden/>
              </w:rPr>
              <w:fldChar w:fldCharType="begin"/>
            </w:r>
            <w:r w:rsidR="00391160">
              <w:rPr>
                <w:noProof/>
                <w:webHidden/>
              </w:rPr>
              <w:instrText xml:space="preserve"> PAGEREF _Toc46154385 \h </w:instrText>
            </w:r>
            <w:r w:rsidR="00391160">
              <w:rPr>
                <w:noProof/>
                <w:webHidden/>
              </w:rPr>
            </w:r>
            <w:r w:rsidR="00391160">
              <w:rPr>
                <w:noProof/>
                <w:webHidden/>
              </w:rPr>
              <w:fldChar w:fldCharType="separate"/>
            </w:r>
            <w:r w:rsidR="00391160">
              <w:rPr>
                <w:noProof/>
                <w:webHidden/>
              </w:rPr>
              <w:t>169</w:t>
            </w:r>
            <w:r w:rsidR="00391160">
              <w:rPr>
                <w:noProof/>
                <w:webHidden/>
              </w:rPr>
              <w:fldChar w:fldCharType="end"/>
            </w:r>
          </w:hyperlink>
        </w:p>
        <w:p w14:paraId="2F7B025C" w14:textId="1EC62C48" w:rsidR="00391160" w:rsidRDefault="00664348">
          <w:pPr>
            <w:pStyle w:val="TOC3"/>
            <w:tabs>
              <w:tab w:val="right" w:leader="dot" w:pos="9680"/>
            </w:tabs>
            <w:rPr>
              <w:rFonts w:cstheme="minorBidi"/>
              <w:noProof/>
              <w:sz w:val="24"/>
              <w:szCs w:val="24"/>
            </w:rPr>
          </w:pPr>
          <w:hyperlink w:anchor="_Toc46154386" w:history="1">
            <w:r w:rsidR="00391160" w:rsidRPr="003F6275">
              <w:rPr>
                <w:rStyle w:val="Hyperlink"/>
                <w:rFonts w:eastAsia="Times New Roman" w:cs="Times New Roman"/>
                <w:noProof/>
              </w:rPr>
              <w:t xml:space="preserve">4. </w:t>
            </w:r>
            <w:r w:rsidR="00391160" w:rsidRPr="003F6275">
              <w:rPr>
                <w:rStyle w:val="Hyperlink"/>
                <w:rFonts w:ascii="Sylfaen" w:eastAsia="Times New Roman" w:hAnsi="Sylfaen" w:cs="Sylfaen"/>
                <w:noProof/>
              </w:rPr>
              <w:t>ՀՀ</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ԿԱՌԱՎԱՐՈՒԹՅԱՆ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ՊԱՐՏՔԻ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ԿԱՅՈՒՆՈՒԹՅԱՆ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ՎԵՐԼՈՒԾՈՒԹՅՈՒՆԸ</w:t>
            </w:r>
            <w:r w:rsidR="00391160" w:rsidRPr="003F6275">
              <w:rPr>
                <w:rStyle w:val="Hyperlink"/>
                <w:rFonts w:eastAsia="Times New Roman" w:cs="Times New Roman"/>
                <w:noProof/>
              </w:rPr>
              <w:t xml:space="preserve"> </w:t>
            </w:r>
            <w:r w:rsidR="00391160">
              <w:rPr>
                <w:noProof/>
                <w:webHidden/>
              </w:rPr>
              <w:tab/>
            </w:r>
            <w:r w:rsidR="00391160">
              <w:rPr>
                <w:noProof/>
                <w:webHidden/>
              </w:rPr>
              <w:fldChar w:fldCharType="begin"/>
            </w:r>
            <w:r w:rsidR="00391160">
              <w:rPr>
                <w:noProof/>
                <w:webHidden/>
              </w:rPr>
              <w:instrText xml:space="preserve"> PAGEREF _Toc46154386 \h </w:instrText>
            </w:r>
            <w:r w:rsidR="00391160">
              <w:rPr>
                <w:noProof/>
                <w:webHidden/>
              </w:rPr>
            </w:r>
            <w:r w:rsidR="00391160">
              <w:rPr>
                <w:noProof/>
                <w:webHidden/>
              </w:rPr>
              <w:fldChar w:fldCharType="separate"/>
            </w:r>
            <w:r w:rsidR="00391160">
              <w:rPr>
                <w:noProof/>
                <w:webHidden/>
              </w:rPr>
              <w:t>177</w:t>
            </w:r>
            <w:r w:rsidR="00391160">
              <w:rPr>
                <w:noProof/>
                <w:webHidden/>
              </w:rPr>
              <w:fldChar w:fldCharType="end"/>
            </w:r>
          </w:hyperlink>
        </w:p>
        <w:p w14:paraId="1D164A88" w14:textId="2DC08925" w:rsidR="00391160" w:rsidRDefault="00664348">
          <w:pPr>
            <w:pStyle w:val="TOC3"/>
            <w:tabs>
              <w:tab w:val="right" w:leader="dot" w:pos="9680"/>
            </w:tabs>
            <w:rPr>
              <w:rFonts w:cstheme="minorBidi"/>
              <w:noProof/>
              <w:sz w:val="24"/>
              <w:szCs w:val="24"/>
            </w:rPr>
          </w:pPr>
          <w:hyperlink w:anchor="_Toc46154387" w:history="1">
            <w:r w:rsidR="00391160" w:rsidRPr="003F6275">
              <w:rPr>
                <w:rStyle w:val="Hyperlink"/>
                <w:rFonts w:eastAsia="Times New Roman" w:cs="Times New Roman"/>
                <w:noProof/>
              </w:rPr>
              <w:t xml:space="preserve">5. </w:t>
            </w:r>
            <w:r w:rsidR="00391160" w:rsidRPr="003F6275">
              <w:rPr>
                <w:rStyle w:val="Hyperlink"/>
                <w:rFonts w:ascii="Sylfaen" w:eastAsia="Times New Roman" w:hAnsi="Sylfaen" w:cs="Sylfaen"/>
                <w:noProof/>
              </w:rPr>
              <w:t>ԵՆԹԱԿԱՌՈՒՑՎԱԾՔԱՅԻՆ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ՈԼՈՐՏՆԵՐՈՒՄ</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ՀԱՐԿԱԲՅՈՒՋԵՏԱՅԻՆ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ՌԻՍԿԵՐԻ</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ԳՆԱՀԱՏԱԿԱՆԸ</w:t>
            </w:r>
            <w:r w:rsidR="00391160">
              <w:rPr>
                <w:noProof/>
                <w:webHidden/>
              </w:rPr>
              <w:tab/>
            </w:r>
            <w:r w:rsidR="00391160">
              <w:rPr>
                <w:noProof/>
                <w:webHidden/>
              </w:rPr>
              <w:fldChar w:fldCharType="begin"/>
            </w:r>
            <w:r w:rsidR="00391160">
              <w:rPr>
                <w:noProof/>
                <w:webHidden/>
              </w:rPr>
              <w:instrText xml:space="preserve"> PAGEREF _Toc46154387 \h </w:instrText>
            </w:r>
            <w:r w:rsidR="00391160">
              <w:rPr>
                <w:noProof/>
                <w:webHidden/>
              </w:rPr>
            </w:r>
            <w:r w:rsidR="00391160">
              <w:rPr>
                <w:noProof/>
                <w:webHidden/>
              </w:rPr>
              <w:fldChar w:fldCharType="separate"/>
            </w:r>
            <w:r w:rsidR="00391160">
              <w:rPr>
                <w:noProof/>
                <w:webHidden/>
              </w:rPr>
              <w:t>180</w:t>
            </w:r>
            <w:r w:rsidR="00391160">
              <w:rPr>
                <w:noProof/>
                <w:webHidden/>
              </w:rPr>
              <w:fldChar w:fldCharType="end"/>
            </w:r>
          </w:hyperlink>
        </w:p>
        <w:p w14:paraId="7B360557" w14:textId="30567180" w:rsidR="00391160" w:rsidRDefault="00664348">
          <w:pPr>
            <w:pStyle w:val="TOC3"/>
            <w:tabs>
              <w:tab w:val="right" w:leader="dot" w:pos="9680"/>
            </w:tabs>
            <w:rPr>
              <w:rFonts w:cstheme="minorBidi"/>
              <w:noProof/>
              <w:sz w:val="24"/>
              <w:szCs w:val="24"/>
            </w:rPr>
          </w:pPr>
          <w:hyperlink w:anchor="_Toc46154388" w:history="1">
            <w:r w:rsidR="00391160" w:rsidRPr="003F6275">
              <w:rPr>
                <w:rStyle w:val="Hyperlink"/>
                <w:rFonts w:eastAsia="Times New Roman" w:cs="Times New Roman"/>
                <w:noProof/>
              </w:rPr>
              <w:t xml:space="preserve">6. </w:t>
            </w:r>
            <w:r w:rsidR="00391160" w:rsidRPr="003F6275">
              <w:rPr>
                <w:rStyle w:val="Hyperlink"/>
                <w:rFonts w:ascii="Sylfaen" w:eastAsia="Times New Roman" w:hAnsi="Sylfaen" w:cs="Sylfaen"/>
                <w:noProof/>
              </w:rPr>
              <w:t>ՀԱՐԿԱՅԻՆ</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ԾԱԽՍԵՐԸ</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ԵՎ</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ԴՐԱՆՑ</w:t>
            </w:r>
            <w:r w:rsidR="00391160" w:rsidRPr="003F6275">
              <w:rPr>
                <w:rStyle w:val="Hyperlink"/>
                <w:rFonts w:eastAsia="Times New Roman" w:cs="Times New Roman"/>
                <w:noProof/>
              </w:rPr>
              <w:t xml:space="preserve"> </w:t>
            </w:r>
            <w:r w:rsidR="00391160" w:rsidRPr="003F6275">
              <w:rPr>
                <w:rStyle w:val="Hyperlink"/>
                <w:rFonts w:ascii="Sylfaen" w:eastAsia="Times New Roman" w:hAnsi="Sylfaen" w:cs="Sylfaen"/>
                <w:noProof/>
              </w:rPr>
              <w:t>ԿՐՃԱՏՈՒՄԸ</w:t>
            </w:r>
            <w:r w:rsidR="00391160">
              <w:rPr>
                <w:noProof/>
                <w:webHidden/>
              </w:rPr>
              <w:tab/>
            </w:r>
            <w:r w:rsidR="00391160">
              <w:rPr>
                <w:noProof/>
                <w:webHidden/>
              </w:rPr>
              <w:fldChar w:fldCharType="begin"/>
            </w:r>
            <w:r w:rsidR="00391160">
              <w:rPr>
                <w:noProof/>
                <w:webHidden/>
              </w:rPr>
              <w:instrText xml:space="preserve"> PAGEREF _Toc46154388 \h </w:instrText>
            </w:r>
            <w:r w:rsidR="00391160">
              <w:rPr>
                <w:noProof/>
                <w:webHidden/>
              </w:rPr>
            </w:r>
            <w:r w:rsidR="00391160">
              <w:rPr>
                <w:noProof/>
                <w:webHidden/>
              </w:rPr>
              <w:fldChar w:fldCharType="separate"/>
            </w:r>
            <w:r w:rsidR="00391160">
              <w:rPr>
                <w:noProof/>
                <w:webHidden/>
              </w:rPr>
              <w:t>202</w:t>
            </w:r>
            <w:r w:rsidR="00391160">
              <w:rPr>
                <w:noProof/>
                <w:webHidden/>
              </w:rPr>
              <w:fldChar w:fldCharType="end"/>
            </w:r>
          </w:hyperlink>
        </w:p>
        <w:p w14:paraId="6277D4D0" w14:textId="2969B6FF" w:rsidR="00391160" w:rsidRDefault="00664348">
          <w:pPr>
            <w:pStyle w:val="TOC1"/>
            <w:tabs>
              <w:tab w:val="right" w:leader="dot" w:pos="9680"/>
            </w:tabs>
            <w:rPr>
              <w:rFonts w:cstheme="minorBidi"/>
              <w:b w:val="0"/>
              <w:bCs w:val="0"/>
              <w:i w:val="0"/>
              <w:iCs w:val="0"/>
              <w:noProof/>
            </w:rPr>
          </w:pPr>
          <w:hyperlink w:anchor="_Toc46154389" w:history="1">
            <w:r w:rsidR="00391160" w:rsidRPr="003F6275">
              <w:rPr>
                <w:rStyle w:val="Hyperlink"/>
                <w:rFonts w:ascii="Sylfaen" w:hAnsi="Sylfaen" w:cs="Sylfaen"/>
                <w:noProof/>
                <w:lang w:val="hy-AM"/>
              </w:rPr>
              <w:t>ՀԱՎԵԼՎԱԾՆԵՐ</w:t>
            </w:r>
            <w:r w:rsidR="00391160">
              <w:rPr>
                <w:noProof/>
                <w:webHidden/>
              </w:rPr>
              <w:tab/>
            </w:r>
            <w:r w:rsidR="00391160">
              <w:rPr>
                <w:noProof/>
                <w:webHidden/>
              </w:rPr>
              <w:fldChar w:fldCharType="begin"/>
            </w:r>
            <w:r w:rsidR="00391160">
              <w:rPr>
                <w:noProof/>
                <w:webHidden/>
              </w:rPr>
              <w:instrText xml:space="preserve"> PAGEREF _Toc46154389 \h </w:instrText>
            </w:r>
            <w:r w:rsidR="00391160">
              <w:rPr>
                <w:noProof/>
                <w:webHidden/>
              </w:rPr>
            </w:r>
            <w:r w:rsidR="00391160">
              <w:rPr>
                <w:noProof/>
                <w:webHidden/>
              </w:rPr>
              <w:fldChar w:fldCharType="separate"/>
            </w:r>
            <w:r w:rsidR="00391160">
              <w:rPr>
                <w:noProof/>
                <w:webHidden/>
              </w:rPr>
              <w:t>204</w:t>
            </w:r>
            <w:r w:rsidR="00391160">
              <w:rPr>
                <w:noProof/>
                <w:webHidden/>
              </w:rPr>
              <w:fldChar w:fldCharType="end"/>
            </w:r>
          </w:hyperlink>
        </w:p>
        <w:p w14:paraId="660B54B3" w14:textId="2A2C134B" w:rsidR="006D2C91" w:rsidRDefault="004A65FD">
          <w:r w:rsidRPr="00991CEB">
            <w:rPr>
              <w:b/>
              <w:bCs/>
              <w:noProof/>
              <w:color w:val="000000" w:themeColor="text1"/>
            </w:rPr>
            <w:fldChar w:fldCharType="end"/>
          </w:r>
        </w:p>
      </w:sdtContent>
    </w:sdt>
    <w:p w14:paraId="5BBD53DB" w14:textId="77777777" w:rsidR="006D2C91" w:rsidRDefault="006D2C91" w:rsidP="006D2C91">
      <w:pPr>
        <w:tabs>
          <w:tab w:val="left" w:pos="993"/>
        </w:tabs>
        <w:spacing w:line="360" w:lineRule="auto"/>
        <w:ind w:firstLine="0"/>
        <w:jc w:val="left"/>
        <w:rPr>
          <w:b/>
          <w:sz w:val="24"/>
          <w:szCs w:val="24"/>
          <w:lang w:val="hy-AM"/>
        </w:rPr>
      </w:pPr>
    </w:p>
    <w:p w14:paraId="0946E9EE" w14:textId="77777777" w:rsidR="004154D0" w:rsidRDefault="004A65FD" w:rsidP="006D2C91">
      <w:pPr>
        <w:pStyle w:val="TOC1"/>
        <w:ind w:firstLine="0"/>
        <w:rPr>
          <w:b w:val="0"/>
          <w:noProof/>
        </w:rPr>
      </w:pPr>
      <w:r w:rsidRPr="003C716D">
        <w:fldChar w:fldCharType="begin"/>
      </w:r>
      <w:r w:rsidR="0035239C" w:rsidRPr="003C716D">
        <w:instrText xml:space="preserve"> TOC \o "1-3" \h \z \u </w:instrText>
      </w:r>
      <w:r w:rsidRPr="003C716D">
        <w:fldChar w:fldCharType="separate"/>
      </w:r>
    </w:p>
    <w:p w14:paraId="0088FC1F" w14:textId="77777777" w:rsidR="00173FEB" w:rsidRPr="0033140E" w:rsidRDefault="004A65FD" w:rsidP="0033140E">
      <w:pPr>
        <w:pStyle w:val="Heading1"/>
        <w:rPr>
          <w:sz w:val="24"/>
          <w:lang w:val="hy-AM"/>
        </w:rPr>
      </w:pPr>
      <w:r w:rsidRPr="003C716D">
        <w:rPr>
          <w:noProof/>
        </w:rPr>
        <w:fldChar w:fldCharType="end"/>
      </w:r>
      <w:bookmarkStart w:id="4" w:name="_Toc13837261"/>
      <w:r w:rsidR="00363E3A">
        <w:rPr>
          <w:lang w:val="hy-AM"/>
        </w:rPr>
        <w:br w:type="page"/>
      </w:r>
      <w:bookmarkStart w:id="5" w:name="_Toc45838510"/>
      <w:bookmarkStart w:id="6" w:name="_Toc46154340"/>
      <w:r w:rsidR="00595A2D" w:rsidRPr="0033140E">
        <w:rPr>
          <w:sz w:val="24"/>
          <w:lang w:val="hy-AM"/>
        </w:rPr>
        <w:lastRenderedPageBreak/>
        <w:t>ՆԵՐԱԾՈՒԹՅՈՒՆ</w:t>
      </w:r>
      <w:bookmarkEnd w:id="1"/>
      <w:bookmarkEnd w:id="2"/>
      <w:bookmarkEnd w:id="3"/>
      <w:bookmarkEnd w:id="4"/>
      <w:bookmarkEnd w:id="5"/>
      <w:bookmarkEnd w:id="6"/>
    </w:p>
    <w:p w14:paraId="223CEEA1" w14:textId="77777777" w:rsidR="00173FEB" w:rsidRPr="00811233" w:rsidRDefault="006211F2" w:rsidP="00811233">
      <w:pPr>
        <w:spacing w:line="276" w:lineRule="auto"/>
        <w:rPr>
          <w:lang w:val="hy-AM"/>
        </w:rPr>
      </w:pPr>
      <w:bookmarkStart w:id="7" w:name="_Toc296702339"/>
      <w:r w:rsidRPr="00811233">
        <w:rPr>
          <w:lang w:val="hy-AM"/>
        </w:rPr>
        <w:t>ՀՀ կ</w:t>
      </w:r>
      <w:r w:rsidR="002611A6" w:rsidRPr="00811233">
        <w:rPr>
          <w:lang w:val="hy-AM"/>
        </w:rPr>
        <w:t>առավարության</w:t>
      </w:r>
      <w:r w:rsidRPr="00811233">
        <w:rPr>
          <w:lang w:val="hy-AM"/>
        </w:rPr>
        <w:t xml:space="preserve"> գործունեության </w:t>
      </w:r>
      <w:r w:rsidR="00237DDF" w:rsidRPr="00811233">
        <w:rPr>
          <w:lang w:val="hy-AM"/>
        </w:rPr>
        <w:t xml:space="preserve">ծրագրով նախանշված </w:t>
      </w:r>
      <w:r w:rsidR="002611A6" w:rsidRPr="00811233">
        <w:rPr>
          <w:lang w:val="hy-AM"/>
        </w:rPr>
        <w:t xml:space="preserve">հիմնական </w:t>
      </w:r>
      <w:r w:rsidR="007F2A80" w:rsidRPr="00811233">
        <w:rPr>
          <w:lang w:val="hy-AM"/>
        </w:rPr>
        <w:t>ուղենիշը</w:t>
      </w:r>
      <w:r w:rsidR="00237DDF" w:rsidRPr="00811233">
        <w:rPr>
          <w:lang w:val="hy-AM"/>
        </w:rPr>
        <w:t>՝</w:t>
      </w:r>
      <w:r w:rsidR="002611A6" w:rsidRPr="00811233">
        <w:rPr>
          <w:lang w:val="hy-AM"/>
        </w:rPr>
        <w:t xml:space="preserve"> </w:t>
      </w:r>
      <w:r w:rsidR="00595A2D" w:rsidRPr="00811233">
        <w:rPr>
          <w:rFonts w:eastAsia="Times New Roman"/>
          <w:lang w:val="hy-AM"/>
        </w:rPr>
        <w:t>Հայաստանի Հանրապետությունում բար</w:t>
      </w:r>
      <w:r w:rsidR="00595A2D" w:rsidRPr="00811233">
        <w:rPr>
          <w:lang w:val="hy-AM"/>
        </w:rPr>
        <w:t>ձր տեխնոլոգիական, արդյունաբերական, ինչպես նաև բնապահպանական բարձր չափանիշներին համապատասխանող, արտահանմանը միտված մրցունակ և ներառական տնտեսությա</w:t>
      </w:r>
      <w:r w:rsidR="00595A2D" w:rsidRPr="00811233">
        <w:rPr>
          <w:rFonts w:eastAsia="Times New Roman"/>
          <w:lang w:val="hy-AM"/>
        </w:rPr>
        <w:t>ն կառուց</w:t>
      </w:r>
      <w:r w:rsidR="00595A2D" w:rsidRPr="00811233">
        <w:rPr>
          <w:lang w:val="hy-AM"/>
        </w:rPr>
        <w:t>ում</w:t>
      </w:r>
      <w:r w:rsidR="00237DDF" w:rsidRPr="00811233">
        <w:rPr>
          <w:lang w:val="hy-AM"/>
        </w:rPr>
        <w:t>ը, շարունակում է մնալ արդիական</w:t>
      </w:r>
      <w:r w:rsidR="00595A2D" w:rsidRPr="00811233">
        <w:rPr>
          <w:lang w:val="hy-AM"/>
        </w:rPr>
        <w:t>։</w:t>
      </w:r>
      <w:r w:rsidR="007F2A80" w:rsidRPr="00811233">
        <w:rPr>
          <w:lang w:val="hy-AM"/>
        </w:rPr>
        <w:t xml:space="preserve"> Այդ ճանապարհին </w:t>
      </w:r>
      <w:r w:rsidR="00237DDF" w:rsidRPr="00811233">
        <w:rPr>
          <w:lang w:val="hy-AM"/>
        </w:rPr>
        <w:t>արձանագրվ</w:t>
      </w:r>
      <w:r w:rsidR="00563805" w:rsidRPr="00811233">
        <w:rPr>
          <w:lang w:val="hy-AM"/>
        </w:rPr>
        <w:t>ել են հետևյալ</w:t>
      </w:r>
      <w:r w:rsidR="007F2A80" w:rsidRPr="00811233">
        <w:rPr>
          <w:lang w:val="hy-AM"/>
        </w:rPr>
        <w:t xml:space="preserve"> հիմնական խնդիրներ</w:t>
      </w:r>
      <w:r w:rsidR="00237DDF" w:rsidRPr="00811233">
        <w:rPr>
          <w:lang w:val="hy-AM"/>
        </w:rPr>
        <w:t>ը</w:t>
      </w:r>
      <w:r w:rsidR="00563805" w:rsidRPr="00811233">
        <w:rPr>
          <w:lang w:val="hy-AM"/>
        </w:rPr>
        <w:t>՝</w:t>
      </w:r>
      <w:r w:rsidR="00237DDF" w:rsidRPr="00811233">
        <w:rPr>
          <w:lang w:val="hy-AM"/>
        </w:rPr>
        <w:t xml:space="preserve"> մարդկային ներուժի զարգացման</w:t>
      </w:r>
      <w:r w:rsidR="00563805" w:rsidRPr="00811233">
        <w:rPr>
          <w:lang w:val="hy-AM"/>
        </w:rPr>
        <w:t xml:space="preserve"> և</w:t>
      </w:r>
      <w:r w:rsidR="00237DDF" w:rsidRPr="00811233">
        <w:rPr>
          <w:lang w:val="hy-AM"/>
        </w:rPr>
        <w:t xml:space="preserve"> հուսալի ենթակառուցվածքների ձևավորման անհրաժեշտությունը, ինչպես նաև պետական կառավարման արդյունավետության բարձրացման ու տնտեսական գործունեությամբ զբաղվելու </w:t>
      </w:r>
      <w:r w:rsidR="00563805" w:rsidRPr="00811233">
        <w:rPr>
          <w:lang w:val="hy-AM"/>
        </w:rPr>
        <w:t>իրական</w:t>
      </w:r>
      <w:r w:rsidR="00237DDF" w:rsidRPr="00811233">
        <w:rPr>
          <w:lang w:val="hy-AM"/>
        </w:rPr>
        <w:t xml:space="preserve"> հնարավորությունների համար նախադրյալների ստեղծումը</w:t>
      </w:r>
      <w:r w:rsidR="00563805" w:rsidRPr="00811233">
        <w:rPr>
          <w:lang w:val="hy-AM"/>
        </w:rPr>
        <w:t>։ Մշտապես փոփոխվող արտաքին և ներքին մարտահրավերների միջավայրում՝ հենց այս առանցքային խնդիրների լուծմանն են միտված կառավարության լիազորությունների շրջանակում իրականացվող բոլոր միջոցառումները։</w:t>
      </w:r>
    </w:p>
    <w:p w14:paraId="169B6744" w14:textId="77777777" w:rsidR="00173FEB" w:rsidRPr="00811233" w:rsidRDefault="00D2148A" w:rsidP="00811233">
      <w:pPr>
        <w:spacing w:line="276" w:lineRule="auto"/>
        <w:rPr>
          <w:lang w:val="hy-AM"/>
        </w:rPr>
      </w:pPr>
      <w:r w:rsidRPr="00811233">
        <w:rPr>
          <w:lang w:val="hy-AM"/>
        </w:rPr>
        <w:t xml:space="preserve">Պետական </w:t>
      </w:r>
      <w:r w:rsidR="002611A6" w:rsidRPr="00811233">
        <w:rPr>
          <w:lang w:val="hy-AM"/>
        </w:rPr>
        <w:t>միջնաժամկետ ծախսերի ծրագ</w:t>
      </w:r>
      <w:r w:rsidRPr="00811233">
        <w:rPr>
          <w:lang w:val="hy-AM"/>
        </w:rPr>
        <w:t xml:space="preserve">իրը </w:t>
      </w:r>
      <w:r w:rsidR="00EF5BAB" w:rsidRPr="00811233">
        <w:rPr>
          <w:lang w:val="hy-AM"/>
        </w:rPr>
        <w:t xml:space="preserve">ձևավորվում է առաջիկա եռամյա ժամանակահատվածի համար։ Այն՝ հաշվի առնելով սահմանափակումները, բացահայտում է </w:t>
      </w:r>
      <w:r w:rsidR="007D74A2" w:rsidRPr="00811233">
        <w:rPr>
          <w:lang w:val="hy-AM"/>
        </w:rPr>
        <w:t xml:space="preserve">մեր երկրի ընդհանուր հնարավորությունները, որի շրջանակում սահմանվում են  կառավարության ծրագրային դրույթներում և </w:t>
      </w:r>
      <w:r w:rsidR="008A2327" w:rsidRPr="00811233">
        <w:rPr>
          <w:lang w:val="hy-AM"/>
        </w:rPr>
        <w:t xml:space="preserve">ոլորտային </w:t>
      </w:r>
      <w:r w:rsidR="007D74A2" w:rsidRPr="00811233">
        <w:rPr>
          <w:lang w:val="hy-AM"/>
        </w:rPr>
        <w:t>ռազմավարական փաստաթղթեր</w:t>
      </w:r>
      <w:r w:rsidR="008A2327" w:rsidRPr="00811233">
        <w:rPr>
          <w:lang w:val="hy-AM"/>
        </w:rPr>
        <w:t>ում</w:t>
      </w:r>
      <w:r w:rsidR="007D74A2" w:rsidRPr="00811233">
        <w:rPr>
          <w:lang w:val="hy-AM"/>
        </w:rPr>
        <w:t xml:space="preserve"> ամրագրված առաջնահերթություններից բխող՝ առաջիկա երեք տարիների ընթացքում իրականացման ենթակա քաղաքականության միջոցառումները</w:t>
      </w:r>
      <w:r w:rsidR="00EF5BAB" w:rsidRPr="00811233">
        <w:rPr>
          <w:lang w:val="hy-AM"/>
        </w:rPr>
        <w:t xml:space="preserve">։ </w:t>
      </w:r>
    </w:p>
    <w:p w14:paraId="62D55356" w14:textId="77777777" w:rsidR="00173FEB" w:rsidRPr="00811233" w:rsidRDefault="00D64171" w:rsidP="00811233">
      <w:pPr>
        <w:spacing w:line="276" w:lineRule="auto"/>
        <w:rPr>
          <w:lang w:val="hy-AM"/>
        </w:rPr>
      </w:pPr>
      <w:r w:rsidRPr="00811233">
        <w:rPr>
          <w:lang w:val="hy-AM"/>
        </w:rPr>
        <w:t xml:space="preserve">Պետական միջնաժամկետ ծախսերի ծրագրի և, ընդհանրապես, ծախսերի որևէ ծրագրի կարևորագույն հատկանիշ է համարվում դրա </w:t>
      </w:r>
      <w:r w:rsidR="002611A6" w:rsidRPr="00811233">
        <w:rPr>
          <w:lang w:val="hy-AM"/>
        </w:rPr>
        <w:t>իրատեսականությ</w:t>
      </w:r>
      <w:r w:rsidRPr="00811233">
        <w:rPr>
          <w:lang w:val="hy-AM"/>
        </w:rPr>
        <w:t xml:space="preserve">ունը։ Կարճաժամկետ «արդյունք» ստանալու համար հնարավոր է բոլոր ծրագրերը կամ նույնիսկ դրանց բացակայության դեպքում մտադրությունների հայտարարությունները ներառել ծախսերի ծրագրերում </w:t>
      </w:r>
      <w:r w:rsidR="00595A2D" w:rsidRPr="00811233">
        <w:rPr>
          <w:lang w:val="hy-AM"/>
        </w:rPr>
        <w:t>(</w:t>
      </w:r>
      <w:r w:rsidRPr="00811233">
        <w:rPr>
          <w:lang w:val="hy-AM"/>
        </w:rPr>
        <w:t>բյուջետավորել</w:t>
      </w:r>
      <w:r w:rsidR="00595A2D" w:rsidRPr="00811233">
        <w:rPr>
          <w:lang w:val="hy-AM"/>
        </w:rPr>
        <w:t>)</w:t>
      </w:r>
      <w:r w:rsidRPr="00811233">
        <w:rPr>
          <w:lang w:val="hy-AM"/>
        </w:rPr>
        <w:t>, բայց ակնհայտ է, որ ծախսերի իրականացման համար գնահատված հնարավորությունների իրատեսական չլինելու պարագայում, այդ նույն ծրագրերի շրջանակում վճարումների կատարման փուլում</w:t>
      </w:r>
      <w:r w:rsidR="00141223" w:rsidRPr="00811233">
        <w:rPr>
          <w:lang w:val="hy-AM"/>
        </w:rPr>
        <w:t>,</w:t>
      </w:r>
      <w:r w:rsidRPr="00811233">
        <w:rPr>
          <w:lang w:val="hy-AM"/>
        </w:rPr>
        <w:t xml:space="preserve"> ձախողումն անխուսափելի կլինի</w:t>
      </w:r>
      <w:r w:rsidR="00141223" w:rsidRPr="00811233">
        <w:rPr>
          <w:lang w:val="hy-AM"/>
        </w:rPr>
        <w:t>՝</w:t>
      </w:r>
      <w:r w:rsidRPr="00811233">
        <w:rPr>
          <w:lang w:val="hy-AM"/>
        </w:rPr>
        <w:t xml:space="preserve"> </w:t>
      </w:r>
      <w:r w:rsidR="00141223" w:rsidRPr="00811233">
        <w:rPr>
          <w:lang w:val="hy-AM"/>
        </w:rPr>
        <w:t>դրամական միջոցների անբավարարությամբ պայմանավորված</w:t>
      </w:r>
      <w:r w:rsidRPr="00811233">
        <w:rPr>
          <w:lang w:val="hy-AM"/>
        </w:rPr>
        <w:t xml:space="preserve">։ </w:t>
      </w:r>
    </w:p>
    <w:p w14:paraId="2CEAF235" w14:textId="77777777" w:rsidR="00173FEB" w:rsidRPr="00811233" w:rsidRDefault="00141223" w:rsidP="00811233">
      <w:pPr>
        <w:spacing w:line="276" w:lineRule="auto"/>
        <w:rPr>
          <w:lang w:val="hy-AM"/>
        </w:rPr>
      </w:pPr>
      <w:r w:rsidRPr="00811233">
        <w:rPr>
          <w:lang w:val="hy-AM"/>
        </w:rPr>
        <w:t>Մյուս կողմից, ակնհայտ է նաև, որ արդարացված չի այն մոտեցումը, ըստ որի պետք է հնարավորինս ցածր նշաձող թիրախավորվի միջոցառումների իրականացման տեսակետից, որպեսզի նվազագույնի հասցվի իրականացման ռիսկը։ Այս մոտեցումը խնդրահարույց է հատկապես հավակնոտ զարգացում ենթադրող նպատակադրումների իմաստով, հետևաբար, ճշմարտությունն այս երկու մոտեցումների հավասարակշռության կետում է։</w:t>
      </w:r>
      <w:r w:rsidR="003A10DA" w:rsidRPr="00811233">
        <w:rPr>
          <w:lang w:val="hy-AM"/>
        </w:rPr>
        <w:t xml:space="preserve"> Այսինքն, նշաձողը պետք է լինի բարձր, բայց իրատեսական, ինչպիսին դրված է 2021-2023 թվականների միջնաժամկետ ծախսերի ծրագրի հիմքում։</w:t>
      </w:r>
      <w:r w:rsidRPr="00811233">
        <w:rPr>
          <w:lang w:val="hy-AM"/>
        </w:rPr>
        <w:t xml:space="preserve"> </w:t>
      </w:r>
    </w:p>
    <w:p w14:paraId="4C5AA2E3" w14:textId="77777777" w:rsidR="00173FEB" w:rsidRPr="00C61273" w:rsidRDefault="003A10DA" w:rsidP="00811233">
      <w:pPr>
        <w:spacing w:line="276" w:lineRule="auto"/>
        <w:rPr>
          <w:lang w:val="hy-AM"/>
        </w:rPr>
      </w:pPr>
      <w:r w:rsidRPr="00811233">
        <w:rPr>
          <w:lang w:val="hy-AM"/>
        </w:rPr>
        <w:t>Ծրագիրը մշակված է՝ նվազագույնի հասցնելով</w:t>
      </w:r>
      <w:r w:rsidR="00D64171" w:rsidRPr="00811233">
        <w:rPr>
          <w:lang w:val="hy-AM"/>
        </w:rPr>
        <w:t xml:space="preserve"> հարկաբյուջետային և ֆինանսական կայունության անկառավարելի ռիսկեր</w:t>
      </w:r>
      <w:r w:rsidRPr="00811233">
        <w:rPr>
          <w:lang w:val="hy-AM"/>
        </w:rPr>
        <w:t xml:space="preserve">ը, բայց միևնույն ժամանակ պահանջում է կոնկրետ ջանքեր, որպեսզի հնարավոր լինի իրականացնել այն և </w:t>
      </w:r>
      <w:r w:rsidR="001429CD" w:rsidRPr="00811233">
        <w:rPr>
          <w:lang w:val="hy-AM"/>
        </w:rPr>
        <w:t xml:space="preserve">այդ </w:t>
      </w:r>
      <w:r w:rsidRPr="00811233">
        <w:rPr>
          <w:lang w:val="hy-AM"/>
        </w:rPr>
        <w:t xml:space="preserve">ընթացքում </w:t>
      </w:r>
      <w:r w:rsidR="001429CD" w:rsidRPr="00811233">
        <w:rPr>
          <w:lang w:val="hy-AM"/>
        </w:rPr>
        <w:t xml:space="preserve">ձգտել </w:t>
      </w:r>
      <w:r w:rsidRPr="00811233">
        <w:rPr>
          <w:lang w:val="hy-AM"/>
        </w:rPr>
        <w:t xml:space="preserve">նաև </w:t>
      </w:r>
      <w:r w:rsidRPr="003B1F5F">
        <w:rPr>
          <w:lang w:val="hy-AM"/>
        </w:rPr>
        <w:t>հնարավորությունների ընդլայնման հաշվին նոր նախաձեռնություններ</w:t>
      </w:r>
      <w:r w:rsidR="001429CD" w:rsidRPr="003B1F5F">
        <w:rPr>
          <w:lang w:val="hy-AM"/>
        </w:rPr>
        <w:t xml:space="preserve"> մեկնարկելուն։</w:t>
      </w:r>
    </w:p>
    <w:p w14:paraId="4C27AAD1" w14:textId="35C10BC7" w:rsidR="003B1F5F" w:rsidRPr="003B1F5F" w:rsidRDefault="003B1F5F" w:rsidP="003B1F5F">
      <w:pPr>
        <w:spacing w:line="276" w:lineRule="auto"/>
        <w:ind w:firstLine="600"/>
        <w:rPr>
          <w:lang w:val="hy-AM"/>
        </w:rPr>
      </w:pPr>
      <w:r>
        <w:rPr>
          <w:lang w:val="hy-AM"/>
        </w:rPr>
        <w:t>Նշվածով պայմանավորված 2021-2023թթ ՄԺԾԾ փաստաթղթում առանձին հավելվածնե</w:t>
      </w:r>
      <w:r w:rsidR="007724F4">
        <w:rPr>
          <w:lang w:val="hy-AM"/>
        </w:rPr>
        <w:t>ր</w:t>
      </w:r>
      <w:r>
        <w:rPr>
          <w:lang w:val="hy-AM"/>
        </w:rPr>
        <w:t xml:space="preserve">ով ներկայացված են առաջնահերթություններ հանդիսացող կապիտալ ծախսերը և </w:t>
      </w:r>
      <w:r>
        <w:rPr>
          <w:lang w:val="hy-AM"/>
        </w:rPr>
        <w:lastRenderedPageBreak/>
        <w:t xml:space="preserve">ռազմավարություններից բխող նախաձեռնությունները, որոնք հնարավոր կլինի իրականացնել </w:t>
      </w:r>
      <w:r w:rsidR="00167E7D">
        <w:rPr>
          <w:lang w:val="hy-AM"/>
        </w:rPr>
        <w:t>հավելյալ ռեսուրսներ գեներացնելու ճանապա</w:t>
      </w:r>
      <w:r w:rsidR="007724F4">
        <w:rPr>
          <w:lang w:val="hy-AM"/>
        </w:rPr>
        <w:t>ր</w:t>
      </w:r>
      <w:r w:rsidR="00167E7D">
        <w:rPr>
          <w:lang w:val="hy-AM"/>
        </w:rPr>
        <w:t>հով։</w:t>
      </w:r>
    </w:p>
    <w:p w14:paraId="28D0F14A" w14:textId="77777777" w:rsidR="003529C1" w:rsidRPr="00930D04" w:rsidRDefault="003B1F5F" w:rsidP="003529C1">
      <w:pPr>
        <w:spacing w:line="276" w:lineRule="auto"/>
        <w:ind w:firstLine="600"/>
        <w:rPr>
          <w:b/>
          <w:bCs/>
          <w:color w:val="1F497D" w:themeColor="text2"/>
          <w:kern w:val="24"/>
          <w:sz w:val="24"/>
          <w:szCs w:val="24"/>
          <w:lang w:val="hy-AM"/>
        </w:rPr>
      </w:pPr>
      <w:r w:rsidRPr="00167E7D">
        <w:rPr>
          <w:lang w:val="hy-AM"/>
        </w:rPr>
        <w:t xml:space="preserve">ՄԺԾԾ 2021-2023թթ </w:t>
      </w:r>
      <w:r w:rsidR="00167E7D" w:rsidRPr="00167E7D">
        <w:rPr>
          <w:lang w:val="hy-AM"/>
        </w:rPr>
        <w:t xml:space="preserve">մեկ այլ առանձնահատկությունն այն է, որ ընթացիկ ծախսերը </w:t>
      </w:r>
      <w:r w:rsidR="00167E7D">
        <w:rPr>
          <w:lang w:val="hy-AM"/>
        </w:rPr>
        <w:t>նշված ժամանակահատվածում ծ</w:t>
      </w:r>
      <w:r w:rsidR="00167E7D" w:rsidRPr="00167E7D">
        <w:rPr>
          <w:lang w:val="hy-AM"/>
        </w:rPr>
        <w:t>րագրավորվել են</w:t>
      </w:r>
      <w:r w:rsidRPr="00167E7D">
        <w:rPr>
          <w:lang w:val="hy-AM"/>
        </w:rPr>
        <w:t xml:space="preserve"> սահո</w:t>
      </w:r>
      <w:r w:rsidR="00167E7D" w:rsidRPr="00167E7D">
        <w:rPr>
          <w:lang w:val="hy-AM"/>
        </w:rPr>
        <w:t>ղ</w:t>
      </w:r>
      <w:r w:rsidRPr="00167E7D">
        <w:rPr>
          <w:lang w:val="hy-AM"/>
        </w:rPr>
        <w:t xml:space="preserve"> հենքով (rolling baseline) բյուջետավորման սկզբունքով՝ </w:t>
      </w:r>
      <w:r w:rsidR="003529C1">
        <w:rPr>
          <w:lang w:val="hy-AM"/>
        </w:rPr>
        <w:t>հիմք ընդունելով 2019թ փաստացի, 2020թ ծրագրված ելակ</w:t>
      </w:r>
      <w:r w:rsidR="00F46CF3">
        <w:rPr>
          <w:lang w:val="hy-AM"/>
        </w:rPr>
        <w:t>ե</w:t>
      </w:r>
      <w:r w:rsidR="003529C1">
        <w:rPr>
          <w:lang w:val="hy-AM"/>
        </w:rPr>
        <w:t xml:space="preserve">տային ցուցանիշները, որոնք </w:t>
      </w:r>
      <w:r w:rsidR="003529C1" w:rsidRPr="00BF288D">
        <w:rPr>
          <w:rFonts w:eastAsia="Times New Roman" w:cs="Times New Roman"/>
          <w:color w:val="000000"/>
          <w:lang w:val="hy-AM"/>
        </w:rPr>
        <w:t>ճշգրտվել են համապատասխան շահառուների, պահանջարկի գնահատված գործոններով, ինչպես նաև իրավական ակտերով ի հայտ եկած և կարգավորվող նոր դրույթներով</w:t>
      </w:r>
      <w:r w:rsidR="003529C1">
        <w:rPr>
          <w:rFonts w:eastAsia="Times New Roman" w:cs="Times New Roman"/>
          <w:color w:val="000000"/>
          <w:lang w:val="hy-AM"/>
        </w:rPr>
        <w:t>։</w:t>
      </w:r>
    </w:p>
    <w:p w14:paraId="72C563CB" w14:textId="77777777" w:rsidR="00173FEB" w:rsidRPr="00811233" w:rsidRDefault="001429CD" w:rsidP="00811233">
      <w:pPr>
        <w:spacing w:line="276" w:lineRule="auto"/>
        <w:rPr>
          <w:lang w:val="hy-AM"/>
        </w:rPr>
      </w:pPr>
      <w:r w:rsidRPr="00811233">
        <w:rPr>
          <w:lang w:val="hy-AM"/>
        </w:rPr>
        <w:t xml:space="preserve">Եվ ըստ այդմ՝ </w:t>
      </w:r>
      <w:bookmarkEnd w:id="7"/>
      <w:r w:rsidRPr="00811233">
        <w:rPr>
          <w:lang w:val="hy-AM"/>
        </w:rPr>
        <w:t>պ</w:t>
      </w:r>
      <w:r w:rsidR="00595A2D" w:rsidRPr="00811233">
        <w:rPr>
          <w:lang w:val="hy-AM"/>
        </w:rPr>
        <w:t>ետական ծախսերի միջնաժամկետ ծրագրումը շարունակական գործընթաց է և, ըստ էու</w:t>
      </w:r>
      <w:r w:rsidR="00595A2D" w:rsidRPr="00811233">
        <w:rPr>
          <w:lang w:val="hy-AM"/>
        </w:rPr>
        <w:softHyphen/>
        <w:t>թյան, իրե</w:t>
      </w:r>
      <w:r w:rsidR="00595A2D" w:rsidRPr="00811233">
        <w:rPr>
          <w:lang w:val="hy-AM"/>
        </w:rPr>
        <w:softHyphen/>
        <w:t>նից ներկայացնում է «քաղաքականությունների ձևակերպում - պլանավորում – բյու</w:t>
      </w:r>
      <w:r w:rsidR="00595A2D" w:rsidRPr="00811233">
        <w:rPr>
          <w:lang w:val="hy-AM"/>
        </w:rPr>
        <w:softHyphen/>
        <w:t>ջե</w:t>
      </w:r>
      <w:r w:rsidR="00595A2D" w:rsidRPr="00811233">
        <w:rPr>
          <w:lang w:val="hy-AM"/>
        </w:rPr>
        <w:softHyphen/>
        <w:t>տա</w:t>
      </w:r>
      <w:r w:rsidR="00595A2D" w:rsidRPr="00811233">
        <w:rPr>
          <w:lang w:val="hy-AM"/>
        </w:rPr>
        <w:softHyphen/>
        <w:t>վորում» տրա</w:t>
      </w:r>
      <w:r w:rsidR="00595A2D" w:rsidRPr="00811233">
        <w:rPr>
          <w:lang w:val="hy-AM"/>
        </w:rPr>
        <w:softHyphen/>
        <w:t>մա</w:t>
      </w:r>
      <w:r w:rsidR="00595A2D" w:rsidRPr="00811233">
        <w:rPr>
          <w:lang w:val="hy-AM"/>
        </w:rPr>
        <w:softHyphen/>
        <w:t>բա</w:t>
      </w:r>
      <w:r w:rsidR="00595A2D" w:rsidRPr="00811233">
        <w:rPr>
          <w:lang w:val="hy-AM"/>
        </w:rPr>
        <w:softHyphen/>
        <w:t>նական ամբողջական շղթա: Այն հնարավորություն է ընձեռում մեղմել հասա</w:t>
      </w:r>
      <w:r w:rsidR="00595A2D" w:rsidRPr="00811233">
        <w:rPr>
          <w:lang w:val="hy-AM"/>
        </w:rPr>
        <w:softHyphen/>
        <w:t>նելի բյուջետային ռե</w:t>
      </w:r>
      <w:r w:rsidR="00595A2D" w:rsidRPr="00811233">
        <w:rPr>
          <w:lang w:val="hy-AM"/>
        </w:rPr>
        <w:softHyphen/>
        <w:t>սուրս</w:t>
      </w:r>
      <w:r w:rsidR="00595A2D" w:rsidRPr="00811233">
        <w:rPr>
          <w:lang w:val="hy-AM"/>
        </w:rPr>
        <w:softHyphen/>
        <w:t>նե</w:t>
      </w:r>
      <w:r w:rsidR="00595A2D" w:rsidRPr="00811233">
        <w:rPr>
          <w:lang w:val="hy-AM"/>
        </w:rPr>
        <w:softHyphen/>
        <w:t>րի և պահանջվող ծախսերի միջև հնարավոր անհամա</w:t>
      </w:r>
      <w:r w:rsidR="00595A2D" w:rsidRPr="00811233">
        <w:rPr>
          <w:lang w:val="hy-AM"/>
        </w:rPr>
        <w:softHyphen/>
        <w:t>պա</w:t>
      </w:r>
      <w:r w:rsidR="00595A2D" w:rsidRPr="00811233">
        <w:rPr>
          <w:lang w:val="hy-AM"/>
        </w:rPr>
        <w:softHyphen/>
        <w:t>տաս</w:t>
      </w:r>
      <w:r w:rsidR="00595A2D" w:rsidRPr="00811233">
        <w:rPr>
          <w:lang w:val="hy-AM"/>
        </w:rPr>
        <w:softHyphen/>
        <w:t>խանու</w:t>
      </w:r>
      <w:r w:rsidR="00595A2D" w:rsidRPr="00811233">
        <w:rPr>
          <w:lang w:val="hy-AM"/>
        </w:rPr>
        <w:softHyphen/>
        <w:t>թյունը, ինչպես նաև պետական ծախ</w:t>
      </w:r>
      <w:r w:rsidR="00595A2D" w:rsidRPr="00811233">
        <w:rPr>
          <w:lang w:val="hy-AM"/>
        </w:rPr>
        <w:softHyphen/>
        <w:t>սերում կատարել առանձին բնագավառներում իրա</w:t>
      </w:r>
      <w:r w:rsidR="00595A2D" w:rsidRPr="00811233">
        <w:rPr>
          <w:lang w:val="hy-AM"/>
        </w:rPr>
        <w:softHyphen/>
        <w:t>կանացվող պետա</w:t>
      </w:r>
      <w:r w:rsidR="00595A2D" w:rsidRPr="00811233">
        <w:rPr>
          <w:lang w:val="hy-AM"/>
        </w:rPr>
        <w:softHyphen/>
        <w:t>կան քաղաքա</w:t>
      </w:r>
      <w:r w:rsidR="00595A2D" w:rsidRPr="00811233">
        <w:rPr>
          <w:lang w:val="hy-AM"/>
        </w:rPr>
        <w:softHyphen/>
        <w:t>կա</w:t>
      </w:r>
      <w:r w:rsidR="00595A2D" w:rsidRPr="00811233">
        <w:rPr>
          <w:lang w:val="hy-AM"/>
        </w:rPr>
        <w:softHyphen/>
        <w:t xml:space="preserve">նության </w:t>
      </w:r>
      <w:r w:rsidRPr="00811233">
        <w:rPr>
          <w:lang w:val="hy-AM"/>
        </w:rPr>
        <w:t>վերանայումներին</w:t>
      </w:r>
      <w:r w:rsidR="00595A2D" w:rsidRPr="00811233">
        <w:rPr>
          <w:lang w:val="hy-AM"/>
        </w:rPr>
        <w:t xml:space="preserve"> համարժեք փոփո</w:t>
      </w:r>
      <w:r w:rsidR="00595A2D" w:rsidRPr="00811233">
        <w:rPr>
          <w:lang w:val="hy-AM"/>
        </w:rPr>
        <w:softHyphen/>
        <w:t>խու</w:t>
      </w:r>
      <w:r w:rsidR="00595A2D" w:rsidRPr="00811233">
        <w:rPr>
          <w:lang w:val="hy-AM"/>
        </w:rPr>
        <w:softHyphen/>
        <w:t>թ</w:t>
      </w:r>
      <w:r w:rsidR="00595A2D" w:rsidRPr="00811233">
        <w:rPr>
          <w:lang w:val="hy-AM"/>
        </w:rPr>
        <w:softHyphen/>
        <w:t>յուն</w:t>
      </w:r>
      <w:r w:rsidR="00595A2D" w:rsidRPr="00811233">
        <w:rPr>
          <w:lang w:val="hy-AM"/>
        </w:rPr>
        <w:softHyphen/>
        <w:t>ներ: Այս առումով արդա</w:t>
      </w:r>
      <w:r w:rsidR="00595A2D" w:rsidRPr="00811233">
        <w:rPr>
          <w:lang w:val="hy-AM"/>
        </w:rPr>
        <w:softHyphen/>
        <w:t>րացված է, որ ՀՀ պետական միջ</w:t>
      </w:r>
      <w:r w:rsidR="00595A2D" w:rsidRPr="00811233">
        <w:rPr>
          <w:lang w:val="hy-AM"/>
        </w:rPr>
        <w:softHyphen/>
        <w:t>նա</w:t>
      </w:r>
      <w:r w:rsidR="00595A2D" w:rsidRPr="00811233">
        <w:rPr>
          <w:lang w:val="hy-AM"/>
        </w:rPr>
        <w:softHyphen/>
        <w:t>ժամ</w:t>
      </w:r>
      <w:r w:rsidR="00595A2D" w:rsidRPr="00811233">
        <w:rPr>
          <w:lang w:val="hy-AM"/>
        </w:rPr>
        <w:softHyphen/>
        <w:t>կետ ծախսերի ծրագրի (այսու</w:t>
      </w:r>
      <w:r w:rsidR="00595A2D" w:rsidRPr="00811233">
        <w:rPr>
          <w:lang w:val="hy-AM"/>
        </w:rPr>
        <w:softHyphen/>
        <w:t>հետ` նաև ՄԺԾԾ) մշակումը (և/կամ վերանայումը), ըստ ժամա</w:t>
      </w:r>
      <w:r w:rsidR="00595A2D" w:rsidRPr="00811233">
        <w:rPr>
          <w:lang w:val="hy-AM"/>
        </w:rPr>
        <w:softHyphen/>
        <w:t>նա</w:t>
      </w:r>
      <w:r w:rsidR="00595A2D" w:rsidRPr="00811233">
        <w:rPr>
          <w:lang w:val="hy-AM"/>
        </w:rPr>
        <w:softHyphen/>
        <w:t>կի, նա</w:t>
      </w:r>
      <w:r w:rsidR="00595A2D" w:rsidRPr="00811233">
        <w:rPr>
          <w:lang w:val="hy-AM"/>
        </w:rPr>
        <w:softHyphen/>
        <w:t>խոր</w:t>
      </w:r>
      <w:r w:rsidR="00595A2D" w:rsidRPr="00811233">
        <w:rPr>
          <w:lang w:val="hy-AM"/>
        </w:rPr>
        <w:softHyphen/>
        <w:t>դում է տարեկան պե</w:t>
      </w:r>
      <w:r w:rsidR="00595A2D" w:rsidRPr="00811233">
        <w:rPr>
          <w:lang w:val="hy-AM"/>
        </w:rPr>
        <w:softHyphen/>
        <w:t>տա</w:t>
      </w:r>
      <w:r w:rsidR="00595A2D" w:rsidRPr="00811233">
        <w:rPr>
          <w:lang w:val="hy-AM"/>
        </w:rPr>
        <w:softHyphen/>
        <w:t>կան բյուջեի նախագծի մշակմանը` դառնալով տարեկան պետական բյու</w:t>
      </w:r>
      <w:r w:rsidR="00595A2D" w:rsidRPr="00811233">
        <w:rPr>
          <w:lang w:val="hy-AM"/>
        </w:rPr>
        <w:softHyphen/>
        <w:t>ջե</w:t>
      </w:r>
      <w:r w:rsidR="00595A2D" w:rsidRPr="00811233">
        <w:rPr>
          <w:lang w:val="hy-AM"/>
        </w:rPr>
        <w:softHyphen/>
        <w:t>նե</w:t>
      </w:r>
      <w:r w:rsidR="00595A2D" w:rsidRPr="00811233">
        <w:rPr>
          <w:lang w:val="hy-AM"/>
        </w:rPr>
        <w:softHyphen/>
        <w:t>րի կազմման ուղե</w:t>
      </w:r>
      <w:r w:rsidR="00595A2D" w:rsidRPr="00811233">
        <w:rPr>
          <w:lang w:val="hy-AM"/>
        </w:rPr>
        <w:softHyphen/>
        <w:t>ցույց:</w:t>
      </w:r>
    </w:p>
    <w:p w14:paraId="199260A1" w14:textId="77777777" w:rsidR="00173FEB" w:rsidRPr="00811233" w:rsidRDefault="00595A2D" w:rsidP="00811233">
      <w:pPr>
        <w:spacing w:line="276" w:lineRule="auto"/>
        <w:rPr>
          <w:rFonts w:eastAsia="Times New Roman"/>
          <w:lang w:val="hy-AM"/>
        </w:rPr>
      </w:pPr>
      <w:r w:rsidRPr="00811233">
        <w:rPr>
          <w:lang w:val="hy-AM"/>
        </w:rPr>
        <w:t>Պետական ծախսերի միջնաժամկետ ծրագրումը ենթադրում է`</w:t>
      </w:r>
    </w:p>
    <w:p w14:paraId="1F91B9F6" w14:textId="77777777" w:rsidR="00173FEB" w:rsidRPr="00811233" w:rsidRDefault="0095731C" w:rsidP="00811233">
      <w:pPr>
        <w:pStyle w:val="ListParagraph"/>
        <w:numPr>
          <w:ilvl w:val="0"/>
          <w:numId w:val="45"/>
        </w:numPr>
        <w:tabs>
          <w:tab w:val="left" w:pos="993"/>
        </w:tabs>
        <w:spacing w:line="276" w:lineRule="auto"/>
        <w:ind w:left="270" w:hanging="283"/>
        <w:rPr>
          <w:rFonts w:cs="Sylfaen"/>
          <w:lang w:val="es-ES"/>
        </w:rPr>
      </w:pPr>
      <w:r w:rsidRPr="00811233">
        <w:rPr>
          <w:rFonts w:cs="Sylfaen"/>
          <w:lang w:val="es-ES"/>
        </w:rPr>
        <w:t>մակրոտնտեսական կայուն միջավայրին համապատասխանող բյուջետային ռե</w:t>
      </w:r>
      <w:r w:rsidRPr="00811233">
        <w:rPr>
          <w:rFonts w:cs="Sylfaen"/>
          <w:lang w:val="es-ES"/>
        </w:rPr>
        <w:softHyphen/>
        <w:t>սուրս</w:t>
      </w:r>
      <w:r w:rsidRPr="00811233">
        <w:rPr>
          <w:rFonts w:cs="Sylfaen"/>
          <w:lang w:val="es-ES"/>
        </w:rPr>
        <w:softHyphen/>
      </w:r>
      <w:r w:rsidRPr="00811233">
        <w:rPr>
          <w:rFonts w:cs="Sylfaen"/>
          <w:lang w:val="es-ES"/>
        </w:rPr>
        <w:softHyphen/>
        <w:t>նե</w:t>
      </w:r>
      <w:r w:rsidRPr="00811233">
        <w:rPr>
          <w:rFonts w:cs="Sylfaen"/>
          <w:lang w:val="es-ES"/>
        </w:rPr>
        <w:softHyphen/>
      </w:r>
      <w:r w:rsidRPr="00811233">
        <w:rPr>
          <w:rFonts w:cs="Sylfaen"/>
          <w:lang w:val="es-ES"/>
        </w:rPr>
        <w:softHyphen/>
        <w:t>րի (մուտ</w:t>
      </w:r>
      <w:r w:rsidRPr="00811233">
        <w:rPr>
          <w:rFonts w:cs="Sylfaen"/>
          <w:lang w:val="es-ES"/>
        </w:rPr>
        <w:softHyphen/>
        <w:t>քե</w:t>
      </w:r>
      <w:r w:rsidRPr="00811233">
        <w:rPr>
          <w:rFonts w:cs="Sylfaen"/>
          <w:lang w:val="es-ES"/>
        </w:rPr>
        <w:softHyphen/>
        <w:t>րի) համապարփակ և իրատեսական գնահատում,</w:t>
      </w:r>
    </w:p>
    <w:p w14:paraId="3497D20F" w14:textId="77777777" w:rsidR="00173FEB" w:rsidRPr="00811233" w:rsidRDefault="0095731C" w:rsidP="00811233">
      <w:pPr>
        <w:pStyle w:val="ListParagraph"/>
        <w:numPr>
          <w:ilvl w:val="0"/>
          <w:numId w:val="45"/>
        </w:numPr>
        <w:tabs>
          <w:tab w:val="left" w:pos="993"/>
        </w:tabs>
        <w:spacing w:line="276" w:lineRule="auto"/>
        <w:ind w:left="270" w:hanging="283"/>
        <w:rPr>
          <w:rFonts w:cs="Sylfaen"/>
          <w:lang w:val="es-ES"/>
        </w:rPr>
      </w:pPr>
      <w:r w:rsidRPr="00811233">
        <w:rPr>
          <w:rFonts w:cs="Sylfaen"/>
          <w:lang w:val="es-ES"/>
        </w:rPr>
        <w:t>քաղաքականությունների իրականացման նպատակով կատարվող ծախսերի՝ վարից վեր մո</w:t>
      </w:r>
      <w:r w:rsidRPr="00811233">
        <w:rPr>
          <w:rFonts w:cs="Sylfaen"/>
          <w:lang w:val="es-ES"/>
        </w:rPr>
        <w:softHyphen/>
        <w:t>տեց</w:t>
      </w:r>
      <w:r w:rsidRPr="00811233">
        <w:rPr>
          <w:rFonts w:cs="Sylfaen"/>
          <w:lang w:val="es-ES"/>
        </w:rPr>
        <w:softHyphen/>
        <w:t>մամբ գնահատում,</w:t>
      </w:r>
    </w:p>
    <w:p w14:paraId="3F624C10" w14:textId="77777777" w:rsidR="00173FEB" w:rsidRPr="00811233" w:rsidRDefault="0095731C" w:rsidP="00811233">
      <w:pPr>
        <w:pStyle w:val="ListParagraph"/>
        <w:numPr>
          <w:ilvl w:val="0"/>
          <w:numId w:val="45"/>
        </w:numPr>
        <w:tabs>
          <w:tab w:val="left" w:pos="993"/>
        </w:tabs>
        <w:spacing w:line="276" w:lineRule="auto"/>
        <w:ind w:left="270" w:hanging="283"/>
        <w:rPr>
          <w:rFonts w:cs="Sylfaen"/>
          <w:lang w:val="es-ES"/>
        </w:rPr>
      </w:pPr>
      <w:r w:rsidRPr="00811233">
        <w:rPr>
          <w:rFonts w:cs="Sylfaen"/>
          <w:lang w:val="es-ES"/>
        </w:rPr>
        <w:t>հասանելի բյուջետային ռեսուրսների և պահանջվող ծախսերի ներդաշնակության ապա</w:t>
      </w:r>
      <w:r w:rsidRPr="00811233">
        <w:rPr>
          <w:rFonts w:cs="Sylfaen"/>
          <w:lang w:val="es-ES"/>
        </w:rPr>
        <w:softHyphen/>
        <w:t>հովում համապատասխան մեխանիզմների օգնությամբ:</w:t>
      </w:r>
    </w:p>
    <w:p w14:paraId="390CC7A5" w14:textId="77777777" w:rsidR="0095731C" w:rsidRPr="00811233" w:rsidRDefault="00595A2D" w:rsidP="00811233">
      <w:pPr>
        <w:tabs>
          <w:tab w:val="left" w:pos="993"/>
        </w:tabs>
        <w:spacing w:line="276" w:lineRule="auto"/>
        <w:rPr>
          <w:rFonts w:eastAsia="Times New Roman"/>
          <w:lang w:val="hy-AM"/>
        </w:rPr>
      </w:pPr>
      <w:r w:rsidRPr="00811233">
        <w:rPr>
          <w:lang w:val="hy-AM"/>
        </w:rPr>
        <w:t>2021-2023թթ պետական ծախսերի միջ</w:t>
      </w:r>
      <w:r w:rsidRPr="00811233">
        <w:rPr>
          <w:lang w:val="hy-AM"/>
        </w:rPr>
        <w:softHyphen/>
        <w:t>նա</w:t>
      </w:r>
      <w:r w:rsidRPr="00811233">
        <w:rPr>
          <w:lang w:val="hy-AM"/>
        </w:rPr>
        <w:softHyphen/>
        <w:t>ժամ</w:t>
      </w:r>
      <w:r w:rsidRPr="00811233">
        <w:rPr>
          <w:lang w:val="hy-AM"/>
        </w:rPr>
        <w:softHyphen/>
        <w:t>կետ ծրագրումը ներառում է նաև ծրագրա</w:t>
      </w:r>
      <w:r w:rsidRPr="00811233">
        <w:rPr>
          <w:lang w:val="hy-AM"/>
        </w:rPr>
        <w:softHyphen/>
        <w:t>վոր</w:t>
      </w:r>
      <w:r w:rsidRPr="00811233">
        <w:rPr>
          <w:lang w:val="hy-AM"/>
        </w:rPr>
        <w:softHyphen/>
        <w:t>ման հիմքում դրված կանխատեսումների իրա</w:t>
      </w:r>
      <w:r w:rsidRPr="00811233">
        <w:rPr>
          <w:lang w:val="hy-AM"/>
        </w:rPr>
        <w:softHyphen/>
        <w:t>կանացման հետ կապ</w:t>
      </w:r>
      <w:r w:rsidRPr="00811233">
        <w:rPr>
          <w:lang w:val="hy-AM"/>
        </w:rPr>
        <w:softHyphen/>
        <w:t>ված ռիսկերի բացահայտման և ներկայացման գործընթացը: Վերը նշված ռիս</w:t>
      </w:r>
      <w:r w:rsidRPr="00811233">
        <w:rPr>
          <w:lang w:val="hy-AM"/>
        </w:rPr>
        <w:softHyphen/>
        <w:t>կերը հանգա</w:t>
      </w:r>
      <w:r w:rsidRPr="00811233">
        <w:rPr>
          <w:lang w:val="hy-AM"/>
        </w:rPr>
        <w:softHyphen/>
        <w:t>մա</w:t>
      </w:r>
      <w:r w:rsidRPr="00811233">
        <w:rPr>
          <w:lang w:val="hy-AM"/>
        </w:rPr>
        <w:softHyphen/>
        <w:t>նա</w:t>
      </w:r>
      <w:r w:rsidRPr="00811233">
        <w:rPr>
          <w:lang w:val="hy-AM"/>
        </w:rPr>
        <w:softHyphen/>
        <w:t>լի ձևով ներկայացված են սույն ծրագրի մակրո</w:t>
      </w:r>
      <w:r w:rsidRPr="00811233">
        <w:rPr>
          <w:lang w:val="hy-AM"/>
        </w:rPr>
        <w:softHyphen/>
        <w:t>տնտե</w:t>
      </w:r>
      <w:r w:rsidRPr="00811233">
        <w:rPr>
          <w:lang w:val="hy-AM"/>
        </w:rPr>
        <w:softHyphen/>
        <w:t>սական, հար</w:t>
      </w:r>
      <w:r w:rsidRPr="00811233">
        <w:rPr>
          <w:lang w:val="hy-AM"/>
        </w:rPr>
        <w:softHyphen/>
        <w:t>կա</w:t>
      </w:r>
      <w:r w:rsidRPr="00811233">
        <w:rPr>
          <w:lang w:val="hy-AM"/>
        </w:rPr>
        <w:softHyphen/>
        <w:t>բյու</w:t>
      </w:r>
      <w:r w:rsidRPr="00811233">
        <w:rPr>
          <w:lang w:val="hy-AM"/>
        </w:rPr>
        <w:softHyphen/>
        <w:t>ջե</w:t>
      </w:r>
      <w:r w:rsidRPr="00811233">
        <w:rPr>
          <w:lang w:val="hy-AM"/>
        </w:rPr>
        <w:softHyphen/>
        <w:t>տային կանխատեսումներին, ինչ</w:t>
      </w:r>
      <w:r w:rsidRPr="00811233">
        <w:rPr>
          <w:lang w:val="hy-AM"/>
        </w:rPr>
        <w:softHyphen/>
        <w:t>պես նաև պետական պարտքի կառավարման ռազմա</w:t>
      </w:r>
      <w:r w:rsidRPr="00811233">
        <w:rPr>
          <w:lang w:val="hy-AM"/>
        </w:rPr>
        <w:softHyphen/>
        <w:t>վա</w:t>
      </w:r>
      <w:r w:rsidRPr="00811233">
        <w:rPr>
          <w:lang w:val="hy-AM"/>
        </w:rPr>
        <w:softHyphen/>
        <w:t>րու</w:t>
      </w:r>
      <w:r w:rsidRPr="00811233">
        <w:rPr>
          <w:lang w:val="hy-AM"/>
        </w:rPr>
        <w:softHyphen/>
        <w:t>թյանը վերա</w:t>
      </w:r>
      <w:r w:rsidRPr="00811233">
        <w:rPr>
          <w:lang w:val="hy-AM"/>
        </w:rPr>
        <w:softHyphen/>
        <w:t>բերող գլուխներում, իսկ ռիսկերի համա</w:t>
      </w:r>
      <w:r w:rsidRPr="00811233">
        <w:rPr>
          <w:lang w:val="hy-AM"/>
        </w:rPr>
        <w:softHyphen/>
        <w:t>ռո</w:t>
      </w:r>
      <w:r w:rsidRPr="00811233">
        <w:rPr>
          <w:lang w:val="hy-AM"/>
        </w:rPr>
        <w:softHyphen/>
        <w:t>տա</w:t>
      </w:r>
      <w:r w:rsidRPr="00811233">
        <w:rPr>
          <w:lang w:val="hy-AM"/>
        </w:rPr>
        <w:softHyphen/>
        <w:t>գի</w:t>
      </w:r>
      <w:r w:rsidRPr="00811233">
        <w:rPr>
          <w:lang w:val="hy-AM"/>
        </w:rPr>
        <w:softHyphen/>
        <w:t>րը ներ</w:t>
      </w:r>
      <w:r w:rsidRPr="00811233">
        <w:rPr>
          <w:lang w:val="hy-AM"/>
        </w:rPr>
        <w:softHyphen/>
        <w:t>կայացված է սույն ծրագ</w:t>
      </w:r>
      <w:r w:rsidRPr="00811233">
        <w:rPr>
          <w:lang w:val="hy-AM"/>
        </w:rPr>
        <w:softHyphen/>
        <w:t xml:space="preserve">րի </w:t>
      </w:r>
      <w:r w:rsidR="00412FEC">
        <w:rPr>
          <w:lang w:val="hy-AM"/>
        </w:rPr>
        <w:t>վերլուծություններում</w:t>
      </w:r>
      <w:r w:rsidRPr="00811233">
        <w:rPr>
          <w:lang w:val="hy-AM"/>
        </w:rPr>
        <w:t xml:space="preserve">: </w:t>
      </w:r>
    </w:p>
    <w:p w14:paraId="3A53E9DF" w14:textId="77777777" w:rsidR="00A0051B" w:rsidRPr="00811233" w:rsidRDefault="00595A2D" w:rsidP="00167E7D">
      <w:pPr>
        <w:tabs>
          <w:tab w:val="left" w:pos="993"/>
        </w:tabs>
        <w:spacing w:line="276" w:lineRule="auto"/>
        <w:rPr>
          <w:lang w:val="hy-AM"/>
        </w:rPr>
      </w:pPr>
      <w:r w:rsidRPr="00811233">
        <w:rPr>
          <w:lang w:val="hy-AM"/>
        </w:rPr>
        <w:t>ՀՀ 2021 – 2023թթ ՄԺԾԾ-ի մշակման գործընթացը կանոնակարգվել է «Հայաստանի Հան</w:t>
      </w:r>
      <w:r w:rsidRPr="00811233">
        <w:rPr>
          <w:lang w:val="hy-AM"/>
        </w:rPr>
        <w:softHyphen/>
      </w:r>
      <w:r w:rsidRPr="00811233">
        <w:rPr>
          <w:lang w:val="hy-AM"/>
        </w:rPr>
        <w:softHyphen/>
      </w:r>
      <w:r w:rsidRPr="00811233">
        <w:rPr>
          <w:lang w:val="hy-AM"/>
        </w:rPr>
        <w:softHyphen/>
        <w:t>րա</w:t>
      </w:r>
      <w:r w:rsidRPr="00811233">
        <w:rPr>
          <w:lang w:val="hy-AM"/>
        </w:rPr>
        <w:softHyphen/>
        <w:t>պե</w:t>
      </w:r>
      <w:r w:rsidRPr="00811233">
        <w:rPr>
          <w:lang w:val="hy-AM"/>
        </w:rPr>
        <w:softHyphen/>
      </w:r>
      <w:r w:rsidRPr="00811233">
        <w:rPr>
          <w:lang w:val="hy-AM"/>
        </w:rPr>
        <w:softHyphen/>
        <w:t>տու</w:t>
      </w:r>
      <w:r w:rsidRPr="00811233">
        <w:rPr>
          <w:lang w:val="hy-AM"/>
        </w:rPr>
        <w:softHyphen/>
        <w:t>թ</w:t>
      </w:r>
      <w:r w:rsidRPr="00811233">
        <w:rPr>
          <w:lang w:val="hy-AM"/>
        </w:rPr>
        <w:softHyphen/>
        <w:t xml:space="preserve">յան բյուջետային համակարգի մասին» ՀՀ օրենքով, ՀՀ վարչապետի 2020 թվականի </w:t>
      </w:r>
      <w:r w:rsidR="004E325F" w:rsidRPr="00811233">
        <w:rPr>
          <w:lang w:val="hy-AM"/>
        </w:rPr>
        <w:t xml:space="preserve">հունվարի </w:t>
      </w:r>
      <w:r w:rsidR="00AE1229" w:rsidRPr="00811233">
        <w:rPr>
          <w:lang w:val="hy-AM"/>
        </w:rPr>
        <w:t xml:space="preserve"> </w:t>
      </w:r>
      <w:r w:rsidR="001C61F1">
        <w:rPr>
          <w:lang w:val="hy-AM"/>
        </w:rPr>
        <w:t>9</w:t>
      </w:r>
      <w:r w:rsidRPr="00811233">
        <w:rPr>
          <w:lang w:val="hy-AM"/>
        </w:rPr>
        <w:t>-ի «Հա</w:t>
      </w:r>
      <w:r w:rsidRPr="00811233">
        <w:rPr>
          <w:lang w:val="hy-AM"/>
        </w:rPr>
        <w:softHyphen/>
        <w:t>յաստանի Հանրապետության 2021 թվականի բյուջետային գործ</w:t>
      </w:r>
      <w:r w:rsidRPr="00811233">
        <w:rPr>
          <w:lang w:val="hy-AM"/>
        </w:rPr>
        <w:softHyphen/>
        <w:t>ընթացն սկսե</w:t>
      </w:r>
      <w:r w:rsidRPr="00811233">
        <w:rPr>
          <w:lang w:val="hy-AM"/>
        </w:rPr>
        <w:softHyphen/>
        <w:t xml:space="preserve">լու մասին» N </w:t>
      </w:r>
      <w:r w:rsidR="004E325F" w:rsidRPr="00811233">
        <w:rPr>
          <w:lang w:val="hy-AM"/>
        </w:rPr>
        <w:t>5</w:t>
      </w:r>
      <w:r w:rsidRPr="00811233">
        <w:rPr>
          <w:lang w:val="hy-AM"/>
        </w:rPr>
        <w:t>-Ա որոշ</w:t>
      </w:r>
      <w:r w:rsidRPr="00811233">
        <w:rPr>
          <w:lang w:val="hy-AM"/>
        </w:rPr>
        <w:softHyphen/>
        <w:t>մա</w:t>
      </w:r>
      <w:r w:rsidR="008367F2" w:rsidRPr="00811233">
        <w:rPr>
          <w:lang w:val="hy-AM"/>
        </w:rPr>
        <w:t>ն և վերջինիս հիման վրա</w:t>
      </w:r>
      <w:r w:rsidRPr="00811233">
        <w:rPr>
          <w:lang w:val="hy-AM"/>
        </w:rPr>
        <w:t xml:space="preserve"> սահմանված</w:t>
      </w:r>
      <w:r w:rsidR="008367F2" w:rsidRPr="00811233">
        <w:rPr>
          <w:lang w:val="hy-AM"/>
        </w:rPr>
        <w:t>՝</w:t>
      </w:r>
      <w:r w:rsidRPr="00811233">
        <w:rPr>
          <w:lang w:val="hy-AM"/>
        </w:rPr>
        <w:t xml:space="preserve"> ՀՀ ֆինանս</w:t>
      </w:r>
      <w:r w:rsidRPr="00811233">
        <w:rPr>
          <w:lang w:val="hy-AM"/>
        </w:rPr>
        <w:softHyphen/>
        <w:t>նե</w:t>
      </w:r>
      <w:r w:rsidRPr="00811233">
        <w:rPr>
          <w:lang w:val="hy-AM"/>
        </w:rPr>
        <w:softHyphen/>
        <w:t>րի նա</w:t>
      </w:r>
      <w:r w:rsidRPr="00811233">
        <w:rPr>
          <w:lang w:val="hy-AM"/>
        </w:rPr>
        <w:softHyphen/>
        <w:t>խա</w:t>
      </w:r>
      <w:r w:rsidRPr="00811233">
        <w:rPr>
          <w:lang w:val="hy-AM"/>
        </w:rPr>
        <w:softHyphen/>
        <w:t>րարության կողմից մշակ</w:t>
      </w:r>
      <w:r w:rsidRPr="00811233">
        <w:rPr>
          <w:lang w:val="hy-AM"/>
        </w:rPr>
        <w:softHyphen/>
        <w:t>ված մեթոդական ցուցում</w:t>
      </w:r>
      <w:r w:rsidRPr="00811233">
        <w:rPr>
          <w:lang w:val="hy-AM"/>
        </w:rPr>
        <w:softHyphen/>
        <w:t>նե</w:t>
      </w:r>
      <w:r w:rsidRPr="00811233">
        <w:rPr>
          <w:lang w:val="hy-AM"/>
        </w:rPr>
        <w:softHyphen/>
        <w:t>րով:</w:t>
      </w:r>
      <w:r w:rsidR="00811233" w:rsidRPr="00BE7F99">
        <w:rPr>
          <w:lang w:val="hy-AM"/>
        </w:rPr>
        <w:t xml:space="preserve"> </w:t>
      </w:r>
      <w:bookmarkStart w:id="8" w:name="_MailEndCompose"/>
    </w:p>
    <w:p w14:paraId="403FDD30" w14:textId="77777777" w:rsidR="00811233" w:rsidRPr="00BE7F99" w:rsidRDefault="00811233">
      <w:pPr>
        <w:spacing w:before="0" w:after="200" w:line="276" w:lineRule="auto"/>
        <w:ind w:firstLine="0"/>
        <w:jc w:val="left"/>
        <w:rPr>
          <w:rFonts w:eastAsiaTheme="majorEastAsia" w:cstheme="majorBidi"/>
          <w:b/>
          <w:bCs/>
          <w:color w:val="1F497D" w:themeColor="text2"/>
          <w:sz w:val="32"/>
          <w:szCs w:val="28"/>
          <w:lang w:val="hy-AM"/>
        </w:rPr>
      </w:pPr>
      <w:bookmarkStart w:id="9" w:name="_Toc45797377"/>
      <w:bookmarkStart w:id="10" w:name="_Toc45797964"/>
      <w:bookmarkStart w:id="11" w:name="_Toc45798033"/>
      <w:bookmarkStart w:id="12" w:name="_Toc45798103"/>
      <w:bookmarkStart w:id="13" w:name="_Toc45889209"/>
      <w:bookmarkStart w:id="14" w:name="_Toc45889844"/>
      <w:bookmarkStart w:id="15" w:name="_Toc45889924"/>
      <w:bookmarkStart w:id="16" w:name="_Toc45890044"/>
      <w:bookmarkStart w:id="17" w:name="_Toc45890143"/>
      <w:bookmarkStart w:id="18" w:name="_Toc45890244"/>
      <w:bookmarkStart w:id="19" w:name="_Toc45890320"/>
      <w:bookmarkStart w:id="20" w:name="_Toc45890397"/>
      <w:bookmarkStart w:id="21" w:name="_Toc45890474"/>
      <w:bookmarkStart w:id="22" w:name="_Toc45890940"/>
      <w:bookmarkStart w:id="23" w:name="_Toc45891015"/>
      <w:bookmarkStart w:id="24" w:name="_Toc45891370"/>
      <w:bookmarkStart w:id="25" w:name="_Toc45891691"/>
      <w:bookmarkStart w:id="26" w:name="_Toc45891878"/>
      <w:bookmarkStart w:id="27" w:name="_Toc45892166"/>
      <w:bookmarkStart w:id="28" w:name="_Toc45892252"/>
      <w:bookmarkStart w:id="29" w:name="_Toc45892418"/>
      <w:bookmarkStart w:id="30" w:name="_Toc45893641"/>
      <w:bookmarkStart w:id="31" w:name="_Toc45893962"/>
      <w:bookmarkStart w:id="32" w:name="_Toc45894398"/>
      <w:bookmarkStart w:id="33" w:name="_Toc45894519"/>
      <w:bookmarkStart w:id="34" w:name="_Toc45894909"/>
      <w:bookmarkStart w:id="35" w:name="_Toc45797382"/>
      <w:bookmarkStart w:id="36" w:name="_Toc45797969"/>
      <w:bookmarkStart w:id="37" w:name="_Toc45798038"/>
      <w:bookmarkStart w:id="38" w:name="_Toc45798108"/>
      <w:bookmarkStart w:id="39" w:name="_Toc45889214"/>
      <w:bookmarkStart w:id="40" w:name="_Toc45889849"/>
      <w:bookmarkStart w:id="41" w:name="_Toc45889929"/>
      <w:bookmarkStart w:id="42" w:name="_Toc45890049"/>
      <w:bookmarkStart w:id="43" w:name="_Toc45890148"/>
      <w:bookmarkStart w:id="44" w:name="_Toc45890249"/>
      <w:bookmarkStart w:id="45" w:name="_Toc45890325"/>
      <w:bookmarkStart w:id="46" w:name="_Toc45890402"/>
      <w:bookmarkStart w:id="47" w:name="_Toc45890479"/>
      <w:bookmarkStart w:id="48" w:name="_Toc45890945"/>
      <w:bookmarkStart w:id="49" w:name="_Toc45891020"/>
      <w:bookmarkStart w:id="50" w:name="_Toc45891375"/>
      <w:bookmarkStart w:id="51" w:name="_Toc45891696"/>
      <w:bookmarkStart w:id="52" w:name="_Toc45891883"/>
      <w:bookmarkStart w:id="53" w:name="_Toc45892171"/>
      <w:bookmarkStart w:id="54" w:name="_Toc45892257"/>
      <w:bookmarkStart w:id="55" w:name="_Toc45892423"/>
      <w:bookmarkStart w:id="56" w:name="_Toc45893646"/>
      <w:bookmarkStart w:id="57" w:name="_Toc45893967"/>
      <w:bookmarkStart w:id="58" w:name="_Toc45894403"/>
      <w:bookmarkStart w:id="59" w:name="_Toc45894524"/>
      <w:bookmarkStart w:id="60" w:name="_Toc45894914"/>
      <w:bookmarkStart w:id="61" w:name="_Toc45797383"/>
      <w:bookmarkStart w:id="62" w:name="_Toc45797970"/>
      <w:bookmarkStart w:id="63" w:name="_Toc45798039"/>
      <w:bookmarkStart w:id="64" w:name="_Toc45798109"/>
      <w:bookmarkStart w:id="65" w:name="_Toc45889215"/>
      <w:bookmarkStart w:id="66" w:name="_Toc45889850"/>
      <w:bookmarkStart w:id="67" w:name="_Toc45889930"/>
      <w:bookmarkStart w:id="68" w:name="_Toc45890050"/>
      <w:bookmarkStart w:id="69" w:name="_Toc45890149"/>
      <w:bookmarkStart w:id="70" w:name="_Toc45890250"/>
      <w:bookmarkStart w:id="71" w:name="_Toc45890326"/>
      <w:bookmarkStart w:id="72" w:name="_Toc45890403"/>
      <w:bookmarkStart w:id="73" w:name="_Toc45890480"/>
      <w:bookmarkStart w:id="74" w:name="_Toc45890946"/>
      <w:bookmarkStart w:id="75" w:name="_Toc45891021"/>
      <w:bookmarkStart w:id="76" w:name="_Toc45891376"/>
      <w:bookmarkStart w:id="77" w:name="_Toc45891697"/>
      <w:bookmarkStart w:id="78" w:name="_Toc45891884"/>
      <w:bookmarkStart w:id="79" w:name="_Toc45892172"/>
      <w:bookmarkStart w:id="80" w:name="_Toc45892258"/>
      <w:bookmarkStart w:id="81" w:name="_Toc45892424"/>
      <w:bookmarkStart w:id="82" w:name="_Toc45893647"/>
      <w:bookmarkStart w:id="83" w:name="_Toc45893968"/>
      <w:bookmarkStart w:id="84" w:name="_Toc45894404"/>
      <w:bookmarkStart w:id="85" w:name="_Toc45894525"/>
      <w:bookmarkStart w:id="86" w:name="_Toc45894915"/>
      <w:bookmarkStart w:id="87" w:name="_Toc45797384"/>
      <w:bookmarkStart w:id="88" w:name="_Toc45797971"/>
      <w:bookmarkStart w:id="89" w:name="_Toc45798040"/>
      <w:bookmarkStart w:id="90" w:name="_Toc45798110"/>
      <w:bookmarkStart w:id="91" w:name="_Toc45889216"/>
      <w:bookmarkStart w:id="92" w:name="_Toc45889851"/>
      <w:bookmarkStart w:id="93" w:name="_Toc45889931"/>
      <w:bookmarkStart w:id="94" w:name="_Toc45890051"/>
      <w:bookmarkStart w:id="95" w:name="_Toc45890150"/>
      <w:bookmarkStart w:id="96" w:name="_Toc45890251"/>
      <w:bookmarkStart w:id="97" w:name="_Toc45890327"/>
      <w:bookmarkStart w:id="98" w:name="_Toc45890404"/>
      <w:bookmarkStart w:id="99" w:name="_Toc45890481"/>
      <w:bookmarkStart w:id="100" w:name="_Toc45890947"/>
      <w:bookmarkStart w:id="101" w:name="_Toc45891022"/>
      <w:bookmarkStart w:id="102" w:name="_Toc45891377"/>
      <w:bookmarkStart w:id="103" w:name="_Toc45891698"/>
      <w:bookmarkStart w:id="104" w:name="_Toc45891885"/>
      <w:bookmarkStart w:id="105" w:name="_Toc45892173"/>
      <w:bookmarkStart w:id="106" w:name="_Toc45892259"/>
      <w:bookmarkStart w:id="107" w:name="_Toc45892425"/>
      <w:bookmarkStart w:id="108" w:name="_Toc45893648"/>
      <w:bookmarkStart w:id="109" w:name="_Toc45893969"/>
      <w:bookmarkStart w:id="110" w:name="_Toc45894405"/>
      <w:bookmarkStart w:id="111" w:name="_Toc45894526"/>
      <w:bookmarkStart w:id="112" w:name="_Toc45894916"/>
      <w:bookmarkStart w:id="113" w:name="_Toc265687173"/>
      <w:bookmarkStart w:id="114" w:name="_Toc296702342"/>
      <w:bookmarkStart w:id="115" w:name="_Toc519513608"/>
      <w:bookmarkStart w:id="116" w:name="_Toc13837262"/>
      <w:bookmarkStart w:id="117" w:name="_Toc45838511"/>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BE7F99">
        <w:rPr>
          <w:lang w:val="hy-AM"/>
        </w:rPr>
        <w:br w:type="page"/>
      </w:r>
    </w:p>
    <w:p w14:paraId="6D1557B9" w14:textId="77777777" w:rsidR="00173FEB" w:rsidRDefault="0095731C" w:rsidP="0035033F">
      <w:pPr>
        <w:pStyle w:val="Heading1"/>
      </w:pPr>
      <w:bookmarkStart w:id="118" w:name="_Toc46154341"/>
      <w:r w:rsidRPr="00705829">
        <w:lastRenderedPageBreak/>
        <w:t>ՄԱՍ</w:t>
      </w:r>
      <w:r w:rsidRPr="00DF757D">
        <w:t xml:space="preserve"> </w:t>
      </w:r>
      <w:r w:rsidR="00E95EC4" w:rsidRPr="006F2E45">
        <w:t>I</w:t>
      </w:r>
      <w:r w:rsidRPr="00022087">
        <w:t>.</w:t>
      </w:r>
      <w:r w:rsidR="00BA39A0" w:rsidRPr="00022087">
        <w:t xml:space="preserve"> </w:t>
      </w:r>
      <w:r w:rsidRPr="00022087">
        <w:t>ՀԱՐԿԱԲՅՈՒՋԵՏԱՅԻՆ</w:t>
      </w:r>
      <w:r w:rsidR="00BA39A0" w:rsidRPr="00022087">
        <w:t xml:space="preserve"> </w:t>
      </w:r>
      <w:r w:rsidRPr="00022087">
        <w:t>ՔԱՂ</w:t>
      </w:r>
      <w:r w:rsidRPr="0035033F">
        <w:t>ԱՔԱԿԱՆՈՒԹ</w:t>
      </w:r>
      <w:r w:rsidRPr="00022087">
        <w:t>ՅՈՒՆԸ</w:t>
      </w:r>
      <w:bookmarkEnd w:id="113"/>
      <w:bookmarkEnd w:id="114"/>
      <w:bookmarkEnd w:id="115"/>
      <w:bookmarkEnd w:id="116"/>
      <w:bookmarkEnd w:id="117"/>
      <w:bookmarkEnd w:id="118"/>
    </w:p>
    <w:p w14:paraId="66D33384" w14:textId="77777777" w:rsidR="00303169" w:rsidRDefault="00303169" w:rsidP="00B57350">
      <w:pPr>
        <w:keepNext/>
        <w:spacing w:line="360" w:lineRule="auto"/>
        <w:outlineLvl w:val="0"/>
        <w:rPr>
          <w:rFonts w:cs="Sylfaen"/>
          <w:lang w:val="es-ES"/>
        </w:rPr>
        <w:sectPr w:rsidR="00303169" w:rsidSect="0035033F">
          <w:footerReference w:type="default" r:id="rId8"/>
          <w:pgSz w:w="11907" w:h="16840" w:code="9"/>
          <w:pgMar w:top="1140" w:right="1140" w:bottom="1140" w:left="1077" w:header="561" w:footer="130" w:gutter="0"/>
          <w:cols w:space="720"/>
          <w:vAlign w:val="center"/>
          <w:docGrid w:linePitch="360"/>
        </w:sectPr>
      </w:pPr>
      <w:bookmarkStart w:id="119" w:name="_Toc265687174"/>
      <w:bookmarkStart w:id="120" w:name="_Toc296702343"/>
      <w:bookmarkStart w:id="121" w:name="_Toc519513609"/>
      <w:bookmarkStart w:id="122" w:name="_Toc13837263"/>
    </w:p>
    <w:p w14:paraId="4F6C2A97" w14:textId="77777777" w:rsidR="00173FEB" w:rsidRDefault="003D2E86" w:rsidP="0035033F">
      <w:pPr>
        <w:pStyle w:val="Heading2"/>
        <w:ind w:left="450"/>
        <w:rPr>
          <w:sz w:val="28"/>
          <w:szCs w:val="28"/>
        </w:rPr>
      </w:pPr>
      <w:bookmarkStart w:id="123" w:name="_Toc45838512"/>
      <w:bookmarkStart w:id="124" w:name="_Toc46154342"/>
      <w:bookmarkEnd w:id="119"/>
      <w:bookmarkEnd w:id="120"/>
      <w:bookmarkEnd w:id="121"/>
      <w:bookmarkEnd w:id="122"/>
      <w:r w:rsidRPr="00003F59">
        <w:rPr>
          <w:sz w:val="28"/>
          <w:szCs w:val="28"/>
        </w:rPr>
        <w:lastRenderedPageBreak/>
        <w:t>ՄԱԿՐՈՏՆՏԵՍԱԿԱՆ ԶԱՐԳԱՑՈՒՄՆԵՐ ԵՎ ԿԱՆԽԱՏԵՍՈՒՄՆԵՐ</w:t>
      </w:r>
      <w:bookmarkEnd w:id="123"/>
      <w:bookmarkEnd w:id="124"/>
    </w:p>
    <w:p w14:paraId="03AAC251" w14:textId="77777777" w:rsidR="00CC3EBA" w:rsidRPr="00896AF6" w:rsidRDefault="00772498" w:rsidP="003D2E86">
      <w:pPr>
        <w:pStyle w:val="Heading3"/>
        <w:numPr>
          <w:ilvl w:val="0"/>
          <w:numId w:val="0"/>
        </w:numPr>
        <w:ind w:left="788" w:hanging="788"/>
        <w:rPr>
          <w:b w:val="0"/>
          <w:bCs/>
          <w:color w:val="4F81BD" w:themeColor="accent1"/>
          <w:sz w:val="28"/>
          <w:szCs w:val="28"/>
        </w:rPr>
      </w:pPr>
      <w:bookmarkStart w:id="125" w:name="_Toc45831946"/>
      <w:bookmarkStart w:id="126" w:name="_Toc45832161"/>
      <w:bookmarkStart w:id="127" w:name="_Toc45832430"/>
      <w:bookmarkStart w:id="128" w:name="_Toc45834083"/>
      <w:bookmarkStart w:id="129" w:name="_Toc45835153"/>
      <w:bookmarkStart w:id="130" w:name="_Toc45835334"/>
      <w:bookmarkStart w:id="131" w:name="_Toc45835618"/>
      <w:bookmarkStart w:id="132" w:name="_Toc45831947"/>
      <w:bookmarkStart w:id="133" w:name="_Toc45832162"/>
      <w:bookmarkStart w:id="134" w:name="_Toc45832431"/>
      <w:bookmarkStart w:id="135" w:name="_Toc45834084"/>
      <w:bookmarkStart w:id="136" w:name="_Toc45835154"/>
      <w:bookmarkStart w:id="137" w:name="_Toc45835335"/>
      <w:bookmarkStart w:id="138" w:name="_Toc45835619"/>
      <w:bookmarkStart w:id="139" w:name="_Toc45831948"/>
      <w:bookmarkStart w:id="140" w:name="_Toc45832163"/>
      <w:bookmarkStart w:id="141" w:name="_Toc45832432"/>
      <w:bookmarkStart w:id="142" w:name="_Toc45834085"/>
      <w:bookmarkStart w:id="143" w:name="_Toc45835155"/>
      <w:bookmarkStart w:id="144" w:name="_Toc45835336"/>
      <w:bookmarkStart w:id="145" w:name="_Toc45835620"/>
      <w:bookmarkStart w:id="146" w:name="_Toc45831949"/>
      <w:bookmarkStart w:id="147" w:name="_Toc45832164"/>
      <w:bookmarkStart w:id="148" w:name="_Toc45832433"/>
      <w:bookmarkStart w:id="149" w:name="_Toc45834086"/>
      <w:bookmarkStart w:id="150" w:name="_Toc45835156"/>
      <w:bookmarkStart w:id="151" w:name="_Toc45835337"/>
      <w:bookmarkStart w:id="152" w:name="_Toc45835621"/>
      <w:bookmarkStart w:id="153" w:name="_Toc45831950"/>
      <w:bookmarkStart w:id="154" w:name="_Toc45832165"/>
      <w:bookmarkStart w:id="155" w:name="_Toc45832434"/>
      <w:bookmarkStart w:id="156" w:name="_Toc45834087"/>
      <w:bookmarkStart w:id="157" w:name="_Toc45835157"/>
      <w:bookmarkStart w:id="158" w:name="_Toc45835338"/>
      <w:bookmarkStart w:id="159" w:name="_Toc45835622"/>
      <w:bookmarkStart w:id="160" w:name="_Toc45831951"/>
      <w:bookmarkStart w:id="161" w:name="_Toc45832166"/>
      <w:bookmarkStart w:id="162" w:name="_Toc45832435"/>
      <w:bookmarkStart w:id="163" w:name="_Toc45834088"/>
      <w:bookmarkStart w:id="164" w:name="_Toc45835158"/>
      <w:bookmarkStart w:id="165" w:name="_Toc45835339"/>
      <w:bookmarkStart w:id="166" w:name="_Toc45835623"/>
      <w:bookmarkStart w:id="167" w:name="_Toc45831952"/>
      <w:bookmarkStart w:id="168" w:name="_Toc45832167"/>
      <w:bookmarkStart w:id="169" w:name="_Toc45832436"/>
      <w:bookmarkStart w:id="170" w:name="_Toc45834089"/>
      <w:bookmarkStart w:id="171" w:name="_Toc45835159"/>
      <w:bookmarkStart w:id="172" w:name="_Toc45835340"/>
      <w:bookmarkStart w:id="173" w:name="_Toc45835624"/>
      <w:bookmarkStart w:id="174" w:name="_Toc45810524"/>
      <w:bookmarkStart w:id="175" w:name="_Toc45838514"/>
      <w:bookmarkStart w:id="176" w:name="_Toc46154343"/>
      <w:bookmarkStart w:id="177" w:name="_Toc45269218"/>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772498">
        <w:rPr>
          <w:bCs/>
          <w:caps w:val="0"/>
          <w:color w:val="1F497D" w:themeColor="text2"/>
          <w:sz w:val="28"/>
          <w:szCs w:val="28"/>
        </w:rPr>
        <w:t>1</w:t>
      </w:r>
      <w:r w:rsidRPr="00772498">
        <w:rPr>
          <w:bCs/>
          <w:caps w:val="0"/>
          <w:color w:val="1F497D" w:themeColor="text2"/>
          <w:sz w:val="28"/>
          <w:szCs w:val="28"/>
          <w:lang w:val="af-ZA"/>
        </w:rPr>
        <w:t xml:space="preserve">.1 </w:t>
      </w:r>
      <w:r w:rsidRPr="00772498">
        <w:rPr>
          <w:rFonts w:cs="Sylfaen"/>
          <w:bCs/>
          <w:caps w:val="0"/>
          <w:color w:val="1F497D" w:themeColor="text2"/>
          <w:sz w:val="28"/>
          <w:szCs w:val="28"/>
        </w:rPr>
        <w:t>ՄԱԿՐՈՏՆՏԵՍԱԿԱՆ</w:t>
      </w:r>
      <w:r w:rsidRPr="00772498">
        <w:rPr>
          <w:bCs/>
          <w:caps w:val="0"/>
          <w:color w:val="1F497D" w:themeColor="text2"/>
          <w:sz w:val="28"/>
          <w:szCs w:val="28"/>
        </w:rPr>
        <w:t xml:space="preserve"> </w:t>
      </w:r>
      <w:r w:rsidRPr="00772498">
        <w:rPr>
          <w:rFonts w:cs="Sylfaen"/>
          <w:bCs/>
          <w:caps w:val="0"/>
          <w:color w:val="1F497D" w:themeColor="text2"/>
          <w:sz w:val="28"/>
          <w:szCs w:val="28"/>
        </w:rPr>
        <w:t>ԱՄՓՈՓԱԳԻՐ</w:t>
      </w:r>
      <w:r w:rsidRPr="00772498">
        <w:rPr>
          <w:bCs/>
          <w:caps w:val="0"/>
          <w:color w:val="1F497D" w:themeColor="text2"/>
          <w:sz w:val="28"/>
          <w:szCs w:val="28"/>
        </w:rPr>
        <w:t xml:space="preserve"> </w:t>
      </w:r>
      <w:r w:rsidRPr="00772498">
        <w:rPr>
          <w:rFonts w:cs="Sylfaen"/>
          <w:bCs/>
          <w:caps w:val="0"/>
          <w:color w:val="1F497D" w:themeColor="text2"/>
          <w:sz w:val="28"/>
          <w:szCs w:val="28"/>
        </w:rPr>
        <w:t>ԵՎ</w:t>
      </w:r>
      <w:r w:rsidRPr="00772498">
        <w:rPr>
          <w:bCs/>
          <w:caps w:val="0"/>
          <w:color w:val="1F497D" w:themeColor="text2"/>
          <w:sz w:val="28"/>
          <w:szCs w:val="28"/>
        </w:rPr>
        <w:t xml:space="preserve"> </w:t>
      </w:r>
      <w:r w:rsidRPr="00772498">
        <w:rPr>
          <w:rFonts w:cs="Sylfaen"/>
          <w:bCs/>
          <w:caps w:val="0"/>
          <w:color w:val="1F497D" w:themeColor="text2"/>
          <w:sz w:val="28"/>
          <w:szCs w:val="28"/>
        </w:rPr>
        <w:t>ՇՐՋԱՆԱԿ</w:t>
      </w:r>
      <w:bookmarkEnd w:id="174"/>
      <w:bookmarkEnd w:id="175"/>
      <w:bookmarkEnd w:id="176"/>
      <w:r w:rsidRPr="00772498">
        <w:rPr>
          <w:bCs/>
          <w:caps w:val="0"/>
          <w:color w:val="1F497D" w:themeColor="text2"/>
          <w:sz w:val="28"/>
          <w:szCs w:val="28"/>
        </w:rPr>
        <w:t xml:space="preserve"> </w:t>
      </w:r>
    </w:p>
    <w:bookmarkEnd w:id="177"/>
    <w:p w14:paraId="48ED60A3" w14:textId="49ED9421" w:rsidR="00173FEB" w:rsidRDefault="00DF757D" w:rsidP="0035033F">
      <w:pPr>
        <w:pStyle w:val="ListParagraph"/>
        <w:numPr>
          <w:ilvl w:val="0"/>
          <w:numId w:val="74"/>
        </w:numPr>
        <w:tabs>
          <w:tab w:val="right" w:pos="0"/>
        </w:tabs>
        <w:spacing w:after="120" w:line="276" w:lineRule="auto"/>
        <w:contextualSpacing w:val="0"/>
        <w:rPr>
          <w:rFonts w:cs="Times Armenian"/>
          <w:bCs/>
          <w:lang w:val="hy-AM"/>
        </w:rPr>
      </w:pPr>
      <w:r>
        <w:rPr>
          <w:rFonts w:cs="Times Armenian"/>
          <w:bCs/>
          <w:lang w:val="hy-AM"/>
        </w:rPr>
        <w:t>Դեռևս 2019 թվականի վերջին կանխատեսվում էր, որ աշխարհի ավելի քան 170 երկրների տնտեսությունները 2020 թվականին</w:t>
      </w:r>
      <w:r w:rsidRPr="00DF757D">
        <w:rPr>
          <w:rFonts w:cs="Times Armenian"/>
          <w:bCs/>
          <w:lang w:val="hy-AM"/>
        </w:rPr>
        <w:t xml:space="preserve"> </w:t>
      </w:r>
      <w:r>
        <w:rPr>
          <w:rFonts w:cs="Times Armenian"/>
          <w:bCs/>
          <w:lang w:val="hy-AM"/>
        </w:rPr>
        <w:t>կաճեն։ Մինչդեռ, կ</w:t>
      </w:r>
      <w:r w:rsidR="00226593" w:rsidRPr="003A58A3">
        <w:rPr>
          <w:rFonts w:cs="Times Armenian"/>
          <w:bCs/>
          <w:lang w:val="hy-AM"/>
        </w:rPr>
        <w:t>որոնավիրուսի համավարակ</w:t>
      </w:r>
      <w:r>
        <w:rPr>
          <w:rFonts w:cs="Times Armenian"/>
          <w:bCs/>
          <w:lang w:val="hy-AM"/>
        </w:rPr>
        <w:t>ի</w:t>
      </w:r>
      <w:r w:rsidR="00226593" w:rsidRPr="003A58A3">
        <w:rPr>
          <w:rFonts w:cs="Times Armenian"/>
          <w:bCs/>
          <w:lang w:val="hy-AM"/>
        </w:rPr>
        <w:t xml:space="preserve"> </w:t>
      </w:r>
      <w:r w:rsidR="00226593" w:rsidRPr="007B23EF">
        <w:rPr>
          <w:rFonts w:cs="Times Armenian"/>
          <w:bCs/>
          <w:lang w:val="hy-AM"/>
        </w:rPr>
        <w:t xml:space="preserve">(COVID 19) </w:t>
      </w:r>
      <w:r>
        <w:rPr>
          <w:rFonts w:cs="Times Armenian"/>
          <w:bCs/>
          <w:lang w:val="hy-AM"/>
        </w:rPr>
        <w:t>ազդեցության գնահատականների</w:t>
      </w:r>
      <w:r w:rsidR="00AE5630">
        <w:rPr>
          <w:rFonts w:cs="Times Armenian"/>
          <w:bCs/>
          <w:lang w:val="hy-AM"/>
        </w:rPr>
        <w:t xml:space="preserve"> ձևավորմանը</w:t>
      </w:r>
      <w:r>
        <w:rPr>
          <w:rFonts w:cs="Times Armenian"/>
          <w:bCs/>
          <w:lang w:val="hy-AM"/>
        </w:rPr>
        <w:t xml:space="preserve"> զուգընթաց վերանայվեցին նաև հենց այդ նույն թվով երկրների տնտեսական զարգացումների կանխատեսումները՝ անկման ուղղությամբ։ </w:t>
      </w:r>
      <w:r w:rsidR="00AE5630">
        <w:rPr>
          <w:rFonts w:cs="Times Armenian"/>
          <w:bCs/>
          <w:lang w:val="hy-AM"/>
        </w:rPr>
        <w:t xml:space="preserve">Ներկայում, ամբողջ աշխարհը շարունակում է կրել համավարակի </w:t>
      </w:r>
      <w:r w:rsidR="00226593" w:rsidRPr="007B23EF">
        <w:rPr>
          <w:rFonts w:cs="Times Armenian"/>
          <w:bCs/>
          <w:lang w:val="hy-AM"/>
        </w:rPr>
        <w:t xml:space="preserve">արագ </w:t>
      </w:r>
      <w:r w:rsidR="00226593" w:rsidRPr="003A58A3">
        <w:rPr>
          <w:rFonts w:cs="Times Armenian"/>
          <w:bCs/>
          <w:lang w:val="hy-AM"/>
        </w:rPr>
        <w:t>տարած</w:t>
      </w:r>
      <w:r w:rsidR="00AE5630">
        <w:rPr>
          <w:rFonts w:cs="Times Armenian"/>
          <w:bCs/>
          <w:lang w:val="hy-AM"/>
        </w:rPr>
        <w:t>ման բացասական հետևանքները</w:t>
      </w:r>
      <w:r w:rsidR="00226593" w:rsidRPr="003A58A3">
        <w:rPr>
          <w:rFonts w:cs="Times Armenian"/>
          <w:bCs/>
          <w:lang w:val="hy-AM"/>
        </w:rPr>
        <w:t>:</w:t>
      </w:r>
      <w:r w:rsidR="00226593">
        <w:rPr>
          <w:rFonts w:cs="Times Armenian"/>
          <w:bCs/>
          <w:lang w:val="hy-AM"/>
        </w:rPr>
        <w:t xml:space="preserve"> Այս պայմաններում</w:t>
      </w:r>
      <w:r w:rsidR="00AE5630">
        <w:rPr>
          <w:rFonts w:cs="Times Armenian"/>
          <w:bCs/>
          <w:lang w:val="hy-AM"/>
        </w:rPr>
        <w:t xml:space="preserve"> հատկանշական է</w:t>
      </w:r>
      <w:r w:rsidR="008D287E">
        <w:rPr>
          <w:rFonts w:cs="Times Armenian"/>
          <w:bCs/>
          <w:lang w:val="hy-AM"/>
        </w:rPr>
        <w:t>,</w:t>
      </w:r>
      <w:r w:rsidR="00AE5630">
        <w:rPr>
          <w:rFonts w:cs="Times Armenian"/>
          <w:bCs/>
          <w:lang w:val="hy-AM"/>
        </w:rPr>
        <w:t xml:space="preserve"> որ</w:t>
      </w:r>
      <w:r w:rsidR="008D287E">
        <w:rPr>
          <w:rFonts w:cs="Times Armenian"/>
          <w:bCs/>
          <w:lang w:val="hy-AM"/>
        </w:rPr>
        <w:t xml:space="preserve"> </w:t>
      </w:r>
      <w:r w:rsidR="00AE5630">
        <w:rPr>
          <w:rFonts w:cs="Times Armenian"/>
          <w:bCs/>
          <w:lang w:val="hy-AM"/>
        </w:rPr>
        <w:t xml:space="preserve">զգալի անկում է </w:t>
      </w:r>
      <w:r w:rsidR="008D287E">
        <w:rPr>
          <w:rFonts w:cs="Times Armenian"/>
          <w:bCs/>
          <w:lang w:val="hy-AM"/>
        </w:rPr>
        <w:t xml:space="preserve">կանխատեսվում </w:t>
      </w:r>
      <w:r w:rsidR="00226593">
        <w:rPr>
          <w:rFonts w:cs="Times Armenian"/>
          <w:bCs/>
          <w:lang w:val="hy-AM"/>
        </w:rPr>
        <w:t>ՀՀ գործընկեր երկրներ</w:t>
      </w:r>
      <w:r w:rsidR="008D287E">
        <w:rPr>
          <w:rFonts w:cs="Times Armenian"/>
          <w:bCs/>
          <w:lang w:val="hy-AM"/>
        </w:rPr>
        <w:t>ի</w:t>
      </w:r>
      <w:r w:rsidR="00226593">
        <w:rPr>
          <w:rFonts w:cs="Times Armenian"/>
          <w:bCs/>
          <w:lang w:val="hy-AM"/>
        </w:rPr>
        <w:t xml:space="preserve"> </w:t>
      </w:r>
      <w:r w:rsidR="008D287E">
        <w:rPr>
          <w:rFonts w:cs="Times Armenian"/>
          <w:bCs/>
          <w:lang w:val="hy-AM"/>
        </w:rPr>
        <w:t>տնտեսությունների համար</w:t>
      </w:r>
      <w:r w:rsidR="00226593">
        <w:rPr>
          <w:rFonts w:cs="Times Armenian"/>
          <w:bCs/>
          <w:lang w:val="hy-AM"/>
        </w:rPr>
        <w:t>, որ</w:t>
      </w:r>
      <w:r w:rsidR="00AE5630">
        <w:rPr>
          <w:rFonts w:cs="Times Armenian"/>
          <w:bCs/>
          <w:lang w:val="hy-AM"/>
        </w:rPr>
        <w:t>ի</w:t>
      </w:r>
      <w:r w:rsidR="00226593">
        <w:rPr>
          <w:rFonts w:cs="Times Armenian"/>
          <w:bCs/>
          <w:lang w:val="hy-AM"/>
        </w:rPr>
        <w:t xml:space="preserve"> էական բացասական ազդեցություն</w:t>
      </w:r>
      <w:r w:rsidR="00AE5630">
        <w:rPr>
          <w:rFonts w:cs="Times Armenian"/>
          <w:bCs/>
          <w:lang w:val="hy-AM"/>
        </w:rPr>
        <w:t>ը</w:t>
      </w:r>
      <w:r w:rsidR="00226593">
        <w:rPr>
          <w:rFonts w:cs="Times Armenian"/>
          <w:bCs/>
          <w:lang w:val="hy-AM"/>
        </w:rPr>
        <w:t xml:space="preserve"> ՀՀ </w:t>
      </w:r>
      <w:r w:rsidR="00AE5630">
        <w:rPr>
          <w:rFonts w:cs="Times Armenian"/>
          <w:bCs/>
          <w:lang w:val="hy-AM"/>
        </w:rPr>
        <w:t xml:space="preserve">տնտեսության </w:t>
      </w:r>
      <w:r w:rsidR="00226593">
        <w:rPr>
          <w:rFonts w:cs="Times Armenian"/>
          <w:bCs/>
          <w:lang w:val="hy-AM"/>
        </w:rPr>
        <w:t>վրա</w:t>
      </w:r>
      <w:r w:rsidR="00AE5630">
        <w:rPr>
          <w:rFonts w:cs="Times Armenian"/>
          <w:bCs/>
          <w:lang w:val="hy-AM"/>
        </w:rPr>
        <w:t xml:space="preserve"> անխուսափելի է</w:t>
      </w:r>
      <w:r w:rsidR="00226593">
        <w:rPr>
          <w:rFonts w:cs="Times Armenian"/>
          <w:bCs/>
          <w:lang w:val="hy-AM"/>
        </w:rPr>
        <w:t xml:space="preserve">։  </w:t>
      </w:r>
    </w:p>
    <w:p w14:paraId="55A1246E" w14:textId="77777777" w:rsidR="00173FEB" w:rsidRDefault="00226593" w:rsidP="0035033F">
      <w:pPr>
        <w:pStyle w:val="ListParagraph"/>
        <w:numPr>
          <w:ilvl w:val="0"/>
          <w:numId w:val="74"/>
        </w:numPr>
        <w:tabs>
          <w:tab w:val="right" w:pos="0"/>
        </w:tabs>
        <w:spacing w:after="120" w:line="276" w:lineRule="auto"/>
        <w:contextualSpacing w:val="0"/>
        <w:rPr>
          <w:rFonts w:cs="Times Armenian"/>
          <w:bCs/>
          <w:lang w:val="hy-AM"/>
        </w:rPr>
      </w:pPr>
      <w:r w:rsidRPr="007B23EF">
        <w:rPr>
          <w:rFonts w:cs="Times Armenian"/>
          <w:bCs/>
          <w:lang w:val="hy-AM"/>
        </w:rPr>
        <w:t>Ա</w:t>
      </w:r>
      <w:r w:rsidRPr="003A58A3">
        <w:rPr>
          <w:rFonts w:cs="Times Armenian"/>
          <w:bCs/>
          <w:lang w:val="hy-AM"/>
        </w:rPr>
        <w:t xml:space="preserve">րտակարգ դրության և կիրառվող սահմանափակումների պայմաններում </w:t>
      </w:r>
      <w:r>
        <w:rPr>
          <w:rFonts w:cs="Times Armenian"/>
          <w:bCs/>
          <w:lang w:val="hy-AM"/>
        </w:rPr>
        <w:t>ՀՀ-ում նվազում է</w:t>
      </w:r>
      <w:r w:rsidRPr="003A58A3">
        <w:rPr>
          <w:rFonts w:cs="Times Armenian"/>
          <w:bCs/>
          <w:lang w:val="hy-AM"/>
        </w:rPr>
        <w:t xml:space="preserve"> ինչպես պահանջարկը, այնպես էլ առաջարկը:</w:t>
      </w:r>
      <w:r>
        <w:rPr>
          <w:rFonts w:cs="Times Armenian"/>
          <w:bCs/>
          <w:lang w:val="hy-AM"/>
        </w:rPr>
        <w:t xml:space="preserve"> Առավելապես տուժել են ծառայությունների, շինարարության և մշակող արդյունաբերության ճյուղերը։ Այս պայմաններում</w:t>
      </w:r>
      <w:r w:rsidR="009C363B">
        <w:rPr>
          <w:rFonts w:cs="Times Armenian"/>
          <w:bCs/>
          <w:lang w:val="hy-AM"/>
        </w:rPr>
        <w:t>,</w:t>
      </w:r>
      <w:r w:rsidRPr="003A58A3">
        <w:rPr>
          <w:rFonts w:cs="Times Armenian"/>
          <w:bCs/>
          <w:lang w:val="hy-AM"/>
        </w:rPr>
        <w:t xml:space="preserve"> 2020թ. </w:t>
      </w:r>
      <w:r w:rsidR="009C363B">
        <w:rPr>
          <w:rFonts w:cs="Times Armenian"/>
          <w:bCs/>
          <w:lang w:val="hy-AM"/>
        </w:rPr>
        <w:t xml:space="preserve">ապրիլին համաշխարհային տնտեսության և մասնավորապես՝ ՀՀ գործընկեր երկրների տնտեսական զարգացումների կանխատեսումների հիման վրա, ՀՀ համար </w:t>
      </w:r>
      <w:r w:rsidRPr="003A58A3">
        <w:rPr>
          <w:rFonts w:cs="Times Armenian"/>
          <w:bCs/>
          <w:lang w:val="hy-AM"/>
        </w:rPr>
        <w:t xml:space="preserve">սպասվում է 2.6% </w:t>
      </w:r>
      <w:r w:rsidRPr="007B23EF">
        <w:rPr>
          <w:rFonts w:cs="Times Armenian"/>
          <w:bCs/>
          <w:lang w:val="hy-AM"/>
        </w:rPr>
        <w:t xml:space="preserve">տնտեսական </w:t>
      </w:r>
      <w:r w:rsidRPr="003A58A3">
        <w:rPr>
          <w:rFonts w:cs="Times Armenian"/>
          <w:bCs/>
          <w:lang w:val="hy-AM"/>
        </w:rPr>
        <w:t xml:space="preserve">անկում, իսկ միջնաժամկետում՝ միջինում 6.1% տնտեսական աճ: </w:t>
      </w:r>
    </w:p>
    <w:p w14:paraId="21FF7A49" w14:textId="77777777" w:rsidR="00173FEB" w:rsidRDefault="00F60BA8" w:rsidP="0035033F">
      <w:pPr>
        <w:pStyle w:val="ListParagraph"/>
        <w:numPr>
          <w:ilvl w:val="0"/>
          <w:numId w:val="74"/>
        </w:numPr>
        <w:tabs>
          <w:tab w:val="right" w:pos="0"/>
        </w:tabs>
        <w:spacing w:before="0" w:after="120" w:line="276" w:lineRule="auto"/>
        <w:contextualSpacing w:val="0"/>
        <w:rPr>
          <w:rFonts w:cs="Sylfaen"/>
          <w:lang w:val="hy-AM"/>
        </w:rPr>
      </w:pPr>
      <w:r w:rsidRPr="007B23EF">
        <w:rPr>
          <w:rFonts w:eastAsia="GHEA Grapalat" w:cs="GHEA Grapalat"/>
          <w:lang w:val="hy-AM"/>
        </w:rPr>
        <w:t>Տ</w:t>
      </w:r>
      <w:r w:rsidRPr="003A58A3">
        <w:rPr>
          <w:rFonts w:eastAsia="GHEA Grapalat" w:cs="GHEA Grapalat"/>
          <w:lang w:val="hy-AM"/>
        </w:rPr>
        <w:t xml:space="preserve">նտեսական ակտիվության դանդաղման և թուլացող </w:t>
      </w:r>
      <w:sdt>
        <w:sdtPr>
          <w:tag w:val="goog_rdk_9"/>
          <w:id w:val="1973784109"/>
        </w:sdtPr>
        <w:sdtEndPr/>
        <w:sdtContent>
          <w:r w:rsidRPr="003A58A3">
            <w:rPr>
              <w:rFonts w:eastAsia="GHEA Grapalat" w:cs="GHEA Grapalat"/>
              <w:lang w:val="hy-AM"/>
            </w:rPr>
            <w:t xml:space="preserve">ներքին ու արտաքին </w:t>
          </w:r>
        </w:sdtContent>
      </w:sdt>
      <w:r w:rsidRPr="003A58A3">
        <w:rPr>
          <w:rFonts w:eastAsia="GHEA Grapalat" w:cs="GHEA Grapalat"/>
          <w:lang w:val="hy-AM"/>
        </w:rPr>
        <w:t xml:space="preserve">պահանջարկի պայմաններում 2020թ. տեղի է ունենալու արտահանման և ներմուծման դոլարային ծավալների անկում, իսկ ընթացիկ հաշվեկշիռը կցուցաբերի վատթարացման միտում: </w:t>
      </w:r>
      <w:r w:rsidRPr="003A58A3">
        <w:rPr>
          <w:rFonts w:cs="Sylfaen"/>
          <w:lang w:val="hy-AM"/>
        </w:rPr>
        <w:t>Միջնաժամկետ հորիզոնում ընթացիկ հաշվի պակասուրդը կբարելավվի՝ ձգտելով իր երկարաժամկետ հավասարակշիռ մակարդակին:</w:t>
      </w:r>
    </w:p>
    <w:p w14:paraId="610312B1" w14:textId="77777777" w:rsidR="00173FEB" w:rsidRDefault="00F60BA8" w:rsidP="0035033F">
      <w:pPr>
        <w:pStyle w:val="ListParagraph"/>
        <w:numPr>
          <w:ilvl w:val="0"/>
          <w:numId w:val="74"/>
        </w:numPr>
        <w:tabs>
          <w:tab w:val="right" w:pos="0"/>
        </w:tabs>
        <w:spacing w:before="0" w:after="120" w:line="276" w:lineRule="auto"/>
        <w:contextualSpacing w:val="0"/>
        <w:rPr>
          <w:rFonts w:cs="Times Armenian"/>
          <w:bCs/>
          <w:lang w:val="hy-AM"/>
        </w:rPr>
      </w:pPr>
      <w:r w:rsidRPr="003A58A3">
        <w:rPr>
          <w:rFonts w:cs="Times Armenian"/>
          <w:bCs/>
          <w:lang w:val="hy-AM"/>
        </w:rPr>
        <w:t>Հարկաբյուջետային կանոնների</w:t>
      </w:r>
      <w:r w:rsidRPr="007B23EF">
        <w:rPr>
          <w:rFonts w:cs="Times Armenian"/>
          <w:bCs/>
          <w:lang w:val="hy-AM"/>
        </w:rPr>
        <w:t>ն</w:t>
      </w:r>
      <w:r w:rsidRPr="003A58A3">
        <w:rPr>
          <w:rFonts w:cs="Times Armenian"/>
          <w:bCs/>
          <w:lang w:val="hy-AM"/>
        </w:rPr>
        <w:t xml:space="preserve"> համահունչ՝ 2020թ</w:t>
      </w:r>
      <w:r w:rsidRPr="007B23EF">
        <w:rPr>
          <w:rFonts w:cs="Cambria Math"/>
          <w:bCs/>
          <w:lang w:val="hy-AM"/>
        </w:rPr>
        <w:t>.</w:t>
      </w:r>
      <w:r w:rsidRPr="003A58A3">
        <w:rPr>
          <w:rFonts w:cs="Times Armenian"/>
          <w:bCs/>
          <w:lang w:val="hy-AM"/>
        </w:rPr>
        <w:t xml:space="preserve"> հարկաբյուջետային քաղաքականությունը կլինի խթանող` հակազդելու համավարակ</w:t>
      </w:r>
      <w:r>
        <w:rPr>
          <w:rFonts w:cs="Times Armenian"/>
          <w:bCs/>
          <w:lang w:val="hy-AM"/>
        </w:rPr>
        <w:t>ի հետևանք</w:t>
      </w:r>
      <w:r w:rsidRPr="007B23EF">
        <w:rPr>
          <w:rFonts w:cs="Times Armenian"/>
          <w:bCs/>
          <w:lang w:val="hy-AM"/>
        </w:rPr>
        <w:t>ով</w:t>
      </w:r>
      <w:r w:rsidRPr="003A58A3">
        <w:rPr>
          <w:rFonts w:cs="Times Armenian"/>
          <w:bCs/>
          <w:lang w:val="hy-AM"/>
        </w:rPr>
        <w:t xml:space="preserve"> առաջացած տնտեսական </w:t>
      </w:r>
      <w:r>
        <w:rPr>
          <w:rFonts w:cs="Times Armenian"/>
          <w:bCs/>
          <w:lang w:val="hy-AM"/>
        </w:rPr>
        <w:t xml:space="preserve">շոկերին։ Ընդ որում, կորոնավիրուսի հետևանքների կանխարգելմանն ուղղված </w:t>
      </w:r>
      <w:r w:rsidRPr="007B23EF">
        <w:rPr>
          <w:rFonts w:cs="Times Armenian"/>
          <w:bCs/>
          <w:lang w:val="hy-AM"/>
        </w:rPr>
        <w:t>150</w:t>
      </w:r>
      <w:r>
        <w:rPr>
          <w:rFonts w:cs="Times Armenian"/>
          <w:bCs/>
          <w:lang w:val="hy-AM"/>
        </w:rPr>
        <w:t xml:space="preserve"> մլրդ դրամ փաթեթի ամբողջական օգտագործումը թույլ կտա մեղմել տնտեսական անկումը։ </w:t>
      </w:r>
      <w:r w:rsidRPr="003A58A3">
        <w:rPr>
          <w:rFonts w:cs="Times Armenian"/>
          <w:bCs/>
          <w:lang w:val="hy-AM"/>
        </w:rPr>
        <w:t xml:space="preserve"> </w:t>
      </w:r>
      <w:r>
        <w:rPr>
          <w:rFonts w:cs="Times Armenian"/>
          <w:bCs/>
          <w:lang w:val="hy-AM"/>
        </w:rPr>
        <w:t xml:space="preserve">Իսկ </w:t>
      </w:r>
      <w:r w:rsidRPr="003A58A3">
        <w:rPr>
          <w:rFonts w:cs="Times Armenian"/>
          <w:bCs/>
          <w:lang w:val="hy-AM"/>
        </w:rPr>
        <w:t>2021թ</w:t>
      </w:r>
      <w:r w:rsidRPr="007B23EF">
        <w:rPr>
          <w:rFonts w:cs="Cambria Math"/>
          <w:bCs/>
          <w:lang w:val="hy-AM"/>
        </w:rPr>
        <w:t>.</w:t>
      </w:r>
      <w:r w:rsidRPr="003A58A3">
        <w:rPr>
          <w:rFonts w:cs="Times Armenian"/>
          <w:bCs/>
          <w:lang w:val="hy-AM"/>
        </w:rPr>
        <w:t xml:space="preserve"> հետո</w:t>
      </w:r>
      <w:r>
        <w:rPr>
          <w:rFonts w:cs="Times Armenian"/>
          <w:bCs/>
          <w:lang w:val="hy-AM"/>
        </w:rPr>
        <w:t xml:space="preserve"> հարկաբյուջետային քաղաքականությունը</w:t>
      </w:r>
      <w:r w:rsidRPr="003A58A3">
        <w:rPr>
          <w:rFonts w:cs="Times Armenian"/>
          <w:bCs/>
          <w:lang w:val="hy-AM"/>
        </w:rPr>
        <w:t xml:space="preserve"> կունենա չեզոք ուղղվածություն` միաժամանակ խթանելով երկարաժամկետ տնտեսական աճը՝ պետական ներդրումների մասնաբաժնի մեծացման միջոցով: </w:t>
      </w:r>
    </w:p>
    <w:p w14:paraId="4DF0F7C7" w14:textId="77777777" w:rsidR="00173FEB" w:rsidRDefault="00F60BA8" w:rsidP="0035033F">
      <w:pPr>
        <w:pStyle w:val="ListParagraph"/>
        <w:numPr>
          <w:ilvl w:val="0"/>
          <w:numId w:val="74"/>
        </w:numPr>
        <w:tabs>
          <w:tab w:val="right" w:pos="0"/>
        </w:tabs>
        <w:spacing w:before="0" w:after="120" w:line="276" w:lineRule="auto"/>
        <w:contextualSpacing w:val="0"/>
        <w:rPr>
          <w:rFonts w:cs="Times Armenian"/>
          <w:bCs/>
          <w:lang w:val="hy-AM"/>
        </w:rPr>
      </w:pPr>
      <w:r w:rsidRPr="006F4D47">
        <w:rPr>
          <w:rFonts w:cs="Times Armenian"/>
          <w:bCs/>
          <w:lang w:val="hy-AM"/>
        </w:rPr>
        <w:t>ԿԲ-ն կարճաժամկետ հատվածում կշարունակի վարել խթանող դրամավարկային քաղաքականություն, և, անհրաժեշտության դեպքում, կպահպանի քաղաքականության խթանող դիրքը նաև միջնաժամկետ հատվածում։</w:t>
      </w:r>
    </w:p>
    <w:p w14:paraId="305E6137" w14:textId="77777777" w:rsidR="00173FEB" w:rsidRDefault="00F60BA8" w:rsidP="0035033F">
      <w:pPr>
        <w:pStyle w:val="ListParagraph"/>
        <w:numPr>
          <w:ilvl w:val="0"/>
          <w:numId w:val="74"/>
        </w:numPr>
        <w:tabs>
          <w:tab w:val="right" w:pos="0"/>
        </w:tabs>
        <w:spacing w:after="120" w:line="276" w:lineRule="auto"/>
        <w:contextualSpacing w:val="0"/>
        <w:rPr>
          <w:rFonts w:cs="Times Armenian"/>
          <w:bCs/>
          <w:lang w:val="hy-AM"/>
        </w:rPr>
      </w:pPr>
      <w:r w:rsidRPr="00F60BA8">
        <w:rPr>
          <w:rFonts w:eastAsia="Calibri" w:cs="Times New Roman"/>
          <w:lang w:val="hy-AM"/>
        </w:rPr>
        <w:t xml:space="preserve">Պետք է նշել, որ համավարակի տարածման և տևողության մեծ անորոշություններով պայմանավորված, համաշխարհային տնտեսության զարգացման ընթացքը մեծապես կախված է COVID-19 համավարակի հաղթահարմանն ուղղված առողջապահական միջոցառումներից։ Այս պայմաններում, անորոշության մեծ աստիճանից ելնելով՝ ինչպես աշխարհի և ՀՀ գործընկերների, այնպես էլ ՀՀ տնտեսական աճի </w:t>
      </w:r>
      <w:r w:rsidR="00226593">
        <w:rPr>
          <w:lang w:val="hy-AM"/>
        </w:rPr>
        <w:t>կանխատեսում</w:t>
      </w:r>
      <w:r w:rsidR="006F2E45">
        <w:rPr>
          <w:lang w:val="hy-AM"/>
        </w:rPr>
        <w:t>ն</w:t>
      </w:r>
      <w:r w:rsidR="00226593">
        <w:rPr>
          <w:lang w:val="hy-AM"/>
        </w:rPr>
        <w:t xml:space="preserve">երում գերակշռում են դեպի ներքև ռիսկերը։ Բացի այդ, ՀՀ տնտեսական զարգացումների </w:t>
      </w:r>
      <w:r w:rsidR="00226593">
        <w:rPr>
          <w:lang w:val="hy-AM"/>
        </w:rPr>
        <w:lastRenderedPageBreak/>
        <w:t>հետագա ընթացքի մասով էական դերակատարում ունի ՀՀ կառավարության՝ համավարակի տնտեսական հետևանքների կանխարգելմանն ու տնտեսության վերականգմանն ուղղված միջոցառումների ընթացքը։</w:t>
      </w:r>
    </w:p>
    <w:p w14:paraId="2FC43F3E" w14:textId="77777777" w:rsidR="00D10C58" w:rsidRPr="00D10C58" w:rsidRDefault="00D10C58" w:rsidP="00D10C58">
      <w:pPr>
        <w:pStyle w:val="ListParagraph"/>
        <w:tabs>
          <w:tab w:val="right" w:pos="0"/>
        </w:tabs>
        <w:spacing w:after="120" w:line="276" w:lineRule="auto"/>
        <w:ind w:left="0" w:firstLine="284"/>
        <w:contextualSpacing w:val="0"/>
        <w:rPr>
          <w:rFonts w:cs="Times Armenian"/>
          <w:bCs/>
          <w:lang w:val="hy-AM"/>
        </w:rPr>
      </w:pPr>
      <w:r w:rsidRPr="00D10C58">
        <w:rPr>
          <w:rFonts w:eastAsia="Calibri" w:cs="Sylfaen"/>
          <w:b/>
          <w:bCs/>
          <w:i/>
          <w:iCs/>
          <w:color w:val="000000"/>
          <w:lang w:val="hy-AM"/>
        </w:rPr>
        <w:t>Աղյուսակ</w:t>
      </w:r>
      <w:r w:rsidRPr="00D10C58">
        <w:rPr>
          <w:rFonts w:eastAsia="Calibri" w:cs="Times New Roman"/>
          <w:b/>
          <w:bCs/>
          <w:i/>
          <w:iCs/>
          <w:color w:val="000000"/>
          <w:lang w:val="hy-AM"/>
        </w:rPr>
        <w:t xml:space="preserve"> 1.1. </w:t>
      </w:r>
      <w:r w:rsidRPr="00D10C58">
        <w:rPr>
          <w:rFonts w:eastAsia="Calibri" w:cs="Times New Roman"/>
          <w:b/>
          <w:i/>
          <w:iCs/>
          <w:color w:val="000000"/>
          <w:sz w:val="20"/>
          <w:szCs w:val="20"/>
          <w:lang w:val="hy-AM"/>
        </w:rPr>
        <w:t>2021-2023</w:t>
      </w:r>
      <w:r w:rsidRPr="00D10C58">
        <w:rPr>
          <w:rFonts w:eastAsia="Calibri" w:cs="Sylfaen"/>
          <w:b/>
          <w:i/>
          <w:iCs/>
          <w:color w:val="000000"/>
          <w:sz w:val="20"/>
          <w:szCs w:val="20"/>
          <w:lang w:val="hy-AM"/>
        </w:rPr>
        <w:t>թթ</w:t>
      </w:r>
      <w:r w:rsidRPr="00D10C58">
        <w:rPr>
          <w:rFonts w:eastAsia="Calibri" w:cs="Times New Roman"/>
          <w:b/>
          <w:i/>
          <w:iCs/>
          <w:color w:val="000000"/>
          <w:sz w:val="20"/>
          <w:szCs w:val="20"/>
          <w:lang w:val="hy-AM"/>
        </w:rPr>
        <w:t xml:space="preserve">. </w:t>
      </w:r>
      <w:r w:rsidRPr="00D10C58">
        <w:rPr>
          <w:rFonts w:eastAsia="Calibri" w:cs="Sylfaen"/>
          <w:b/>
          <w:i/>
          <w:iCs/>
          <w:color w:val="000000"/>
          <w:sz w:val="20"/>
          <w:szCs w:val="20"/>
          <w:lang w:val="hy-AM"/>
        </w:rPr>
        <w:t>ՄԺԾԾ</w:t>
      </w:r>
      <w:r w:rsidR="00595A2D" w:rsidRPr="0035033F">
        <w:rPr>
          <w:rFonts w:eastAsia="Calibri"/>
          <w:b/>
          <w:i/>
          <w:iCs/>
          <w:color w:val="000000"/>
          <w:lang w:val="hy-AM"/>
        </w:rPr>
        <w:t xml:space="preserve"> (ներառյալ 2020թ. պետական բյուջեի) մակրոտնտեսական</w:t>
      </w:r>
      <w:r w:rsidR="00595A2D" w:rsidRPr="0035033F">
        <w:rPr>
          <w:rFonts w:eastAsia="Calibri" w:cs="Times New Roman"/>
          <w:b/>
          <w:i/>
          <w:iCs/>
          <w:color w:val="000000"/>
          <w:lang w:val="hy-AM"/>
        </w:rPr>
        <w:t xml:space="preserve"> </w:t>
      </w:r>
      <w:r w:rsidR="00595A2D" w:rsidRPr="0035033F">
        <w:rPr>
          <w:rFonts w:eastAsia="Calibri"/>
          <w:b/>
          <w:i/>
          <w:iCs/>
          <w:color w:val="000000"/>
          <w:lang w:val="hy-AM"/>
        </w:rPr>
        <w:t>շրջանակ</w:t>
      </w:r>
    </w:p>
    <w:tbl>
      <w:tblPr>
        <w:tblStyle w:val="GridTable1Light-Accent511"/>
        <w:tblpPr w:leftFromText="180" w:rightFromText="180" w:vertAnchor="text" w:horzAnchor="margin" w:tblpX="-176" w:tblpY="47"/>
        <w:tblW w:w="10695" w:type="dxa"/>
        <w:tblBorders>
          <w:top w:val="single" w:sz="12" w:space="0" w:color="4472C4"/>
          <w:left w:val="single" w:sz="12" w:space="0" w:color="4472C4"/>
          <w:bottom w:val="single" w:sz="12" w:space="0" w:color="4472C4"/>
          <w:right w:val="single" w:sz="12" w:space="0" w:color="4472C4"/>
          <w:insideH w:val="single" w:sz="6" w:space="0" w:color="4472C4"/>
          <w:insideV w:val="single" w:sz="6" w:space="0" w:color="4472C4"/>
        </w:tblBorders>
        <w:tblLayout w:type="fixed"/>
        <w:tblLook w:val="0000" w:firstRow="0" w:lastRow="0" w:firstColumn="0" w:lastColumn="0" w:noHBand="0" w:noVBand="0"/>
      </w:tblPr>
      <w:tblGrid>
        <w:gridCol w:w="3405"/>
        <w:gridCol w:w="1170"/>
        <w:gridCol w:w="1204"/>
        <w:gridCol w:w="992"/>
        <w:gridCol w:w="993"/>
        <w:gridCol w:w="992"/>
        <w:gridCol w:w="992"/>
        <w:gridCol w:w="947"/>
      </w:tblGrid>
      <w:tr w:rsidR="00D10C58" w:rsidRPr="00D10C58" w14:paraId="4098665F" w14:textId="77777777" w:rsidTr="007D18FD">
        <w:trPr>
          <w:trHeight w:val="258"/>
        </w:trPr>
        <w:tc>
          <w:tcPr>
            <w:tcW w:w="3405" w:type="dxa"/>
            <w:vMerge w:val="restart"/>
            <w:noWrap/>
          </w:tcPr>
          <w:p w14:paraId="16BAF336" w14:textId="77777777" w:rsidR="00D10C58" w:rsidRPr="00D10C58" w:rsidRDefault="00D10C58" w:rsidP="000546CD">
            <w:pPr>
              <w:spacing w:before="0" w:after="0" w:line="276" w:lineRule="auto"/>
              <w:ind w:firstLine="0"/>
              <w:rPr>
                <w:rFonts w:cs="Sylfaen"/>
                <w:i/>
                <w:iCs/>
                <w:sz w:val="20"/>
                <w:szCs w:val="20"/>
              </w:rPr>
            </w:pPr>
            <w:r w:rsidRPr="00D10C58">
              <w:rPr>
                <w:rFonts w:cs="Sylfaen"/>
                <w:i/>
                <w:iCs/>
                <w:sz w:val="20"/>
                <w:szCs w:val="20"/>
              </w:rPr>
              <w:t>Հիմնական մակրոտնտեսական ցուցանիշներ</w:t>
            </w:r>
          </w:p>
        </w:tc>
        <w:tc>
          <w:tcPr>
            <w:tcW w:w="1170" w:type="dxa"/>
          </w:tcPr>
          <w:p w14:paraId="1D110F40" w14:textId="77777777" w:rsidR="00D10C58" w:rsidRPr="00D10C58" w:rsidRDefault="00D10C58" w:rsidP="000546CD">
            <w:pPr>
              <w:spacing w:before="0" w:after="0" w:line="276" w:lineRule="auto"/>
              <w:ind w:firstLine="0"/>
              <w:jc w:val="center"/>
              <w:rPr>
                <w:rFonts w:cs="Arial"/>
                <w:b/>
                <w:bCs/>
                <w:sz w:val="20"/>
                <w:szCs w:val="20"/>
              </w:rPr>
            </w:pPr>
            <w:r w:rsidRPr="00D10C58">
              <w:rPr>
                <w:rFonts w:cs="Arial"/>
                <w:b/>
                <w:bCs/>
                <w:sz w:val="20"/>
                <w:szCs w:val="20"/>
              </w:rPr>
              <w:t>2017</w:t>
            </w:r>
          </w:p>
        </w:tc>
        <w:tc>
          <w:tcPr>
            <w:tcW w:w="1204" w:type="dxa"/>
          </w:tcPr>
          <w:p w14:paraId="3282B94E" w14:textId="77777777" w:rsidR="00D10C58" w:rsidRPr="00D10C58" w:rsidRDefault="00D10C58" w:rsidP="000546CD">
            <w:pPr>
              <w:spacing w:before="0" w:after="0" w:line="276" w:lineRule="auto"/>
              <w:ind w:firstLine="0"/>
              <w:jc w:val="center"/>
              <w:rPr>
                <w:rFonts w:cs="Arial"/>
                <w:b/>
                <w:bCs/>
                <w:sz w:val="20"/>
                <w:szCs w:val="20"/>
              </w:rPr>
            </w:pPr>
            <w:r w:rsidRPr="00D10C58">
              <w:rPr>
                <w:rFonts w:cs="Arial"/>
                <w:b/>
                <w:bCs/>
                <w:sz w:val="20"/>
                <w:szCs w:val="20"/>
              </w:rPr>
              <w:t>2018</w:t>
            </w:r>
          </w:p>
        </w:tc>
        <w:tc>
          <w:tcPr>
            <w:tcW w:w="992" w:type="dxa"/>
          </w:tcPr>
          <w:p w14:paraId="5C0BC1DF" w14:textId="77777777" w:rsidR="00D10C58" w:rsidRPr="00D10C58" w:rsidRDefault="00D10C58" w:rsidP="000546CD">
            <w:pPr>
              <w:spacing w:before="0" w:after="0" w:line="276" w:lineRule="auto"/>
              <w:ind w:firstLine="0"/>
              <w:jc w:val="center"/>
              <w:rPr>
                <w:rFonts w:cs="Arial"/>
                <w:b/>
                <w:bCs/>
                <w:sz w:val="20"/>
                <w:szCs w:val="20"/>
              </w:rPr>
            </w:pPr>
            <w:r w:rsidRPr="00D10C58">
              <w:rPr>
                <w:rFonts w:cs="Arial"/>
                <w:b/>
                <w:bCs/>
                <w:sz w:val="20"/>
                <w:szCs w:val="20"/>
              </w:rPr>
              <w:t>2019</w:t>
            </w:r>
          </w:p>
        </w:tc>
        <w:tc>
          <w:tcPr>
            <w:tcW w:w="993" w:type="dxa"/>
            <w:shd w:val="clear" w:color="auto" w:fill="D9E2F3"/>
          </w:tcPr>
          <w:p w14:paraId="4A196E5D" w14:textId="77777777" w:rsidR="00D10C58" w:rsidRPr="00D10C58" w:rsidRDefault="00D10C58" w:rsidP="000546CD">
            <w:pPr>
              <w:spacing w:before="0" w:after="0" w:line="276" w:lineRule="auto"/>
              <w:ind w:firstLine="0"/>
              <w:jc w:val="center"/>
              <w:rPr>
                <w:rFonts w:cs="Arial"/>
                <w:b/>
                <w:bCs/>
                <w:sz w:val="20"/>
                <w:szCs w:val="20"/>
              </w:rPr>
            </w:pPr>
            <w:r w:rsidRPr="00D10C58">
              <w:rPr>
                <w:rFonts w:cs="Arial"/>
                <w:b/>
                <w:bCs/>
                <w:sz w:val="20"/>
                <w:szCs w:val="20"/>
              </w:rPr>
              <w:t>2020</w:t>
            </w:r>
          </w:p>
        </w:tc>
        <w:tc>
          <w:tcPr>
            <w:tcW w:w="992" w:type="dxa"/>
            <w:shd w:val="clear" w:color="auto" w:fill="D9E2F3"/>
          </w:tcPr>
          <w:p w14:paraId="4CABC445" w14:textId="77777777" w:rsidR="00D10C58" w:rsidRPr="00D10C58" w:rsidRDefault="00D10C58" w:rsidP="000546CD">
            <w:pPr>
              <w:spacing w:before="0" w:after="0" w:line="276" w:lineRule="auto"/>
              <w:ind w:firstLine="0"/>
              <w:jc w:val="center"/>
              <w:rPr>
                <w:rFonts w:cs="Arial"/>
                <w:b/>
                <w:bCs/>
                <w:sz w:val="20"/>
                <w:szCs w:val="20"/>
              </w:rPr>
            </w:pPr>
            <w:r w:rsidRPr="00D10C58">
              <w:rPr>
                <w:rFonts w:cs="Arial"/>
                <w:b/>
                <w:bCs/>
                <w:sz w:val="20"/>
                <w:szCs w:val="20"/>
              </w:rPr>
              <w:t>2021</w:t>
            </w:r>
          </w:p>
        </w:tc>
        <w:tc>
          <w:tcPr>
            <w:tcW w:w="992" w:type="dxa"/>
            <w:shd w:val="clear" w:color="auto" w:fill="D9E2F3"/>
          </w:tcPr>
          <w:p w14:paraId="749566C7" w14:textId="77777777" w:rsidR="00D10C58" w:rsidRPr="00D10C58" w:rsidRDefault="00D10C58" w:rsidP="000546CD">
            <w:pPr>
              <w:spacing w:before="0" w:after="0" w:line="276" w:lineRule="auto"/>
              <w:ind w:firstLine="0"/>
              <w:jc w:val="center"/>
              <w:rPr>
                <w:rFonts w:cs="Arial"/>
                <w:b/>
                <w:bCs/>
                <w:sz w:val="20"/>
                <w:szCs w:val="20"/>
              </w:rPr>
            </w:pPr>
            <w:r w:rsidRPr="00D10C58">
              <w:rPr>
                <w:rFonts w:cs="Arial"/>
                <w:b/>
                <w:bCs/>
                <w:sz w:val="20"/>
                <w:szCs w:val="20"/>
              </w:rPr>
              <w:t>2022</w:t>
            </w:r>
          </w:p>
        </w:tc>
        <w:tc>
          <w:tcPr>
            <w:tcW w:w="947" w:type="dxa"/>
            <w:shd w:val="clear" w:color="auto" w:fill="D9E2F3"/>
          </w:tcPr>
          <w:p w14:paraId="2294C6B9" w14:textId="77777777" w:rsidR="00D10C58" w:rsidRPr="00D10C58" w:rsidRDefault="00D10C58" w:rsidP="000546CD">
            <w:pPr>
              <w:spacing w:before="0" w:after="0" w:line="276" w:lineRule="auto"/>
              <w:ind w:firstLine="0"/>
              <w:jc w:val="center"/>
              <w:rPr>
                <w:rFonts w:cs="Arial"/>
                <w:b/>
                <w:bCs/>
                <w:sz w:val="20"/>
                <w:szCs w:val="20"/>
              </w:rPr>
            </w:pPr>
            <w:r w:rsidRPr="00D10C58">
              <w:rPr>
                <w:rFonts w:cs="Arial"/>
                <w:b/>
                <w:bCs/>
                <w:sz w:val="20"/>
                <w:szCs w:val="20"/>
              </w:rPr>
              <w:t>2023</w:t>
            </w:r>
          </w:p>
        </w:tc>
      </w:tr>
      <w:tr w:rsidR="00D10C58" w:rsidRPr="00D10C58" w14:paraId="68101E49" w14:textId="77777777" w:rsidTr="007D18FD">
        <w:trPr>
          <w:trHeight w:val="272"/>
        </w:trPr>
        <w:tc>
          <w:tcPr>
            <w:tcW w:w="3405" w:type="dxa"/>
            <w:vMerge/>
            <w:noWrap/>
          </w:tcPr>
          <w:p w14:paraId="319C2913" w14:textId="77777777" w:rsidR="00D10C58" w:rsidRPr="00D10C58" w:rsidRDefault="00D10C58" w:rsidP="000546CD">
            <w:pPr>
              <w:spacing w:before="0" w:after="0" w:line="276" w:lineRule="auto"/>
              <w:ind w:firstLine="0"/>
              <w:rPr>
                <w:rFonts w:cs="Sylfaen"/>
                <w:sz w:val="20"/>
                <w:szCs w:val="20"/>
              </w:rPr>
            </w:pPr>
          </w:p>
        </w:tc>
        <w:tc>
          <w:tcPr>
            <w:tcW w:w="1170" w:type="dxa"/>
          </w:tcPr>
          <w:p w14:paraId="4EE07A38" w14:textId="77777777" w:rsidR="00D10C58" w:rsidRPr="00D10C58" w:rsidRDefault="00D10C58" w:rsidP="000546CD">
            <w:pPr>
              <w:spacing w:before="0" w:after="0" w:line="276" w:lineRule="auto"/>
              <w:ind w:firstLine="0"/>
              <w:jc w:val="center"/>
              <w:rPr>
                <w:rFonts w:cs="Arial"/>
                <w:b/>
                <w:bCs/>
                <w:sz w:val="20"/>
                <w:szCs w:val="20"/>
              </w:rPr>
            </w:pPr>
            <w:r w:rsidRPr="00D10C58">
              <w:rPr>
                <w:rFonts w:cs="Sylfaen"/>
                <w:b/>
                <w:sz w:val="20"/>
                <w:szCs w:val="20"/>
              </w:rPr>
              <w:t>փաստ</w:t>
            </w:r>
          </w:p>
        </w:tc>
        <w:tc>
          <w:tcPr>
            <w:tcW w:w="1204" w:type="dxa"/>
          </w:tcPr>
          <w:p w14:paraId="14BD98A7" w14:textId="77777777" w:rsidR="00D10C58" w:rsidRPr="00D10C58" w:rsidRDefault="00D10C58" w:rsidP="000546CD">
            <w:pPr>
              <w:spacing w:before="0" w:after="0" w:line="276" w:lineRule="auto"/>
              <w:ind w:firstLine="0"/>
              <w:jc w:val="center"/>
              <w:rPr>
                <w:rFonts w:cs="Arial"/>
                <w:b/>
                <w:bCs/>
                <w:sz w:val="20"/>
                <w:szCs w:val="20"/>
              </w:rPr>
            </w:pPr>
            <w:r w:rsidRPr="00D10C58">
              <w:rPr>
                <w:rFonts w:cs="Sylfaen"/>
                <w:b/>
                <w:sz w:val="20"/>
                <w:szCs w:val="20"/>
              </w:rPr>
              <w:t>փաստ</w:t>
            </w:r>
          </w:p>
        </w:tc>
        <w:tc>
          <w:tcPr>
            <w:tcW w:w="992" w:type="dxa"/>
          </w:tcPr>
          <w:p w14:paraId="4895FE22" w14:textId="77777777" w:rsidR="00D10C58" w:rsidRPr="00D10C58" w:rsidRDefault="00D10C58" w:rsidP="000546CD">
            <w:pPr>
              <w:spacing w:before="0" w:after="0" w:line="276" w:lineRule="auto"/>
              <w:ind w:firstLine="0"/>
              <w:jc w:val="center"/>
              <w:rPr>
                <w:rFonts w:cs="Arial"/>
                <w:b/>
                <w:bCs/>
                <w:sz w:val="20"/>
                <w:szCs w:val="20"/>
              </w:rPr>
            </w:pPr>
            <w:r w:rsidRPr="00D10C58">
              <w:rPr>
                <w:rFonts w:cs="Sylfaen"/>
                <w:b/>
                <w:sz w:val="20"/>
                <w:szCs w:val="20"/>
              </w:rPr>
              <w:t>փաստ</w:t>
            </w:r>
          </w:p>
        </w:tc>
        <w:tc>
          <w:tcPr>
            <w:tcW w:w="993" w:type="dxa"/>
            <w:shd w:val="clear" w:color="auto" w:fill="D9E2F3"/>
          </w:tcPr>
          <w:p w14:paraId="3D43326C" w14:textId="77777777" w:rsidR="00D10C58" w:rsidRPr="00D10C58" w:rsidRDefault="00D10C58" w:rsidP="000546CD">
            <w:pPr>
              <w:spacing w:before="0" w:after="0" w:line="276" w:lineRule="auto"/>
              <w:ind w:firstLine="0"/>
              <w:jc w:val="center"/>
              <w:rPr>
                <w:rFonts w:cs="Arial"/>
                <w:b/>
                <w:bCs/>
                <w:sz w:val="20"/>
                <w:szCs w:val="20"/>
              </w:rPr>
            </w:pPr>
            <w:r w:rsidRPr="00D10C58">
              <w:rPr>
                <w:rFonts w:cs="Sylfaen"/>
                <w:b/>
                <w:sz w:val="20"/>
                <w:szCs w:val="20"/>
              </w:rPr>
              <w:t>սպասում</w:t>
            </w:r>
          </w:p>
        </w:tc>
        <w:tc>
          <w:tcPr>
            <w:tcW w:w="992" w:type="dxa"/>
            <w:shd w:val="clear" w:color="auto" w:fill="D9E2F3"/>
          </w:tcPr>
          <w:p w14:paraId="55F22B6E" w14:textId="77777777" w:rsidR="00D10C58" w:rsidRPr="00D10C58" w:rsidRDefault="00D10C58" w:rsidP="000546CD">
            <w:pPr>
              <w:spacing w:before="0" w:after="0" w:line="276" w:lineRule="auto"/>
              <w:ind w:firstLine="0"/>
              <w:jc w:val="center"/>
              <w:rPr>
                <w:rFonts w:cs="Arial"/>
                <w:b/>
                <w:bCs/>
                <w:sz w:val="20"/>
                <w:szCs w:val="20"/>
              </w:rPr>
            </w:pPr>
            <w:r w:rsidRPr="00D10C58">
              <w:rPr>
                <w:b/>
                <w:sz w:val="20"/>
                <w:szCs w:val="20"/>
              </w:rPr>
              <w:t>ծրագիր</w:t>
            </w:r>
          </w:p>
        </w:tc>
        <w:tc>
          <w:tcPr>
            <w:tcW w:w="992" w:type="dxa"/>
            <w:shd w:val="clear" w:color="auto" w:fill="D9E2F3"/>
          </w:tcPr>
          <w:p w14:paraId="4678FEC4" w14:textId="77777777" w:rsidR="00D10C58" w:rsidRPr="00D10C58" w:rsidRDefault="00D10C58" w:rsidP="000546CD">
            <w:pPr>
              <w:spacing w:before="0" w:after="0" w:line="276" w:lineRule="auto"/>
              <w:ind w:firstLine="0"/>
              <w:jc w:val="center"/>
              <w:rPr>
                <w:rFonts w:cs="Arial"/>
                <w:b/>
                <w:bCs/>
                <w:sz w:val="20"/>
                <w:szCs w:val="20"/>
              </w:rPr>
            </w:pPr>
            <w:r w:rsidRPr="00D10C58">
              <w:rPr>
                <w:rFonts w:cs="Sylfaen"/>
                <w:b/>
                <w:sz w:val="20"/>
                <w:szCs w:val="20"/>
              </w:rPr>
              <w:t>կանխ</w:t>
            </w:r>
            <w:r w:rsidRPr="00D10C58">
              <w:rPr>
                <w:b/>
                <w:sz w:val="20"/>
                <w:szCs w:val="20"/>
              </w:rPr>
              <w:t>.</w:t>
            </w:r>
          </w:p>
        </w:tc>
        <w:tc>
          <w:tcPr>
            <w:tcW w:w="947" w:type="dxa"/>
            <w:shd w:val="clear" w:color="auto" w:fill="D9E2F3"/>
          </w:tcPr>
          <w:p w14:paraId="2AD27CF2" w14:textId="77777777" w:rsidR="00D10C58" w:rsidRPr="00D10C58" w:rsidRDefault="00D10C58" w:rsidP="000546CD">
            <w:pPr>
              <w:spacing w:before="0" w:after="0" w:line="276" w:lineRule="auto"/>
              <w:ind w:firstLine="0"/>
              <w:jc w:val="center"/>
              <w:rPr>
                <w:rFonts w:cs="Arial"/>
                <w:b/>
                <w:bCs/>
                <w:sz w:val="20"/>
                <w:szCs w:val="20"/>
              </w:rPr>
            </w:pPr>
            <w:r w:rsidRPr="00D10C58">
              <w:rPr>
                <w:rFonts w:cs="Sylfaen"/>
                <w:b/>
                <w:sz w:val="20"/>
                <w:szCs w:val="20"/>
              </w:rPr>
              <w:t>կանխ</w:t>
            </w:r>
            <w:r w:rsidRPr="00D10C58">
              <w:rPr>
                <w:b/>
                <w:sz w:val="20"/>
                <w:szCs w:val="20"/>
              </w:rPr>
              <w:t>.</w:t>
            </w:r>
          </w:p>
        </w:tc>
      </w:tr>
      <w:tr w:rsidR="00D10C58" w:rsidRPr="00D10C58" w14:paraId="0C823575" w14:textId="77777777" w:rsidTr="007D18FD">
        <w:trPr>
          <w:trHeight w:val="258"/>
        </w:trPr>
        <w:tc>
          <w:tcPr>
            <w:tcW w:w="3405" w:type="dxa"/>
            <w:noWrap/>
          </w:tcPr>
          <w:p w14:paraId="4D66D692" w14:textId="77777777" w:rsidR="00D10C58" w:rsidRPr="00D10C58" w:rsidRDefault="00D10C58" w:rsidP="000546CD">
            <w:pPr>
              <w:spacing w:before="0" w:after="0" w:line="276" w:lineRule="auto"/>
              <w:ind w:firstLine="0"/>
              <w:rPr>
                <w:rFonts w:cs="Sylfaen"/>
                <w:b/>
                <w:bCs/>
                <w:sz w:val="20"/>
                <w:szCs w:val="20"/>
              </w:rPr>
            </w:pPr>
            <w:r w:rsidRPr="00D10C58">
              <w:rPr>
                <w:rFonts w:cs="Sylfaen"/>
                <w:b/>
                <w:bCs/>
                <w:sz w:val="20"/>
                <w:szCs w:val="20"/>
              </w:rPr>
              <w:t>Անվանական ՀՆԱ, մլրդ դրամ</w:t>
            </w:r>
          </w:p>
        </w:tc>
        <w:tc>
          <w:tcPr>
            <w:tcW w:w="1170" w:type="dxa"/>
          </w:tcPr>
          <w:p w14:paraId="7D428922" w14:textId="77777777" w:rsidR="00D10C58" w:rsidRPr="00D10C58" w:rsidRDefault="00D10C58" w:rsidP="000546CD">
            <w:pPr>
              <w:spacing w:before="0" w:after="0" w:line="276" w:lineRule="auto"/>
              <w:ind w:firstLine="0"/>
              <w:jc w:val="center"/>
              <w:rPr>
                <w:rFonts w:cs="Arial"/>
                <w:b/>
                <w:bCs/>
                <w:sz w:val="18"/>
                <w:szCs w:val="18"/>
              </w:rPr>
            </w:pPr>
            <w:r w:rsidRPr="00D10C58">
              <w:rPr>
                <w:b/>
                <w:bCs/>
                <w:color w:val="000000"/>
                <w:sz w:val="18"/>
                <w:szCs w:val="18"/>
              </w:rPr>
              <w:t>5,564.5</w:t>
            </w:r>
          </w:p>
        </w:tc>
        <w:tc>
          <w:tcPr>
            <w:tcW w:w="1204" w:type="dxa"/>
          </w:tcPr>
          <w:p w14:paraId="7C93E558" w14:textId="77777777" w:rsidR="00D10C58" w:rsidRPr="00D10C58" w:rsidRDefault="00D10C58" w:rsidP="000546CD">
            <w:pPr>
              <w:spacing w:before="0" w:after="0" w:line="276" w:lineRule="auto"/>
              <w:ind w:firstLine="0"/>
              <w:jc w:val="center"/>
              <w:rPr>
                <w:rFonts w:cs="Arial"/>
                <w:b/>
                <w:bCs/>
                <w:sz w:val="18"/>
                <w:szCs w:val="18"/>
              </w:rPr>
            </w:pPr>
            <w:r w:rsidRPr="00D10C58">
              <w:rPr>
                <w:b/>
                <w:bCs/>
                <w:color w:val="000000"/>
                <w:sz w:val="18"/>
                <w:szCs w:val="18"/>
              </w:rPr>
              <w:t>6,017.0</w:t>
            </w:r>
          </w:p>
        </w:tc>
        <w:tc>
          <w:tcPr>
            <w:tcW w:w="992" w:type="dxa"/>
          </w:tcPr>
          <w:p w14:paraId="50D254E2" w14:textId="77777777" w:rsidR="00D10C58" w:rsidRPr="00D10C58" w:rsidRDefault="00D10C58" w:rsidP="000546CD">
            <w:pPr>
              <w:spacing w:before="0" w:after="0" w:line="276" w:lineRule="auto"/>
              <w:ind w:firstLine="0"/>
              <w:jc w:val="center"/>
              <w:rPr>
                <w:rFonts w:cs="Arial"/>
                <w:b/>
                <w:bCs/>
                <w:sz w:val="18"/>
                <w:szCs w:val="18"/>
              </w:rPr>
            </w:pPr>
            <w:r w:rsidRPr="00D10C58">
              <w:rPr>
                <w:b/>
                <w:bCs/>
                <w:color w:val="000000"/>
                <w:sz w:val="18"/>
                <w:szCs w:val="18"/>
              </w:rPr>
              <w:t>6,569.0</w:t>
            </w:r>
          </w:p>
        </w:tc>
        <w:tc>
          <w:tcPr>
            <w:tcW w:w="993" w:type="dxa"/>
            <w:shd w:val="clear" w:color="auto" w:fill="D9E2F3"/>
          </w:tcPr>
          <w:p w14:paraId="300F3BF1" w14:textId="77777777" w:rsidR="00D10C58" w:rsidRPr="00D10C58" w:rsidRDefault="00D10C58" w:rsidP="000546CD">
            <w:pPr>
              <w:spacing w:before="0" w:after="0" w:line="276" w:lineRule="auto"/>
              <w:ind w:firstLine="0"/>
              <w:jc w:val="center"/>
              <w:rPr>
                <w:rFonts w:cs="Arial"/>
                <w:b/>
                <w:bCs/>
                <w:sz w:val="18"/>
                <w:szCs w:val="18"/>
              </w:rPr>
            </w:pPr>
            <w:r w:rsidRPr="00D10C58">
              <w:rPr>
                <w:b/>
                <w:bCs/>
                <w:color w:val="000000"/>
                <w:sz w:val="18"/>
                <w:szCs w:val="18"/>
              </w:rPr>
              <w:t>6,505.1</w:t>
            </w:r>
          </w:p>
        </w:tc>
        <w:tc>
          <w:tcPr>
            <w:tcW w:w="992" w:type="dxa"/>
            <w:shd w:val="clear" w:color="auto" w:fill="D9E2F3"/>
          </w:tcPr>
          <w:p w14:paraId="537B5E39" w14:textId="77777777" w:rsidR="00D10C58" w:rsidRPr="00D10C58" w:rsidRDefault="00D10C58" w:rsidP="000546CD">
            <w:pPr>
              <w:spacing w:before="0" w:after="0" w:line="276" w:lineRule="auto"/>
              <w:ind w:firstLine="0"/>
              <w:jc w:val="center"/>
              <w:rPr>
                <w:rFonts w:cs="Arial"/>
                <w:b/>
                <w:bCs/>
                <w:sz w:val="18"/>
                <w:szCs w:val="18"/>
              </w:rPr>
            </w:pPr>
            <w:r w:rsidRPr="00D10C58">
              <w:rPr>
                <w:b/>
                <w:bCs/>
                <w:color w:val="000000"/>
                <w:sz w:val="18"/>
                <w:szCs w:val="18"/>
              </w:rPr>
              <w:t>7,143.0</w:t>
            </w:r>
          </w:p>
        </w:tc>
        <w:tc>
          <w:tcPr>
            <w:tcW w:w="992" w:type="dxa"/>
            <w:shd w:val="clear" w:color="auto" w:fill="D9E2F3"/>
          </w:tcPr>
          <w:p w14:paraId="3EDA8A19" w14:textId="77777777" w:rsidR="00D10C58" w:rsidRPr="00D10C58" w:rsidRDefault="00D10C58" w:rsidP="000546CD">
            <w:pPr>
              <w:spacing w:before="0" w:after="0" w:line="276" w:lineRule="auto"/>
              <w:ind w:firstLine="0"/>
              <w:jc w:val="center"/>
              <w:rPr>
                <w:rFonts w:cs="Arial"/>
                <w:b/>
                <w:bCs/>
                <w:sz w:val="18"/>
                <w:szCs w:val="18"/>
              </w:rPr>
            </w:pPr>
            <w:r w:rsidRPr="00D10C58">
              <w:rPr>
                <w:b/>
                <w:bCs/>
                <w:color w:val="000000"/>
                <w:sz w:val="18"/>
                <w:szCs w:val="18"/>
              </w:rPr>
              <w:t>7,853.5</w:t>
            </w:r>
          </w:p>
        </w:tc>
        <w:tc>
          <w:tcPr>
            <w:tcW w:w="947" w:type="dxa"/>
            <w:shd w:val="clear" w:color="auto" w:fill="D9E2F3"/>
          </w:tcPr>
          <w:p w14:paraId="60F0AF4E" w14:textId="77777777" w:rsidR="00D10C58" w:rsidRPr="00D10C58" w:rsidRDefault="00D10C58" w:rsidP="000546CD">
            <w:pPr>
              <w:spacing w:before="0" w:after="0" w:line="276" w:lineRule="auto"/>
              <w:ind w:firstLine="0"/>
              <w:jc w:val="center"/>
              <w:rPr>
                <w:rFonts w:cs="Arial"/>
                <w:b/>
                <w:bCs/>
                <w:sz w:val="18"/>
                <w:szCs w:val="18"/>
              </w:rPr>
            </w:pPr>
            <w:r w:rsidRPr="00D10C58">
              <w:rPr>
                <w:b/>
                <w:bCs/>
                <w:color w:val="000000"/>
                <w:sz w:val="18"/>
                <w:szCs w:val="18"/>
              </w:rPr>
              <w:t>8,582.5</w:t>
            </w:r>
          </w:p>
        </w:tc>
      </w:tr>
      <w:tr w:rsidR="00D10C58" w:rsidRPr="00D10C58" w14:paraId="585218BE" w14:textId="77777777" w:rsidTr="007D18FD">
        <w:trPr>
          <w:trHeight w:val="258"/>
        </w:trPr>
        <w:tc>
          <w:tcPr>
            <w:tcW w:w="3405" w:type="dxa"/>
            <w:noWrap/>
          </w:tcPr>
          <w:p w14:paraId="7A496F1D" w14:textId="77777777" w:rsidR="00D10C58" w:rsidRPr="00D10C58" w:rsidRDefault="00D10C58" w:rsidP="000546CD">
            <w:pPr>
              <w:spacing w:before="0" w:after="0" w:line="276" w:lineRule="auto"/>
              <w:ind w:left="284" w:firstLine="0"/>
              <w:rPr>
                <w:rFonts w:cs="Sylfaen"/>
                <w:sz w:val="20"/>
                <w:szCs w:val="20"/>
              </w:rPr>
            </w:pPr>
            <w:r w:rsidRPr="00D10C58">
              <w:rPr>
                <w:rFonts w:cs="Sylfaen"/>
                <w:sz w:val="20"/>
                <w:szCs w:val="20"/>
              </w:rPr>
              <w:t>Տնտեսական աճ, %</w:t>
            </w:r>
          </w:p>
        </w:tc>
        <w:tc>
          <w:tcPr>
            <w:tcW w:w="1170" w:type="dxa"/>
          </w:tcPr>
          <w:p w14:paraId="6E38B2C7" w14:textId="77777777" w:rsidR="00D10C58" w:rsidRPr="00D10C58" w:rsidRDefault="00D10C58" w:rsidP="000546CD">
            <w:pPr>
              <w:spacing w:before="0" w:after="0" w:line="276" w:lineRule="auto"/>
              <w:ind w:firstLine="0"/>
              <w:jc w:val="center"/>
              <w:rPr>
                <w:sz w:val="18"/>
                <w:szCs w:val="18"/>
              </w:rPr>
            </w:pPr>
            <w:r w:rsidRPr="00D10C58">
              <w:rPr>
                <w:sz w:val="18"/>
                <w:szCs w:val="18"/>
              </w:rPr>
              <w:t>7.5</w:t>
            </w:r>
          </w:p>
        </w:tc>
        <w:tc>
          <w:tcPr>
            <w:tcW w:w="1204" w:type="dxa"/>
          </w:tcPr>
          <w:p w14:paraId="102F7741" w14:textId="77777777" w:rsidR="00D10C58" w:rsidRPr="00D10C58" w:rsidRDefault="00D10C58" w:rsidP="000546CD">
            <w:pPr>
              <w:spacing w:before="0" w:after="0" w:line="276" w:lineRule="auto"/>
              <w:ind w:firstLine="0"/>
              <w:jc w:val="center"/>
              <w:rPr>
                <w:sz w:val="18"/>
                <w:szCs w:val="18"/>
              </w:rPr>
            </w:pPr>
            <w:r w:rsidRPr="00D10C58">
              <w:rPr>
                <w:sz w:val="18"/>
                <w:szCs w:val="18"/>
              </w:rPr>
              <w:t>5.2</w:t>
            </w:r>
          </w:p>
        </w:tc>
        <w:tc>
          <w:tcPr>
            <w:tcW w:w="992" w:type="dxa"/>
          </w:tcPr>
          <w:p w14:paraId="07FEAEF1" w14:textId="77777777" w:rsidR="00D10C58" w:rsidRPr="00D10C58" w:rsidRDefault="00D10C58" w:rsidP="000546CD">
            <w:pPr>
              <w:spacing w:before="0" w:after="0" w:line="276" w:lineRule="auto"/>
              <w:ind w:firstLine="0"/>
              <w:jc w:val="center"/>
              <w:rPr>
                <w:sz w:val="18"/>
                <w:szCs w:val="18"/>
              </w:rPr>
            </w:pPr>
            <w:r w:rsidRPr="00D10C58">
              <w:rPr>
                <w:sz w:val="18"/>
                <w:szCs w:val="18"/>
              </w:rPr>
              <w:t>7.6</w:t>
            </w:r>
          </w:p>
        </w:tc>
        <w:tc>
          <w:tcPr>
            <w:tcW w:w="993" w:type="dxa"/>
            <w:shd w:val="clear" w:color="auto" w:fill="D9E2F3"/>
          </w:tcPr>
          <w:p w14:paraId="5089FB1D" w14:textId="77777777" w:rsidR="00D10C58" w:rsidRPr="00D10C58" w:rsidRDefault="00D10C58" w:rsidP="000546CD">
            <w:pPr>
              <w:spacing w:before="0" w:after="0" w:line="276" w:lineRule="auto"/>
              <w:ind w:firstLine="0"/>
              <w:jc w:val="center"/>
              <w:rPr>
                <w:sz w:val="18"/>
                <w:szCs w:val="18"/>
              </w:rPr>
            </w:pPr>
            <w:r w:rsidRPr="00D10C58">
              <w:rPr>
                <w:sz w:val="18"/>
                <w:szCs w:val="18"/>
              </w:rPr>
              <w:t>-2.6</w:t>
            </w:r>
          </w:p>
        </w:tc>
        <w:tc>
          <w:tcPr>
            <w:tcW w:w="992" w:type="dxa"/>
            <w:shd w:val="clear" w:color="auto" w:fill="D9E2F3"/>
          </w:tcPr>
          <w:p w14:paraId="58735DC7" w14:textId="77777777" w:rsidR="00D10C58" w:rsidRPr="00D10C58" w:rsidRDefault="00D10C58" w:rsidP="000546CD">
            <w:pPr>
              <w:spacing w:before="0" w:after="0" w:line="276" w:lineRule="auto"/>
              <w:ind w:firstLine="0"/>
              <w:jc w:val="center"/>
              <w:rPr>
                <w:sz w:val="18"/>
                <w:szCs w:val="18"/>
              </w:rPr>
            </w:pPr>
            <w:r w:rsidRPr="00D10C58">
              <w:rPr>
                <w:sz w:val="18"/>
                <w:szCs w:val="18"/>
              </w:rPr>
              <w:t>7.0</w:t>
            </w:r>
          </w:p>
        </w:tc>
        <w:tc>
          <w:tcPr>
            <w:tcW w:w="992" w:type="dxa"/>
            <w:shd w:val="clear" w:color="auto" w:fill="D9E2F3"/>
          </w:tcPr>
          <w:p w14:paraId="5CE177C1" w14:textId="77777777" w:rsidR="00D10C58" w:rsidRPr="00D10C58" w:rsidRDefault="00D10C58" w:rsidP="000546CD">
            <w:pPr>
              <w:spacing w:before="0" w:after="0" w:line="276" w:lineRule="auto"/>
              <w:ind w:firstLine="0"/>
              <w:jc w:val="center"/>
              <w:rPr>
                <w:sz w:val="18"/>
                <w:szCs w:val="18"/>
              </w:rPr>
            </w:pPr>
            <w:r w:rsidRPr="00D10C58">
              <w:rPr>
                <w:sz w:val="18"/>
                <w:szCs w:val="18"/>
              </w:rPr>
              <w:t>6.4</w:t>
            </w:r>
          </w:p>
        </w:tc>
        <w:tc>
          <w:tcPr>
            <w:tcW w:w="947" w:type="dxa"/>
            <w:shd w:val="clear" w:color="auto" w:fill="D9E2F3"/>
          </w:tcPr>
          <w:p w14:paraId="50BC067F" w14:textId="77777777" w:rsidR="00D10C58" w:rsidRPr="00D10C58" w:rsidRDefault="00D10C58" w:rsidP="000546CD">
            <w:pPr>
              <w:spacing w:before="0" w:after="0" w:line="276" w:lineRule="auto"/>
              <w:ind w:firstLine="0"/>
              <w:jc w:val="center"/>
              <w:rPr>
                <w:sz w:val="18"/>
                <w:szCs w:val="18"/>
              </w:rPr>
            </w:pPr>
            <w:r w:rsidRPr="00D10C58">
              <w:rPr>
                <w:sz w:val="18"/>
                <w:szCs w:val="18"/>
              </w:rPr>
              <w:t>5.1</w:t>
            </w:r>
          </w:p>
        </w:tc>
      </w:tr>
      <w:tr w:rsidR="00D10C58" w:rsidRPr="00D10C58" w14:paraId="08C54847" w14:textId="77777777" w:rsidTr="007D18FD">
        <w:trPr>
          <w:trHeight w:val="268"/>
        </w:trPr>
        <w:tc>
          <w:tcPr>
            <w:tcW w:w="3405" w:type="dxa"/>
            <w:noWrap/>
          </w:tcPr>
          <w:p w14:paraId="608C0C5C" w14:textId="77777777" w:rsidR="00D10C58" w:rsidRPr="00D10C58" w:rsidRDefault="00D10C58" w:rsidP="000546CD">
            <w:pPr>
              <w:spacing w:before="0" w:after="0" w:line="276" w:lineRule="auto"/>
              <w:ind w:left="284" w:firstLine="0"/>
              <w:rPr>
                <w:rFonts w:cs="Sylfaen"/>
                <w:sz w:val="20"/>
                <w:szCs w:val="20"/>
              </w:rPr>
            </w:pPr>
            <w:r w:rsidRPr="00D10C58">
              <w:rPr>
                <w:rFonts w:cs="Sylfaen"/>
                <w:sz w:val="20"/>
                <w:szCs w:val="20"/>
              </w:rPr>
              <w:t>ՀՆԱ դեֆլյատորի աճ, %</w:t>
            </w:r>
          </w:p>
        </w:tc>
        <w:tc>
          <w:tcPr>
            <w:tcW w:w="1170" w:type="dxa"/>
          </w:tcPr>
          <w:p w14:paraId="77C30F5E" w14:textId="77777777" w:rsidR="00D10C58" w:rsidRPr="00D10C58" w:rsidRDefault="00D10C58" w:rsidP="000546CD">
            <w:pPr>
              <w:spacing w:before="0" w:after="0" w:line="276" w:lineRule="auto"/>
              <w:ind w:firstLine="0"/>
              <w:jc w:val="center"/>
              <w:rPr>
                <w:sz w:val="18"/>
                <w:szCs w:val="18"/>
              </w:rPr>
            </w:pPr>
            <w:r w:rsidRPr="00D10C58">
              <w:rPr>
                <w:sz w:val="18"/>
                <w:szCs w:val="18"/>
              </w:rPr>
              <w:t>2.1</w:t>
            </w:r>
          </w:p>
        </w:tc>
        <w:tc>
          <w:tcPr>
            <w:tcW w:w="1204" w:type="dxa"/>
          </w:tcPr>
          <w:p w14:paraId="11318336" w14:textId="77777777" w:rsidR="00D10C58" w:rsidRPr="00D10C58" w:rsidRDefault="00D10C58" w:rsidP="000546CD">
            <w:pPr>
              <w:spacing w:before="0" w:after="0" w:line="276" w:lineRule="auto"/>
              <w:ind w:firstLine="0"/>
              <w:jc w:val="center"/>
              <w:rPr>
                <w:sz w:val="18"/>
                <w:szCs w:val="18"/>
              </w:rPr>
            </w:pPr>
            <w:r w:rsidRPr="00D10C58">
              <w:rPr>
                <w:sz w:val="18"/>
                <w:szCs w:val="18"/>
              </w:rPr>
              <w:t>2.8</w:t>
            </w:r>
          </w:p>
        </w:tc>
        <w:tc>
          <w:tcPr>
            <w:tcW w:w="992" w:type="dxa"/>
          </w:tcPr>
          <w:p w14:paraId="33835E0C" w14:textId="77777777" w:rsidR="00D10C58" w:rsidRPr="00D10C58" w:rsidRDefault="00D10C58" w:rsidP="000546CD">
            <w:pPr>
              <w:spacing w:before="0" w:after="0" w:line="276" w:lineRule="auto"/>
              <w:ind w:firstLine="0"/>
              <w:jc w:val="center"/>
              <w:rPr>
                <w:sz w:val="18"/>
                <w:szCs w:val="18"/>
              </w:rPr>
            </w:pPr>
            <w:r w:rsidRPr="00D10C58">
              <w:rPr>
                <w:sz w:val="18"/>
                <w:szCs w:val="18"/>
              </w:rPr>
              <w:t>1.5</w:t>
            </w:r>
          </w:p>
        </w:tc>
        <w:tc>
          <w:tcPr>
            <w:tcW w:w="993" w:type="dxa"/>
            <w:shd w:val="clear" w:color="auto" w:fill="D9E2F3"/>
          </w:tcPr>
          <w:p w14:paraId="51BBCB60" w14:textId="77777777" w:rsidR="00D10C58" w:rsidRPr="00D10C58" w:rsidRDefault="00D10C58" w:rsidP="000546CD">
            <w:pPr>
              <w:spacing w:before="0" w:after="0" w:line="276" w:lineRule="auto"/>
              <w:ind w:firstLine="0"/>
              <w:jc w:val="center"/>
              <w:rPr>
                <w:sz w:val="18"/>
                <w:szCs w:val="18"/>
              </w:rPr>
            </w:pPr>
            <w:r w:rsidRPr="00D10C58">
              <w:rPr>
                <w:sz w:val="18"/>
                <w:szCs w:val="18"/>
              </w:rPr>
              <w:t>1.7</w:t>
            </w:r>
          </w:p>
        </w:tc>
        <w:tc>
          <w:tcPr>
            <w:tcW w:w="992" w:type="dxa"/>
            <w:shd w:val="clear" w:color="auto" w:fill="D9E2F3"/>
          </w:tcPr>
          <w:p w14:paraId="2C75F3A0" w14:textId="77777777" w:rsidR="00D10C58" w:rsidRPr="00D10C58" w:rsidRDefault="00D10C58" w:rsidP="000546CD">
            <w:pPr>
              <w:spacing w:before="0" w:after="0" w:line="276" w:lineRule="auto"/>
              <w:ind w:firstLine="0"/>
              <w:jc w:val="center"/>
              <w:rPr>
                <w:sz w:val="18"/>
                <w:szCs w:val="18"/>
              </w:rPr>
            </w:pPr>
            <w:r w:rsidRPr="00D10C58">
              <w:rPr>
                <w:sz w:val="18"/>
                <w:szCs w:val="18"/>
              </w:rPr>
              <w:t>2.7</w:t>
            </w:r>
          </w:p>
        </w:tc>
        <w:tc>
          <w:tcPr>
            <w:tcW w:w="992" w:type="dxa"/>
            <w:shd w:val="clear" w:color="auto" w:fill="D9E2F3"/>
          </w:tcPr>
          <w:p w14:paraId="440FFB1F" w14:textId="77777777" w:rsidR="00D10C58" w:rsidRPr="00D10C58" w:rsidRDefault="00D10C58" w:rsidP="000546CD">
            <w:pPr>
              <w:spacing w:before="0" w:after="0" w:line="276" w:lineRule="auto"/>
              <w:ind w:firstLine="0"/>
              <w:jc w:val="center"/>
              <w:rPr>
                <w:sz w:val="18"/>
                <w:szCs w:val="18"/>
              </w:rPr>
            </w:pPr>
            <w:r w:rsidRPr="00D10C58">
              <w:rPr>
                <w:sz w:val="18"/>
                <w:szCs w:val="18"/>
              </w:rPr>
              <w:t>3.4</w:t>
            </w:r>
          </w:p>
        </w:tc>
        <w:tc>
          <w:tcPr>
            <w:tcW w:w="947" w:type="dxa"/>
            <w:shd w:val="clear" w:color="auto" w:fill="D9E2F3"/>
          </w:tcPr>
          <w:p w14:paraId="34219E5E" w14:textId="77777777" w:rsidR="00D10C58" w:rsidRPr="00D10C58" w:rsidRDefault="00D10C58" w:rsidP="000546CD">
            <w:pPr>
              <w:spacing w:before="0" w:after="0" w:line="276" w:lineRule="auto"/>
              <w:ind w:firstLine="0"/>
              <w:jc w:val="center"/>
              <w:rPr>
                <w:sz w:val="18"/>
                <w:szCs w:val="18"/>
              </w:rPr>
            </w:pPr>
            <w:r w:rsidRPr="00D10C58">
              <w:rPr>
                <w:sz w:val="18"/>
                <w:szCs w:val="18"/>
              </w:rPr>
              <w:t>4.0</w:t>
            </w:r>
          </w:p>
        </w:tc>
      </w:tr>
      <w:tr w:rsidR="00D10C58" w:rsidRPr="00D10C58" w14:paraId="04075E37" w14:textId="77777777" w:rsidTr="007D18FD">
        <w:trPr>
          <w:trHeight w:val="258"/>
        </w:trPr>
        <w:tc>
          <w:tcPr>
            <w:tcW w:w="3405" w:type="dxa"/>
            <w:noWrap/>
          </w:tcPr>
          <w:p w14:paraId="13729440"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Գնաճ (ժամանակաշրջանի վերջ)</w:t>
            </w:r>
            <w:r w:rsidRPr="00D10C58">
              <w:rPr>
                <w:rFonts w:cs="Sylfaen"/>
                <w:sz w:val="20"/>
                <w:szCs w:val="20"/>
                <w:lang w:val="ru-RU"/>
              </w:rPr>
              <w:t>,</w:t>
            </w:r>
            <w:r w:rsidRPr="00D10C58">
              <w:rPr>
                <w:rFonts w:cs="Sylfaen"/>
                <w:sz w:val="20"/>
                <w:szCs w:val="20"/>
              </w:rPr>
              <w:t xml:space="preserve"> %</w:t>
            </w:r>
          </w:p>
        </w:tc>
        <w:tc>
          <w:tcPr>
            <w:tcW w:w="1170" w:type="dxa"/>
          </w:tcPr>
          <w:p w14:paraId="2DAE2787"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2.6</w:t>
            </w:r>
          </w:p>
        </w:tc>
        <w:tc>
          <w:tcPr>
            <w:tcW w:w="1204" w:type="dxa"/>
          </w:tcPr>
          <w:p w14:paraId="0D2F3C70"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1.8</w:t>
            </w:r>
          </w:p>
        </w:tc>
        <w:tc>
          <w:tcPr>
            <w:tcW w:w="992" w:type="dxa"/>
          </w:tcPr>
          <w:p w14:paraId="682E58B8"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0.7</w:t>
            </w:r>
          </w:p>
        </w:tc>
        <w:tc>
          <w:tcPr>
            <w:tcW w:w="993" w:type="dxa"/>
            <w:shd w:val="clear" w:color="auto" w:fill="D9E2F3"/>
          </w:tcPr>
          <w:p w14:paraId="550E8859"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1.4</w:t>
            </w:r>
          </w:p>
        </w:tc>
        <w:tc>
          <w:tcPr>
            <w:tcW w:w="992" w:type="dxa"/>
            <w:shd w:val="clear" w:color="auto" w:fill="D9E2F3"/>
          </w:tcPr>
          <w:p w14:paraId="2991A1B0"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3.2</w:t>
            </w:r>
          </w:p>
        </w:tc>
        <w:tc>
          <w:tcPr>
            <w:tcW w:w="992" w:type="dxa"/>
            <w:shd w:val="clear" w:color="auto" w:fill="D9E2F3"/>
          </w:tcPr>
          <w:p w14:paraId="52F4B13B"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3.5</w:t>
            </w:r>
          </w:p>
        </w:tc>
        <w:tc>
          <w:tcPr>
            <w:tcW w:w="947" w:type="dxa"/>
            <w:shd w:val="clear" w:color="auto" w:fill="D9E2F3"/>
          </w:tcPr>
          <w:p w14:paraId="10400B8A"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3.9</w:t>
            </w:r>
          </w:p>
        </w:tc>
      </w:tr>
      <w:tr w:rsidR="00D10C58" w:rsidRPr="00D10C58" w14:paraId="634F91A2" w14:textId="77777777" w:rsidTr="007D18FD">
        <w:trPr>
          <w:trHeight w:val="265"/>
        </w:trPr>
        <w:tc>
          <w:tcPr>
            <w:tcW w:w="3405" w:type="dxa"/>
          </w:tcPr>
          <w:p w14:paraId="29B6167C"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Գնաճ (միջին), %</w:t>
            </w:r>
          </w:p>
        </w:tc>
        <w:tc>
          <w:tcPr>
            <w:tcW w:w="1170" w:type="dxa"/>
          </w:tcPr>
          <w:p w14:paraId="498956DB"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1.0</w:t>
            </w:r>
          </w:p>
        </w:tc>
        <w:tc>
          <w:tcPr>
            <w:tcW w:w="1204" w:type="dxa"/>
          </w:tcPr>
          <w:p w14:paraId="34D5F829"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2.5</w:t>
            </w:r>
          </w:p>
        </w:tc>
        <w:tc>
          <w:tcPr>
            <w:tcW w:w="992" w:type="dxa"/>
          </w:tcPr>
          <w:p w14:paraId="0F9E0641"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1.4</w:t>
            </w:r>
          </w:p>
        </w:tc>
        <w:tc>
          <w:tcPr>
            <w:tcW w:w="993" w:type="dxa"/>
            <w:shd w:val="clear" w:color="auto" w:fill="D9E2F3"/>
          </w:tcPr>
          <w:p w14:paraId="3C62986C"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1.0</w:t>
            </w:r>
          </w:p>
        </w:tc>
        <w:tc>
          <w:tcPr>
            <w:tcW w:w="992" w:type="dxa"/>
            <w:shd w:val="clear" w:color="auto" w:fill="D9E2F3"/>
          </w:tcPr>
          <w:p w14:paraId="2D7E328A"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2.8</w:t>
            </w:r>
          </w:p>
        </w:tc>
        <w:tc>
          <w:tcPr>
            <w:tcW w:w="992" w:type="dxa"/>
            <w:shd w:val="clear" w:color="auto" w:fill="D9E2F3"/>
          </w:tcPr>
          <w:p w14:paraId="5D65A0A9"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3.5</w:t>
            </w:r>
          </w:p>
        </w:tc>
        <w:tc>
          <w:tcPr>
            <w:tcW w:w="947" w:type="dxa"/>
            <w:shd w:val="clear" w:color="auto" w:fill="D9E2F3"/>
          </w:tcPr>
          <w:p w14:paraId="1ED16D01" w14:textId="77777777" w:rsidR="00D10C58" w:rsidRPr="00D10C58" w:rsidRDefault="00D10C58" w:rsidP="000546CD">
            <w:pPr>
              <w:spacing w:before="0" w:after="0" w:line="276" w:lineRule="auto"/>
              <w:ind w:firstLine="0"/>
              <w:jc w:val="center"/>
              <w:rPr>
                <w:rFonts w:cs="Arial"/>
                <w:bCs/>
                <w:sz w:val="18"/>
                <w:szCs w:val="18"/>
              </w:rPr>
            </w:pPr>
            <w:r w:rsidRPr="00D10C58">
              <w:rPr>
                <w:rFonts w:cs="Arial"/>
                <w:bCs/>
                <w:sz w:val="18"/>
                <w:szCs w:val="18"/>
              </w:rPr>
              <w:t>3.9</w:t>
            </w:r>
          </w:p>
        </w:tc>
      </w:tr>
      <w:tr w:rsidR="00D10C58" w:rsidRPr="00D10C58" w14:paraId="637373BE" w14:textId="77777777" w:rsidTr="00B62713">
        <w:trPr>
          <w:trHeight w:val="258"/>
        </w:trPr>
        <w:tc>
          <w:tcPr>
            <w:tcW w:w="10695" w:type="dxa"/>
            <w:gridSpan w:val="8"/>
            <w:shd w:val="clear" w:color="auto" w:fill="auto"/>
            <w:noWrap/>
          </w:tcPr>
          <w:p w14:paraId="7E92DE9F" w14:textId="77777777" w:rsidR="00D10C58" w:rsidRPr="00D10C58" w:rsidRDefault="00D10C58" w:rsidP="000546CD">
            <w:pPr>
              <w:spacing w:before="0" w:after="0" w:line="276" w:lineRule="auto"/>
              <w:ind w:firstLine="0"/>
              <w:jc w:val="left"/>
              <w:rPr>
                <w:rFonts w:cs="Arial"/>
                <w:bCs/>
                <w:sz w:val="18"/>
                <w:szCs w:val="18"/>
              </w:rPr>
            </w:pPr>
            <w:r w:rsidRPr="00D10C58">
              <w:rPr>
                <w:rFonts w:cs="Sylfaen"/>
                <w:b/>
                <w:sz w:val="18"/>
                <w:szCs w:val="18"/>
                <w:u w:val="single"/>
              </w:rPr>
              <w:t>ՀՆԱ իրական աճն ըստ ճյուղերի ավելացված արժեքների, %</w:t>
            </w:r>
          </w:p>
        </w:tc>
      </w:tr>
      <w:tr w:rsidR="00D10C58" w:rsidRPr="00D10C58" w14:paraId="63881EB1" w14:textId="77777777" w:rsidTr="007D18FD">
        <w:trPr>
          <w:trHeight w:val="258"/>
        </w:trPr>
        <w:tc>
          <w:tcPr>
            <w:tcW w:w="3405" w:type="dxa"/>
            <w:noWrap/>
          </w:tcPr>
          <w:p w14:paraId="5F2C3523" w14:textId="77777777" w:rsidR="00D10C58" w:rsidRPr="00D10C58" w:rsidRDefault="00D10C58" w:rsidP="000546CD">
            <w:pPr>
              <w:spacing w:before="0" w:after="0" w:line="276" w:lineRule="auto"/>
              <w:ind w:firstLineChars="100" w:firstLine="200"/>
              <w:rPr>
                <w:rFonts w:cs="Sylfaen"/>
                <w:sz w:val="20"/>
                <w:szCs w:val="20"/>
              </w:rPr>
            </w:pPr>
            <w:r w:rsidRPr="00D10C58">
              <w:rPr>
                <w:rFonts w:cs="Sylfaen"/>
                <w:sz w:val="20"/>
                <w:szCs w:val="20"/>
              </w:rPr>
              <w:t>Արդյունաբերություն</w:t>
            </w:r>
          </w:p>
        </w:tc>
        <w:tc>
          <w:tcPr>
            <w:tcW w:w="1170" w:type="dxa"/>
          </w:tcPr>
          <w:p w14:paraId="3DFF55E2"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11.8</w:t>
            </w:r>
          </w:p>
        </w:tc>
        <w:tc>
          <w:tcPr>
            <w:tcW w:w="1204" w:type="dxa"/>
          </w:tcPr>
          <w:p w14:paraId="078E9499"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4.9</w:t>
            </w:r>
          </w:p>
        </w:tc>
        <w:tc>
          <w:tcPr>
            <w:tcW w:w="992" w:type="dxa"/>
          </w:tcPr>
          <w:p w14:paraId="03E76EBA"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8.3</w:t>
            </w:r>
          </w:p>
        </w:tc>
        <w:tc>
          <w:tcPr>
            <w:tcW w:w="993" w:type="dxa"/>
            <w:shd w:val="clear" w:color="auto" w:fill="D9E2F3"/>
          </w:tcPr>
          <w:p w14:paraId="608F9170"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-5.0</w:t>
            </w:r>
          </w:p>
        </w:tc>
        <w:tc>
          <w:tcPr>
            <w:tcW w:w="992" w:type="dxa"/>
            <w:shd w:val="clear" w:color="auto" w:fill="D9E2F3"/>
          </w:tcPr>
          <w:p w14:paraId="7ECB548B"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10.5</w:t>
            </w:r>
          </w:p>
        </w:tc>
        <w:tc>
          <w:tcPr>
            <w:tcW w:w="992" w:type="dxa"/>
            <w:shd w:val="clear" w:color="auto" w:fill="D9E2F3"/>
          </w:tcPr>
          <w:p w14:paraId="5977570C"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9.0</w:t>
            </w:r>
          </w:p>
        </w:tc>
        <w:tc>
          <w:tcPr>
            <w:tcW w:w="947" w:type="dxa"/>
            <w:shd w:val="clear" w:color="auto" w:fill="D9E2F3"/>
          </w:tcPr>
          <w:p w14:paraId="52535F9E"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5.1</w:t>
            </w:r>
          </w:p>
        </w:tc>
      </w:tr>
      <w:tr w:rsidR="00D10C58" w:rsidRPr="00D10C58" w14:paraId="748D1AB4" w14:textId="77777777" w:rsidTr="007D18FD">
        <w:trPr>
          <w:trHeight w:val="258"/>
        </w:trPr>
        <w:tc>
          <w:tcPr>
            <w:tcW w:w="3405" w:type="dxa"/>
          </w:tcPr>
          <w:p w14:paraId="780E5486" w14:textId="77777777" w:rsidR="00D10C58" w:rsidRPr="00D10C58" w:rsidRDefault="00D10C58" w:rsidP="000546CD">
            <w:pPr>
              <w:spacing w:before="0" w:after="0" w:line="276" w:lineRule="auto"/>
              <w:ind w:firstLineChars="100" w:firstLine="200"/>
              <w:rPr>
                <w:rFonts w:cs="Sylfaen"/>
                <w:sz w:val="20"/>
                <w:szCs w:val="20"/>
              </w:rPr>
            </w:pPr>
            <w:r w:rsidRPr="00D10C58">
              <w:rPr>
                <w:rFonts w:cs="Sylfaen"/>
                <w:sz w:val="20"/>
                <w:szCs w:val="20"/>
              </w:rPr>
              <w:t xml:space="preserve">Գյուղատնտեսություն </w:t>
            </w:r>
          </w:p>
        </w:tc>
        <w:tc>
          <w:tcPr>
            <w:tcW w:w="1170" w:type="dxa"/>
          </w:tcPr>
          <w:p w14:paraId="58CD8BEB"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-5.1</w:t>
            </w:r>
          </w:p>
        </w:tc>
        <w:tc>
          <w:tcPr>
            <w:tcW w:w="1204" w:type="dxa"/>
          </w:tcPr>
          <w:p w14:paraId="607D9E4C"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-6.9</w:t>
            </w:r>
          </w:p>
        </w:tc>
        <w:tc>
          <w:tcPr>
            <w:tcW w:w="992" w:type="dxa"/>
          </w:tcPr>
          <w:p w14:paraId="4E2EA0FA"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-2.6</w:t>
            </w:r>
          </w:p>
        </w:tc>
        <w:tc>
          <w:tcPr>
            <w:tcW w:w="993" w:type="dxa"/>
            <w:shd w:val="clear" w:color="auto" w:fill="D9E2F3"/>
          </w:tcPr>
          <w:p w14:paraId="6DE268B7"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0.0</w:t>
            </w:r>
          </w:p>
        </w:tc>
        <w:tc>
          <w:tcPr>
            <w:tcW w:w="992" w:type="dxa"/>
            <w:shd w:val="clear" w:color="auto" w:fill="D9E2F3"/>
          </w:tcPr>
          <w:p w14:paraId="21D822C7"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2.0</w:t>
            </w:r>
          </w:p>
        </w:tc>
        <w:tc>
          <w:tcPr>
            <w:tcW w:w="992" w:type="dxa"/>
            <w:shd w:val="clear" w:color="auto" w:fill="D9E2F3"/>
          </w:tcPr>
          <w:p w14:paraId="7BBAEE27"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2.5</w:t>
            </w:r>
          </w:p>
        </w:tc>
        <w:tc>
          <w:tcPr>
            <w:tcW w:w="947" w:type="dxa"/>
            <w:shd w:val="clear" w:color="auto" w:fill="D9E2F3"/>
          </w:tcPr>
          <w:p w14:paraId="4D4F4168"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3.0</w:t>
            </w:r>
          </w:p>
        </w:tc>
      </w:tr>
      <w:tr w:rsidR="00D10C58" w:rsidRPr="00D10C58" w14:paraId="2A2D593E" w14:textId="77777777" w:rsidTr="007D18FD">
        <w:trPr>
          <w:trHeight w:val="258"/>
        </w:trPr>
        <w:tc>
          <w:tcPr>
            <w:tcW w:w="3405" w:type="dxa"/>
            <w:noWrap/>
          </w:tcPr>
          <w:p w14:paraId="6446691E" w14:textId="77777777" w:rsidR="00D10C58" w:rsidRPr="00D10C58" w:rsidRDefault="00D10C58" w:rsidP="000546CD">
            <w:pPr>
              <w:spacing w:before="0" w:after="0" w:line="276" w:lineRule="auto"/>
              <w:ind w:firstLineChars="100" w:firstLine="200"/>
              <w:rPr>
                <w:rFonts w:cs="Sylfaen"/>
                <w:sz w:val="20"/>
                <w:szCs w:val="20"/>
              </w:rPr>
            </w:pPr>
            <w:r w:rsidRPr="00D10C58">
              <w:rPr>
                <w:rFonts w:cs="Sylfaen"/>
                <w:sz w:val="20"/>
                <w:szCs w:val="20"/>
              </w:rPr>
              <w:t xml:space="preserve">Շինարարություն </w:t>
            </w:r>
          </w:p>
        </w:tc>
        <w:tc>
          <w:tcPr>
            <w:tcW w:w="1170" w:type="dxa"/>
          </w:tcPr>
          <w:p w14:paraId="7C3B9C4E"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2.8</w:t>
            </w:r>
          </w:p>
        </w:tc>
        <w:tc>
          <w:tcPr>
            <w:tcW w:w="1204" w:type="dxa"/>
          </w:tcPr>
          <w:p w14:paraId="15E85892"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0.6</w:t>
            </w:r>
          </w:p>
        </w:tc>
        <w:tc>
          <w:tcPr>
            <w:tcW w:w="992" w:type="dxa"/>
          </w:tcPr>
          <w:p w14:paraId="0D9A92D0"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3.7</w:t>
            </w:r>
          </w:p>
        </w:tc>
        <w:tc>
          <w:tcPr>
            <w:tcW w:w="993" w:type="dxa"/>
            <w:shd w:val="clear" w:color="auto" w:fill="D9E2F3"/>
          </w:tcPr>
          <w:p w14:paraId="7DFEEAC2"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1.0</w:t>
            </w:r>
          </w:p>
        </w:tc>
        <w:tc>
          <w:tcPr>
            <w:tcW w:w="992" w:type="dxa"/>
            <w:shd w:val="clear" w:color="auto" w:fill="D9E2F3"/>
          </w:tcPr>
          <w:p w14:paraId="37811355"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4.0</w:t>
            </w:r>
          </w:p>
        </w:tc>
        <w:tc>
          <w:tcPr>
            <w:tcW w:w="992" w:type="dxa"/>
            <w:shd w:val="clear" w:color="auto" w:fill="D9E2F3"/>
          </w:tcPr>
          <w:p w14:paraId="6DCF6B48"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4.0</w:t>
            </w:r>
          </w:p>
        </w:tc>
        <w:tc>
          <w:tcPr>
            <w:tcW w:w="947" w:type="dxa"/>
            <w:shd w:val="clear" w:color="auto" w:fill="D9E2F3"/>
          </w:tcPr>
          <w:p w14:paraId="4953AD54"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4.5</w:t>
            </w:r>
          </w:p>
        </w:tc>
      </w:tr>
      <w:tr w:rsidR="00D10C58" w:rsidRPr="00D10C58" w14:paraId="50985A44" w14:textId="77777777" w:rsidTr="007D18FD">
        <w:trPr>
          <w:trHeight w:val="258"/>
        </w:trPr>
        <w:tc>
          <w:tcPr>
            <w:tcW w:w="3405" w:type="dxa"/>
            <w:noWrap/>
          </w:tcPr>
          <w:p w14:paraId="28C55E51" w14:textId="77777777" w:rsidR="00D10C58" w:rsidRPr="00D10C58" w:rsidRDefault="00D10C58" w:rsidP="000546CD">
            <w:pPr>
              <w:spacing w:before="0" w:after="0" w:line="276" w:lineRule="auto"/>
              <w:ind w:firstLineChars="100" w:firstLine="200"/>
              <w:rPr>
                <w:rFonts w:cs="Sylfaen"/>
                <w:sz w:val="20"/>
                <w:szCs w:val="20"/>
              </w:rPr>
            </w:pPr>
            <w:r w:rsidRPr="00D10C58">
              <w:rPr>
                <w:rFonts w:cs="Sylfaen"/>
                <w:sz w:val="20"/>
                <w:szCs w:val="20"/>
              </w:rPr>
              <w:t>Ծառայություններ</w:t>
            </w:r>
          </w:p>
        </w:tc>
        <w:tc>
          <w:tcPr>
            <w:tcW w:w="1170" w:type="dxa"/>
          </w:tcPr>
          <w:p w14:paraId="36C00525"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10.6</w:t>
            </w:r>
          </w:p>
        </w:tc>
        <w:tc>
          <w:tcPr>
            <w:tcW w:w="1204" w:type="dxa"/>
          </w:tcPr>
          <w:p w14:paraId="7F922D5C"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9.1</w:t>
            </w:r>
          </w:p>
        </w:tc>
        <w:tc>
          <w:tcPr>
            <w:tcW w:w="992" w:type="dxa"/>
          </w:tcPr>
          <w:p w14:paraId="25E32938"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10.7</w:t>
            </w:r>
          </w:p>
        </w:tc>
        <w:tc>
          <w:tcPr>
            <w:tcW w:w="993" w:type="dxa"/>
            <w:shd w:val="clear" w:color="auto" w:fill="D9E2F3"/>
          </w:tcPr>
          <w:p w14:paraId="16B11A7E"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-2.1</w:t>
            </w:r>
          </w:p>
        </w:tc>
        <w:tc>
          <w:tcPr>
            <w:tcW w:w="992" w:type="dxa"/>
            <w:shd w:val="clear" w:color="auto" w:fill="D9E2F3"/>
          </w:tcPr>
          <w:p w14:paraId="235222C0"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7.1</w:t>
            </w:r>
          </w:p>
        </w:tc>
        <w:tc>
          <w:tcPr>
            <w:tcW w:w="992" w:type="dxa"/>
            <w:shd w:val="clear" w:color="auto" w:fill="D9E2F3"/>
          </w:tcPr>
          <w:p w14:paraId="210BE476"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6.5</w:t>
            </w:r>
          </w:p>
        </w:tc>
        <w:tc>
          <w:tcPr>
            <w:tcW w:w="947" w:type="dxa"/>
            <w:shd w:val="clear" w:color="auto" w:fill="D9E2F3"/>
          </w:tcPr>
          <w:p w14:paraId="60484BFF"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5.6</w:t>
            </w:r>
          </w:p>
        </w:tc>
      </w:tr>
      <w:tr w:rsidR="00D10C58" w:rsidRPr="00D10C58" w14:paraId="2AB02BCB" w14:textId="77777777" w:rsidTr="007D18FD">
        <w:trPr>
          <w:trHeight w:val="258"/>
        </w:trPr>
        <w:tc>
          <w:tcPr>
            <w:tcW w:w="3405" w:type="dxa"/>
            <w:noWrap/>
          </w:tcPr>
          <w:p w14:paraId="7FCBBA5E" w14:textId="77777777" w:rsidR="00D10C58" w:rsidRPr="00D10C58" w:rsidRDefault="00D10C58" w:rsidP="000546CD">
            <w:pPr>
              <w:spacing w:before="0" w:after="0" w:line="276" w:lineRule="auto"/>
              <w:ind w:firstLineChars="100" w:firstLine="200"/>
              <w:rPr>
                <w:rFonts w:cs="Sylfaen"/>
                <w:sz w:val="20"/>
                <w:szCs w:val="20"/>
              </w:rPr>
            </w:pPr>
            <w:r w:rsidRPr="00D10C58">
              <w:rPr>
                <w:rFonts w:cs="Sylfaen"/>
                <w:sz w:val="20"/>
                <w:szCs w:val="20"/>
              </w:rPr>
              <w:t>Զուտ հարկեր</w:t>
            </w:r>
          </w:p>
        </w:tc>
        <w:tc>
          <w:tcPr>
            <w:tcW w:w="1170" w:type="dxa"/>
          </w:tcPr>
          <w:p w14:paraId="45B995EB"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9.7</w:t>
            </w:r>
          </w:p>
        </w:tc>
        <w:tc>
          <w:tcPr>
            <w:tcW w:w="1204" w:type="dxa"/>
          </w:tcPr>
          <w:p w14:paraId="7BB93641"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8.0</w:t>
            </w:r>
          </w:p>
        </w:tc>
        <w:tc>
          <w:tcPr>
            <w:tcW w:w="992" w:type="dxa"/>
          </w:tcPr>
          <w:p w14:paraId="0B634C4F"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7.1</w:t>
            </w:r>
          </w:p>
        </w:tc>
        <w:tc>
          <w:tcPr>
            <w:tcW w:w="993" w:type="dxa"/>
            <w:shd w:val="clear" w:color="auto" w:fill="D9E2F3"/>
          </w:tcPr>
          <w:p w14:paraId="7B732D5D"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-5.7</w:t>
            </w:r>
          </w:p>
        </w:tc>
        <w:tc>
          <w:tcPr>
            <w:tcW w:w="992" w:type="dxa"/>
            <w:shd w:val="clear" w:color="auto" w:fill="D9E2F3"/>
          </w:tcPr>
          <w:p w14:paraId="0CA0519C"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7.5</w:t>
            </w:r>
          </w:p>
        </w:tc>
        <w:tc>
          <w:tcPr>
            <w:tcW w:w="992" w:type="dxa"/>
            <w:shd w:val="clear" w:color="auto" w:fill="D9E2F3"/>
          </w:tcPr>
          <w:p w14:paraId="7D6774DB"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6.5</w:t>
            </w:r>
          </w:p>
        </w:tc>
        <w:tc>
          <w:tcPr>
            <w:tcW w:w="947" w:type="dxa"/>
            <w:shd w:val="clear" w:color="auto" w:fill="D9E2F3"/>
          </w:tcPr>
          <w:p w14:paraId="04FAF5B1"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5.0</w:t>
            </w:r>
          </w:p>
        </w:tc>
      </w:tr>
      <w:tr w:rsidR="00D10C58" w:rsidRPr="00D10C58" w14:paraId="0C0DE3FE" w14:textId="77777777" w:rsidTr="00B62713">
        <w:trPr>
          <w:trHeight w:val="258"/>
        </w:trPr>
        <w:tc>
          <w:tcPr>
            <w:tcW w:w="10695" w:type="dxa"/>
            <w:gridSpan w:val="8"/>
            <w:shd w:val="clear" w:color="auto" w:fill="auto"/>
            <w:noWrap/>
          </w:tcPr>
          <w:p w14:paraId="438CCFD5" w14:textId="77777777" w:rsidR="00D10C58" w:rsidRPr="00D10C58" w:rsidRDefault="00D10C58" w:rsidP="000546CD">
            <w:pPr>
              <w:spacing w:before="0" w:after="0" w:line="276" w:lineRule="auto"/>
              <w:ind w:firstLine="0"/>
              <w:jc w:val="left"/>
              <w:rPr>
                <w:rFonts w:cs="Arial"/>
                <w:bCs/>
                <w:sz w:val="18"/>
                <w:szCs w:val="18"/>
                <w:highlight w:val="yellow"/>
              </w:rPr>
            </w:pPr>
            <w:r w:rsidRPr="00D10C58">
              <w:rPr>
                <w:rFonts w:cs="Sylfaen"/>
                <w:b/>
                <w:sz w:val="18"/>
                <w:szCs w:val="18"/>
                <w:u w:val="single"/>
              </w:rPr>
              <w:t>ՀՆԱ ծախսային բաղադրիչների իրական աճերը, %</w:t>
            </w:r>
          </w:p>
        </w:tc>
      </w:tr>
      <w:tr w:rsidR="00D10C58" w:rsidRPr="00D10C58" w14:paraId="56EDDF66" w14:textId="77777777" w:rsidTr="007D18FD">
        <w:trPr>
          <w:trHeight w:val="258"/>
        </w:trPr>
        <w:tc>
          <w:tcPr>
            <w:tcW w:w="3405" w:type="dxa"/>
          </w:tcPr>
          <w:p w14:paraId="0BF030F0"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Վերջնական սպառում</w:t>
            </w:r>
          </w:p>
        </w:tc>
        <w:tc>
          <w:tcPr>
            <w:tcW w:w="1170" w:type="dxa"/>
          </w:tcPr>
          <w:p w14:paraId="18921A5E"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10.5</w:t>
            </w:r>
          </w:p>
        </w:tc>
        <w:tc>
          <w:tcPr>
            <w:tcW w:w="1204" w:type="dxa"/>
          </w:tcPr>
          <w:p w14:paraId="380A3DF3"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6.0</w:t>
            </w:r>
          </w:p>
        </w:tc>
        <w:tc>
          <w:tcPr>
            <w:tcW w:w="992" w:type="dxa"/>
          </w:tcPr>
          <w:p w14:paraId="7BF756C9"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10.6</w:t>
            </w:r>
          </w:p>
        </w:tc>
        <w:tc>
          <w:tcPr>
            <w:tcW w:w="993" w:type="dxa"/>
            <w:shd w:val="clear" w:color="auto" w:fill="D9E2F3"/>
          </w:tcPr>
          <w:p w14:paraId="5AC9501C"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-0.5</w:t>
            </w:r>
          </w:p>
        </w:tc>
        <w:tc>
          <w:tcPr>
            <w:tcW w:w="992" w:type="dxa"/>
            <w:shd w:val="clear" w:color="auto" w:fill="D9E2F3"/>
          </w:tcPr>
          <w:p w14:paraId="78131C02"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5.3</w:t>
            </w:r>
          </w:p>
        </w:tc>
        <w:tc>
          <w:tcPr>
            <w:tcW w:w="992" w:type="dxa"/>
            <w:shd w:val="clear" w:color="auto" w:fill="D9E2F3"/>
          </w:tcPr>
          <w:p w14:paraId="102670C4"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4.9</w:t>
            </w:r>
          </w:p>
        </w:tc>
        <w:tc>
          <w:tcPr>
            <w:tcW w:w="947" w:type="dxa"/>
            <w:shd w:val="clear" w:color="auto" w:fill="D9E2F3"/>
          </w:tcPr>
          <w:p w14:paraId="2DC0C261"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4.4</w:t>
            </w:r>
          </w:p>
        </w:tc>
      </w:tr>
      <w:tr w:rsidR="00D10C58" w:rsidRPr="00D10C58" w14:paraId="034298EC" w14:textId="77777777" w:rsidTr="007D18FD">
        <w:trPr>
          <w:trHeight w:val="258"/>
        </w:trPr>
        <w:tc>
          <w:tcPr>
            <w:tcW w:w="3405" w:type="dxa"/>
          </w:tcPr>
          <w:p w14:paraId="7EA035ED" w14:textId="77777777" w:rsidR="00D10C58" w:rsidRPr="00D10C58" w:rsidRDefault="00D10C58" w:rsidP="000546CD">
            <w:pPr>
              <w:spacing w:before="0" w:after="0" w:line="276" w:lineRule="auto"/>
              <w:ind w:left="309" w:firstLine="0"/>
              <w:rPr>
                <w:rFonts w:cs="Sylfaen"/>
                <w:sz w:val="20"/>
                <w:szCs w:val="20"/>
              </w:rPr>
            </w:pPr>
            <w:r w:rsidRPr="00D10C58">
              <w:rPr>
                <w:rFonts w:cs="Sylfaen"/>
                <w:sz w:val="20"/>
                <w:szCs w:val="20"/>
              </w:rPr>
              <w:t>Պետական</w:t>
            </w:r>
          </w:p>
        </w:tc>
        <w:tc>
          <w:tcPr>
            <w:tcW w:w="1170" w:type="dxa"/>
          </w:tcPr>
          <w:p w14:paraId="6341B830"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-2.1</w:t>
            </w:r>
          </w:p>
        </w:tc>
        <w:tc>
          <w:tcPr>
            <w:tcW w:w="1204" w:type="dxa"/>
          </w:tcPr>
          <w:p w14:paraId="6B43E346"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-3.0</w:t>
            </w:r>
          </w:p>
        </w:tc>
        <w:tc>
          <w:tcPr>
            <w:tcW w:w="992" w:type="dxa"/>
          </w:tcPr>
          <w:p w14:paraId="2672EC77"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12.5</w:t>
            </w:r>
          </w:p>
        </w:tc>
        <w:tc>
          <w:tcPr>
            <w:tcW w:w="993" w:type="dxa"/>
            <w:shd w:val="clear" w:color="auto" w:fill="D9E2F3"/>
          </w:tcPr>
          <w:p w14:paraId="21E66AC6"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9.3</w:t>
            </w:r>
          </w:p>
        </w:tc>
        <w:tc>
          <w:tcPr>
            <w:tcW w:w="992" w:type="dxa"/>
            <w:shd w:val="clear" w:color="auto" w:fill="D9E2F3"/>
          </w:tcPr>
          <w:p w14:paraId="1F9AE3BB"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1.0</w:t>
            </w:r>
          </w:p>
        </w:tc>
        <w:tc>
          <w:tcPr>
            <w:tcW w:w="992" w:type="dxa"/>
            <w:shd w:val="clear" w:color="auto" w:fill="D9E2F3"/>
          </w:tcPr>
          <w:p w14:paraId="141F4072"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4.2</w:t>
            </w:r>
          </w:p>
        </w:tc>
        <w:tc>
          <w:tcPr>
            <w:tcW w:w="947" w:type="dxa"/>
            <w:shd w:val="clear" w:color="auto" w:fill="D9E2F3"/>
          </w:tcPr>
          <w:p w14:paraId="0DF82225"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13.5</w:t>
            </w:r>
          </w:p>
        </w:tc>
      </w:tr>
      <w:tr w:rsidR="00D10C58" w:rsidRPr="00D10C58" w14:paraId="0CEBA595" w14:textId="77777777" w:rsidTr="007D18FD">
        <w:trPr>
          <w:trHeight w:val="258"/>
        </w:trPr>
        <w:tc>
          <w:tcPr>
            <w:tcW w:w="3405" w:type="dxa"/>
          </w:tcPr>
          <w:p w14:paraId="2CF1410B" w14:textId="77777777" w:rsidR="00D10C58" w:rsidRPr="00D10C58" w:rsidRDefault="00D10C58" w:rsidP="000546CD">
            <w:pPr>
              <w:spacing w:before="0" w:after="0" w:line="276" w:lineRule="auto"/>
              <w:ind w:left="309" w:firstLine="0"/>
              <w:rPr>
                <w:rFonts w:cs="Sylfaen"/>
                <w:sz w:val="20"/>
                <w:szCs w:val="20"/>
                <w:lang w:val="ru-RU"/>
              </w:rPr>
            </w:pPr>
            <w:r w:rsidRPr="00D10C58">
              <w:rPr>
                <w:rFonts w:cs="Sylfaen"/>
                <w:sz w:val="20"/>
                <w:szCs w:val="20"/>
              </w:rPr>
              <w:t>Մասնավոր</w:t>
            </w:r>
          </w:p>
        </w:tc>
        <w:tc>
          <w:tcPr>
            <w:tcW w:w="1170" w:type="dxa"/>
          </w:tcPr>
          <w:p w14:paraId="3E591C63"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12.7</w:t>
            </w:r>
          </w:p>
        </w:tc>
        <w:tc>
          <w:tcPr>
            <w:tcW w:w="1204" w:type="dxa"/>
          </w:tcPr>
          <w:p w14:paraId="7BA2E731"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7.4</w:t>
            </w:r>
          </w:p>
        </w:tc>
        <w:tc>
          <w:tcPr>
            <w:tcW w:w="992" w:type="dxa"/>
          </w:tcPr>
          <w:p w14:paraId="338C2BDA"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10.3</w:t>
            </w:r>
          </w:p>
        </w:tc>
        <w:tc>
          <w:tcPr>
            <w:tcW w:w="993" w:type="dxa"/>
            <w:shd w:val="clear" w:color="auto" w:fill="D9E2F3"/>
          </w:tcPr>
          <w:p w14:paraId="237B1726"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-2.0</w:t>
            </w:r>
          </w:p>
        </w:tc>
        <w:tc>
          <w:tcPr>
            <w:tcW w:w="992" w:type="dxa"/>
            <w:shd w:val="clear" w:color="auto" w:fill="D9E2F3"/>
          </w:tcPr>
          <w:p w14:paraId="4433D52F"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6.0</w:t>
            </w:r>
          </w:p>
        </w:tc>
        <w:tc>
          <w:tcPr>
            <w:tcW w:w="992" w:type="dxa"/>
            <w:shd w:val="clear" w:color="auto" w:fill="D9E2F3"/>
          </w:tcPr>
          <w:p w14:paraId="138657C0"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5.0</w:t>
            </w:r>
          </w:p>
        </w:tc>
        <w:tc>
          <w:tcPr>
            <w:tcW w:w="947" w:type="dxa"/>
            <w:shd w:val="clear" w:color="auto" w:fill="D9E2F3"/>
          </w:tcPr>
          <w:p w14:paraId="23E114E7"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3.0</w:t>
            </w:r>
          </w:p>
        </w:tc>
      </w:tr>
      <w:tr w:rsidR="00D10C58" w:rsidRPr="00D10C58" w14:paraId="1365C5AF" w14:textId="77777777" w:rsidTr="007D18FD">
        <w:trPr>
          <w:trHeight w:val="258"/>
        </w:trPr>
        <w:tc>
          <w:tcPr>
            <w:tcW w:w="3405" w:type="dxa"/>
          </w:tcPr>
          <w:p w14:paraId="473BF96E" w14:textId="77777777" w:rsidR="00D10C58" w:rsidRPr="00D10C58" w:rsidRDefault="00D10C58" w:rsidP="000546CD">
            <w:pPr>
              <w:spacing w:before="0" w:after="0" w:line="276" w:lineRule="auto"/>
              <w:ind w:firstLine="0"/>
              <w:rPr>
                <w:rFonts w:cs="Sylfaen"/>
                <w:sz w:val="20"/>
                <w:szCs w:val="20"/>
                <w:lang w:val="ru-RU"/>
              </w:rPr>
            </w:pPr>
            <w:r w:rsidRPr="00D10C58">
              <w:rPr>
                <w:rFonts w:cs="Sylfaen"/>
                <w:sz w:val="20"/>
                <w:szCs w:val="20"/>
              </w:rPr>
              <w:t>Հիմնական միջոցներում ներդրումներ</w:t>
            </w:r>
          </w:p>
        </w:tc>
        <w:tc>
          <w:tcPr>
            <w:tcW w:w="1170" w:type="dxa"/>
          </w:tcPr>
          <w:p w14:paraId="62DCC28E"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9.7</w:t>
            </w:r>
          </w:p>
        </w:tc>
        <w:tc>
          <w:tcPr>
            <w:tcW w:w="1204" w:type="dxa"/>
          </w:tcPr>
          <w:p w14:paraId="4A20BA5F"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4.8</w:t>
            </w:r>
          </w:p>
        </w:tc>
        <w:tc>
          <w:tcPr>
            <w:tcW w:w="992" w:type="dxa"/>
          </w:tcPr>
          <w:p w14:paraId="649AA0DB"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4.4</w:t>
            </w:r>
          </w:p>
        </w:tc>
        <w:tc>
          <w:tcPr>
            <w:tcW w:w="993" w:type="dxa"/>
            <w:shd w:val="clear" w:color="auto" w:fill="D9E2F3"/>
          </w:tcPr>
          <w:p w14:paraId="1B19E34D"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-1.1</w:t>
            </w:r>
          </w:p>
        </w:tc>
        <w:tc>
          <w:tcPr>
            <w:tcW w:w="992" w:type="dxa"/>
            <w:shd w:val="clear" w:color="auto" w:fill="D9E2F3"/>
          </w:tcPr>
          <w:p w14:paraId="4B31D079"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7.2</w:t>
            </w:r>
          </w:p>
        </w:tc>
        <w:tc>
          <w:tcPr>
            <w:tcW w:w="992" w:type="dxa"/>
            <w:shd w:val="clear" w:color="auto" w:fill="D9E2F3"/>
          </w:tcPr>
          <w:p w14:paraId="51178115"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7.9</w:t>
            </w:r>
          </w:p>
        </w:tc>
        <w:tc>
          <w:tcPr>
            <w:tcW w:w="947" w:type="dxa"/>
            <w:shd w:val="clear" w:color="auto" w:fill="D9E2F3"/>
          </w:tcPr>
          <w:p w14:paraId="0DBFD547"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5.6</w:t>
            </w:r>
          </w:p>
        </w:tc>
      </w:tr>
      <w:tr w:rsidR="00D10C58" w:rsidRPr="00D10C58" w14:paraId="1A9C1F57" w14:textId="77777777" w:rsidTr="007D18FD">
        <w:trPr>
          <w:trHeight w:val="258"/>
        </w:trPr>
        <w:tc>
          <w:tcPr>
            <w:tcW w:w="3405" w:type="dxa"/>
          </w:tcPr>
          <w:p w14:paraId="425D8997" w14:textId="77777777" w:rsidR="00D10C58" w:rsidRPr="00D10C58" w:rsidRDefault="00D10C58" w:rsidP="000546CD">
            <w:pPr>
              <w:spacing w:before="0" w:after="0" w:line="276" w:lineRule="auto"/>
              <w:ind w:left="309" w:firstLine="0"/>
              <w:rPr>
                <w:rFonts w:cs="Sylfaen"/>
                <w:sz w:val="20"/>
                <w:szCs w:val="20"/>
              </w:rPr>
            </w:pPr>
            <w:r w:rsidRPr="00D10C58">
              <w:rPr>
                <w:rFonts w:cs="Sylfaen"/>
                <w:sz w:val="20"/>
                <w:szCs w:val="20"/>
              </w:rPr>
              <w:t>Պետական</w:t>
            </w:r>
          </w:p>
        </w:tc>
        <w:tc>
          <w:tcPr>
            <w:tcW w:w="1170" w:type="dxa"/>
          </w:tcPr>
          <w:p w14:paraId="1974367B" w14:textId="77777777" w:rsidR="00D10C58" w:rsidRPr="00D10C58" w:rsidRDefault="00D10C58" w:rsidP="000546CD">
            <w:pPr>
              <w:spacing w:before="0" w:after="0" w:line="276" w:lineRule="auto"/>
              <w:ind w:firstLine="0"/>
              <w:jc w:val="center"/>
              <w:rPr>
                <w:sz w:val="18"/>
                <w:szCs w:val="18"/>
                <w:highlight w:val="yellow"/>
              </w:rPr>
            </w:pPr>
            <w:r w:rsidRPr="00D10C58">
              <w:rPr>
                <w:rFonts w:ascii="Calibri" w:hAnsi="Calibri"/>
              </w:rPr>
              <w:t>9.9</w:t>
            </w:r>
          </w:p>
        </w:tc>
        <w:tc>
          <w:tcPr>
            <w:tcW w:w="1204" w:type="dxa"/>
          </w:tcPr>
          <w:p w14:paraId="1A5AD13F" w14:textId="77777777" w:rsidR="00D10C58" w:rsidRPr="00D10C58" w:rsidRDefault="00D10C58" w:rsidP="000546CD">
            <w:pPr>
              <w:spacing w:before="0" w:after="0" w:line="276" w:lineRule="auto"/>
              <w:ind w:firstLine="0"/>
              <w:jc w:val="center"/>
              <w:rPr>
                <w:sz w:val="18"/>
                <w:szCs w:val="18"/>
                <w:highlight w:val="yellow"/>
              </w:rPr>
            </w:pPr>
            <w:r w:rsidRPr="00D10C58">
              <w:rPr>
                <w:rFonts w:ascii="Calibri" w:hAnsi="Calibri"/>
              </w:rPr>
              <w:t>3.4</w:t>
            </w:r>
          </w:p>
        </w:tc>
        <w:tc>
          <w:tcPr>
            <w:tcW w:w="992" w:type="dxa"/>
          </w:tcPr>
          <w:p w14:paraId="291A1915" w14:textId="77777777" w:rsidR="00D10C58" w:rsidRPr="00D10C58" w:rsidRDefault="00D10C58" w:rsidP="000546CD">
            <w:pPr>
              <w:spacing w:before="0" w:after="0" w:line="276" w:lineRule="auto"/>
              <w:ind w:firstLine="0"/>
              <w:jc w:val="center"/>
              <w:rPr>
                <w:sz w:val="18"/>
                <w:szCs w:val="18"/>
                <w:highlight w:val="yellow"/>
              </w:rPr>
            </w:pPr>
            <w:r w:rsidRPr="00D10C58">
              <w:rPr>
                <w:rFonts w:ascii="Calibri" w:hAnsi="Calibri"/>
              </w:rPr>
              <w:t>38.9</w:t>
            </w:r>
          </w:p>
        </w:tc>
        <w:tc>
          <w:tcPr>
            <w:tcW w:w="993" w:type="dxa"/>
            <w:shd w:val="clear" w:color="auto" w:fill="D9E2F3"/>
          </w:tcPr>
          <w:p w14:paraId="69410122" w14:textId="77777777" w:rsidR="00D10C58" w:rsidRPr="00D10C58" w:rsidRDefault="00595A2D" w:rsidP="000546CD">
            <w:pPr>
              <w:spacing w:before="0" w:after="0" w:line="276" w:lineRule="auto"/>
              <w:ind w:firstLine="0"/>
              <w:jc w:val="center"/>
              <w:rPr>
                <w:sz w:val="18"/>
                <w:szCs w:val="18"/>
                <w:highlight w:val="yellow"/>
              </w:rPr>
            </w:pPr>
            <w:r w:rsidRPr="0035033F">
              <w:rPr>
                <w:sz w:val="18"/>
                <w:szCs w:val="18"/>
              </w:rPr>
              <w:t>13.3</w:t>
            </w:r>
          </w:p>
        </w:tc>
        <w:tc>
          <w:tcPr>
            <w:tcW w:w="992" w:type="dxa"/>
            <w:shd w:val="clear" w:color="auto" w:fill="D9E2F3"/>
          </w:tcPr>
          <w:p w14:paraId="7DD572A1" w14:textId="77777777" w:rsidR="00D10C58" w:rsidRPr="00D10C58" w:rsidRDefault="00595A2D" w:rsidP="000546CD">
            <w:pPr>
              <w:spacing w:before="0" w:after="0" w:line="276" w:lineRule="auto"/>
              <w:ind w:firstLine="0"/>
              <w:jc w:val="center"/>
              <w:rPr>
                <w:sz w:val="18"/>
                <w:szCs w:val="18"/>
                <w:highlight w:val="yellow"/>
              </w:rPr>
            </w:pPr>
            <w:r w:rsidRPr="0035033F">
              <w:rPr>
                <w:sz w:val="18"/>
                <w:szCs w:val="18"/>
              </w:rPr>
              <w:t>9.5</w:t>
            </w:r>
          </w:p>
        </w:tc>
        <w:tc>
          <w:tcPr>
            <w:tcW w:w="992" w:type="dxa"/>
            <w:shd w:val="clear" w:color="auto" w:fill="D9E2F3"/>
          </w:tcPr>
          <w:p w14:paraId="009B7F4E" w14:textId="77777777" w:rsidR="00D10C58" w:rsidRPr="00D10C58" w:rsidRDefault="00595A2D" w:rsidP="000546CD">
            <w:pPr>
              <w:spacing w:before="0" w:after="0" w:line="276" w:lineRule="auto"/>
              <w:ind w:firstLine="0"/>
              <w:jc w:val="center"/>
              <w:rPr>
                <w:sz w:val="18"/>
                <w:szCs w:val="18"/>
                <w:highlight w:val="yellow"/>
              </w:rPr>
            </w:pPr>
            <w:r w:rsidRPr="0035033F">
              <w:rPr>
                <w:sz w:val="18"/>
                <w:szCs w:val="18"/>
              </w:rPr>
              <w:t>13.6</w:t>
            </w:r>
          </w:p>
        </w:tc>
        <w:tc>
          <w:tcPr>
            <w:tcW w:w="947" w:type="dxa"/>
            <w:shd w:val="clear" w:color="auto" w:fill="D9E2F3"/>
          </w:tcPr>
          <w:p w14:paraId="686F8DB4" w14:textId="77777777" w:rsidR="00D10C58" w:rsidRPr="00D10C58" w:rsidRDefault="00595A2D" w:rsidP="000546CD">
            <w:pPr>
              <w:spacing w:before="0" w:after="0" w:line="276" w:lineRule="auto"/>
              <w:ind w:firstLine="0"/>
              <w:jc w:val="center"/>
              <w:rPr>
                <w:sz w:val="18"/>
                <w:szCs w:val="18"/>
                <w:highlight w:val="yellow"/>
              </w:rPr>
            </w:pPr>
            <w:r w:rsidRPr="0035033F">
              <w:rPr>
                <w:sz w:val="18"/>
                <w:szCs w:val="18"/>
              </w:rPr>
              <w:t>7.4</w:t>
            </w:r>
          </w:p>
        </w:tc>
      </w:tr>
      <w:tr w:rsidR="00D10C58" w:rsidRPr="00D10C58" w14:paraId="6BE719EF" w14:textId="77777777" w:rsidTr="007D18FD">
        <w:trPr>
          <w:trHeight w:val="258"/>
        </w:trPr>
        <w:tc>
          <w:tcPr>
            <w:tcW w:w="3405" w:type="dxa"/>
          </w:tcPr>
          <w:p w14:paraId="726B0F97" w14:textId="77777777" w:rsidR="00D10C58" w:rsidRPr="00D10C58" w:rsidRDefault="00D10C58" w:rsidP="000546CD">
            <w:pPr>
              <w:spacing w:before="0" w:after="0" w:line="276" w:lineRule="auto"/>
              <w:ind w:left="309" w:firstLine="0"/>
              <w:rPr>
                <w:rFonts w:cs="Sylfaen"/>
                <w:sz w:val="20"/>
                <w:szCs w:val="20"/>
              </w:rPr>
            </w:pPr>
            <w:r w:rsidRPr="00D10C58">
              <w:rPr>
                <w:rFonts w:cs="Sylfaen"/>
                <w:sz w:val="20"/>
                <w:szCs w:val="20"/>
              </w:rPr>
              <w:t>Մասնավոր</w:t>
            </w:r>
          </w:p>
        </w:tc>
        <w:tc>
          <w:tcPr>
            <w:tcW w:w="1170" w:type="dxa"/>
          </w:tcPr>
          <w:p w14:paraId="1041FC89" w14:textId="77777777" w:rsidR="00D10C58" w:rsidRPr="00D10C58" w:rsidRDefault="00D10C58" w:rsidP="000546CD">
            <w:pPr>
              <w:spacing w:before="0" w:after="0" w:line="276" w:lineRule="auto"/>
              <w:ind w:firstLine="0"/>
              <w:jc w:val="center"/>
              <w:rPr>
                <w:sz w:val="18"/>
                <w:szCs w:val="18"/>
                <w:highlight w:val="yellow"/>
              </w:rPr>
            </w:pPr>
            <w:r w:rsidRPr="00D10C58">
              <w:rPr>
                <w:rFonts w:ascii="Calibri" w:hAnsi="Calibri"/>
              </w:rPr>
              <w:t>9.7</w:t>
            </w:r>
          </w:p>
        </w:tc>
        <w:tc>
          <w:tcPr>
            <w:tcW w:w="1204" w:type="dxa"/>
          </w:tcPr>
          <w:p w14:paraId="4E81BDCE" w14:textId="77777777" w:rsidR="00D10C58" w:rsidRPr="00D10C58" w:rsidRDefault="00D10C58" w:rsidP="000546CD">
            <w:pPr>
              <w:spacing w:before="0" w:after="0" w:line="276" w:lineRule="auto"/>
              <w:ind w:firstLine="0"/>
              <w:jc w:val="center"/>
              <w:rPr>
                <w:sz w:val="18"/>
                <w:szCs w:val="18"/>
                <w:highlight w:val="yellow"/>
              </w:rPr>
            </w:pPr>
            <w:r w:rsidRPr="00D10C58">
              <w:rPr>
                <w:rFonts w:ascii="Calibri" w:hAnsi="Calibri"/>
              </w:rPr>
              <w:t>5.1</w:t>
            </w:r>
          </w:p>
        </w:tc>
        <w:tc>
          <w:tcPr>
            <w:tcW w:w="992" w:type="dxa"/>
          </w:tcPr>
          <w:p w14:paraId="625B5DDA" w14:textId="77777777" w:rsidR="00D10C58" w:rsidRPr="00D10C58" w:rsidRDefault="00D10C58" w:rsidP="000546CD">
            <w:pPr>
              <w:spacing w:before="0" w:after="0" w:line="276" w:lineRule="auto"/>
              <w:ind w:firstLine="0"/>
              <w:jc w:val="center"/>
              <w:rPr>
                <w:sz w:val="18"/>
                <w:szCs w:val="18"/>
                <w:highlight w:val="yellow"/>
              </w:rPr>
            </w:pPr>
            <w:r w:rsidRPr="00D10C58">
              <w:rPr>
                <w:rFonts w:ascii="Calibri" w:hAnsi="Calibri"/>
              </w:rPr>
              <w:t>-2.2</w:t>
            </w:r>
          </w:p>
        </w:tc>
        <w:tc>
          <w:tcPr>
            <w:tcW w:w="993" w:type="dxa"/>
            <w:shd w:val="clear" w:color="auto" w:fill="D9E2F3"/>
          </w:tcPr>
          <w:p w14:paraId="662C621D" w14:textId="77777777" w:rsidR="00D10C58" w:rsidRPr="00D10C58" w:rsidRDefault="00595A2D" w:rsidP="000546CD">
            <w:pPr>
              <w:spacing w:before="0" w:after="0" w:line="276" w:lineRule="auto"/>
              <w:ind w:firstLine="0"/>
              <w:jc w:val="center"/>
              <w:rPr>
                <w:sz w:val="18"/>
                <w:szCs w:val="18"/>
                <w:highlight w:val="yellow"/>
              </w:rPr>
            </w:pPr>
            <w:r w:rsidRPr="0035033F">
              <w:rPr>
                <w:sz w:val="18"/>
                <w:szCs w:val="18"/>
              </w:rPr>
              <w:t>-5.0</w:t>
            </w:r>
          </w:p>
        </w:tc>
        <w:tc>
          <w:tcPr>
            <w:tcW w:w="992" w:type="dxa"/>
            <w:shd w:val="clear" w:color="auto" w:fill="D9E2F3"/>
          </w:tcPr>
          <w:p w14:paraId="4FBCDE48" w14:textId="77777777" w:rsidR="00D10C58" w:rsidRPr="00D10C58" w:rsidRDefault="00595A2D" w:rsidP="000546CD">
            <w:pPr>
              <w:spacing w:before="0" w:after="0" w:line="276" w:lineRule="auto"/>
              <w:ind w:firstLine="0"/>
              <w:jc w:val="center"/>
              <w:rPr>
                <w:sz w:val="18"/>
                <w:szCs w:val="18"/>
                <w:highlight w:val="yellow"/>
              </w:rPr>
            </w:pPr>
            <w:r w:rsidRPr="0035033F">
              <w:rPr>
                <w:sz w:val="18"/>
                <w:szCs w:val="18"/>
              </w:rPr>
              <w:t>6.5</w:t>
            </w:r>
          </w:p>
        </w:tc>
        <w:tc>
          <w:tcPr>
            <w:tcW w:w="992" w:type="dxa"/>
            <w:shd w:val="clear" w:color="auto" w:fill="D9E2F3"/>
          </w:tcPr>
          <w:p w14:paraId="1BA851A4" w14:textId="77777777" w:rsidR="00D10C58" w:rsidRPr="00D10C58" w:rsidRDefault="00595A2D" w:rsidP="000546CD">
            <w:pPr>
              <w:spacing w:before="0" w:after="0" w:line="276" w:lineRule="auto"/>
              <w:ind w:firstLine="0"/>
              <w:jc w:val="center"/>
              <w:rPr>
                <w:sz w:val="18"/>
                <w:szCs w:val="18"/>
                <w:highlight w:val="yellow"/>
              </w:rPr>
            </w:pPr>
            <w:r w:rsidRPr="0035033F">
              <w:rPr>
                <w:sz w:val="18"/>
                <w:szCs w:val="18"/>
              </w:rPr>
              <w:t>6.0</w:t>
            </w:r>
          </w:p>
        </w:tc>
        <w:tc>
          <w:tcPr>
            <w:tcW w:w="947" w:type="dxa"/>
            <w:shd w:val="clear" w:color="auto" w:fill="D9E2F3"/>
          </w:tcPr>
          <w:p w14:paraId="2350C01F" w14:textId="77777777" w:rsidR="00D10C58" w:rsidRPr="00D10C58" w:rsidRDefault="00595A2D" w:rsidP="000546CD">
            <w:pPr>
              <w:spacing w:before="0" w:after="0" w:line="276" w:lineRule="auto"/>
              <w:ind w:firstLine="0"/>
              <w:jc w:val="center"/>
              <w:rPr>
                <w:sz w:val="18"/>
                <w:szCs w:val="18"/>
                <w:highlight w:val="yellow"/>
              </w:rPr>
            </w:pPr>
            <w:r w:rsidRPr="0035033F">
              <w:rPr>
                <w:sz w:val="18"/>
                <w:szCs w:val="18"/>
              </w:rPr>
              <w:t>5.0</w:t>
            </w:r>
          </w:p>
        </w:tc>
      </w:tr>
      <w:tr w:rsidR="00D10C58" w:rsidRPr="00D10C58" w14:paraId="220199C9" w14:textId="77777777" w:rsidTr="007D18FD">
        <w:trPr>
          <w:trHeight w:val="258"/>
        </w:trPr>
        <w:tc>
          <w:tcPr>
            <w:tcW w:w="3405" w:type="dxa"/>
          </w:tcPr>
          <w:p w14:paraId="1BDADA44"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 xml:space="preserve">Արտահանում </w:t>
            </w:r>
          </w:p>
        </w:tc>
        <w:tc>
          <w:tcPr>
            <w:tcW w:w="1170" w:type="dxa"/>
          </w:tcPr>
          <w:p w14:paraId="35F420AB"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18.7</w:t>
            </w:r>
          </w:p>
        </w:tc>
        <w:tc>
          <w:tcPr>
            <w:tcW w:w="1204" w:type="dxa"/>
          </w:tcPr>
          <w:p w14:paraId="71962246"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2.9</w:t>
            </w:r>
          </w:p>
        </w:tc>
        <w:tc>
          <w:tcPr>
            <w:tcW w:w="992" w:type="dxa"/>
          </w:tcPr>
          <w:p w14:paraId="27ADD5B0"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13.2</w:t>
            </w:r>
          </w:p>
        </w:tc>
        <w:tc>
          <w:tcPr>
            <w:tcW w:w="993" w:type="dxa"/>
            <w:shd w:val="clear" w:color="auto" w:fill="D9E2F3"/>
          </w:tcPr>
          <w:p w14:paraId="52EB76F6"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-14.0</w:t>
            </w:r>
          </w:p>
        </w:tc>
        <w:tc>
          <w:tcPr>
            <w:tcW w:w="992" w:type="dxa"/>
            <w:shd w:val="clear" w:color="auto" w:fill="D9E2F3"/>
          </w:tcPr>
          <w:p w14:paraId="2E3F93C9"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15.9</w:t>
            </w:r>
          </w:p>
        </w:tc>
        <w:tc>
          <w:tcPr>
            <w:tcW w:w="992" w:type="dxa"/>
            <w:shd w:val="clear" w:color="auto" w:fill="D9E2F3"/>
          </w:tcPr>
          <w:p w14:paraId="58154662"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10.6</w:t>
            </w:r>
          </w:p>
        </w:tc>
        <w:tc>
          <w:tcPr>
            <w:tcW w:w="947" w:type="dxa"/>
            <w:shd w:val="clear" w:color="auto" w:fill="D9E2F3"/>
          </w:tcPr>
          <w:p w14:paraId="4339F891"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9.1</w:t>
            </w:r>
          </w:p>
        </w:tc>
      </w:tr>
      <w:tr w:rsidR="00D10C58" w:rsidRPr="00D10C58" w14:paraId="7A07F983" w14:textId="77777777" w:rsidTr="007D18FD">
        <w:trPr>
          <w:trHeight w:val="272"/>
        </w:trPr>
        <w:tc>
          <w:tcPr>
            <w:tcW w:w="3405" w:type="dxa"/>
          </w:tcPr>
          <w:p w14:paraId="327575F5"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 xml:space="preserve">Ներմուծում </w:t>
            </w:r>
          </w:p>
        </w:tc>
        <w:tc>
          <w:tcPr>
            <w:tcW w:w="1170" w:type="dxa"/>
          </w:tcPr>
          <w:p w14:paraId="5F3B0BD9"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24.6</w:t>
            </w:r>
          </w:p>
        </w:tc>
        <w:tc>
          <w:tcPr>
            <w:tcW w:w="1204" w:type="dxa"/>
          </w:tcPr>
          <w:p w14:paraId="7742677C"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12.9</w:t>
            </w:r>
          </w:p>
        </w:tc>
        <w:tc>
          <w:tcPr>
            <w:tcW w:w="992" w:type="dxa"/>
          </w:tcPr>
          <w:p w14:paraId="4988F037"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7.8</w:t>
            </w:r>
          </w:p>
        </w:tc>
        <w:tc>
          <w:tcPr>
            <w:tcW w:w="993" w:type="dxa"/>
            <w:shd w:val="clear" w:color="auto" w:fill="D9E2F3"/>
          </w:tcPr>
          <w:p w14:paraId="257444AD"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-9.0</w:t>
            </w:r>
          </w:p>
        </w:tc>
        <w:tc>
          <w:tcPr>
            <w:tcW w:w="992" w:type="dxa"/>
            <w:shd w:val="clear" w:color="auto" w:fill="D9E2F3"/>
          </w:tcPr>
          <w:p w14:paraId="787B5A64"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7.8</w:t>
            </w:r>
          </w:p>
        </w:tc>
        <w:tc>
          <w:tcPr>
            <w:tcW w:w="992" w:type="dxa"/>
            <w:shd w:val="clear" w:color="auto" w:fill="D9E2F3"/>
          </w:tcPr>
          <w:p w14:paraId="2F479B5A"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6.7</w:t>
            </w:r>
          </w:p>
        </w:tc>
        <w:tc>
          <w:tcPr>
            <w:tcW w:w="947" w:type="dxa"/>
            <w:shd w:val="clear" w:color="auto" w:fill="D9E2F3"/>
          </w:tcPr>
          <w:p w14:paraId="691F8A42" w14:textId="77777777" w:rsidR="00D10C58" w:rsidRPr="00D10C58" w:rsidRDefault="00D10C58" w:rsidP="000546CD">
            <w:pPr>
              <w:spacing w:before="0" w:after="0" w:line="276" w:lineRule="auto"/>
              <w:ind w:firstLine="0"/>
              <w:jc w:val="center"/>
              <w:rPr>
                <w:rFonts w:cs="Arial"/>
                <w:bCs/>
                <w:sz w:val="18"/>
                <w:szCs w:val="18"/>
              </w:rPr>
            </w:pPr>
            <w:r w:rsidRPr="00D10C58">
              <w:rPr>
                <w:sz w:val="18"/>
                <w:szCs w:val="18"/>
              </w:rPr>
              <w:t>4.1</w:t>
            </w:r>
          </w:p>
        </w:tc>
      </w:tr>
      <w:tr w:rsidR="00D10C58" w:rsidRPr="00D10C58" w14:paraId="4887758B" w14:textId="77777777" w:rsidTr="00B62713">
        <w:trPr>
          <w:trHeight w:val="258"/>
        </w:trPr>
        <w:tc>
          <w:tcPr>
            <w:tcW w:w="10695" w:type="dxa"/>
            <w:gridSpan w:val="8"/>
            <w:shd w:val="clear" w:color="auto" w:fill="auto"/>
            <w:noWrap/>
          </w:tcPr>
          <w:p w14:paraId="1EFC1A3E" w14:textId="77777777" w:rsidR="00D10C58" w:rsidRPr="00D10C58" w:rsidRDefault="00D10C58" w:rsidP="000546CD">
            <w:pPr>
              <w:spacing w:before="0" w:after="0" w:line="276" w:lineRule="auto"/>
              <w:ind w:firstLine="0"/>
              <w:rPr>
                <w:rFonts w:cs="Arial"/>
                <w:bCs/>
                <w:sz w:val="18"/>
                <w:szCs w:val="18"/>
              </w:rPr>
            </w:pPr>
            <w:r w:rsidRPr="00D10C58">
              <w:rPr>
                <w:rFonts w:cs="Sylfaen"/>
                <w:b/>
                <w:sz w:val="18"/>
                <w:szCs w:val="18"/>
                <w:u w:val="single"/>
              </w:rPr>
              <w:t>Արտաքին հատված (</w:t>
            </w:r>
            <w:r w:rsidRPr="00D10C58">
              <w:rPr>
                <w:rFonts w:cs="Sylfaen"/>
                <w:b/>
                <w:sz w:val="18"/>
                <w:szCs w:val="18"/>
                <w:u w:val="single"/>
                <w:lang w:val="ru-RU"/>
              </w:rPr>
              <w:t>մ</w:t>
            </w:r>
            <w:r w:rsidRPr="00D10C58">
              <w:rPr>
                <w:rFonts w:cs="Sylfaen"/>
                <w:b/>
                <w:sz w:val="18"/>
                <w:szCs w:val="18"/>
                <w:u w:val="single"/>
              </w:rPr>
              <w:t>լն ԱՄՆ դոլար)</w:t>
            </w:r>
          </w:p>
        </w:tc>
      </w:tr>
      <w:tr w:rsidR="00D10C58" w:rsidRPr="00D10C58" w14:paraId="30491FDC" w14:textId="77777777" w:rsidTr="007D18FD">
        <w:trPr>
          <w:trHeight w:val="258"/>
        </w:trPr>
        <w:tc>
          <w:tcPr>
            <w:tcW w:w="3405" w:type="dxa"/>
            <w:shd w:val="clear" w:color="auto" w:fill="auto"/>
          </w:tcPr>
          <w:p w14:paraId="0FB5381B"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Ընթացիկ հաշիվ</w:t>
            </w:r>
          </w:p>
        </w:tc>
        <w:tc>
          <w:tcPr>
            <w:tcW w:w="1170" w:type="dxa"/>
          </w:tcPr>
          <w:p w14:paraId="363618C9" w14:textId="77777777" w:rsidR="00D10C58" w:rsidRPr="00D10C58" w:rsidRDefault="00D10C58" w:rsidP="000546CD">
            <w:pPr>
              <w:spacing w:before="0" w:after="0" w:line="276" w:lineRule="auto"/>
              <w:ind w:firstLine="0"/>
              <w:jc w:val="center"/>
              <w:rPr>
                <w:sz w:val="18"/>
                <w:szCs w:val="18"/>
              </w:rPr>
            </w:pPr>
            <w:r w:rsidRPr="00D10C58">
              <w:rPr>
                <w:sz w:val="18"/>
                <w:szCs w:val="18"/>
              </w:rPr>
              <w:t>-173.9</w:t>
            </w:r>
          </w:p>
        </w:tc>
        <w:tc>
          <w:tcPr>
            <w:tcW w:w="1204" w:type="dxa"/>
          </w:tcPr>
          <w:p w14:paraId="54619A9B" w14:textId="77777777" w:rsidR="00D10C58" w:rsidRPr="00D10C58" w:rsidRDefault="00D10C58" w:rsidP="000546CD">
            <w:pPr>
              <w:spacing w:before="0" w:after="0" w:line="276" w:lineRule="auto"/>
              <w:ind w:firstLine="0"/>
              <w:jc w:val="center"/>
              <w:rPr>
                <w:sz w:val="18"/>
                <w:szCs w:val="18"/>
              </w:rPr>
            </w:pPr>
            <w:r w:rsidRPr="00D10C58">
              <w:rPr>
                <w:sz w:val="18"/>
                <w:szCs w:val="18"/>
              </w:rPr>
              <w:t>-860.0</w:t>
            </w:r>
          </w:p>
        </w:tc>
        <w:tc>
          <w:tcPr>
            <w:tcW w:w="992" w:type="dxa"/>
          </w:tcPr>
          <w:p w14:paraId="3F750001" w14:textId="77777777" w:rsidR="00D10C58" w:rsidRPr="00D10C58" w:rsidRDefault="00D10C58" w:rsidP="000546CD">
            <w:pPr>
              <w:spacing w:before="0" w:after="0" w:line="276" w:lineRule="auto"/>
              <w:ind w:firstLine="0"/>
              <w:jc w:val="center"/>
              <w:rPr>
                <w:sz w:val="18"/>
                <w:szCs w:val="18"/>
              </w:rPr>
            </w:pPr>
            <w:r w:rsidRPr="00D10C58">
              <w:rPr>
                <w:sz w:val="18"/>
                <w:szCs w:val="18"/>
              </w:rPr>
              <w:t>-987.5</w:t>
            </w:r>
          </w:p>
        </w:tc>
        <w:tc>
          <w:tcPr>
            <w:tcW w:w="993" w:type="dxa"/>
            <w:shd w:val="clear" w:color="auto" w:fill="D9E2F3"/>
          </w:tcPr>
          <w:p w14:paraId="068DFC16" w14:textId="77777777" w:rsidR="00D10C58" w:rsidRPr="00D10C58" w:rsidRDefault="00D10C58" w:rsidP="000546CD">
            <w:pPr>
              <w:spacing w:before="0" w:after="0" w:line="276" w:lineRule="auto"/>
              <w:ind w:firstLine="0"/>
              <w:jc w:val="center"/>
              <w:rPr>
                <w:sz w:val="18"/>
                <w:szCs w:val="18"/>
              </w:rPr>
            </w:pPr>
            <w:r w:rsidRPr="00D10C58">
              <w:rPr>
                <w:sz w:val="18"/>
                <w:szCs w:val="18"/>
              </w:rPr>
              <w:t>-1,247.3</w:t>
            </w:r>
          </w:p>
        </w:tc>
        <w:tc>
          <w:tcPr>
            <w:tcW w:w="992" w:type="dxa"/>
            <w:shd w:val="clear" w:color="auto" w:fill="D9E2F3"/>
          </w:tcPr>
          <w:p w14:paraId="100C83AE" w14:textId="77777777" w:rsidR="00D10C58" w:rsidRPr="00D10C58" w:rsidRDefault="00D10C58" w:rsidP="000546CD">
            <w:pPr>
              <w:spacing w:before="0" w:after="0" w:line="276" w:lineRule="auto"/>
              <w:ind w:firstLine="0"/>
              <w:jc w:val="center"/>
              <w:rPr>
                <w:sz w:val="18"/>
                <w:szCs w:val="18"/>
              </w:rPr>
            </w:pPr>
            <w:r w:rsidRPr="00D10C58">
              <w:rPr>
                <w:sz w:val="18"/>
                <w:szCs w:val="18"/>
              </w:rPr>
              <w:t>-1,020.0</w:t>
            </w:r>
          </w:p>
        </w:tc>
        <w:tc>
          <w:tcPr>
            <w:tcW w:w="992" w:type="dxa"/>
            <w:shd w:val="clear" w:color="auto" w:fill="D9E2F3"/>
          </w:tcPr>
          <w:p w14:paraId="4B2459B7" w14:textId="77777777" w:rsidR="00D10C58" w:rsidRPr="00D10C58" w:rsidRDefault="00D10C58" w:rsidP="000546CD">
            <w:pPr>
              <w:spacing w:before="0" w:after="0" w:line="276" w:lineRule="auto"/>
              <w:ind w:firstLine="0"/>
              <w:jc w:val="center"/>
              <w:rPr>
                <w:sz w:val="18"/>
                <w:szCs w:val="18"/>
              </w:rPr>
            </w:pPr>
            <w:r w:rsidRPr="00D10C58">
              <w:rPr>
                <w:sz w:val="18"/>
                <w:szCs w:val="18"/>
              </w:rPr>
              <w:t>-953.1</w:t>
            </w:r>
          </w:p>
        </w:tc>
        <w:tc>
          <w:tcPr>
            <w:tcW w:w="947" w:type="dxa"/>
            <w:shd w:val="clear" w:color="auto" w:fill="D9E2F3"/>
          </w:tcPr>
          <w:p w14:paraId="4C92A177" w14:textId="77777777" w:rsidR="00D10C58" w:rsidRPr="00D10C58" w:rsidRDefault="00D10C58" w:rsidP="000546CD">
            <w:pPr>
              <w:spacing w:before="0" w:after="0" w:line="276" w:lineRule="auto"/>
              <w:ind w:firstLine="0"/>
              <w:jc w:val="center"/>
              <w:rPr>
                <w:sz w:val="18"/>
                <w:szCs w:val="18"/>
              </w:rPr>
            </w:pPr>
            <w:r w:rsidRPr="00D10C58">
              <w:rPr>
                <w:sz w:val="18"/>
                <w:szCs w:val="18"/>
              </w:rPr>
              <w:t>-917.7</w:t>
            </w:r>
          </w:p>
        </w:tc>
      </w:tr>
      <w:tr w:rsidR="00D10C58" w:rsidRPr="00D10C58" w14:paraId="148CB443" w14:textId="77777777" w:rsidTr="007D18FD">
        <w:trPr>
          <w:trHeight w:val="258"/>
        </w:trPr>
        <w:tc>
          <w:tcPr>
            <w:tcW w:w="3405" w:type="dxa"/>
            <w:shd w:val="clear" w:color="auto" w:fill="auto"/>
          </w:tcPr>
          <w:p w14:paraId="0057F54C"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Ապրանքների և ծառայությունների հաշվեկշիռ</w:t>
            </w:r>
          </w:p>
        </w:tc>
        <w:tc>
          <w:tcPr>
            <w:tcW w:w="1170" w:type="dxa"/>
          </w:tcPr>
          <w:p w14:paraId="496A04D4" w14:textId="77777777" w:rsidR="00D10C58" w:rsidRPr="00D10C58" w:rsidRDefault="00D10C58" w:rsidP="000546CD">
            <w:pPr>
              <w:spacing w:before="0" w:after="0" w:line="276" w:lineRule="auto"/>
              <w:ind w:firstLine="0"/>
              <w:jc w:val="center"/>
              <w:rPr>
                <w:sz w:val="18"/>
                <w:szCs w:val="18"/>
              </w:rPr>
            </w:pPr>
            <w:r w:rsidRPr="00D10C58">
              <w:rPr>
                <w:sz w:val="18"/>
                <w:szCs w:val="18"/>
              </w:rPr>
              <w:t>-1,241.5</w:t>
            </w:r>
          </w:p>
        </w:tc>
        <w:tc>
          <w:tcPr>
            <w:tcW w:w="1204" w:type="dxa"/>
          </w:tcPr>
          <w:p w14:paraId="034816E8" w14:textId="77777777" w:rsidR="00D10C58" w:rsidRPr="00D10C58" w:rsidRDefault="00D10C58" w:rsidP="000546CD">
            <w:pPr>
              <w:spacing w:before="0" w:after="0" w:line="276" w:lineRule="auto"/>
              <w:ind w:firstLine="0"/>
              <w:jc w:val="center"/>
              <w:rPr>
                <w:sz w:val="18"/>
                <w:szCs w:val="18"/>
              </w:rPr>
            </w:pPr>
            <w:r w:rsidRPr="00D10C58">
              <w:rPr>
                <w:sz w:val="18"/>
                <w:szCs w:val="18"/>
              </w:rPr>
              <w:t>-1,702.3</w:t>
            </w:r>
          </w:p>
        </w:tc>
        <w:tc>
          <w:tcPr>
            <w:tcW w:w="992" w:type="dxa"/>
          </w:tcPr>
          <w:p w14:paraId="7FA374A1" w14:textId="77777777" w:rsidR="00D10C58" w:rsidRPr="00D10C58" w:rsidRDefault="00D10C58" w:rsidP="000546CD">
            <w:pPr>
              <w:spacing w:before="0" w:after="0" w:line="276" w:lineRule="auto"/>
              <w:ind w:firstLine="0"/>
              <w:jc w:val="center"/>
              <w:rPr>
                <w:sz w:val="18"/>
                <w:szCs w:val="18"/>
              </w:rPr>
            </w:pPr>
            <w:r w:rsidRPr="00D10C58">
              <w:rPr>
                <w:sz w:val="18"/>
                <w:szCs w:val="18"/>
              </w:rPr>
              <w:t>-1,828.8</w:t>
            </w:r>
          </w:p>
        </w:tc>
        <w:tc>
          <w:tcPr>
            <w:tcW w:w="993" w:type="dxa"/>
            <w:shd w:val="clear" w:color="auto" w:fill="D9E2F3"/>
          </w:tcPr>
          <w:p w14:paraId="3CBE4717" w14:textId="77777777" w:rsidR="00D10C58" w:rsidRPr="00D10C58" w:rsidRDefault="00D10C58" w:rsidP="000546CD">
            <w:pPr>
              <w:spacing w:before="0" w:after="0" w:line="276" w:lineRule="auto"/>
              <w:ind w:firstLine="0"/>
              <w:jc w:val="center"/>
              <w:rPr>
                <w:sz w:val="18"/>
                <w:szCs w:val="18"/>
              </w:rPr>
            </w:pPr>
            <w:r w:rsidRPr="00D10C58">
              <w:rPr>
                <w:sz w:val="18"/>
                <w:szCs w:val="18"/>
              </w:rPr>
              <w:t>-1,960.8</w:t>
            </w:r>
          </w:p>
        </w:tc>
        <w:tc>
          <w:tcPr>
            <w:tcW w:w="992" w:type="dxa"/>
            <w:shd w:val="clear" w:color="auto" w:fill="D9E2F3"/>
          </w:tcPr>
          <w:p w14:paraId="6ABA1ED6" w14:textId="77777777" w:rsidR="00D10C58" w:rsidRPr="00D10C58" w:rsidRDefault="00D10C58" w:rsidP="000546CD">
            <w:pPr>
              <w:spacing w:before="0" w:after="0" w:line="276" w:lineRule="auto"/>
              <w:ind w:firstLine="0"/>
              <w:jc w:val="center"/>
              <w:rPr>
                <w:sz w:val="18"/>
                <w:szCs w:val="18"/>
              </w:rPr>
            </w:pPr>
            <w:r w:rsidRPr="00D10C58">
              <w:rPr>
                <w:sz w:val="18"/>
                <w:szCs w:val="18"/>
              </w:rPr>
              <w:t>-1,845.3</w:t>
            </w:r>
          </w:p>
        </w:tc>
        <w:tc>
          <w:tcPr>
            <w:tcW w:w="992" w:type="dxa"/>
            <w:shd w:val="clear" w:color="auto" w:fill="D9E2F3"/>
          </w:tcPr>
          <w:p w14:paraId="013DDDA6" w14:textId="77777777" w:rsidR="00D10C58" w:rsidRPr="00D10C58" w:rsidRDefault="00D10C58" w:rsidP="000546CD">
            <w:pPr>
              <w:spacing w:before="0" w:after="0" w:line="276" w:lineRule="auto"/>
              <w:ind w:firstLine="0"/>
              <w:jc w:val="center"/>
              <w:rPr>
                <w:sz w:val="18"/>
                <w:szCs w:val="18"/>
              </w:rPr>
            </w:pPr>
            <w:r w:rsidRPr="00D10C58">
              <w:rPr>
                <w:sz w:val="18"/>
                <w:szCs w:val="18"/>
              </w:rPr>
              <w:t>-1,807.9</w:t>
            </w:r>
          </w:p>
        </w:tc>
        <w:tc>
          <w:tcPr>
            <w:tcW w:w="947" w:type="dxa"/>
            <w:shd w:val="clear" w:color="auto" w:fill="D9E2F3"/>
          </w:tcPr>
          <w:p w14:paraId="3D6CDDFB" w14:textId="77777777" w:rsidR="00D10C58" w:rsidRPr="00D10C58" w:rsidRDefault="00D10C58" w:rsidP="000546CD">
            <w:pPr>
              <w:spacing w:before="0" w:after="0" w:line="276" w:lineRule="auto"/>
              <w:ind w:firstLine="0"/>
              <w:jc w:val="center"/>
              <w:rPr>
                <w:sz w:val="18"/>
                <w:szCs w:val="18"/>
              </w:rPr>
            </w:pPr>
            <w:r w:rsidRPr="00D10C58">
              <w:rPr>
                <w:sz w:val="18"/>
                <w:szCs w:val="18"/>
              </w:rPr>
              <w:t>-1,519.5</w:t>
            </w:r>
          </w:p>
        </w:tc>
      </w:tr>
      <w:tr w:rsidR="00D10C58" w:rsidRPr="00D10C58" w14:paraId="706B5830" w14:textId="77777777" w:rsidTr="007D18FD">
        <w:trPr>
          <w:trHeight w:val="258"/>
        </w:trPr>
        <w:tc>
          <w:tcPr>
            <w:tcW w:w="3405" w:type="dxa"/>
            <w:shd w:val="clear" w:color="auto" w:fill="auto"/>
          </w:tcPr>
          <w:p w14:paraId="74EC379E"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Արտահանում</w:t>
            </w:r>
          </w:p>
        </w:tc>
        <w:tc>
          <w:tcPr>
            <w:tcW w:w="1170" w:type="dxa"/>
          </w:tcPr>
          <w:p w14:paraId="251E9AF7" w14:textId="77777777" w:rsidR="00D10C58" w:rsidRPr="00D10C58" w:rsidRDefault="00D10C58" w:rsidP="000546CD">
            <w:pPr>
              <w:spacing w:before="0" w:after="0" w:line="276" w:lineRule="auto"/>
              <w:ind w:firstLine="0"/>
              <w:jc w:val="center"/>
              <w:rPr>
                <w:sz w:val="18"/>
                <w:szCs w:val="18"/>
              </w:rPr>
            </w:pPr>
            <w:r w:rsidRPr="00D10C58">
              <w:rPr>
                <w:sz w:val="18"/>
                <w:szCs w:val="18"/>
              </w:rPr>
              <w:t>4,409.1</w:t>
            </w:r>
          </w:p>
        </w:tc>
        <w:tc>
          <w:tcPr>
            <w:tcW w:w="1204" w:type="dxa"/>
          </w:tcPr>
          <w:p w14:paraId="222BC53B" w14:textId="77777777" w:rsidR="00D10C58" w:rsidRPr="00D10C58" w:rsidRDefault="00D10C58" w:rsidP="000546CD">
            <w:pPr>
              <w:spacing w:before="0" w:after="0" w:line="276" w:lineRule="auto"/>
              <w:ind w:firstLine="0"/>
              <w:jc w:val="center"/>
              <w:rPr>
                <w:sz w:val="18"/>
                <w:szCs w:val="18"/>
              </w:rPr>
            </w:pPr>
            <w:r w:rsidRPr="00D10C58">
              <w:rPr>
                <w:sz w:val="18"/>
                <w:szCs w:val="18"/>
              </w:rPr>
              <w:t>4,907.2</w:t>
            </w:r>
          </w:p>
        </w:tc>
        <w:tc>
          <w:tcPr>
            <w:tcW w:w="992" w:type="dxa"/>
          </w:tcPr>
          <w:p w14:paraId="043A3790" w14:textId="77777777" w:rsidR="00D10C58" w:rsidRPr="00D10C58" w:rsidRDefault="00D10C58" w:rsidP="000546CD">
            <w:pPr>
              <w:spacing w:before="0" w:after="0" w:line="276" w:lineRule="auto"/>
              <w:ind w:firstLine="0"/>
              <w:jc w:val="center"/>
              <w:rPr>
                <w:sz w:val="18"/>
                <w:szCs w:val="18"/>
              </w:rPr>
            </w:pPr>
            <w:r w:rsidRPr="00D10C58">
              <w:rPr>
                <w:sz w:val="18"/>
                <w:szCs w:val="18"/>
              </w:rPr>
              <w:t>5,640.7</w:t>
            </w:r>
          </w:p>
        </w:tc>
        <w:tc>
          <w:tcPr>
            <w:tcW w:w="993" w:type="dxa"/>
            <w:shd w:val="clear" w:color="auto" w:fill="D9E2F3"/>
          </w:tcPr>
          <w:p w14:paraId="48723B98" w14:textId="77777777" w:rsidR="00D10C58" w:rsidRPr="00D10C58" w:rsidRDefault="00D10C58" w:rsidP="000546CD">
            <w:pPr>
              <w:spacing w:before="0" w:after="0" w:line="276" w:lineRule="auto"/>
              <w:ind w:firstLine="0"/>
              <w:jc w:val="center"/>
              <w:rPr>
                <w:sz w:val="18"/>
                <w:szCs w:val="18"/>
              </w:rPr>
            </w:pPr>
            <w:r w:rsidRPr="00D10C58">
              <w:rPr>
                <w:sz w:val="18"/>
                <w:szCs w:val="18"/>
              </w:rPr>
              <w:t>4,413.5</w:t>
            </w:r>
          </w:p>
        </w:tc>
        <w:tc>
          <w:tcPr>
            <w:tcW w:w="992" w:type="dxa"/>
            <w:shd w:val="clear" w:color="auto" w:fill="D9E2F3"/>
          </w:tcPr>
          <w:p w14:paraId="61651D78" w14:textId="77777777" w:rsidR="00D10C58" w:rsidRPr="00D10C58" w:rsidRDefault="00D10C58" w:rsidP="000546CD">
            <w:pPr>
              <w:spacing w:before="0" w:after="0" w:line="276" w:lineRule="auto"/>
              <w:ind w:firstLine="0"/>
              <w:jc w:val="center"/>
              <w:rPr>
                <w:sz w:val="18"/>
                <w:szCs w:val="18"/>
              </w:rPr>
            </w:pPr>
            <w:r w:rsidRPr="00D10C58">
              <w:rPr>
                <w:sz w:val="18"/>
                <w:szCs w:val="18"/>
              </w:rPr>
              <w:t>5,147.0</w:t>
            </w:r>
          </w:p>
        </w:tc>
        <w:tc>
          <w:tcPr>
            <w:tcW w:w="992" w:type="dxa"/>
            <w:shd w:val="clear" w:color="auto" w:fill="D9E2F3"/>
          </w:tcPr>
          <w:p w14:paraId="7F2869F8" w14:textId="77777777" w:rsidR="00D10C58" w:rsidRPr="00D10C58" w:rsidRDefault="00D10C58" w:rsidP="000546CD">
            <w:pPr>
              <w:spacing w:before="0" w:after="0" w:line="276" w:lineRule="auto"/>
              <w:ind w:firstLine="0"/>
              <w:jc w:val="center"/>
              <w:rPr>
                <w:sz w:val="18"/>
                <w:szCs w:val="18"/>
              </w:rPr>
            </w:pPr>
            <w:r w:rsidRPr="00D10C58">
              <w:rPr>
                <w:sz w:val="18"/>
                <w:szCs w:val="18"/>
              </w:rPr>
              <w:t>5,766.7</w:t>
            </w:r>
          </w:p>
        </w:tc>
        <w:tc>
          <w:tcPr>
            <w:tcW w:w="947" w:type="dxa"/>
            <w:shd w:val="clear" w:color="auto" w:fill="D9E2F3"/>
          </w:tcPr>
          <w:p w14:paraId="4C764614" w14:textId="77777777" w:rsidR="00D10C58" w:rsidRPr="00D10C58" w:rsidRDefault="00D10C58" w:rsidP="000546CD">
            <w:pPr>
              <w:spacing w:before="0" w:after="0" w:line="276" w:lineRule="auto"/>
              <w:ind w:firstLine="0"/>
              <w:jc w:val="center"/>
              <w:rPr>
                <w:sz w:val="18"/>
                <w:szCs w:val="18"/>
              </w:rPr>
            </w:pPr>
            <w:r w:rsidRPr="00D10C58">
              <w:rPr>
                <w:sz w:val="18"/>
                <w:szCs w:val="18"/>
              </w:rPr>
              <w:t>6,441.4</w:t>
            </w:r>
          </w:p>
        </w:tc>
      </w:tr>
      <w:tr w:rsidR="00D10C58" w:rsidRPr="00D10C58" w14:paraId="30084AEB" w14:textId="77777777" w:rsidTr="007D18FD">
        <w:trPr>
          <w:trHeight w:val="258"/>
        </w:trPr>
        <w:tc>
          <w:tcPr>
            <w:tcW w:w="3405" w:type="dxa"/>
            <w:shd w:val="clear" w:color="auto" w:fill="auto"/>
          </w:tcPr>
          <w:p w14:paraId="61230AFE" w14:textId="77777777" w:rsidR="00D10C58" w:rsidRPr="00D10C58" w:rsidRDefault="00D10C58" w:rsidP="000546CD">
            <w:pPr>
              <w:spacing w:before="0" w:after="0" w:line="276" w:lineRule="auto"/>
              <w:ind w:left="309" w:firstLine="0"/>
              <w:rPr>
                <w:rFonts w:cs="Sylfaen"/>
                <w:sz w:val="20"/>
                <w:szCs w:val="20"/>
              </w:rPr>
            </w:pPr>
            <w:r w:rsidRPr="00D10C58">
              <w:rPr>
                <w:rFonts w:cs="Sylfaen"/>
                <w:sz w:val="20"/>
                <w:szCs w:val="20"/>
              </w:rPr>
              <w:t>Փոփոխություն, %</w:t>
            </w:r>
          </w:p>
        </w:tc>
        <w:tc>
          <w:tcPr>
            <w:tcW w:w="1170" w:type="dxa"/>
          </w:tcPr>
          <w:p w14:paraId="18699F4C" w14:textId="77777777" w:rsidR="00D10C58" w:rsidRPr="00D10C58" w:rsidRDefault="00D10C58" w:rsidP="000546CD">
            <w:pPr>
              <w:spacing w:before="0" w:after="0" w:line="276" w:lineRule="auto"/>
              <w:ind w:firstLine="0"/>
              <w:jc w:val="center"/>
              <w:rPr>
                <w:sz w:val="18"/>
                <w:szCs w:val="18"/>
              </w:rPr>
            </w:pPr>
            <w:r w:rsidRPr="00D10C58">
              <w:rPr>
                <w:sz w:val="18"/>
                <w:szCs w:val="18"/>
              </w:rPr>
              <w:t>23.7</w:t>
            </w:r>
          </w:p>
        </w:tc>
        <w:tc>
          <w:tcPr>
            <w:tcW w:w="1204" w:type="dxa"/>
          </w:tcPr>
          <w:p w14:paraId="2710E51A" w14:textId="77777777" w:rsidR="00D10C58" w:rsidRPr="00D10C58" w:rsidRDefault="00D10C58" w:rsidP="000546CD">
            <w:pPr>
              <w:spacing w:before="0" w:after="0" w:line="276" w:lineRule="auto"/>
              <w:ind w:firstLine="0"/>
              <w:jc w:val="center"/>
              <w:rPr>
                <w:sz w:val="18"/>
                <w:szCs w:val="18"/>
              </w:rPr>
            </w:pPr>
            <w:r w:rsidRPr="00D10C58">
              <w:rPr>
                <w:sz w:val="18"/>
                <w:szCs w:val="18"/>
              </w:rPr>
              <w:t>11.3</w:t>
            </w:r>
          </w:p>
        </w:tc>
        <w:tc>
          <w:tcPr>
            <w:tcW w:w="992" w:type="dxa"/>
          </w:tcPr>
          <w:p w14:paraId="4E31DCA7" w14:textId="77777777" w:rsidR="00D10C58" w:rsidRPr="00D10C58" w:rsidRDefault="00D10C58" w:rsidP="000546CD">
            <w:pPr>
              <w:spacing w:before="0" w:after="0" w:line="276" w:lineRule="auto"/>
              <w:ind w:firstLine="0"/>
              <w:jc w:val="center"/>
              <w:rPr>
                <w:sz w:val="18"/>
                <w:szCs w:val="18"/>
              </w:rPr>
            </w:pPr>
            <w:r w:rsidRPr="00D10C58">
              <w:rPr>
                <w:sz w:val="18"/>
                <w:szCs w:val="18"/>
              </w:rPr>
              <w:t>14.9</w:t>
            </w:r>
          </w:p>
        </w:tc>
        <w:tc>
          <w:tcPr>
            <w:tcW w:w="993" w:type="dxa"/>
            <w:shd w:val="clear" w:color="auto" w:fill="D9E2F3"/>
          </w:tcPr>
          <w:p w14:paraId="69EAD413" w14:textId="77777777" w:rsidR="00D10C58" w:rsidRPr="00D10C58" w:rsidRDefault="00D10C58" w:rsidP="000546CD">
            <w:pPr>
              <w:spacing w:before="0" w:after="0" w:line="276" w:lineRule="auto"/>
              <w:ind w:firstLine="0"/>
              <w:jc w:val="center"/>
              <w:rPr>
                <w:sz w:val="18"/>
                <w:szCs w:val="18"/>
              </w:rPr>
            </w:pPr>
            <w:r w:rsidRPr="00D10C58">
              <w:rPr>
                <w:sz w:val="18"/>
                <w:szCs w:val="18"/>
              </w:rPr>
              <w:t>-21.8</w:t>
            </w:r>
          </w:p>
        </w:tc>
        <w:tc>
          <w:tcPr>
            <w:tcW w:w="992" w:type="dxa"/>
            <w:shd w:val="clear" w:color="auto" w:fill="D9E2F3"/>
          </w:tcPr>
          <w:p w14:paraId="70D6BBD5" w14:textId="77777777" w:rsidR="00D10C58" w:rsidRPr="00D10C58" w:rsidRDefault="00D10C58" w:rsidP="000546CD">
            <w:pPr>
              <w:spacing w:before="0" w:after="0" w:line="276" w:lineRule="auto"/>
              <w:ind w:firstLine="0"/>
              <w:jc w:val="center"/>
              <w:rPr>
                <w:sz w:val="18"/>
                <w:szCs w:val="18"/>
              </w:rPr>
            </w:pPr>
            <w:r w:rsidRPr="00D10C58">
              <w:rPr>
                <w:sz w:val="18"/>
                <w:szCs w:val="18"/>
              </w:rPr>
              <w:t>16.6</w:t>
            </w:r>
          </w:p>
        </w:tc>
        <w:tc>
          <w:tcPr>
            <w:tcW w:w="992" w:type="dxa"/>
            <w:shd w:val="clear" w:color="auto" w:fill="D9E2F3"/>
          </w:tcPr>
          <w:p w14:paraId="78F0DFE6" w14:textId="77777777" w:rsidR="00D10C58" w:rsidRPr="00D10C58" w:rsidRDefault="00D10C58" w:rsidP="000546CD">
            <w:pPr>
              <w:spacing w:before="0" w:after="0" w:line="276" w:lineRule="auto"/>
              <w:ind w:firstLine="0"/>
              <w:jc w:val="center"/>
              <w:rPr>
                <w:sz w:val="18"/>
                <w:szCs w:val="18"/>
              </w:rPr>
            </w:pPr>
            <w:r w:rsidRPr="00D10C58">
              <w:rPr>
                <w:sz w:val="18"/>
                <w:szCs w:val="18"/>
              </w:rPr>
              <w:t>12.0</w:t>
            </w:r>
          </w:p>
        </w:tc>
        <w:tc>
          <w:tcPr>
            <w:tcW w:w="947" w:type="dxa"/>
            <w:shd w:val="clear" w:color="auto" w:fill="D9E2F3"/>
          </w:tcPr>
          <w:p w14:paraId="4BCA6EC5" w14:textId="77777777" w:rsidR="00D10C58" w:rsidRPr="00D10C58" w:rsidRDefault="00D10C58" w:rsidP="000546CD">
            <w:pPr>
              <w:spacing w:before="0" w:after="0" w:line="276" w:lineRule="auto"/>
              <w:ind w:firstLine="0"/>
              <w:jc w:val="center"/>
              <w:rPr>
                <w:sz w:val="18"/>
                <w:szCs w:val="18"/>
              </w:rPr>
            </w:pPr>
            <w:r w:rsidRPr="00D10C58">
              <w:rPr>
                <w:sz w:val="18"/>
                <w:szCs w:val="18"/>
              </w:rPr>
              <w:t>11.7</w:t>
            </w:r>
          </w:p>
        </w:tc>
      </w:tr>
      <w:tr w:rsidR="00D10C58" w:rsidRPr="00D10C58" w14:paraId="5A29F5E6" w14:textId="77777777" w:rsidTr="007D18FD">
        <w:trPr>
          <w:trHeight w:val="258"/>
        </w:trPr>
        <w:tc>
          <w:tcPr>
            <w:tcW w:w="3405" w:type="dxa"/>
            <w:shd w:val="clear" w:color="auto" w:fill="auto"/>
          </w:tcPr>
          <w:p w14:paraId="492EDA8F"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Ներմուծում</w:t>
            </w:r>
          </w:p>
        </w:tc>
        <w:tc>
          <w:tcPr>
            <w:tcW w:w="1170" w:type="dxa"/>
          </w:tcPr>
          <w:p w14:paraId="25837AD7" w14:textId="77777777" w:rsidR="00D10C58" w:rsidRPr="00D10C58" w:rsidRDefault="00D10C58" w:rsidP="000546CD">
            <w:pPr>
              <w:spacing w:before="0" w:after="0" w:line="276" w:lineRule="auto"/>
              <w:ind w:firstLine="0"/>
              <w:jc w:val="center"/>
              <w:rPr>
                <w:sz w:val="18"/>
                <w:szCs w:val="18"/>
              </w:rPr>
            </w:pPr>
            <w:r w:rsidRPr="00D10C58">
              <w:rPr>
                <w:sz w:val="18"/>
                <w:szCs w:val="18"/>
              </w:rPr>
              <w:t>5,650.6</w:t>
            </w:r>
          </w:p>
        </w:tc>
        <w:tc>
          <w:tcPr>
            <w:tcW w:w="1204" w:type="dxa"/>
          </w:tcPr>
          <w:p w14:paraId="400C4A3F" w14:textId="77777777" w:rsidR="00D10C58" w:rsidRPr="00D10C58" w:rsidRDefault="00D10C58" w:rsidP="000546CD">
            <w:pPr>
              <w:spacing w:before="0" w:after="0" w:line="276" w:lineRule="auto"/>
              <w:ind w:firstLine="0"/>
              <w:jc w:val="center"/>
              <w:rPr>
                <w:sz w:val="18"/>
                <w:szCs w:val="18"/>
              </w:rPr>
            </w:pPr>
            <w:r w:rsidRPr="00D10C58">
              <w:rPr>
                <w:sz w:val="18"/>
                <w:szCs w:val="18"/>
              </w:rPr>
              <w:t>6,609.5</w:t>
            </w:r>
          </w:p>
        </w:tc>
        <w:tc>
          <w:tcPr>
            <w:tcW w:w="992" w:type="dxa"/>
          </w:tcPr>
          <w:p w14:paraId="328918F2" w14:textId="77777777" w:rsidR="00D10C58" w:rsidRPr="00D10C58" w:rsidRDefault="00D10C58" w:rsidP="000546CD">
            <w:pPr>
              <w:spacing w:before="0" w:after="0" w:line="276" w:lineRule="auto"/>
              <w:ind w:firstLine="0"/>
              <w:jc w:val="center"/>
              <w:rPr>
                <w:sz w:val="18"/>
                <w:szCs w:val="18"/>
              </w:rPr>
            </w:pPr>
            <w:r w:rsidRPr="00D10C58">
              <w:rPr>
                <w:sz w:val="18"/>
                <w:szCs w:val="18"/>
              </w:rPr>
              <w:t>7,469.5</w:t>
            </w:r>
          </w:p>
        </w:tc>
        <w:tc>
          <w:tcPr>
            <w:tcW w:w="993" w:type="dxa"/>
            <w:shd w:val="clear" w:color="auto" w:fill="D9E2F3"/>
          </w:tcPr>
          <w:p w14:paraId="508ECF62" w14:textId="77777777" w:rsidR="00D10C58" w:rsidRPr="00D10C58" w:rsidRDefault="00D10C58" w:rsidP="000546CD">
            <w:pPr>
              <w:spacing w:before="0" w:after="0" w:line="276" w:lineRule="auto"/>
              <w:ind w:firstLine="0"/>
              <w:jc w:val="center"/>
              <w:rPr>
                <w:sz w:val="18"/>
                <w:szCs w:val="18"/>
              </w:rPr>
            </w:pPr>
            <w:r w:rsidRPr="00D10C58">
              <w:rPr>
                <w:sz w:val="18"/>
                <w:szCs w:val="18"/>
              </w:rPr>
              <w:t>6,374.3</w:t>
            </w:r>
          </w:p>
        </w:tc>
        <w:tc>
          <w:tcPr>
            <w:tcW w:w="992" w:type="dxa"/>
            <w:shd w:val="clear" w:color="auto" w:fill="D9E2F3"/>
          </w:tcPr>
          <w:p w14:paraId="11B6C9C8" w14:textId="77777777" w:rsidR="00D10C58" w:rsidRPr="00D10C58" w:rsidRDefault="00D10C58" w:rsidP="000546CD">
            <w:pPr>
              <w:spacing w:before="0" w:after="0" w:line="276" w:lineRule="auto"/>
              <w:ind w:firstLine="0"/>
              <w:jc w:val="center"/>
              <w:rPr>
                <w:sz w:val="18"/>
                <w:szCs w:val="18"/>
              </w:rPr>
            </w:pPr>
            <w:r w:rsidRPr="00D10C58">
              <w:rPr>
                <w:sz w:val="18"/>
                <w:szCs w:val="18"/>
              </w:rPr>
              <w:t>6,992.3</w:t>
            </w:r>
          </w:p>
        </w:tc>
        <w:tc>
          <w:tcPr>
            <w:tcW w:w="992" w:type="dxa"/>
            <w:shd w:val="clear" w:color="auto" w:fill="D9E2F3"/>
          </w:tcPr>
          <w:p w14:paraId="2C67B5B4" w14:textId="77777777" w:rsidR="00D10C58" w:rsidRPr="00D10C58" w:rsidRDefault="00D10C58" w:rsidP="000546CD">
            <w:pPr>
              <w:spacing w:before="0" w:after="0" w:line="276" w:lineRule="auto"/>
              <w:ind w:firstLine="0"/>
              <w:jc w:val="center"/>
              <w:rPr>
                <w:sz w:val="18"/>
                <w:szCs w:val="18"/>
              </w:rPr>
            </w:pPr>
            <w:r w:rsidRPr="00D10C58">
              <w:rPr>
                <w:sz w:val="18"/>
                <w:szCs w:val="18"/>
              </w:rPr>
              <w:t>7,574.6</w:t>
            </w:r>
          </w:p>
        </w:tc>
        <w:tc>
          <w:tcPr>
            <w:tcW w:w="947" w:type="dxa"/>
            <w:shd w:val="clear" w:color="auto" w:fill="D9E2F3"/>
          </w:tcPr>
          <w:p w14:paraId="21B28F23" w14:textId="77777777" w:rsidR="00D10C58" w:rsidRPr="00D10C58" w:rsidRDefault="00D10C58" w:rsidP="000546CD">
            <w:pPr>
              <w:spacing w:before="0" w:after="0" w:line="276" w:lineRule="auto"/>
              <w:ind w:firstLine="0"/>
              <w:jc w:val="center"/>
              <w:rPr>
                <w:sz w:val="18"/>
                <w:szCs w:val="18"/>
              </w:rPr>
            </w:pPr>
            <w:r w:rsidRPr="00D10C58">
              <w:rPr>
                <w:sz w:val="18"/>
                <w:szCs w:val="18"/>
              </w:rPr>
              <w:t>7,960.9</w:t>
            </w:r>
          </w:p>
        </w:tc>
      </w:tr>
      <w:tr w:rsidR="00D10C58" w:rsidRPr="00D10C58" w14:paraId="77FA739E" w14:textId="77777777" w:rsidTr="007D18FD">
        <w:trPr>
          <w:trHeight w:val="258"/>
        </w:trPr>
        <w:tc>
          <w:tcPr>
            <w:tcW w:w="3405" w:type="dxa"/>
            <w:shd w:val="clear" w:color="auto" w:fill="auto"/>
            <w:noWrap/>
          </w:tcPr>
          <w:p w14:paraId="16CB5DA3" w14:textId="77777777" w:rsidR="00D10C58" w:rsidRPr="00D10C58" w:rsidRDefault="00D10C58" w:rsidP="000546CD">
            <w:pPr>
              <w:spacing w:before="0" w:after="0" w:line="276" w:lineRule="auto"/>
              <w:ind w:left="309" w:firstLine="0"/>
              <w:rPr>
                <w:rFonts w:cs="Sylfaen"/>
                <w:sz w:val="20"/>
                <w:szCs w:val="20"/>
              </w:rPr>
            </w:pPr>
            <w:r w:rsidRPr="00D10C58">
              <w:rPr>
                <w:rFonts w:cs="Sylfaen"/>
                <w:sz w:val="20"/>
                <w:szCs w:val="20"/>
              </w:rPr>
              <w:t>Փոփոխություն, %</w:t>
            </w:r>
          </w:p>
        </w:tc>
        <w:tc>
          <w:tcPr>
            <w:tcW w:w="1170" w:type="dxa"/>
          </w:tcPr>
          <w:p w14:paraId="12D3EAF8" w14:textId="77777777" w:rsidR="00D10C58" w:rsidRPr="00D10C58" w:rsidRDefault="00D10C58" w:rsidP="000546CD">
            <w:pPr>
              <w:spacing w:before="0" w:after="0" w:line="276" w:lineRule="auto"/>
              <w:ind w:firstLine="0"/>
              <w:jc w:val="center"/>
              <w:rPr>
                <w:sz w:val="18"/>
                <w:szCs w:val="18"/>
              </w:rPr>
            </w:pPr>
            <w:r w:rsidRPr="00D10C58">
              <w:rPr>
                <w:sz w:val="18"/>
                <w:szCs w:val="18"/>
              </w:rPr>
              <w:t>26.4</w:t>
            </w:r>
          </w:p>
        </w:tc>
        <w:tc>
          <w:tcPr>
            <w:tcW w:w="1204" w:type="dxa"/>
          </w:tcPr>
          <w:p w14:paraId="66E9DAC6" w14:textId="77777777" w:rsidR="00D10C58" w:rsidRPr="00D10C58" w:rsidRDefault="00D10C58" w:rsidP="000546CD">
            <w:pPr>
              <w:spacing w:before="0" w:after="0" w:line="276" w:lineRule="auto"/>
              <w:ind w:firstLine="0"/>
              <w:jc w:val="center"/>
              <w:rPr>
                <w:sz w:val="18"/>
                <w:szCs w:val="18"/>
              </w:rPr>
            </w:pPr>
            <w:r w:rsidRPr="00D10C58">
              <w:rPr>
                <w:sz w:val="18"/>
                <w:szCs w:val="18"/>
              </w:rPr>
              <w:t>17.0</w:t>
            </w:r>
          </w:p>
        </w:tc>
        <w:tc>
          <w:tcPr>
            <w:tcW w:w="992" w:type="dxa"/>
          </w:tcPr>
          <w:p w14:paraId="347ABDFD" w14:textId="77777777" w:rsidR="00D10C58" w:rsidRPr="00D10C58" w:rsidRDefault="00D10C58" w:rsidP="000546CD">
            <w:pPr>
              <w:spacing w:before="0" w:after="0" w:line="276" w:lineRule="auto"/>
              <w:ind w:firstLine="0"/>
              <w:jc w:val="center"/>
              <w:rPr>
                <w:sz w:val="18"/>
                <w:szCs w:val="18"/>
              </w:rPr>
            </w:pPr>
            <w:r w:rsidRPr="00D10C58">
              <w:rPr>
                <w:sz w:val="18"/>
                <w:szCs w:val="18"/>
              </w:rPr>
              <w:t>13.0</w:t>
            </w:r>
          </w:p>
        </w:tc>
        <w:tc>
          <w:tcPr>
            <w:tcW w:w="993" w:type="dxa"/>
            <w:shd w:val="clear" w:color="auto" w:fill="D9E2F3"/>
          </w:tcPr>
          <w:p w14:paraId="63D76781" w14:textId="77777777" w:rsidR="00D10C58" w:rsidRPr="00D10C58" w:rsidRDefault="00D10C58" w:rsidP="000546CD">
            <w:pPr>
              <w:spacing w:before="0" w:after="0" w:line="276" w:lineRule="auto"/>
              <w:ind w:firstLine="0"/>
              <w:jc w:val="center"/>
              <w:rPr>
                <w:sz w:val="18"/>
                <w:szCs w:val="18"/>
              </w:rPr>
            </w:pPr>
            <w:r w:rsidRPr="00D10C58">
              <w:rPr>
                <w:sz w:val="18"/>
                <w:szCs w:val="18"/>
              </w:rPr>
              <w:t>-14.7</w:t>
            </w:r>
          </w:p>
        </w:tc>
        <w:tc>
          <w:tcPr>
            <w:tcW w:w="992" w:type="dxa"/>
            <w:shd w:val="clear" w:color="auto" w:fill="D9E2F3"/>
          </w:tcPr>
          <w:p w14:paraId="59AA9C79" w14:textId="77777777" w:rsidR="00D10C58" w:rsidRPr="00D10C58" w:rsidRDefault="00D10C58" w:rsidP="000546CD">
            <w:pPr>
              <w:spacing w:before="0" w:after="0" w:line="276" w:lineRule="auto"/>
              <w:ind w:firstLine="0"/>
              <w:jc w:val="center"/>
              <w:rPr>
                <w:sz w:val="18"/>
                <w:szCs w:val="18"/>
              </w:rPr>
            </w:pPr>
            <w:r w:rsidRPr="00D10C58">
              <w:rPr>
                <w:sz w:val="18"/>
                <w:szCs w:val="18"/>
              </w:rPr>
              <w:t>9.7</w:t>
            </w:r>
          </w:p>
        </w:tc>
        <w:tc>
          <w:tcPr>
            <w:tcW w:w="992" w:type="dxa"/>
            <w:shd w:val="clear" w:color="auto" w:fill="D9E2F3"/>
          </w:tcPr>
          <w:p w14:paraId="0141BB48" w14:textId="77777777" w:rsidR="00D10C58" w:rsidRPr="00D10C58" w:rsidRDefault="00D10C58" w:rsidP="000546CD">
            <w:pPr>
              <w:spacing w:before="0" w:after="0" w:line="276" w:lineRule="auto"/>
              <w:ind w:firstLine="0"/>
              <w:jc w:val="center"/>
              <w:rPr>
                <w:sz w:val="18"/>
                <w:szCs w:val="18"/>
              </w:rPr>
            </w:pPr>
            <w:r w:rsidRPr="00D10C58">
              <w:rPr>
                <w:sz w:val="18"/>
                <w:szCs w:val="18"/>
              </w:rPr>
              <w:t>8.3</w:t>
            </w:r>
          </w:p>
        </w:tc>
        <w:tc>
          <w:tcPr>
            <w:tcW w:w="947" w:type="dxa"/>
            <w:shd w:val="clear" w:color="auto" w:fill="D9E2F3"/>
          </w:tcPr>
          <w:p w14:paraId="51BA6D28" w14:textId="77777777" w:rsidR="00D10C58" w:rsidRPr="00D10C58" w:rsidRDefault="00D10C58" w:rsidP="000546CD">
            <w:pPr>
              <w:spacing w:before="0" w:after="0" w:line="276" w:lineRule="auto"/>
              <w:ind w:firstLine="0"/>
              <w:jc w:val="center"/>
              <w:rPr>
                <w:sz w:val="18"/>
                <w:szCs w:val="18"/>
              </w:rPr>
            </w:pPr>
            <w:r w:rsidRPr="00D10C58">
              <w:rPr>
                <w:sz w:val="18"/>
                <w:szCs w:val="18"/>
              </w:rPr>
              <w:t>5.1</w:t>
            </w:r>
          </w:p>
        </w:tc>
      </w:tr>
      <w:tr w:rsidR="00D10C58" w:rsidRPr="00D10C58" w14:paraId="00AA7C36" w14:textId="77777777" w:rsidTr="007D18FD">
        <w:trPr>
          <w:trHeight w:val="258"/>
        </w:trPr>
        <w:tc>
          <w:tcPr>
            <w:tcW w:w="3405" w:type="dxa"/>
            <w:shd w:val="clear" w:color="auto" w:fill="auto"/>
            <w:noWrap/>
          </w:tcPr>
          <w:p w14:paraId="5E3262C4"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Դրամական փոխանցումներ</w:t>
            </w:r>
          </w:p>
        </w:tc>
        <w:tc>
          <w:tcPr>
            <w:tcW w:w="1170" w:type="dxa"/>
          </w:tcPr>
          <w:p w14:paraId="4E03E879" w14:textId="77777777" w:rsidR="00D10C58" w:rsidRPr="00D10C58" w:rsidRDefault="00D10C58" w:rsidP="000546CD">
            <w:pPr>
              <w:spacing w:before="0" w:after="0" w:line="276" w:lineRule="auto"/>
              <w:ind w:firstLine="0"/>
              <w:jc w:val="center"/>
              <w:rPr>
                <w:sz w:val="18"/>
                <w:szCs w:val="18"/>
              </w:rPr>
            </w:pPr>
            <w:r w:rsidRPr="00D10C58">
              <w:rPr>
                <w:sz w:val="18"/>
                <w:szCs w:val="18"/>
              </w:rPr>
              <w:t>1,179.3</w:t>
            </w:r>
          </w:p>
        </w:tc>
        <w:tc>
          <w:tcPr>
            <w:tcW w:w="1204" w:type="dxa"/>
          </w:tcPr>
          <w:p w14:paraId="06FA39AF" w14:textId="77777777" w:rsidR="00D10C58" w:rsidRPr="00D10C58" w:rsidRDefault="00D10C58" w:rsidP="000546CD">
            <w:pPr>
              <w:spacing w:before="0" w:after="0" w:line="276" w:lineRule="auto"/>
              <w:ind w:firstLine="0"/>
              <w:jc w:val="center"/>
              <w:rPr>
                <w:sz w:val="18"/>
                <w:szCs w:val="18"/>
              </w:rPr>
            </w:pPr>
            <w:r w:rsidRPr="00D10C58">
              <w:rPr>
                <w:sz w:val="18"/>
                <w:szCs w:val="18"/>
              </w:rPr>
              <w:t>1,136.2</w:t>
            </w:r>
          </w:p>
        </w:tc>
        <w:tc>
          <w:tcPr>
            <w:tcW w:w="992" w:type="dxa"/>
          </w:tcPr>
          <w:p w14:paraId="4883AC3D" w14:textId="77777777" w:rsidR="00D10C58" w:rsidRPr="00D10C58" w:rsidRDefault="00D10C58" w:rsidP="000546CD">
            <w:pPr>
              <w:spacing w:before="0" w:after="0" w:line="276" w:lineRule="auto"/>
              <w:ind w:firstLine="0"/>
              <w:jc w:val="center"/>
              <w:rPr>
                <w:sz w:val="18"/>
                <w:szCs w:val="18"/>
              </w:rPr>
            </w:pPr>
            <w:r w:rsidRPr="00D10C58">
              <w:rPr>
                <w:sz w:val="18"/>
                <w:szCs w:val="18"/>
              </w:rPr>
              <w:t>1,143.8</w:t>
            </w:r>
          </w:p>
        </w:tc>
        <w:tc>
          <w:tcPr>
            <w:tcW w:w="993" w:type="dxa"/>
            <w:shd w:val="clear" w:color="auto" w:fill="D9E2F3"/>
          </w:tcPr>
          <w:p w14:paraId="7E738CCD" w14:textId="77777777" w:rsidR="00D10C58" w:rsidRPr="00D10C58" w:rsidRDefault="00D10C58" w:rsidP="000546CD">
            <w:pPr>
              <w:spacing w:before="0" w:after="0" w:line="276" w:lineRule="auto"/>
              <w:ind w:firstLine="0"/>
              <w:jc w:val="center"/>
              <w:rPr>
                <w:sz w:val="18"/>
                <w:szCs w:val="18"/>
              </w:rPr>
            </w:pPr>
            <w:r w:rsidRPr="00D10C58">
              <w:rPr>
                <w:sz w:val="18"/>
                <w:szCs w:val="18"/>
              </w:rPr>
              <w:t>886.4</w:t>
            </w:r>
          </w:p>
        </w:tc>
        <w:tc>
          <w:tcPr>
            <w:tcW w:w="992" w:type="dxa"/>
            <w:shd w:val="clear" w:color="auto" w:fill="D9E2F3"/>
          </w:tcPr>
          <w:p w14:paraId="31EDA336" w14:textId="77777777" w:rsidR="00D10C58" w:rsidRPr="00D10C58" w:rsidRDefault="00D10C58" w:rsidP="000546CD">
            <w:pPr>
              <w:spacing w:before="0" w:after="0" w:line="276" w:lineRule="auto"/>
              <w:ind w:firstLine="0"/>
              <w:jc w:val="center"/>
              <w:rPr>
                <w:sz w:val="18"/>
                <w:szCs w:val="18"/>
              </w:rPr>
            </w:pPr>
            <w:r w:rsidRPr="00D10C58">
              <w:rPr>
                <w:sz w:val="18"/>
                <w:szCs w:val="18"/>
              </w:rPr>
              <w:t>1,009.6</w:t>
            </w:r>
          </w:p>
        </w:tc>
        <w:tc>
          <w:tcPr>
            <w:tcW w:w="992" w:type="dxa"/>
            <w:shd w:val="clear" w:color="auto" w:fill="D9E2F3"/>
          </w:tcPr>
          <w:p w14:paraId="049B2982" w14:textId="77777777" w:rsidR="00D10C58" w:rsidRPr="00D10C58" w:rsidRDefault="00D10C58" w:rsidP="000546CD">
            <w:pPr>
              <w:spacing w:before="0" w:after="0" w:line="276" w:lineRule="auto"/>
              <w:ind w:firstLine="0"/>
              <w:jc w:val="center"/>
              <w:rPr>
                <w:sz w:val="18"/>
                <w:szCs w:val="18"/>
              </w:rPr>
            </w:pPr>
            <w:r w:rsidRPr="00D10C58">
              <w:rPr>
                <w:sz w:val="18"/>
                <w:szCs w:val="18"/>
              </w:rPr>
              <w:t>1,060.1</w:t>
            </w:r>
          </w:p>
        </w:tc>
        <w:tc>
          <w:tcPr>
            <w:tcW w:w="947" w:type="dxa"/>
            <w:shd w:val="clear" w:color="auto" w:fill="D9E2F3"/>
          </w:tcPr>
          <w:p w14:paraId="4F94205D" w14:textId="77777777" w:rsidR="00D10C58" w:rsidRPr="00D10C58" w:rsidRDefault="00D10C58" w:rsidP="000546CD">
            <w:pPr>
              <w:spacing w:before="0" w:after="0" w:line="276" w:lineRule="auto"/>
              <w:ind w:firstLine="0"/>
              <w:jc w:val="center"/>
              <w:rPr>
                <w:sz w:val="18"/>
                <w:szCs w:val="18"/>
              </w:rPr>
            </w:pPr>
            <w:r w:rsidRPr="00D10C58">
              <w:rPr>
                <w:sz w:val="18"/>
                <w:szCs w:val="18"/>
              </w:rPr>
              <w:t>1,091.9</w:t>
            </w:r>
          </w:p>
        </w:tc>
      </w:tr>
      <w:tr w:rsidR="00D10C58" w:rsidRPr="00D10C58" w14:paraId="6E333062" w14:textId="77777777" w:rsidTr="00B62713">
        <w:trPr>
          <w:trHeight w:val="258"/>
        </w:trPr>
        <w:tc>
          <w:tcPr>
            <w:tcW w:w="10695" w:type="dxa"/>
            <w:gridSpan w:val="8"/>
            <w:shd w:val="clear" w:color="auto" w:fill="auto"/>
            <w:noWrap/>
          </w:tcPr>
          <w:p w14:paraId="276BD0BA" w14:textId="77777777" w:rsidR="00D10C58" w:rsidRPr="00D10C58" w:rsidRDefault="00D10C58" w:rsidP="000546CD">
            <w:pPr>
              <w:spacing w:before="0" w:after="0" w:line="276" w:lineRule="auto"/>
              <w:ind w:firstLine="0"/>
              <w:jc w:val="left"/>
              <w:rPr>
                <w:sz w:val="18"/>
                <w:szCs w:val="18"/>
              </w:rPr>
            </w:pPr>
            <w:r w:rsidRPr="00D10C58">
              <w:rPr>
                <w:rFonts w:cs="Sylfaen"/>
                <w:b/>
                <w:sz w:val="18"/>
                <w:szCs w:val="18"/>
                <w:u w:val="single"/>
              </w:rPr>
              <w:t>ՀՆԱ-ի նկատմամբ %</w:t>
            </w:r>
          </w:p>
        </w:tc>
      </w:tr>
      <w:tr w:rsidR="00D10C58" w:rsidRPr="00D10C58" w14:paraId="40795E96" w14:textId="77777777" w:rsidTr="007D18FD">
        <w:trPr>
          <w:trHeight w:val="258"/>
        </w:trPr>
        <w:tc>
          <w:tcPr>
            <w:tcW w:w="3405" w:type="dxa"/>
            <w:shd w:val="clear" w:color="auto" w:fill="auto"/>
            <w:noWrap/>
          </w:tcPr>
          <w:p w14:paraId="3CD40983"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 xml:space="preserve">Ընթացիկ հաշիվ </w:t>
            </w:r>
          </w:p>
        </w:tc>
        <w:tc>
          <w:tcPr>
            <w:tcW w:w="1170" w:type="dxa"/>
          </w:tcPr>
          <w:p w14:paraId="2D7DCA05" w14:textId="77777777" w:rsidR="00D10C58" w:rsidRPr="00D10C58" w:rsidRDefault="00D10C58" w:rsidP="000546CD">
            <w:pPr>
              <w:spacing w:before="0" w:after="0" w:line="276" w:lineRule="auto"/>
              <w:ind w:firstLine="0"/>
              <w:jc w:val="center"/>
              <w:rPr>
                <w:sz w:val="18"/>
                <w:szCs w:val="18"/>
              </w:rPr>
            </w:pPr>
            <w:r w:rsidRPr="00D10C58">
              <w:rPr>
                <w:sz w:val="18"/>
                <w:szCs w:val="18"/>
              </w:rPr>
              <w:t>-1.5</w:t>
            </w:r>
          </w:p>
        </w:tc>
        <w:tc>
          <w:tcPr>
            <w:tcW w:w="1204" w:type="dxa"/>
          </w:tcPr>
          <w:p w14:paraId="4DBBFD14" w14:textId="77777777" w:rsidR="00D10C58" w:rsidRPr="00D10C58" w:rsidRDefault="00D10C58" w:rsidP="000546CD">
            <w:pPr>
              <w:spacing w:before="0" w:after="0" w:line="276" w:lineRule="auto"/>
              <w:ind w:firstLine="0"/>
              <w:jc w:val="center"/>
              <w:rPr>
                <w:sz w:val="18"/>
                <w:szCs w:val="18"/>
              </w:rPr>
            </w:pPr>
            <w:r w:rsidRPr="00D10C58">
              <w:rPr>
                <w:sz w:val="18"/>
                <w:szCs w:val="18"/>
              </w:rPr>
              <w:t>-6.9</w:t>
            </w:r>
          </w:p>
        </w:tc>
        <w:tc>
          <w:tcPr>
            <w:tcW w:w="992" w:type="dxa"/>
          </w:tcPr>
          <w:p w14:paraId="3FE8CB3F" w14:textId="77777777" w:rsidR="00D10C58" w:rsidRPr="00D10C58" w:rsidRDefault="00D10C58" w:rsidP="000546CD">
            <w:pPr>
              <w:spacing w:before="0" w:after="0" w:line="276" w:lineRule="auto"/>
              <w:ind w:firstLine="0"/>
              <w:jc w:val="center"/>
              <w:rPr>
                <w:sz w:val="18"/>
                <w:szCs w:val="18"/>
              </w:rPr>
            </w:pPr>
            <w:r w:rsidRPr="00D10C58">
              <w:rPr>
                <w:sz w:val="18"/>
                <w:szCs w:val="18"/>
              </w:rPr>
              <w:t>-7.2</w:t>
            </w:r>
          </w:p>
        </w:tc>
        <w:tc>
          <w:tcPr>
            <w:tcW w:w="993" w:type="dxa"/>
            <w:shd w:val="clear" w:color="auto" w:fill="D9E2F3"/>
          </w:tcPr>
          <w:p w14:paraId="60CA07B3" w14:textId="77777777" w:rsidR="00D10C58" w:rsidRPr="00D10C58" w:rsidRDefault="00D10C58" w:rsidP="000546CD">
            <w:pPr>
              <w:spacing w:before="0" w:after="0" w:line="276" w:lineRule="auto"/>
              <w:ind w:firstLine="0"/>
              <w:jc w:val="center"/>
              <w:rPr>
                <w:sz w:val="18"/>
                <w:szCs w:val="18"/>
              </w:rPr>
            </w:pPr>
            <w:r w:rsidRPr="00D10C58">
              <w:rPr>
                <w:sz w:val="18"/>
                <w:szCs w:val="18"/>
              </w:rPr>
              <w:t>-9.7</w:t>
            </w:r>
          </w:p>
        </w:tc>
        <w:tc>
          <w:tcPr>
            <w:tcW w:w="992" w:type="dxa"/>
            <w:shd w:val="clear" w:color="auto" w:fill="D9E2F3"/>
          </w:tcPr>
          <w:p w14:paraId="419659BC" w14:textId="77777777" w:rsidR="00D10C58" w:rsidRPr="00D10C58" w:rsidRDefault="00D10C58" w:rsidP="000546CD">
            <w:pPr>
              <w:spacing w:before="0" w:after="0" w:line="276" w:lineRule="auto"/>
              <w:ind w:firstLine="0"/>
              <w:jc w:val="center"/>
              <w:rPr>
                <w:sz w:val="18"/>
                <w:szCs w:val="18"/>
              </w:rPr>
            </w:pPr>
            <w:r w:rsidRPr="00D10C58">
              <w:rPr>
                <w:sz w:val="18"/>
                <w:szCs w:val="18"/>
              </w:rPr>
              <w:t>-7.3</w:t>
            </w:r>
          </w:p>
        </w:tc>
        <w:tc>
          <w:tcPr>
            <w:tcW w:w="992" w:type="dxa"/>
            <w:shd w:val="clear" w:color="auto" w:fill="D9E2F3"/>
          </w:tcPr>
          <w:p w14:paraId="3FFD56DE" w14:textId="77777777" w:rsidR="00D10C58" w:rsidRPr="00D10C58" w:rsidRDefault="00D10C58" w:rsidP="000546CD">
            <w:pPr>
              <w:spacing w:before="0" w:after="0" w:line="276" w:lineRule="auto"/>
              <w:ind w:firstLine="0"/>
              <w:jc w:val="center"/>
              <w:rPr>
                <w:sz w:val="18"/>
                <w:szCs w:val="18"/>
              </w:rPr>
            </w:pPr>
            <w:r w:rsidRPr="00D10C58">
              <w:rPr>
                <w:sz w:val="18"/>
                <w:szCs w:val="18"/>
              </w:rPr>
              <w:t>-6.3</w:t>
            </w:r>
          </w:p>
        </w:tc>
        <w:tc>
          <w:tcPr>
            <w:tcW w:w="947" w:type="dxa"/>
            <w:shd w:val="clear" w:color="auto" w:fill="D9E2F3"/>
          </w:tcPr>
          <w:p w14:paraId="74FA46C1" w14:textId="77777777" w:rsidR="00D10C58" w:rsidRPr="00D10C58" w:rsidRDefault="00D10C58" w:rsidP="000546CD">
            <w:pPr>
              <w:spacing w:before="0" w:after="0" w:line="276" w:lineRule="auto"/>
              <w:ind w:firstLine="0"/>
              <w:jc w:val="center"/>
              <w:rPr>
                <w:sz w:val="18"/>
                <w:szCs w:val="18"/>
              </w:rPr>
            </w:pPr>
            <w:r w:rsidRPr="00D10C58">
              <w:rPr>
                <w:sz w:val="18"/>
                <w:szCs w:val="18"/>
              </w:rPr>
              <w:t>-5.6</w:t>
            </w:r>
          </w:p>
        </w:tc>
      </w:tr>
      <w:tr w:rsidR="00D10C58" w:rsidRPr="00D10C58" w14:paraId="5A2DED45" w14:textId="77777777" w:rsidTr="007D18FD">
        <w:trPr>
          <w:trHeight w:val="258"/>
        </w:trPr>
        <w:tc>
          <w:tcPr>
            <w:tcW w:w="3405" w:type="dxa"/>
            <w:shd w:val="clear" w:color="auto" w:fill="auto"/>
            <w:noWrap/>
          </w:tcPr>
          <w:p w14:paraId="0B2E7FBB" w14:textId="77777777" w:rsidR="00D10C58" w:rsidRPr="00D10C58" w:rsidRDefault="00D10C58" w:rsidP="000546CD">
            <w:pPr>
              <w:spacing w:before="0" w:after="0" w:line="276" w:lineRule="auto"/>
              <w:ind w:firstLine="0"/>
              <w:rPr>
                <w:rFonts w:cs="Sylfaen"/>
                <w:sz w:val="20"/>
                <w:szCs w:val="20"/>
                <w:u w:val="single"/>
              </w:rPr>
            </w:pPr>
            <w:r w:rsidRPr="00D10C58">
              <w:rPr>
                <w:rFonts w:cs="Sylfaen"/>
                <w:sz w:val="20"/>
                <w:szCs w:val="20"/>
              </w:rPr>
              <w:t>Ապրանքների և ծառայությունների հաշվեկշիռ</w:t>
            </w:r>
          </w:p>
        </w:tc>
        <w:tc>
          <w:tcPr>
            <w:tcW w:w="1170" w:type="dxa"/>
          </w:tcPr>
          <w:p w14:paraId="11E6D73E" w14:textId="77777777" w:rsidR="00D10C58" w:rsidRPr="00D10C58" w:rsidRDefault="00D10C58" w:rsidP="000546CD">
            <w:pPr>
              <w:spacing w:before="0" w:after="0" w:line="276" w:lineRule="auto"/>
              <w:ind w:firstLine="0"/>
              <w:jc w:val="center"/>
              <w:rPr>
                <w:sz w:val="18"/>
                <w:szCs w:val="18"/>
              </w:rPr>
            </w:pPr>
            <w:r w:rsidRPr="00D10C58">
              <w:rPr>
                <w:sz w:val="18"/>
                <w:szCs w:val="18"/>
              </w:rPr>
              <w:t>-10.8</w:t>
            </w:r>
          </w:p>
        </w:tc>
        <w:tc>
          <w:tcPr>
            <w:tcW w:w="1204" w:type="dxa"/>
          </w:tcPr>
          <w:p w14:paraId="5FDC22BD" w14:textId="77777777" w:rsidR="00D10C58" w:rsidRPr="00D10C58" w:rsidRDefault="00D10C58" w:rsidP="000546CD">
            <w:pPr>
              <w:spacing w:before="0" w:after="0" w:line="276" w:lineRule="auto"/>
              <w:ind w:firstLine="0"/>
              <w:jc w:val="center"/>
              <w:rPr>
                <w:sz w:val="18"/>
                <w:szCs w:val="18"/>
              </w:rPr>
            </w:pPr>
            <w:r w:rsidRPr="00D10C58">
              <w:rPr>
                <w:sz w:val="18"/>
                <w:szCs w:val="18"/>
              </w:rPr>
              <w:t>-13.7</w:t>
            </w:r>
          </w:p>
        </w:tc>
        <w:tc>
          <w:tcPr>
            <w:tcW w:w="992" w:type="dxa"/>
          </w:tcPr>
          <w:p w14:paraId="1B2D95DD" w14:textId="77777777" w:rsidR="00D10C58" w:rsidRPr="00D10C58" w:rsidRDefault="00D10C58" w:rsidP="000546CD">
            <w:pPr>
              <w:spacing w:before="0" w:after="0" w:line="276" w:lineRule="auto"/>
              <w:ind w:firstLine="0"/>
              <w:jc w:val="center"/>
              <w:rPr>
                <w:sz w:val="18"/>
                <w:szCs w:val="18"/>
              </w:rPr>
            </w:pPr>
            <w:r w:rsidRPr="00D10C58">
              <w:rPr>
                <w:sz w:val="18"/>
                <w:szCs w:val="18"/>
              </w:rPr>
              <w:t>-13.4</w:t>
            </w:r>
          </w:p>
        </w:tc>
        <w:tc>
          <w:tcPr>
            <w:tcW w:w="993" w:type="dxa"/>
            <w:shd w:val="clear" w:color="auto" w:fill="D9E2F3"/>
          </w:tcPr>
          <w:p w14:paraId="3EDAF3A9" w14:textId="77777777" w:rsidR="00D10C58" w:rsidRPr="00D10C58" w:rsidRDefault="00D10C58" w:rsidP="000546CD">
            <w:pPr>
              <w:spacing w:before="0" w:after="0" w:line="276" w:lineRule="auto"/>
              <w:ind w:firstLine="0"/>
              <w:jc w:val="center"/>
              <w:rPr>
                <w:sz w:val="18"/>
                <w:szCs w:val="18"/>
              </w:rPr>
            </w:pPr>
            <w:r w:rsidRPr="00D10C58">
              <w:rPr>
                <w:sz w:val="18"/>
                <w:szCs w:val="18"/>
              </w:rPr>
              <w:t>-15.2</w:t>
            </w:r>
          </w:p>
        </w:tc>
        <w:tc>
          <w:tcPr>
            <w:tcW w:w="992" w:type="dxa"/>
            <w:shd w:val="clear" w:color="auto" w:fill="D9E2F3"/>
          </w:tcPr>
          <w:p w14:paraId="70C272F5" w14:textId="77777777" w:rsidR="00D10C58" w:rsidRPr="00D10C58" w:rsidRDefault="00D10C58" w:rsidP="000546CD">
            <w:pPr>
              <w:spacing w:before="0" w:after="0" w:line="276" w:lineRule="auto"/>
              <w:ind w:firstLine="0"/>
              <w:jc w:val="center"/>
              <w:rPr>
                <w:sz w:val="18"/>
                <w:szCs w:val="18"/>
              </w:rPr>
            </w:pPr>
            <w:r w:rsidRPr="00D10C58">
              <w:rPr>
                <w:sz w:val="18"/>
                <w:szCs w:val="18"/>
              </w:rPr>
              <w:t>-13.2</w:t>
            </w:r>
          </w:p>
        </w:tc>
        <w:tc>
          <w:tcPr>
            <w:tcW w:w="992" w:type="dxa"/>
            <w:shd w:val="clear" w:color="auto" w:fill="D9E2F3"/>
          </w:tcPr>
          <w:p w14:paraId="6EC115AA" w14:textId="77777777" w:rsidR="00D10C58" w:rsidRPr="00D10C58" w:rsidRDefault="00D10C58" w:rsidP="000546CD">
            <w:pPr>
              <w:spacing w:before="0" w:after="0" w:line="276" w:lineRule="auto"/>
              <w:ind w:firstLine="0"/>
              <w:jc w:val="center"/>
              <w:rPr>
                <w:sz w:val="18"/>
                <w:szCs w:val="18"/>
              </w:rPr>
            </w:pPr>
            <w:r w:rsidRPr="00D10C58">
              <w:rPr>
                <w:sz w:val="18"/>
                <w:szCs w:val="18"/>
              </w:rPr>
              <w:t>-11.9</w:t>
            </w:r>
          </w:p>
        </w:tc>
        <w:tc>
          <w:tcPr>
            <w:tcW w:w="947" w:type="dxa"/>
            <w:shd w:val="clear" w:color="auto" w:fill="D9E2F3"/>
          </w:tcPr>
          <w:p w14:paraId="006913EC" w14:textId="77777777" w:rsidR="00D10C58" w:rsidRPr="00D10C58" w:rsidRDefault="00D10C58" w:rsidP="000546CD">
            <w:pPr>
              <w:spacing w:before="0" w:after="0" w:line="276" w:lineRule="auto"/>
              <w:ind w:firstLine="0"/>
              <w:jc w:val="center"/>
              <w:rPr>
                <w:sz w:val="18"/>
                <w:szCs w:val="18"/>
              </w:rPr>
            </w:pPr>
            <w:r w:rsidRPr="00D10C58">
              <w:rPr>
                <w:sz w:val="18"/>
                <w:szCs w:val="18"/>
              </w:rPr>
              <w:t>-9.3</w:t>
            </w:r>
          </w:p>
        </w:tc>
      </w:tr>
      <w:tr w:rsidR="00D10C58" w:rsidRPr="00D10C58" w14:paraId="43F630AF" w14:textId="77777777" w:rsidTr="007D18FD">
        <w:trPr>
          <w:trHeight w:val="258"/>
        </w:trPr>
        <w:tc>
          <w:tcPr>
            <w:tcW w:w="3405" w:type="dxa"/>
            <w:shd w:val="clear" w:color="auto" w:fill="auto"/>
          </w:tcPr>
          <w:p w14:paraId="2EF4542C"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lastRenderedPageBreak/>
              <w:t>Արտահանում</w:t>
            </w:r>
          </w:p>
        </w:tc>
        <w:tc>
          <w:tcPr>
            <w:tcW w:w="1170" w:type="dxa"/>
          </w:tcPr>
          <w:p w14:paraId="6E4DF79F" w14:textId="77777777" w:rsidR="00D10C58" w:rsidRPr="00D10C58" w:rsidRDefault="00D10C58" w:rsidP="000546CD">
            <w:pPr>
              <w:spacing w:before="0" w:after="0" w:line="276" w:lineRule="auto"/>
              <w:ind w:firstLine="0"/>
              <w:jc w:val="center"/>
              <w:rPr>
                <w:sz w:val="18"/>
                <w:szCs w:val="18"/>
              </w:rPr>
            </w:pPr>
            <w:r w:rsidRPr="00D10C58">
              <w:rPr>
                <w:sz w:val="18"/>
                <w:szCs w:val="18"/>
              </w:rPr>
              <w:t>38.2</w:t>
            </w:r>
          </w:p>
        </w:tc>
        <w:tc>
          <w:tcPr>
            <w:tcW w:w="1204" w:type="dxa"/>
          </w:tcPr>
          <w:p w14:paraId="40216E38" w14:textId="77777777" w:rsidR="00D10C58" w:rsidRPr="00D10C58" w:rsidRDefault="00D10C58" w:rsidP="000546CD">
            <w:pPr>
              <w:spacing w:before="0" w:after="0" w:line="276" w:lineRule="auto"/>
              <w:ind w:firstLine="0"/>
              <w:jc w:val="center"/>
              <w:rPr>
                <w:sz w:val="18"/>
                <w:szCs w:val="18"/>
              </w:rPr>
            </w:pPr>
            <w:r w:rsidRPr="00D10C58">
              <w:rPr>
                <w:sz w:val="18"/>
                <w:szCs w:val="18"/>
              </w:rPr>
              <w:t>39.4</w:t>
            </w:r>
          </w:p>
        </w:tc>
        <w:tc>
          <w:tcPr>
            <w:tcW w:w="992" w:type="dxa"/>
          </w:tcPr>
          <w:p w14:paraId="5D8E4411" w14:textId="77777777" w:rsidR="00D10C58" w:rsidRPr="00D10C58" w:rsidRDefault="00D10C58" w:rsidP="000546CD">
            <w:pPr>
              <w:spacing w:before="0" w:after="0" w:line="276" w:lineRule="auto"/>
              <w:ind w:firstLine="0"/>
              <w:jc w:val="center"/>
              <w:rPr>
                <w:sz w:val="18"/>
                <w:szCs w:val="18"/>
              </w:rPr>
            </w:pPr>
            <w:r w:rsidRPr="00D10C58">
              <w:rPr>
                <w:sz w:val="18"/>
                <w:szCs w:val="18"/>
              </w:rPr>
              <w:t>41.3</w:t>
            </w:r>
          </w:p>
        </w:tc>
        <w:tc>
          <w:tcPr>
            <w:tcW w:w="993" w:type="dxa"/>
            <w:shd w:val="clear" w:color="auto" w:fill="D9E2F3"/>
          </w:tcPr>
          <w:p w14:paraId="35D62554" w14:textId="77777777" w:rsidR="00D10C58" w:rsidRPr="00D10C58" w:rsidRDefault="00D10C58" w:rsidP="000546CD">
            <w:pPr>
              <w:spacing w:before="0" w:after="0" w:line="276" w:lineRule="auto"/>
              <w:ind w:firstLine="0"/>
              <w:jc w:val="center"/>
              <w:rPr>
                <w:sz w:val="18"/>
                <w:szCs w:val="18"/>
              </w:rPr>
            </w:pPr>
            <w:r w:rsidRPr="00D10C58">
              <w:rPr>
                <w:sz w:val="18"/>
                <w:szCs w:val="18"/>
              </w:rPr>
              <w:t>34.3</w:t>
            </w:r>
          </w:p>
        </w:tc>
        <w:tc>
          <w:tcPr>
            <w:tcW w:w="992" w:type="dxa"/>
            <w:shd w:val="clear" w:color="auto" w:fill="D9E2F3"/>
          </w:tcPr>
          <w:p w14:paraId="7362E998" w14:textId="77777777" w:rsidR="00D10C58" w:rsidRPr="00D10C58" w:rsidRDefault="00D10C58" w:rsidP="000546CD">
            <w:pPr>
              <w:spacing w:before="0" w:after="0" w:line="276" w:lineRule="auto"/>
              <w:ind w:firstLine="0"/>
              <w:jc w:val="center"/>
              <w:rPr>
                <w:sz w:val="18"/>
                <w:szCs w:val="18"/>
              </w:rPr>
            </w:pPr>
            <w:r w:rsidRPr="00D10C58">
              <w:rPr>
                <w:sz w:val="18"/>
                <w:szCs w:val="18"/>
              </w:rPr>
              <w:t>36.7</w:t>
            </w:r>
          </w:p>
        </w:tc>
        <w:tc>
          <w:tcPr>
            <w:tcW w:w="992" w:type="dxa"/>
            <w:shd w:val="clear" w:color="auto" w:fill="D9E2F3"/>
          </w:tcPr>
          <w:p w14:paraId="34A86381" w14:textId="77777777" w:rsidR="00D10C58" w:rsidRPr="00D10C58" w:rsidRDefault="00D10C58" w:rsidP="000546CD">
            <w:pPr>
              <w:spacing w:before="0" w:after="0" w:line="276" w:lineRule="auto"/>
              <w:ind w:firstLine="0"/>
              <w:jc w:val="center"/>
              <w:rPr>
                <w:sz w:val="18"/>
                <w:szCs w:val="18"/>
              </w:rPr>
            </w:pPr>
            <w:r w:rsidRPr="00D10C58">
              <w:rPr>
                <w:sz w:val="18"/>
                <w:szCs w:val="18"/>
              </w:rPr>
              <w:t>38.0</w:t>
            </w:r>
          </w:p>
        </w:tc>
        <w:tc>
          <w:tcPr>
            <w:tcW w:w="947" w:type="dxa"/>
            <w:shd w:val="clear" w:color="auto" w:fill="D9E2F3"/>
          </w:tcPr>
          <w:p w14:paraId="3AFE2C4C" w14:textId="77777777" w:rsidR="00D10C58" w:rsidRPr="00D10C58" w:rsidRDefault="00D10C58" w:rsidP="000546CD">
            <w:pPr>
              <w:spacing w:before="0" w:after="0" w:line="276" w:lineRule="auto"/>
              <w:ind w:firstLine="0"/>
              <w:jc w:val="center"/>
              <w:rPr>
                <w:sz w:val="18"/>
                <w:szCs w:val="18"/>
              </w:rPr>
            </w:pPr>
            <w:r w:rsidRPr="00D10C58">
              <w:rPr>
                <w:sz w:val="18"/>
                <w:szCs w:val="18"/>
              </w:rPr>
              <w:t>39.5</w:t>
            </w:r>
          </w:p>
        </w:tc>
      </w:tr>
      <w:tr w:rsidR="00D10C58" w:rsidRPr="00D10C58" w14:paraId="55313634" w14:textId="77777777" w:rsidTr="007D18FD">
        <w:trPr>
          <w:trHeight w:val="258"/>
        </w:trPr>
        <w:tc>
          <w:tcPr>
            <w:tcW w:w="3405" w:type="dxa"/>
            <w:shd w:val="clear" w:color="auto" w:fill="auto"/>
          </w:tcPr>
          <w:p w14:paraId="56B67194"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Ներմուծում</w:t>
            </w:r>
          </w:p>
        </w:tc>
        <w:tc>
          <w:tcPr>
            <w:tcW w:w="1170" w:type="dxa"/>
          </w:tcPr>
          <w:p w14:paraId="303029F6" w14:textId="77777777" w:rsidR="00D10C58" w:rsidRPr="00D10C58" w:rsidRDefault="00D10C58" w:rsidP="000546CD">
            <w:pPr>
              <w:spacing w:before="0" w:after="0" w:line="276" w:lineRule="auto"/>
              <w:ind w:firstLine="0"/>
              <w:jc w:val="center"/>
              <w:rPr>
                <w:sz w:val="18"/>
                <w:szCs w:val="18"/>
              </w:rPr>
            </w:pPr>
            <w:r w:rsidRPr="00D10C58">
              <w:rPr>
                <w:sz w:val="18"/>
                <w:szCs w:val="18"/>
              </w:rPr>
              <w:t>49.0</w:t>
            </w:r>
          </w:p>
        </w:tc>
        <w:tc>
          <w:tcPr>
            <w:tcW w:w="1204" w:type="dxa"/>
          </w:tcPr>
          <w:p w14:paraId="42C68B1F" w14:textId="77777777" w:rsidR="00D10C58" w:rsidRPr="00D10C58" w:rsidRDefault="00D10C58" w:rsidP="000546CD">
            <w:pPr>
              <w:spacing w:before="0" w:after="0" w:line="276" w:lineRule="auto"/>
              <w:ind w:firstLine="0"/>
              <w:jc w:val="center"/>
              <w:rPr>
                <w:sz w:val="18"/>
                <w:szCs w:val="18"/>
              </w:rPr>
            </w:pPr>
            <w:r w:rsidRPr="00D10C58">
              <w:rPr>
                <w:sz w:val="18"/>
                <w:szCs w:val="18"/>
              </w:rPr>
              <w:t>53.1</w:t>
            </w:r>
          </w:p>
        </w:tc>
        <w:tc>
          <w:tcPr>
            <w:tcW w:w="992" w:type="dxa"/>
          </w:tcPr>
          <w:p w14:paraId="55D40C69" w14:textId="77777777" w:rsidR="00D10C58" w:rsidRPr="00D10C58" w:rsidRDefault="00D10C58" w:rsidP="000546CD">
            <w:pPr>
              <w:spacing w:before="0" w:after="0" w:line="276" w:lineRule="auto"/>
              <w:ind w:firstLine="0"/>
              <w:jc w:val="center"/>
              <w:rPr>
                <w:sz w:val="18"/>
                <w:szCs w:val="18"/>
              </w:rPr>
            </w:pPr>
            <w:r w:rsidRPr="00D10C58">
              <w:rPr>
                <w:sz w:val="18"/>
                <w:szCs w:val="18"/>
              </w:rPr>
              <w:t>54.6</w:t>
            </w:r>
          </w:p>
        </w:tc>
        <w:tc>
          <w:tcPr>
            <w:tcW w:w="993" w:type="dxa"/>
            <w:shd w:val="clear" w:color="auto" w:fill="D9E2F3"/>
          </w:tcPr>
          <w:p w14:paraId="42ED046B" w14:textId="77777777" w:rsidR="00D10C58" w:rsidRPr="00D10C58" w:rsidRDefault="00D10C58" w:rsidP="000546CD">
            <w:pPr>
              <w:spacing w:before="0" w:after="0" w:line="276" w:lineRule="auto"/>
              <w:ind w:firstLine="0"/>
              <w:jc w:val="center"/>
              <w:rPr>
                <w:sz w:val="18"/>
                <w:szCs w:val="18"/>
              </w:rPr>
            </w:pPr>
            <w:r w:rsidRPr="00D10C58">
              <w:rPr>
                <w:sz w:val="18"/>
                <w:szCs w:val="18"/>
              </w:rPr>
              <w:t>49.5</w:t>
            </w:r>
          </w:p>
        </w:tc>
        <w:tc>
          <w:tcPr>
            <w:tcW w:w="992" w:type="dxa"/>
            <w:shd w:val="clear" w:color="auto" w:fill="D9E2F3"/>
          </w:tcPr>
          <w:p w14:paraId="19CF4268" w14:textId="77777777" w:rsidR="00D10C58" w:rsidRPr="00D10C58" w:rsidRDefault="00D10C58" w:rsidP="000546CD">
            <w:pPr>
              <w:spacing w:before="0" w:after="0" w:line="276" w:lineRule="auto"/>
              <w:ind w:firstLine="0"/>
              <w:jc w:val="center"/>
              <w:rPr>
                <w:sz w:val="18"/>
                <w:szCs w:val="18"/>
              </w:rPr>
            </w:pPr>
            <w:r w:rsidRPr="00D10C58">
              <w:rPr>
                <w:sz w:val="18"/>
                <w:szCs w:val="18"/>
              </w:rPr>
              <w:t>49.9</w:t>
            </w:r>
          </w:p>
        </w:tc>
        <w:tc>
          <w:tcPr>
            <w:tcW w:w="992" w:type="dxa"/>
            <w:shd w:val="clear" w:color="auto" w:fill="D9E2F3"/>
          </w:tcPr>
          <w:p w14:paraId="3F3358D6" w14:textId="77777777" w:rsidR="00D10C58" w:rsidRPr="00D10C58" w:rsidRDefault="00D10C58" w:rsidP="000546CD">
            <w:pPr>
              <w:spacing w:before="0" w:after="0" w:line="276" w:lineRule="auto"/>
              <w:ind w:firstLine="0"/>
              <w:jc w:val="center"/>
              <w:rPr>
                <w:sz w:val="18"/>
                <w:szCs w:val="18"/>
              </w:rPr>
            </w:pPr>
            <w:r w:rsidRPr="00D10C58">
              <w:rPr>
                <w:sz w:val="18"/>
                <w:szCs w:val="18"/>
              </w:rPr>
              <w:t>49.9</w:t>
            </w:r>
          </w:p>
        </w:tc>
        <w:tc>
          <w:tcPr>
            <w:tcW w:w="947" w:type="dxa"/>
            <w:shd w:val="clear" w:color="auto" w:fill="D9E2F3"/>
          </w:tcPr>
          <w:p w14:paraId="2FE3E767" w14:textId="77777777" w:rsidR="00D10C58" w:rsidRPr="00D10C58" w:rsidRDefault="00D10C58" w:rsidP="000546CD">
            <w:pPr>
              <w:spacing w:before="0" w:after="0" w:line="276" w:lineRule="auto"/>
              <w:ind w:firstLine="0"/>
              <w:jc w:val="center"/>
              <w:rPr>
                <w:sz w:val="18"/>
                <w:szCs w:val="18"/>
              </w:rPr>
            </w:pPr>
            <w:r w:rsidRPr="00D10C58">
              <w:rPr>
                <w:sz w:val="18"/>
                <w:szCs w:val="18"/>
              </w:rPr>
              <w:t>48.8</w:t>
            </w:r>
          </w:p>
        </w:tc>
      </w:tr>
      <w:tr w:rsidR="00D10C58" w:rsidRPr="00D10C58" w14:paraId="3D085EBA" w14:textId="77777777" w:rsidTr="007D18FD">
        <w:trPr>
          <w:trHeight w:val="258"/>
        </w:trPr>
        <w:tc>
          <w:tcPr>
            <w:tcW w:w="3405" w:type="dxa"/>
            <w:shd w:val="clear" w:color="auto" w:fill="auto"/>
          </w:tcPr>
          <w:p w14:paraId="5BF95649" w14:textId="77777777" w:rsidR="00D10C58" w:rsidRPr="00D10C58" w:rsidRDefault="00D10C58" w:rsidP="000546CD">
            <w:pPr>
              <w:spacing w:before="0" w:after="0" w:line="276" w:lineRule="auto"/>
              <w:ind w:firstLine="0"/>
              <w:rPr>
                <w:rFonts w:cs="Sylfaen"/>
                <w:sz w:val="20"/>
                <w:szCs w:val="20"/>
              </w:rPr>
            </w:pPr>
            <w:r w:rsidRPr="00D10C58">
              <w:rPr>
                <w:rFonts w:cs="Sylfaen"/>
                <w:sz w:val="20"/>
                <w:szCs w:val="20"/>
              </w:rPr>
              <w:t>Դրամական փոխանցումներ</w:t>
            </w:r>
          </w:p>
        </w:tc>
        <w:tc>
          <w:tcPr>
            <w:tcW w:w="1170" w:type="dxa"/>
          </w:tcPr>
          <w:p w14:paraId="07700FDB" w14:textId="77777777" w:rsidR="00D10C58" w:rsidRPr="00D10C58" w:rsidRDefault="00D10C58" w:rsidP="000546CD">
            <w:pPr>
              <w:spacing w:before="0" w:after="0" w:line="276" w:lineRule="auto"/>
              <w:ind w:firstLine="0"/>
              <w:jc w:val="center"/>
              <w:rPr>
                <w:sz w:val="18"/>
                <w:szCs w:val="18"/>
              </w:rPr>
            </w:pPr>
            <w:r w:rsidRPr="00D10C58">
              <w:rPr>
                <w:sz w:val="18"/>
                <w:szCs w:val="18"/>
              </w:rPr>
              <w:t>10.2</w:t>
            </w:r>
          </w:p>
        </w:tc>
        <w:tc>
          <w:tcPr>
            <w:tcW w:w="1204" w:type="dxa"/>
          </w:tcPr>
          <w:p w14:paraId="711CF629" w14:textId="77777777" w:rsidR="00D10C58" w:rsidRPr="00D10C58" w:rsidRDefault="00D10C58" w:rsidP="000546CD">
            <w:pPr>
              <w:spacing w:before="0" w:after="0" w:line="276" w:lineRule="auto"/>
              <w:ind w:firstLine="0"/>
              <w:jc w:val="center"/>
              <w:rPr>
                <w:sz w:val="18"/>
                <w:szCs w:val="18"/>
              </w:rPr>
            </w:pPr>
            <w:r w:rsidRPr="00D10C58">
              <w:rPr>
                <w:sz w:val="18"/>
                <w:szCs w:val="18"/>
              </w:rPr>
              <w:t>9.1</w:t>
            </w:r>
          </w:p>
        </w:tc>
        <w:tc>
          <w:tcPr>
            <w:tcW w:w="992" w:type="dxa"/>
          </w:tcPr>
          <w:p w14:paraId="7F1C662C" w14:textId="77777777" w:rsidR="00D10C58" w:rsidRPr="00D10C58" w:rsidRDefault="00D10C58" w:rsidP="000546CD">
            <w:pPr>
              <w:spacing w:before="0" w:after="0" w:line="276" w:lineRule="auto"/>
              <w:ind w:firstLine="0"/>
              <w:jc w:val="center"/>
              <w:rPr>
                <w:sz w:val="18"/>
                <w:szCs w:val="18"/>
              </w:rPr>
            </w:pPr>
            <w:r w:rsidRPr="00D10C58">
              <w:rPr>
                <w:sz w:val="18"/>
                <w:szCs w:val="18"/>
              </w:rPr>
              <w:t>8.4</w:t>
            </w:r>
          </w:p>
        </w:tc>
        <w:tc>
          <w:tcPr>
            <w:tcW w:w="993" w:type="dxa"/>
            <w:shd w:val="clear" w:color="auto" w:fill="D9E2F3"/>
          </w:tcPr>
          <w:p w14:paraId="7F8899BF" w14:textId="77777777" w:rsidR="00D10C58" w:rsidRPr="00D10C58" w:rsidRDefault="00D10C58" w:rsidP="000546CD">
            <w:pPr>
              <w:spacing w:before="0" w:after="0" w:line="276" w:lineRule="auto"/>
              <w:ind w:firstLine="0"/>
              <w:jc w:val="center"/>
              <w:rPr>
                <w:sz w:val="18"/>
                <w:szCs w:val="18"/>
              </w:rPr>
            </w:pPr>
            <w:r w:rsidRPr="00D10C58">
              <w:rPr>
                <w:sz w:val="18"/>
                <w:szCs w:val="18"/>
              </w:rPr>
              <w:t>6.9</w:t>
            </w:r>
          </w:p>
        </w:tc>
        <w:tc>
          <w:tcPr>
            <w:tcW w:w="992" w:type="dxa"/>
            <w:shd w:val="clear" w:color="auto" w:fill="D9E2F3"/>
          </w:tcPr>
          <w:p w14:paraId="367F26A7" w14:textId="77777777" w:rsidR="00D10C58" w:rsidRPr="00D10C58" w:rsidRDefault="00D10C58" w:rsidP="000546CD">
            <w:pPr>
              <w:spacing w:before="0" w:after="0" w:line="276" w:lineRule="auto"/>
              <w:ind w:firstLine="0"/>
              <w:jc w:val="center"/>
              <w:rPr>
                <w:sz w:val="18"/>
                <w:szCs w:val="18"/>
              </w:rPr>
            </w:pPr>
            <w:r w:rsidRPr="00D10C58">
              <w:rPr>
                <w:sz w:val="18"/>
                <w:szCs w:val="18"/>
              </w:rPr>
              <w:t>7.2</w:t>
            </w:r>
          </w:p>
        </w:tc>
        <w:tc>
          <w:tcPr>
            <w:tcW w:w="992" w:type="dxa"/>
            <w:shd w:val="clear" w:color="auto" w:fill="D9E2F3"/>
          </w:tcPr>
          <w:p w14:paraId="46FAAEA8" w14:textId="77777777" w:rsidR="00D10C58" w:rsidRPr="00D10C58" w:rsidRDefault="00D10C58" w:rsidP="000546CD">
            <w:pPr>
              <w:spacing w:before="0" w:after="0" w:line="276" w:lineRule="auto"/>
              <w:ind w:firstLine="0"/>
              <w:jc w:val="center"/>
              <w:rPr>
                <w:sz w:val="18"/>
                <w:szCs w:val="18"/>
              </w:rPr>
            </w:pPr>
            <w:r w:rsidRPr="00D10C58">
              <w:rPr>
                <w:sz w:val="18"/>
                <w:szCs w:val="18"/>
              </w:rPr>
              <w:t>7.0</w:t>
            </w:r>
          </w:p>
        </w:tc>
        <w:tc>
          <w:tcPr>
            <w:tcW w:w="947" w:type="dxa"/>
            <w:shd w:val="clear" w:color="auto" w:fill="D9E2F3"/>
          </w:tcPr>
          <w:p w14:paraId="1A0B42A4" w14:textId="77777777" w:rsidR="00D10C58" w:rsidRPr="00D10C58" w:rsidRDefault="00D10C58" w:rsidP="000546CD">
            <w:pPr>
              <w:spacing w:before="0" w:after="0" w:line="276" w:lineRule="auto"/>
              <w:ind w:firstLine="0"/>
              <w:jc w:val="center"/>
              <w:rPr>
                <w:sz w:val="18"/>
                <w:szCs w:val="18"/>
              </w:rPr>
            </w:pPr>
            <w:r w:rsidRPr="00D10C58">
              <w:rPr>
                <w:sz w:val="18"/>
                <w:szCs w:val="18"/>
              </w:rPr>
              <w:t>6.7</w:t>
            </w:r>
          </w:p>
        </w:tc>
      </w:tr>
    </w:tbl>
    <w:p w14:paraId="0526D48C" w14:textId="77777777" w:rsidR="00D10C58" w:rsidRDefault="00D10C58" w:rsidP="00D10C58">
      <w:pPr>
        <w:pStyle w:val="ListParagraph"/>
        <w:tabs>
          <w:tab w:val="right" w:pos="0"/>
        </w:tabs>
        <w:spacing w:after="120" w:line="276" w:lineRule="auto"/>
        <w:ind w:left="851"/>
        <w:contextualSpacing w:val="0"/>
        <w:rPr>
          <w:rFonts w:cs="Times Armenian"/>
          <w:bCs/>
          <w:lang w:val="hy-AM"/>
        </w:rPr>
      </w:pPr>
    </w:p>
    <w:p w14:paraId="3DB4C392" w14:textId="77777777" w:rsidR="00D10C58" w:rsidRPr="00772498" w:rsidRDefault="00772498" w:rsidP="004154D0">
      <w:pPr>
        <w:pStyle w:val="Heading3"/>
        <w:numPr>
          <w:ilvl w:val="0"/>
          <w:numId w:val="0"/>
        </w:numPr>
        <w:spacing w:line="276" w:lineRule="auto"/>
        <w:rPr>
          <w:bCs/>
          <w:color w:val="1F497D" w:themeColor="text2"/>
          <w:sz w:val="28"/>
          <w:szCs w:val="28"/>
        </w:rPr>
      </w:pPr>
      <w:bookmarkStart w:id="178" w:name="_Toc45838515"/>
      <w:bookmarkStart w:id="179" w:name="_Toc46154344"/>
      <w:r w:rsidRPr="00772498">
        <w:rPr>
          <w:bCs/>
          <w:caps w:val="0"/>
          <w:color w:val="1F497D" w:themeColor="text2"/>
          <w:sz w:val="28"/>
          <w:szCs w:val="28"/>
        </w:rPr>
        <w:t>1.2. ՀԱՄԱՇԽԱՐՀԱՅԻՆ ՏՆՏԵՍՈՒԹՅԱՆ ԵՎ ԳՈՐԾԸՆԿԵՐ ԵՐԿՐՆԵՐԻ ԶԱՐԳԱՑՈՒՄՆԵՐ ԵՎ ԿԱՆԽԱՏԵՍՈՒՄՆԵՐ</w:t>
      </w:r>
      <w:bookmarkEnd w:id="178"/>
      <w:bookmarkEnd w:id="179"/>
    </w:p>
    <w:p w14:paraId="5ABF812B" w14:textId="77777777" w:rsidR="00D10C58" w:rsidRPr="00D10C58" w:rsidRDefault="00D10C58" w:rsidP="00D10C58">
      <w:pPr>
        <w:spacing w:after="120" w:line="276" w:lineRule="auto"/>
        <w:rPr>
          <w:rFonts w:eastAsia="Times New Roman" w:cs="Courier New"/>
          <w:lang w:val="hy-AM"/>
        </w:rPr>
      </w:pPr>
      <w:r w:rsidRPr="00D10C58">
        <w:rPr>
          <w:rFonts w:eastAsia="Calibri" w:cs="Times New Roman"/>
          <w:b/>
          <w:lang w:val="hy-AM"/>
        </w:rPr>
        <w:t>Կորոնավիրուսի համավարակի (COVID-19) հետևանքով համաշխարհային տնտեսությունն ապրում է այնպիսի անկում, որը չի դիտվել 1930-ական թթ. «Մեծ Դեպրեսիայից» ի վեր</w:t>
      </w:r>
      <w:r w:rsidRPr="00D10C58">
        <w:rPr>
          <w:rFonts w:eastAsia="Times New Roman" w:cs="Courier New"/>
          <w:lang w:val="hy-AM"/>
        </w:rPr>
        <w:t xml:space="preserve">: Կորոնավիրուսի համավարակը խաթարել է </w:t>
      </w:r>
      <w:r w:rsidRPr="00D10C58">
        <w:rPr>
          <w:rFonts w:eastAsia="Calibri" w:cs="Times New Roman"/>
          <w:lang w:val="hy-AM"/>
        </w:rPr>
        <w:t>համաշխարհային տնտեսության բնականոն զարգացումն</w:t>
      </w:r>
      <w:r w:rsidRPr="00D10C58">
        <w:rPr>
          <w:rFonts w:eastAsia="Times New Roman" w:cs="Sylfaen"/>
          <w:lang w:val="hy-AM"/>
        </w:rPr>
        <w:t xml:space="preserve"> ինչպես</w:t>
      </w:r>
      <w:r w:rsidRPr="00D10C58">
        <w:rPr>
          <w:rFonts w:eastAsia="Times New Roman" w:cs="Courier New"/>
          <w:lang w:val="hy-AM"/>
        </w:rPr>
        <w:t xml:space="preserve"> </w:t>
      </w:r>
      <w:r w:rsidRPr="00D10C58">
        <w:rPr>
          <w:rFonts w:eastAsia="Times New Roman" w:cs="Sylfaen"/>
          <w:lang w:val="hy-AM"/>
        </w:rPr>
        <w:t>զարգացած</w:t>
      </w:r>
      <w:r w:rsidRPr="00D10C58">
        <w:rPr>
          <w:rFonts w:eastAsia="Times New Roman" w:cs="Courier New"/>
          <w:lang w:val="hy-AM"/>
        </w:rPr>
        <w:t xml:space="preserve">, </w:t>
      </w:r>
      <w:r w:rsidRPr="00D10C58">
        <w:rPr>
          <w:rFonts w:eastAsia="Times New Roman" w:cs="Sylfaen"/>
          <w:lang w:val="hy-AM"/>
        </w:rPr>
        <w:t>այնպես</w:t>
      </w:r>
      <w:r w:rsidRPr="00D10C58">
        <w:rPr>
          <w:rFonts w:eastAsia="Times New Roman" w:cs="Courier New"/>
          <w:lang w:val="hy-AM"/>
        </w:rPr>
        <w:t xml:space="preserve"> </w:t>
      </w:r>
      <w:r w:rsidRPr="00D10C58">
        <w:rPr>
          <w:rFonts w:eastAsia="Times New Roman" w:cs="Sylfaen"/>
          <w:lang w:val="hy-AM"/>
        </w:rPr>
        <w:t>էլ</w:t>
      </w:r>
      <w:r w:rsidRPr="00D10C58">
        <w:rPr>
          <w:rFonts w:eastAsia="Times New Roman" w:cs="Courier New"/>
          <w:lang w:val="hy-AM"/>
        </w:rPr>
        <w:t xml:space="preserve"> </w:t>
      </w:r>
      <w:r w:rsidRPr="00D10C58">
        <w:rPr>
          <w:rFonts w:eastAsia="Times New Roman" w:cs="Sylfaen"/>
          <w:lang w:val="hy-AM"/>
        </w:rPr>
        <w:t>զարգացող երկրներում</w:t>
      </w:r>
      <w:r w:rsidRPr="00D10C58">
        <w:rPr>
          <w:rFonts w:eastAsia="Calibri" w:cs="Times New Roman"/>
          <w:lang w:val="hy-AM"/>
        </w:rPr>
        <w:t xml:space="preserve">՝ հանգեցնելով ամբողջ աշխարհում առողջապահական և տնտեսական ճգնաժամի։ </w:t>
      </w:r>
      <w:r w:rsidR="00226593" w:rsidRPr="00A1468E">
        <w:rPr>
          <w:rFonts w:cs="Sylfaen"/>
          <w:lang w:val="hy-AM"/>
        </w:rPr>
        <w:t>Ա</w:t>
      </w:r>
      <w:r w:rsidR="00226593" w:rsidRPr="007B23EF">
        <w:rPr>
          <w:rFonts w:cs="Sylfaen"/>
          <w:lang w:val="hy-AM"/>
        </w:rPr>
        <w:t>ՄՀ-</w:t>
      </w:r>
      <w:r w:rsidR="00226593" w:rsidRPr="00A1468E">
        <w:rPr>
          <w:rFonts w:cs="Sylfaen"/>
          <w:lang w:val="hy-AM"/>
        </w:rPr>
        <w:t>ի</w:t>
      </w:r>
      <w:r w:rsidR="00226593" w:rsidRPr="00A1468E">
        <w:rPr>
          <w:rFonts w:cs="Courier New"/>
          <w:lang w:val="hy-AM"/>
        </w:rPr>
        <w:t xml:space="preserve"> </w:t>
      </w:r>
      <w:r w:rsidR="00F211F7">
        <w:rPr>
          <w:rFonts w:cs="Courier New"/>
          <w:lang w:val="hy-AM"/>
        </w:rPr>
        <w:t>հունիս</w:t>
      </w:r>
      <w:r>
        <w:rPr>
          <w:rFonts w:cs="Courier New"/>
          <w:lang w:val="hy-AM"/>
        </w:rPr>
        <w:t>ի</w:t>
      </w:r>
      <w:r w:rsidR="00F211F7">
        <w:rPr>
          <w:rFonts w:cs="Courier New"/>
          <w:lang w:val="hy-AM"/>
        </w:rPr>
        <w:t xml:space="preserve"> </w:t>
      </w:r>
      <w:r>
        <w:rPr>
          <w:rFonts w:cs="Courier New"/>
          <w:lang w:val="hy-AM"/>
        </w:rPr>
        <w:t xml:space="preserve"> </w:t>
      </w:r>
      <w:r w:rsidRPr="00D10C58">
        <w:rPr>
          <w:rFonts w:eastAsia="Times New Roman" w:cs="Sylfaen"/>
          <w:lang w:val="hy-AM"/>
        </w:rPr>
        <w:t xml:space="preserve">գնահատականներով </w:t>
      </w:r>
      <w:r w:rsidRPr="00D10C58">
        <w:rPr>
          <w:rFonts w:eastAsia="Times New Roman" w:cs="Courier New"/>
          <w:lang w:val="hy-AM"/>
        </w:rPr>
        <w:t xml:space="preserve">2020թ. համաշխարհային տնտեսական անկումը </w:t>
      </w:r>
      <w:r w:rsidRPr="00D10C58">
        <w:rPr>
          <w:rFonts w:eastAsia="Times New Roman" w:cs="Sylfaen"/>
          <w:lang w:val="hy-AM"/>
        </w:rPr>
        <w:t>կկազմի 4.9%</w:t>
      </w:r>
      <w:r w:rsidRPr="00D10C58">
        <w:rPr>
          <w:rFonts w:eastAsia="Times New Roman" w:cs="Courier New"/>
          <w:lang w:val="hy-AM"/>
        </w:rPr>
        <w:t xml:space="preserve">: ՀՀ հիմնական գործընկեր երկրներում 2020թ. նույնպես տնտեսական անկում է կանխատեսվում, մասնավորապես՝ ՌԴ-ում կանխատեսվում է 6.6% անկում, Եվրոգոտում՝ 10.2, ԱՄՆ-ում՝ 8.0, իսկ Չինաստանում կանխատեսվում է 1.0% աճ: Համավարակով պայմանավորված ամբողջ աշխարհում տիրող </w:t>
      </w:r>
      <w:r w:rsidRPr="00D10C58">
        <w:rPr>
          <w:rFonts w:eastAsia="Times New Roman" w:cs="Sylfaen"/>
          <w:lang w:val="hy-AM"/>
        </w:rPr>
        <w:t xml:space="preserve">անորոշության, առաջացող տնտեսական ռիսկերի բարձրացմամբ պայմանավորված՝ </w:t>
      </w:r>
      <w:r w:rsidRPr="00D10C58">
        <w:rPr>
          <w:rFonts w:eastAsia="Times New Roman" w:cs="Courier New"/>
          <w:lang w:val="hy-AM"/>
        </w:rPr>
        <w:t>ԱՄՀ-ի կողմից հունիս ամսին 2020թ. համար կատարված կանխատեսումները՝ նախորդ կանխատեսումների համեմատ վերանայվել են դեպի ներքև</w:t>
      </w:r>
      <w:r w:rsidRPr="00D10C58">
        <w:rPr>
          <w:rFonts w:eastAsia="Times New Roman" w:cs="Sylfaen"/>
          <w:lang w:val="hy-AM"/>
        </w:rPr>
        <w:t>:</w:t>
      </w:r>
      <w:r w:rsidRPr="00D10C58">
        <w:rPr>
          <w:rFonts w:eastAsia="Times New Roman" w:cs="Courier New"/>
          <w:lang w:val="hy-AM"/>
        </w:rPr>
        <w:t xml:space="preserve"> </w:t>
      </w:r>
    </w:p>
    <w:p w14:paraId="7FCB333F" w14:textId="77777777" w:rsidR="00226593" w:rsidRPr="00D051A3" w:rsidRDefault="00226593" w:rsidP="00D10C58">
      <w:pPr>
        <w:spacing w:after="120" w:line="276" w:lineRule="auto"/>
        <w:ind w:firstLine="0"/>
        <w:rPr>
          <w:rStyle w:val="IntenseEmphasis"/>
          <w:rFonts w:cs="Sylfaen"/>
          <w:b w:val="0"/>
          <w:bCs w:val="0"/>
          <w:color w:val="000000"/>
          <w:sz w:val="21"/>
          <w:szCs w:val="21"/>
        </w:rPr>
      </w:pPr>
      <w:r w:rsidRPr="00D051A3">
        <w:rPr>
          <w:rStyle w:val="IntenseEmphasis"/>
          <w:rFonts w:cs="Sylfaen"/>
          <w:color w:val="000000"/>
          <w:lang w:val="hy-AM"/>
        </w:rPr>
        <w:t xml:space="preserve">Աղյուսակ </w:t>
      </w:r>
      <w:r w:rsidR="00CB77C0">
        <w:rPr>
          <w:rStyle w:val="IntenseEmphasis"/>
          <w:rFonts w:cs="Sylfaen"/>
          <w:color w:val="000000"/>
        </w:rPr>
        <w:t>1.</w:t>
      </w:r>
      <w:r w:rsidRPr="00D051A3">
        <w:rPr>
          <w:rStyle w:val="IntenseEmphasis"/>
          <w:rFonts w:cs="Sylfaen"/>
          <w:color w:val="000000"/>
          <w:lang w:val="hy-AM"/>
        </w:rPr>
        <w:t>2.</w:t>
      </w:r>
      <w:r w:rsidRPr="00D051A3">
        <w:rPr>
          <w:rStyle w:val="IntenseEmphasis"/>
          <w:rFonts w:cs="Sylfaen"/>
          <w:color w:val="000000"/>
          <w:sz w:val="21"/>
          <w:szCs w:val="21"/>
          <w:lang w:val="hy-AM"/>
        </w:rPr>
        <w:t xml:space="preserve"> </w:t>
      </w:r>
      <w:r w:rsidRPr="00D10C58">
        <w:rPr>
          <w:rStyle w:val="IntenseEmphasis"/>
          <w:rFonts w:cs="Sylfaen"/>
          <w:b w:val="0"/>
          <w:color w:val="000000"/>
          <w:sz w:val="20"/>
          <w:szCs w:val="20"/>
          <w:lang w:val="hy-AM"/>
        </w:rPr>
        <w:t>ԱՄՀ կանխատեսումներ</w:t>
      </w:r>
    </w:p>
    <w:tbl>
      <w:tblPr>
        <w:tblpPr w:leftFromText="180" w:rightFromText="180" w:vertAnchor="text" w:horzAnchor="margin" w:tblpY="24"/>
        <w:tblW w:w="998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830"/>
        <w:gridCol w:w="769"/>
        <w:gridCol w:w="750"/>
        <w:gridCol w:w="768"/>
        <w:gridCol w:w="862"/>
        <w:gridCol w:w="866"/>
        <w:gridCol w:w="858"/>
        <w:gridCol w:w="749"/>
        <w:gridCol w:w="742"/>
        <w:gridCol w:w="792"/>
      </w:tblGrid>
      <w:tr w:rsidR="00226593" w:rsidRPr="00787C27" w14:paraId="1479552F" w14:textId="77777777" w:rsidTr="000A2BEC">
        <w:trPr>
          <w:trHeight w:val="284"/>
        </w:trPr>
        <w:tc>
          <w:tcPr>
            <w:tcW w:w="2830" w:type="dxa"/>
            <w:tcBorders>
              <w:top w:val="single" w:sz="4" w:space="0" w:color="4472C4"/>
              <w:left w:val="single" w:sz="4" w:space="0" w:color="4472C4"/>
              <w:bottom w:val="single" w:sz="4" w:space="0" w:color="4472C4"/>
              <w:right w:val="nil"/>
            </w:tcBorders>
            <w:shd w:val="clear" w:color="auto" w:fill="4472C4"/>
          </w:tcPr>
          <w:p w14:paraId="3179F5EB" w14:textId="77777777" w:rsidR="00226593" w:rsidRPr="00DD5310" w:rsidRDefault="00226593" w:rsidP="00022087">
            <w:pPr>
              <w:spacing w:line="276" w:lineRule="auto"/>
              <w:ind w:firstLine="0"/>
              <w:rPr>
                <w:rFonts w:eastAsia="Calibri" w:cs="Sylfaen"/>
                <w:b/>
                <w:bCs/>
                <w:color w:val="FFFFFF"/>
                <w:sz w:val="16"/>
                <w:szCs w:val="16"/>
                <w:lang w:val="hy-AM"/>
              </w:rPr>
            </w:pPr>
          </w:p>
        </w:tc>
        <w:tc>
          <w:tcPr>
            <w:tcW w:w="769" w:type="dxa"/>
            <w:tcBorders>
              <w:top w:val="single" w:sz="4" w:space="0" w:color="4472C4"/>
              <w:left w:val="nil"/>
              <w:bottom w:val="single" w:sz="4" w:space="0" w:color="4472C4"/>
              <w:right w:val="nil"/>
            </w:tcBorders>
            <w:shd w:val="clear" w:color="auto" w:fill="4472C4"/>
          </w:tcPr>
          <w:p w14:paraId="2EDBFFEE" w14:textId="77777777" w:rsidR="00226593" w:rsidRPr="00DD5310" w:rsidRDefault="00226593" w:rsidP="00022087">
            <w:pPr>
              <w:spacing w:line="276" w:lineRule="auto"/>
              <w:ind w:firstLine="0"/>
              <w:rPr>
                <w:rFonts w:eastAsia="Calibri" w:cs="Sylfaen"/>
                <w:b/>
                <w:bCs/>
                <w:color w:val="FFFFFF"/>
                <w:sz w:val="16"/>
                <w:szCs w:val="16"/>
                <w:lang w:val="hy-AM"/>
              </w:rPr>
            </w:pPr>
            <w:r w:rsidRPr="00DD5310">
              <w:rPr>
                <w:rFonts w:eastAsia="Calibri"/>
                <w:b/>
                <w:bCs/>
                <w:color w:val="FFFFFF"/>
                <w:sz w:val="16"/>
                <w:szCs w:val="16"/>
                <w:lang w:val="hy-AM"/>
              </w:rPr>
              <w:t>2019</w:t>
            </w:r>
          </w:p>
        </w:tc>
        <w:tc>
          <w:tcPr>
            <w:tcW w:w="3246" w:type="dxa"/>
            <w:gridSpan w:val="4"/>
            <w:tcBorders>
              <w:top w:val="single" w:sz="4" w:space="0" w:color="4472C4"/>
              <w:left w:val="nil"/>
              <w:bottom w:val="single" w:sz="4" w:space="0" w:color="4472C4"/>
              <w:right w:val="nil"/>
            </w:tcBorders>
            <w:shd w:val="clear" w:color="auto" w:fill="4472C4"/>
          </w:tcPr>
          <w:p w14:paraId="48F612D8" w14:textId="77777777" w:rsidR="00226593" w:rsidRPr="00DD5310" w:rsidRDefault="00226593" w:rsidP="00022087">
            <w:pPr>
              <w:spacing w:line="276" w:lineRule="auto"/>
              <w:ind w:firstLine="0"/>
              <w:jc w:val="center"/>
              <w:rPr>
                <w:rFonts w:eastAsia="Calibri"/>
                <w:b/>
                <w:bCs/>
                <w:sz w:val="16"/>
                <w:szCs w:val="16"/>
                <w:lang w:val="hy-AM"/>
              </w:rPr>
            </w:pPr>
            <w:r w:rsidRPr="00DD5310">
              <w:rPr>
                <w:rFonts w:eastAsia="Calibri"/>
                <w:b/>
                <w:bCs/>
                <w:color w:val="FFFFFF"/>
                <w:sz w:val="16"/>
                <w:szCs w:val="16"/>
                <w:lang w:val="hy-AM"/>
              </w:rPr>
              <w:t>2020 թ.-ի կանխատեսում</w:t>
            </w:r>
          </w:p>
        </w:tc>
        <w:tc>
          <w:tcPr>
            <w:tcW w:w="3141" w:type="dxa"/>
            <w:gridSpan w:val="4"/>
            <w:tcBorders>
              <w:top w:val="single" w:sz="4" w:space="0" w:color="4472C4"/>
              <w:left w:val="nil"/>
              <w:bottom w:val="single" w:sz="4" w:space="0" w:color="4472C4"/>
              <w:right w:val="single" w:sz="4" w:space="0" w:color="4472C4"/>
            </w:tcBorders>
            <w:shd w:val="clear" w:color="auto" w:fill="4472C4"/>
          </w:tcPr>
          <w:p w14:paraId="233DC9F4" w14:textId="77777777" w:rsidR="00226593" w:rsidRPr="00DD5310" w:rsidRDefault="00226593" w:rsidP="00022087">
            <w:pPr>
              <w:spacing w:line="276" w:lineRule="auto"/>
              <w:ind w:firstLine="0"/>
              <w:jc w:val="center"/>
              <w:rPr>
                <w:rFonts w:eastAsia="Calibri"/>
                <w:b/>
                <w:bCs/>
                <w:sz w:val="16"/>
                <w:szCs w:val="16"/>
                <w:lang w:val="hy-AM"/>
              </w:rPr>
            </w:pPr>
            <w:r w:rsidRPr="00DD5310">
              <w:rPr>
                <w:rFonts w:eastAsia="Calibri"/>
                <w:b/>
                <w:bCs/>
                <w:color w:val="FFFFFF"/>
                <w:sz w:val="16"/>
                <w:szCs w:val="16"/>
                <w:lang w:val="hy-AM"/>
              </w:rPr>
              <w:t>2021 թ.-ի կանխատեսում</w:t>
            </w:r>
          </w:p>
        </w:tc>
      </w:tr>
      <w:tr w:rsidR="00226593" w:rsidRPr="00787C27" w14:paraId="64BA7018" w14:textId="77777777" w:rsidTr="000A2BEC">
        <w:trPr>
          <w:trHeight w:val="536"/>
        </w:trPr>
        <w:tc>
          <w:tcPr>
            <w:tcW w:w="2830" w:type="dxa"/>
            <w:shd w:val="clear" w:color="auto" w:fill="D9E2F3"/>
            <w:vAlign w:val="center"/>
          </w:tcPr>
          <w:p w14:paraId="0DC5A0C1" w14:textId="77777777" w:rsidR="00226593" w:rsidRPr="00DD5310" w:rsidRDefault="00226593" w:rsidP="00022087">
            <w:pPr>
              <w:spacing w:line="276" w:lineRule="auto"/>
              <w:ind w:firstLine="0"/>
              <w:jc w:val="center"/>
              <w:rPr>
                <w:rFonts w:eastAsia="Calibri" w:cs="Sylfaen"/>
                <w:b/>
                <w:bCs/>
                <w:sz w:val="16"/>
                <w:szCs w:val="16"/>
                <w:lang w:val="hy-AM"/>
              </w:rPr>
            </w:pPr>
          </w:p>
        </w:tc>
        <w:tc>
          <w:tcPr>
            <w:tcW w:w="769" w:type="dxa"/>
            <w:shd w:val="clear" w:color="auto" w:fill="D9E2F3"/>
            <w:vAlign w:val="center"/>
          </w:tcPr>
          <w:p w14:paraId="71B4B3D3" w14:textId="77777777" w:rsidR="00226593" w:rsidRPr="00DD5310" w:rsidRDefault="00226593" w:rsidP="00022087">
            <w:pPr>
              <w:spacing w:line="276" w:lineRule="auto"/>
              <w:ind w:firstLine="0"/>
              <w:jc w:val="center"/>
              <w:rPr>
                <w:rFonts w:eastAsia="Calibri"/>
                <w:sz w:val="16"/>
                <w:szCs w:val="16"/>
                <w:lang w:val="hy-AM"/>
              </w:rPr>
            </w:pPr>
            <w:r w:rsidRPr="00DD5310">
              <w:rPr>
                <w:rFonts w:eastAsia="Calibri"/>
                <w:sz w:val="16"/>
                <w:szCs w:val="16"/>
                <w:lang w:val="hy-AM"/>
              </w:rPr>
              <w:t>Փաստ</w:t>
            </w:r>
          </w:p>
        </w:tc>
        <w:tc>
          <w:tcPr>
            <w:tcW w:w="750" w:type="dxa"/>
            <w:shd w:val="clear" w:color="auto" w:fill="D9E2F3"/>
            <w:vAlign w:val="center"/>
          </w:tcPr>
          <w:p w14:paraId="3C6389D5" w14:textId="77777777" w:rsidR="00226593" w:rsidRPr="00DD5310" w:rsidRDefault="00226593" w:rsidP="00022087">
            <w:pPr>
              <w:spacing w:line="276" w:lineRule="auto"/>
              <w:ind w:firstLine="0"/>
              <w:jc w:val="center"/>
              <w:rPr>
                <w:rFonts w:eastAsia="Calibri"/>
                <w:sz w:val="16"/>
                <w:szCs w:val="16"/>
                <w:lang w:val="hy-AM"/>
              </w:rPr>
            </w:pPr>
            <w:r w:rsidRPr="00DD5310">
              <w:rPr>
                <w:rFonts w:eastAsia="Calibri"/>
                <w:sz w:val="16"/>
                <w:szCs w:val="16"/>
                <w:lang w:val="hy-AM"/>
              </w:rPr>
              <w:t>2019 Հոկտ.</w:t>
            </w:r>
          </w:p>
        </w:tc>
        <w:tc>
          <w:tcPr>
            <w:tcW w:w="768" w:type="dxa"/>
            <w:shd w:val="clear" w:color="auto" w:fill="D9E2F3"/>
            <w:vAlign w:val="center"/>
          </w:tcPr>
          <w:p w14:paraId="51AB84AC" w14:textId="77777777" w:rsidR="00226593" w:rsidRPr="00DD5310" w:rsidRDefault="00226593" w:rsidP="00022087">
            <w:pPr>
              <w:spacing w:line="276" w:lineRule="auto"/>
              <w:ind w:firstLine="0"/>
              <w:jc w:val="center"/>
              <w:rPr>
                <w:rFonts w:eastAsia="Calibri"/>
                <w:sz w:val="16"/>
                <w:szCs w:val="16"/>
                <w:lang w:val="hy-AM"/>
              </w:rPr>
            </w:pPr>
            <w:r w:rsidRPr="00DD5310">
              <w:rPr>
                <w:rFonts w:eastAsia="Calibri"/>
                <w:sz w:val="16"/>
                <w:szCs w:val="16"/>
                <w:lang w:val="hy-AM"/>
              </w:rPr>
              <w:t>2020 Հունվ.</w:t>
            </w:r>
          </w:p>
        </w:tc>
        <w:tc>
          <w:tcPr>
            <w:tcW w:w="862" w:type="dxa"/>
            <w:shd w:val="clear" w:color="auto" w:fill="D9E2F3"/>
            <w:vAlign w:val="center"/>
          </w:tcPr>
          <w:p w14:paraId="3C0DA196" w14:textId="77777777" w:rsidR="00226593" w:rsidRPr="00DD5310" w:rsidRDefault="00226593" w:rsidP="00022087">
            <w:pPr>
              <w:spacing w:line="276" w:lineRule="auto"/>
              <w:ind w:firstLine="0"/>
              <w:jc w:val="center"/>
              <w:rPr>
                <w:rFonts w:eastAsia="Calibri"/>
                <w:sz w:val="16"/>
                <w:szCs w:val="16"/>
                <w:lang w:val="hy-AM"/>
              </w:rPr>
            </w:pPr>
            <w:r w:rsidRPr="00DD5310">
              <w:rPr>
                <w:rFonts w:eastAsia="Calibri"/>
                <w:sz w:val="16"/>
                <w:szCs w:val="16"/>
                <w:lang w:val="hy-AM"/>
              </w:rPr>
              <w:t>2020 Ապրիլ</w:t>
            </w:r>
          </w:p>
        </w:tc>
        <w:tc>
          <w:tcPr>
            <w:tcW w:w="866" w:type="dxa"/>
            <w:shd w:val="clear" w:color="auto" w:fill="D9E2F3"/>
            <w:vAlign w:val="center"/>
          </w:tcPr>
          <w:p w14:paraId="71FCCEEE" w14:textId="77777777" w:rsidR="00226593" w:rsidRPr="00DD5310" w:rsidRDefault="00226593" w:rsidP="00022087">
            <w:pPr>
              <w:spacing w:line="276" w:lineRule="auto"/>
              <w:ind w:firstLine="0"/>
              <w:jc w:val="center"/>
              <w:rPr>
                <w:rFonts w:eastAsia="Calibri"/>
                <w:sz w:val="16"/>
                <w:szCs w:val="16"/>
                <w:lang w:val="hy-AM"/>
              </w:rPr>
            </w:pPr>
            <w:r w:rsidRPr="00DD5310">
              <w:rPr>
                <w:rFonts w:eastAsia="Calibri"/>
                <w:sz w:val="16"/>
                <w:szCs w:val="16"/>
                <w:lang w:val="hy-AM"/>
              </w:rPr>
              <w:t>2020 Հունիս</w:t>
            </w:r>
          </w:p>
        </w:tc>
        <w:tc>
          <w:tcPr>
            <w:tcW w:w="858" w:type="dxa"/>
            <w:shd w:val="clear" w:color="auto" w:fill="D9E2F3"/>
            <w:vAlign w:val="center"/>
          </w:tcPr>
          <w:p w14:paraId="0A9B7FB1" w14:textId="77777777" w:rsidR="00226593" w:rsidRPr="00DD5310" w:rsidRDefault="00226593" w:rsidP="00022087">
            <w:pPr>
              <w:spacing w:line="276" w:lineRule="auto"/>
              <w:ind w:firstLine="0"/>
              <w:jc w:val="center"/>
              <w:rPr>
                <w:rFonts w:eastAsia="Calibri"/>
                <w:sz w:val="16"/>
                <w:szCs w:val="16"/>
                <w:lang w:val="hy-AM"/>
              </w:rPr>
            </w:pPr>
            <w:r w:rsidRPr="00DD5310">
              <w:rPr>
                <w:rFonts w:eastAsia="Calibri"/>
                <w:sz w:val="16"/>
                <w:szCs w:val="16"/>
                <w:lang w:val="hy-AM"/>
              </w:rPr>
              <w:t>2019 Հոկտ.</w:t>
            </w:r>
          </w:p>
        </w:tc>
        <w:tc>
          <w:tcPr>
            <w:tcW w:w="749" w:type="dxa"/>
            <w:shd w:val="clear" w:color="auto" w:fill="D9E2F3"/>
            <w:vAlign w:val="center"/>
          </w:tcPr>
          <w:p w14:paraId="0A7E6D44" w14:textId="77777777" w:rsidR="00226593" w:rsidRPr="00DD5310" w:rsidRDefault="00226593" w:rsidP="00022087">
            <w:pPr>
              <w:spacing w:line="276" w:lineRule="auto"/>
              <w:ind w:firstLine="0"/>
              <w:jc w:val="center"/>
              <w:rPr>
                <w:rFonts w:eastAsia="Calibri"/>
                <w:sz w:val="16"/>
                <w:szCs w:val="16"/>
                <w:lang w:val="hy-AM"/>
              </w:rPr>
            </w:pPr>
            <w:r w:rsidRPr="00DD5310">
              <w:rPr>
                <w:rFonts w:eastAsia="Calibri"/>
                <w:sz w:val="16"/>
                <w:szCs w:val="16"/>
                <w:lang w:val="hy-AM"/>
              </w:rPr>
              <w:t>2020 Հունվ.</w:t>
            </w:r>
          </w:p>
        </w:tc>
        <w:tc>
          <w:tcPr>
            <w:tcW w:w="742" w:type="dxa"/>
            <w:shd w:val="clear" w:color="auto" w:fill="D9E2F3"/>
            <w:vAlign w:val="center"/>
          </w:tcPr>
          <w:p w14:paraId="2F327384" w14:textId="77777777" w:rsidR="00226593" w:rsidRPr="00DD5310" w:rsidRDefault="00226593" w:rsidP="00022087">
            <w:pPr>
              <w:spacing w:line="276" w:lineRule="auto"/>
              <w:ind w:firstLine="0"/>
              <w:jc w:val="center"/>
              <w:rPr>
                <w:rFonts w:eastAsia="Calibri"/>
                <w:sz w:val="16"/>
                <w:szCs w:val="16"/>
              </w:rPr>
            </w:pPr>
            <w:r w:rsidRPr="00DD5310">
              <w:rPr>
                <w:rFonts w:eastAsia="Calibri"/>
                <w:sz w:val="16"/>
                <w:szCs w:val="16"/>
                <w:lang w:val="hy-AM"/>
              </w:rPr>
              <w:t>2</w:t>
            </w:r>
            <w:r w:rsidRPr="00DD5310">
              <w:rPr>
                <w:rFonts w:eastAsia="Calibri"/>
                <w:sz w:val="16"/>
                <w:szCs w:val="16"/>
              </w:rPr>
              <w:t>020 Ապրիլ</w:t>
            </w:r>
          </w:p>
        </w:tc>
        <w:tc>
          <w:tcPr>
            <w:tcW w:w="792" w:type="dxa"/>
            <w:shd w:val="clear" w:color="auto" w:fill="D9E2F3"/>
            <w:vAlign w:val="center"/>
          </w:tcPr>
          <w:p w14:paraId="3D865011" w14:textId="77777777" w:rsidR="00226593" w:rsidRPr="00DD5310" w:rsidRDefault="00226593" w:rsidP="00022087">
            <w:pPr>
              <w:spacing w:line="276" w:lineRule="auto"/>
              <w:ind w:firstLine="0"/>
              <w:jc w:val="center"/>
              <w:rPr>
                <w:rFonts w:eastAsia="Calibri"/>
                <w:sz w:val="16"/>
                <w:szCs w:val="16"/>
                <w:lang w:val="hy-AM"/>
              </w:rPr>
            </w:pPr>
            <w:r w:rsidRPr="00DD5310">
              <w:rPr>
                <w:rFonts w:eastAsia="Calibri"/>
                <w:sz w:val="16"/>
                <w:szCs w:val="16"/>
              </w:rPr>
              <w:t>2020 Հունիս</w:t>
            </w:r>
          </w:p>
        </w:tc>
      </w:tr>
      <w:tr w:rsidR="00226593" w:rsidRPr="00787C27" w14:paraId="0B3F3025" w14:textId="77777777" w:rsidTr="000A2BEC">
        <w:trPr>
          <w:trHeight w:val="15"/>
        </w:trPr>
        <w:tc>
          <w:tcPr>
            <w:tcW w:w="2830" w:type="dxa"/>
            <w:shd w:val="clear" w:color="auto" w:fill="auto"/>
          </w:tcPr>
          <w:p w14:paraId="5F6B3357" w14:textId="77777777" w:rsidR="00226593" w:rsidRPr="00DD5310" w:rsidRDefault="00226593" w:rsidP="00022087">
            <w:pPr>
              <w:spacing w:line="276" w:lineRule="auto"/>
              <w:ind w:firstLine="0"/>
              <w:rPr>
                <w:rFonts w:eastAsia="Calibri" w:cs="Sylfaen"/>
                <w:b/>
                <w:bCs/>
                <w:sz w:val="16"/>
                <w:szCs w:val="16"/>
              </w:rPr>
            </w:pPr>
            <w:r w:rsidRPr="00DD5310">
              <w:rPr>
                <w:rFonts w:eastAsia="Calibri"/>
                <w:b/>
                <w:bCs/>
                <w:color w:val="000000"/>
                <w:sz w:val="16"/>
                <w:szCs w:val="16"/>
              </w:rPr>
              <w:t>Աշխարհ</w:t>
            </w:r>
            <w:r w:rsidRPr="00DD5310">
              <w:rPr>
                <w:rFonts w:eastAsia="Calibri"/>
                <w:b/>
                <w:bCs/>
                <w:color w:val="000000"/>
                <w:sz w:val="16"/>
                <w:szCs w:val="16"/>
                <w:lang w:val="hy-AM"/>
              </w:rPr>
              <w:t xml:space="preserve">ի տնտեսական աճ, </w:t>
            </w:r>
            <w:r w:rsidRPr="00DD5310">
              <w:rPr>
                <w:rFonts w:eastAsia="Calibri"/>
                <w:b/>
                <w:bCs/>
                <w:color w:val="000000"/>
                <w:sz w:val="16"/>
                <w:szCs w:val="16"/>
              </w:rPr>
              <w:t>%</w:t>
            </w:r>
          </w:p>
        </w:tc>
        <w:tc>
          <w:tcPr>
            <w:tcW w:w="769" w:type="dxa"/>
            <w:shd w:val="clear" w:color="auto" w:fill="auto"/>
          </w:tcPr>
          <w:p w14:paraId="2E9D7CA7"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2.9</w:t>
            </w:r>
          </w:p>
        </w:tc>
        <w:tc>
          <w:tcPr>
            <w:tcW w:w="750" w:type="dxa"/>
            <w:shd w:val="clear" w:color="auto" w:fill="auto"/>
          </w:tcPr>
          <w:p w14:paraId="6AC3E9A8"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3.4</w:t>
            </w:r>
          </w:p>
        </w:tc>
        <w:tc>
          <w:tcPr>
            <w:tcW w:w="768" w:type="dxa"/>
            <w:shd w:val="clear" w:color="auto" w:fill="auto"/>
          </w:tcPr>
          <w:p w14:paraId="78E7CDCF"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3.3</w:t>
            </w:r>
          </w:p>
        </w:tc>
        <w:tc>
          <w:tcPr>
            <w:tcW w:w="862" w:type="dxa"/>
            <w:shd w:val="clear" w:color="auto" w:fill="auto"/>
          </w:tcPr>
          <w:p w14:paraId="6FCF8119"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–3.0</w:t>
            </w:r>
          </w:p>
        </w:tc>
        <w:tc>
          <w:tcPr>
            <w:tcW w:w="866" w:type="dxa"/>
            <w:shd w:val="clear" w:color="auto" w:fill="auto"/>
          </w:tcPr>
          <w:p w14:paraId="06988283"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–4.9</w:t>
            </w:r>
          </w:p>
        </w:tc>
        <w:tc>
          <w:tcPr>
            <w:tcW w:w="858" w:type="dxa"/>
            <w:shd w:val="clear" w:color="auto" w:fill="auto"/>
          </w:tcPr>
          <w:p w14:paraId="23D39AC2"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3.6</w:t>
            </w:r>
          </w:p>
        </w:tc>
        <w:tc>
          <w:tcPr>
            <w:tcW w:w="749" w:type="dxa"/>
            <w:shd w:val="clear" w:color="auto" w:fill="auto"/>
          </w:tcPr>
          <w:p w14:paraId="07E4BCAD"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3.4</w:t>
            </w:r>
          </w:p>
        </w:tc>
        <w:tc>
          <w:tcPr>
            <w:tcW w:w="742" w:type="dxa"/>
            <w:shd w:val="clear" w:color="auto" w:fill="auto"/>
          </w:tcPr>
          <w:p w14:paraId="6D26F52A"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5.8</w:t>
            </w:r>
          </w:p>
        </w:tc>
        <w:tc>
          <w:tcPr>
            <w:tcW w:w="792" w:type="dxa"/>
            <w:shd w:val="clear" w:color="auto" w:fill="auto"/>
          </w:tcPr>
          <w:p w14:paraId="0A982E91"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5.4</w:t>
            </w:r>
          </w:p>
        </w:tc>
      </w:tr>
      <w:tr w:rsidR="00226593" w:rsidRPr="00787C27" w14:paraId="02E6BECB" w14:textId="77777777" w:rsidTr="000A2BEC">
        <w:trPr>
          <w:trHeight w:val="283"/>
        </w:trPr>
        <w:tc>
          <w:tcPr>
            <w:tcW w:w="2830" w:type="dxa"/>
            <w:shd w:val="clear" w:color="auto" w:fill="D9E2F3"/>
          </w:tcPr>
          <w:p w14:paraId="1226A927" w14:textId="77777777" w:rsidR="00226593" w:rsidRPr="00DD5310" w:rsidRDefault="00226593" w:rsidP="00022087">
            <w:pPr>
              <w:spacing w:line="276" w:lineRule="auto"/>
              <w:ind w:left="539" w:firstLine="0"/>
              <w:rPr>
                <w:rFonts w:eastAsia="Calibri" w:cs="Sylfaen"/>
                <w:b/>
                <w:bCs/>
                <w:sz w:val="16"/>
                <w:szCs w:val="16"/>
              </w:rPr>
            </w:pPr>
            <w:r w:rsidRPr="00DD5310">
              <w:rPr>
                <w:rFonts w:eastAsia="Calibri"/>
                <w:b/>
                <w:bCs/>
                <w:sz w:val="16"/>
                <w:szCs w:val="16"/>
              </w:rPr>
              <w:t>ՌԴ</w:t>
            </w:r>
          </w:p>
        </w:tc>
        <w:tc>
          <w:tcPr>
            <w:tcW w:w="769" w:type="dxa"/>
            <w:shd w:val="clear" w:color="auto" w:fill="D9E2F3"/>
          </w:tcPr>
          <w:p w14:paraId="7033E900"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1.3</w:t>
            </w:r>
          </w:p>
        </w:tc>
        <w:tc>
          <w:tcPr>
            <w:tcW w:w="750" w:type="dxa"/>
            <w:shd w:val="clear" w:color="auto" w:fill="D9E2F3"/>
          </w:tcPr>
          <w:p w14:paraId="127E88CF" w14:textId="77777777" w:rsidR="00226593" w:rsidRPr="00DD5310" w:rsidRDefault="00226593" w:rsidP="00022087">
            <w:pPr>
              <w:spacing w:line="276" w:lineRule="auto"/>
              <w:ind w:firstLine="0"/>
              <w:rPr>
                <w:rFonts w:eastAsia="Calibri"/>
                <w:sz w:val="16"/>
                <w:szCs w:val="16"/>
              </w:rPr>
            </w:pPr>
            <w:r w:rsidRPr="00DD5310">
              <w:rPr>
                <w:rFonts w:eastAsia="Calibri"/>
                <w:sz w:val="16"/>
                <w:szCs w:val="16"/>
                <w:lang w:val="hy-AM"/>
              </w:rPr>
              <w:t>1.9</w:t>
            </w:r>
          </w:p>
        </w:tc>
        <w:tc>
          <w:tcPr>
            <w:tcW w:w="768" w:type="dxa"/>
            <w:shd w:val="clear" w:color="auto" w:fill="D9E2F3"/>
          </w:tcPr>
          <w:p w14:paraId="1B531E94"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1.9</w:t>
            </w:r>
          </w:p>
        </w:tc>
        <w:tc>
          <w:tcPr>
            <w:tcW w:w="862" w:type="dxa"/>
            <w:shd w:val="clear" w:color="auto" w:fill="D9E2F3"/>
          </w:tcPr>
          <w:p w14:paraId="5EC8E224"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–5.5</w:t>
            </w:r>
          </w:p>
        </w:tc>
        <w:tc>
          <w:tcPr>
            <w:tcW w:w="866" w:type="dxa"/>
            <w:shd w:val="clear" w:color="auto" w:fill="D9E2F3"/>
          </w:tcPr>
          <w:p w14:paraId="5B9858C4"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–6.6</w:t>
            </w:r>
          </w:p>
        </w:tc>
        <w:tc>
          <w:tcPr>
            <w:tcW w:w="858" w:type="dxa"/>
            <w:shd w:val="clear" w:color="auto" w:fill="D9E2F3"/>
          </w:tcPr>
          <w:p w14:paraId="7E92414C"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2.0</w:t>
            </w:r>
          </w:p>
        </w:tc>
        <w:tc>
          <w:tcPr>
            <w:tcW w:w="749" w:type="dxa"/>
            <w:shd w:val="clear" w:color="auto" w:fill="D9E2F3"/>
          </w:tcPr>
          <w:p w14:paraId="4BE0089B"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2.0</w:t>
            </w:r>
          </w:p>
        </w:tc>
        <w:tc>
          <w:tcPr>
            <w:tcW w:w="742" w:type="dxa"/>
            <w:shd w:val="clear" w:color="auto" w:fill="D9E2F3"/>
          </w:tcPr>
          <w:p w14:paraId="6CB6EFDB"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3.5</w:t>
            </w:r>
          </w:p>
        </w:tc>
        <w:tc>
          <w:tcPr>
            <w:tcW w:w="792" w:type="dxa"/>
            <w:shd w:val="clear" w:color="auto" w:fill="D9E2F3"/>
          </w:tcPr>
          <w:p w14:paraId="411CA4B0"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4.1</w:t>
            </w:r>
          </w:p>
        </w:tc>
      </w:tr>
      <w:tr w:rsidR="00226593" w:rsidRPr="00787C27" w14:paraId="7052357F" w14:textId="77777777" w:rsidTr="000A2BEC">
        <w:trPr>
          <w:trHeight w:val="376"/>
        </w:trPr>
        <w:tc>
          <w:tcPr>
            <w:tcW w:w="2830" w:type="dxa"/>
            <w:shd w:val="clear" w:color="auto" w:fill="auto"/>
          </w:tcPr>
          <w:p w14:paraId="693236D4" w14:textId="77777777" w:rsidR="00226593" w:rsidRPr="00DD5310" w:rsidRDefault="00226593" w:rsidP="00022087">
            <w:pPr>
              <w:spacing w:line="276" w:lineRule="auto"/>
              <w:ind w:left="539" w:firstLine="0"/>
              <w:rPr>
                <w:rFonts w:eastAsia="Calibri" w:cs="Sylfaen"/>
                <w:b/>
                <w:bCs/>
                <w:sz w:val="16"/>
                <w:szCs w:val="16"/>
              </w:rPr>
            </w:pPr>
            <w:r w:rsidRPr="00DD5310">
              <w:rPr>
                <w:rFonts w:eastAsia="Calibri"/>
                <w:b/>
                <w:bCs/>
                <w:color w:val="000000"/>
                <w:sz w:val="16"/>
                <w:szCs w:val="16"/>
              </w:rPr>
              <w:t>Եվրոգոտի</w:t>
            </w:r>
          </w:p>
        </w:tc>
        <w:tc>
          <w:tcPr>
            <w:tcW w:w="769" w:type="dxa"/>
            <w:shd w:val="clear" w:color="auto" w:fill="auto"/>
          </w:tcPr>
          <w:p w14:paraId="466E4EFD"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1.2</w:t>
            </w:r>
          </w:p>
        </w:tc>
        <w:tc>
          <w:tcPr>
            <w:tcW w:w="750" w:type="dxa"/>
            <w:shd w:val="clear" w:color="auto" w:fill="auto"/>
          </w:tcPr>
          <w:p w14:paraId="10D926F1"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1.4</w:t>
            </w:r>
          </w:p>
        </w:tc>
        <w:tc>
          <w:tcPr>
            <w:tcW w:w="768" w:type="dxa"/>
            <w:shd w:val="clear" w:color="auto" w:fill="auto"/>
          </w:tcPr>
          <w:p w14:paraId="75B795A8"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1.3</w:t>
            </w:r>
          </w:p>
        </w:tc>
        <w:tc>
          <w:tcPr>
            <w:tcW w:w="862" w:type="dxa"/>
            <w:shd w:val="clear" w:color="auto" w:fill="auto"/>
          </w:tcPr>
          <w:p w14:paraId="1EF55162"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–7.5</w:t>
            </w:r>
          </w:p>
        </w:tc>
        <w:tc>
          <w:tcPr>
            <w:tcW w:w="866" w:type="dxa"/>
            <w:shd w:val="clear" w:color="auto" w:fill="auto"/>
          </w:tcPr>
          <w:p w14:paraId="443FE01D"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–10.2</w:t>
            </w:r>
          </w:p>
        </w:tc>
        <w:tc>
          <w:tcPr>
            <w:tcW w:w="858" w:type="dxa"/>
            <w:shd w:val="clear" w:color="auto" w:fill="auto"/>
          </w:tcPr>
          <w:p w14:paraId="61858543"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1.4</w:t>
            </w:r>
          </w:p>
        </w:tc>
        <w:tc>
          <w:tcPr>
            <w:tcW w:w="749" w:type="dxa"/>
            <w:shd w:val="clear" w:color="auto" w:fill="auto"/>
          </w:tcPr>
          <w:p w14:paraId="5A56352D"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1.4</w:t>
            </w:r>
          </w:p>
        </w:tc>
        <w:tc>
          <w:tcPr>
            <w:tcW w:w="742" w:type="dxa"/>
            <w:shd w:val="clear" w:color="auto" w:fill="auto"/>
          </w:tcPr>
          <w:p w14:paraId="3842F762"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4.7</w:t>
            </w:r>
          </w:p>
        </w:tc>
        <w:tc>
          <w:tcPr>
            <w:tcW w:w="792" w:type="dxa"/>
            <w:shd w:val="clear" w:color="auto" w:fill="auto"/>
          </w:tcPr>
          <w:p w14:paraId="7C1943FD"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6.0</w:t>
            </w:r>
          </w:p>
        </w:tc>
      </w:tr>
      <w:tr w:rsidR="00226593" w:rsidRPr="00787C27" w14:paraId="5E46CDBB" w14:textId="77777777" w:rsidTr="000A2BEC">
        <w:trPr>
          <w:trHeight w:val="285"/>
        </w:trPr>
        <w:tc>
          <w:tcPr>
            <w:tcW w:w="2830" w:type="dxa"/>
            <w:shd w:val="clear" w:color="auto" w:fill="D9E2F3"/>
          </w:tcPr>
          <w:p w14:paraId="1CDB3B41" w14:textId="77777777" w:rsidR="00226593" w:rsidRPr="00DD5310" w:rsidRDefault="00226593" w:rsidP="00022087">
            <w:pPr>
              <w:spacing w:line="276" w:lineRule="auto"/>
              <w:ind w:left="539" w:firstLine="0"/>
              <w:rPr>
                <w:rFonts w:eastAsia="Calibri" w:cs="Sylfaen"/>
                <w:b/>
                <w:bCs/>
                <w:sz w:val="16"/>
                <w:szCs w:val="16"/>
              </w:rPr>
            </w:pPr>
            <w:r w:rsidRPr="00DD5310">
              <w:rPr>
                <w:rFonts w:eastAsia="Calibri"/>
                <w:b/>
                <w:bCs/>
                <w:color w:val="000000"/>
                <w:sz w:val="16"/>
                <w:szCs w:val="16"/>
              </w:rPr>
              <w:t>Չինաստան</w:t>
            </w:r>
          </w:p>
        </w:tc>
        <w:tc>
          <w:tcPr>
            <w:tcW w:w="769" w:type="dxa"/>
            <w:shd w:val="clear" w:color="auto" w:fill="D9E2F3"/>
          </w:tcPr>
          <w:p w14:paraId="217CF8AB"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6.1</w:t>
            </w:r>
          </w:p>
        </w:tc>
        <w:tc>
          <w:tcPr>
            <w:tcW w:w="750" w:type="dxa"/>
            <w:shd w:val="clear" w:color="auto" w:fill="D9E2F3"/>
          </w:tcPr>
          <w:p w14:paraId="525C799C"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5.8</w:t>
            </w:r>
          </w:p>
        </w:tc>
        <w:tc>
          <w:tcPr>
            <w:tcW w:w="768" w:type="dxa"/>
            <w:shd w:val="clear" w:color="auto" w:fill="D9E2F3"/>
          </w:tcPr>
          <w:p w14:paraId="40B22612"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5.6</w:t>
            </w:r>
          </w:p>
        </w:tc>
        <w:tc>
          <w:tcPr>
            <w:tcW w:w="862" w:type="dxa"/>
            <w:shd w:val="clear" w:color="auto" w:fill="D9E2F3"/>
          </w:tcPr>
          <w:p w14:paraId="0D6B568F"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1.2</w:t>
            </w:r>
          </w:p>
        </w:tc>
        <w:tc>
          <w:tcPr>
            <w:tcW w:w="866" w:type="dxa"/>
            <w:shd w:val="clear" w:color="auto" w:fill="D9E2F3"/>
          </w:tcPr>
          <w:p w14:paraId="69E47381"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1.0</w:t>
            </w:r>
          </w:p>
        </w:tc>
        <w:tc>
          <w:tcPr>
            <w:tcW w:w="858" w:type="dxa"/>
            <w:shd w:val="clear" w:color="auto" w:fill="D9E2F3"/>
          </w:tcPr>
          <w:p w14:paraId="7C30079B"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5.9</w:t>
            </w:r>
          </w:p>
        </w:tc>
        <w:tc>
          <w:tcPr>
            <w:tcW w:w="749" w:type="dxa"/>
            <w:shd w:val="clear" w:color="auto" w:fill="D9E2F3"/>
          </w:tcPr>
          <w:p w14:paraId="59A0CD27"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5.8</w:t>
            </w:r>
          </w:p>
        </w:tc>
        <w:tc>
          <w:tcPr>
            <w:tcW w:w="742" w:type="dxa"/>
            <w:shd w:val="clear" w:color="auto" w:fill="D9E2F3"/>
          </w:tcPr>
          <w:p w14:paraId="08EB3726"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9.2</w:t>
            </w:r>
          </w:p>
        </w:tc>
        <w:tc>
          <w:tcPr>
            <w:tcW w:w="792" w:type="dxa"/>
            <w:shd w:val="clear" w:color="auto" w:fill="D9E2F3"/>
          </w:tcPr>
          <w:p w14:paraId="42AF6873"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8.2</w:t>
            </w:r>
          </w:p>
        </w:tc>
      </w:tr>
      <w:tr w:rsidR="00226593" w:rsidRPr="00787C27" w14:paraId="301EBB1C" w14:textId="77777777" w:rsidTr="000A2BEC">
        <w:trPr>
          <w:trHeight w:val="249"/>
        </w:trPr>
        <w:tc>
          <w:tcPr>
            <w:tcW w:w="2830" w:type="dxa"/>
            <w:shd w:val="clear" w:color="auto" w:fill="auto"/>
          </w:tcPr>
          <w:p w14:paraId="5D4F637C" w14:textId="77777777" w:rsidR="00226593" w:rsidRPr="00DD5310" w:rsidRDefault="00226593" w:rsidP="00022087">
            <w:pPr>
              <w:spacing w:line="276" w:lineRule="auto"/>
              <w:ind w:left="539" w:firstLine="0"/>
              <w:rPr>
                <w:rFonts w:eastAsia="Calibri" w:cs="Sylfaen"/>
                <w:b/>
                <w:bCs/>
                <w:sz w:val="16"/>
                <w:szCs w:val="16"/>
              </w:rPr>
            </w:pPr>
            <w:r w:rsidRPr="00DD5310">
              <w:rPr>
                <w:rFonts w:eastAsia="Calibri"/>
                <w:b/>
                <w:bCs/>
                <w:color w:val="000000"/>
                <w:sz w:val="16"/>
                <w:szCs w:val="16"/>
              </w:rPr>
              <w:t>ԱՄՆ</w:t>
            </w:r>
          </w:p>
        </w:tc>
        <w:tc>
          <w:tcPr>
            <w:tcW w:w="769" w:type="dxa"/>
            <w:shd w:val="clear" w:color="auto" w:fill="auto"/>
          </w:tcPr>
          <w:p w14:paraId="49A8831C"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2.3</w:t>
            </w:r>
          </w:p>
        </w:tc>
        <w:tc>
          <w:tcPr>
            <w:tcW w:w="750" w:type="dxa"/>
            <w:shd w:val="clear" w:color="auto" w:fill="auto"/>
          </w:tcPr>
          <w:p w14:paraId="60BA94B3"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2.1</w:t>
            </w:r>
          </w:p>
        </w:tc>
        <w:tc>
          <w:tcPr>
            <w:tcW w:w="768" w:type="dxa"/>
            <w:shd w:val="clear" w:color="auto" w:fill="auto"/>
          </w:tcPr>
          <w:p w14:paraId="70E77476"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2.0</w:t>
            </w:r>
          </w:p>
        </w:tc>
        <w:tc>
          <w:tcPr>
            <w:tcW w:w="862" w:type="dxa"/>
            <w:shd w:val="clear" w:color="auto" w:fill="auto"/>
          </w:tcPr>
          <w:p w14:paraId="7A6BC01C"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–5.9</w:t>
            </w:r>
          </w:p>
        </w:tc>
        <w:tc>
          <w:tcPr>
            <w:tcW w:w="866" w:type="dxa"/>
            <w:shd w:val="clear" w:color="auto" w:fill="auto"/>
          </w:tcPr>
          <w:p w14:paraId="12B5EC15"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–8.0</w:t>
            </w:r>
          </w:p>
        </w:tc>
        <w:tc>
          <w:tcPr>
            <w:tcW w:w="858" w:type="dxa"/>
            <w:shd w:val="clear" w:color="auto" w:fill="auto"/>
          </w:tcPr>
          <w:p w14:paraId="682EA97C"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1.7</w:t>
            </w:r>
          </w:p>
        </w:tc>
        <w:tc>
          <w:tcPr>
            <w:tcW w:w="749" w:type="dxa"/>
            <w:shd w:val="clear" w:color="auto" w:fill="auto"/>
          </w:tcPr>
          <w:p w14:paraId="6128DB4D"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1.7</w:t>
            </w:r>
          </w:p>
        </w:tc>
        <w:tc>
          <w:tcPr>
            <w:tcW w:w="742" w:type="dxa"/>
            <w:shd w:val="clear" w:color="auto" w:fill="auto"/>
          </w:tcPr>
          <w:p w14:paraId="77721055"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lang w:val="hy-AM"/>
              </w:rPr>
              <w:t>4.7</w:t>
            </w:r>
          </w:p>
        </w:tc>
        <w:tc>
          <w:tcPr>
            <w:tcW w:w="792" w:type="dxa"/>
            <w:shd w:val="clear" w:color="auto" w:fill="auto"/>
          </w:tcPr>
          <w:p w14:paraId="6DE97447"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lang w:val="hy-AM"/>
              </w:rPr>
              <w:t>4.5</w:t>
            </w:r>
          </w:p>
        </w:tc>
      </w:tr>
      <w:tr w:rsidR="00226593" w:rsidRPr="00787C27" w14:paraId="263199C9" w14:textId="77777777" w:rsidTr="000A2BEC">
        <w:trPr>
          <w:trHeight w:val="15"/>
        </w:trPr>
        <w:tc>
          <w:tcPr>
            <w:tcW w:w="2830" w:type="dxa"/>
            <w:shd w:val="clear" w:color="auto" w:fill="D9E2F3"/>
          </w:tcPr>
          <w:p w14:paraId="25FCE9A1" w14:textId="77777777" w:rsidR="00226593" w:rsidRPr="00DD5310" w:rsidRDefault="00226593" w:rsidP="00022087">
            <w:pPr>
              <w:spacing w:line="276" w:lineRule="auto"/>
              <w:ind w:firstLine="0"/>
              <w:rPr>
                <w:rFonts w:eastAsia="Calibri" w:cs="Sylfaen"/>
                <w:b/>
                <w:bCs/>
                <w:sz w:val="16"/>
                <w:szCs w:val="16"/>
              </w:rPr>
            </w:pPr>
            <w:r w:rsidRPr="00DD5310">
              <w:rPr>
                <w:rFonts w:eastAsia="Calibri"/>
                <w:b/>
                <w:bCs/>
                <w:color w:val="000000"/>
                <w:sz w:val="16"/>
                <w:szCs w:val="16"/>
              </w:rPr>
              <w:t>Համաշխարհային առևտ</w:t>
            </w:r>
            <w:r w:rsidRPr="00DD5310">
              <w:rPr>
                <w:rFonts w:eastAsia="Calibri"/>
                <w:b/>
                <w:bCs/>
                <w:color w:val="000000"/>
                <w:sz w:val="16"/>
                <w:szCs w:val="16"/>
                <w:lang w:val="hy-AM"/>
              </w:rPr>
              <w:t xml:space="preserve">րի աճ, </w:t>
            </w:r>
            <w:r w:rsidRPr="00DD5310">
              <w:rPr>
                <w:rFonts w:eastAsia="Calibri"/>
                <w:b/>
                <w:bCs/>
                <w:color w:val="000000"/>
                <w:sz w:val="16"/>
                <w:szCs w:val="16"/>
              </w:rPr>
              <w:t>%</w:t>
            </w:r>
          </w:p>
        </w:tc>
        <w:tc>
          <w:tcPr>
            <w:tcW w:w="769" w:type="dxa"/>
            <w:shd w:val="clear" w:color="auto" w:fill="D9E2F3"/>
          </w:tcPr>
          <w:p w14:paraId="729B91C3"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0.9</w:t>
            </w:r>
          </w:p>
        </w:tc>
        <w:tc>
          <w:tcPr>
            <w:tcW w:w="750" w:type="dxa"/>
            <w:shd w:val="clear" w:color="auto" w:fill="D9E2F3"/>
          </w:tcPr>
          <w:p w14:paraId="5533E298" w14:textId="77777777" w:rsidR="00226593" w:rsidRPr="00DD5310" w:rsidRDefault="00226593" w:rsidP="00022087">
            <w:pPr>
              <w:spacing w:line="276" w:lineRule="auto"/>
              <w:ind w:firstLine="0"/>
              <w:rPr>
                <w:rFonts w:eastAsia="Calibri"/>
                <w:sz w:val="16"/>
                <w:szCs w:val="16"/>
              </w:rPr>
            </w:pPr>
            <w:r w:rsidRPr="00DD5310">
              <w:rPr>
                <w:rFonts w:eastAsia="Calibri"/>
                <w:sz w:val="16"/>
                <w:szCs w:val="16"/>
                <w:lang w:val="hy-AM"/>
              </w:rPr>
              <w:t>3.2</w:t>
            </w:r>
          </w:p>
        </w:tc>
        <w:tc>
          <w:tcPr>
            <w:tcW w:w="768" w:type="dxa"/>
            <w:shd w:val="clear" w:color="auto" w:fill="D9E2F3"/>
          </w:tcPr>
          <w:p w14:paraId="4288CBB1"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2.9</w:t>
            </w:r>
          </w:p>
        </w:tc>
        <w:tc>
          <w:tcPr>
            <w:tcW w:w="862" w:type="dxa"/>
            <w:shd w:val="clear" w:color="auto" w:fill="D9E2F3"/>
          </w:tcPr>
          <w:p w14:paraId="14FB236A" w14:textId="77777777" w:rsidR="00226593" w:rsidRPr="00DD5310" w:rsidRDefault="00D10C58" w:rsidP="00022087">
            <w:pPr>
              <w:spacing w:line="276" w:lineRule="auto"/>
              <w:ind w:firstLine="0"/>
              <w:rPr>
                <w:rFonts w:eastAsia="Calibri" w:cs="Sylfaen"/>
                <w:sz w:val="16"/>
                <w:szCs w:val="16"/>
              </w:rPr>
            </w:pPr>
            <w:r>
              <w:rPr>
                <w:rFonts w:eastAsia="Calibri"/>
                <w:sz w:val="16"/>
                <w:szCs w:val="16"/>
                <w:lang w:val="hy-AM"/>
              </w:rPr>
              <w:t>-</w:t>
            </w:r>
            <w:r w:rsidR="00226593" w:rsidRPr="00DD5310">
              <w:rPr>
                <w:rFonts w:eastAsia="Calibri"/>
                <w:sz w:val="16"/>
                <w:szCs w:val="16"/>
              </w:rPr>
              <w:t>11.0</w:t>
            </w:r>
          </w:p>
        </w:tc>
        <w:tc>
          <w:tcPr>
            <w:tcW w:w="866" w:type="dxa"/>
            <w:shd w:val="clear" w:color="auto" w:fill="D9E2F3"/>
          </w:tcPr>
          <w:p w14:paraId="018A5262"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-11.9</w:t>
            </w:r>
          </w:p>
        </w:tc>
        <w:tc>
          <w:tcPr>
            <w:tcW w:w="858" w:type="dxa"/>
            <w:shd w:val="clear" w:color="auto" w:fill="D9E2F3"/>
          </w:tcPr>
          <w:p w14:paraId="328727E9" w14:textId="77777777" w:rsidR="00226593" w:rsidRPr="00DD5310" w:rsidRDefault="00226593" w:rsidP="00022087">
            <w:pPr>
              <w:spacing w:line="276" w:lineRule="auto"/>
              <w:ind w:firstLine="0"/>
              <w:rPr>
                <w:rFonts w:eastAsia="Calibri"/>
                <w:sz w:val="16"/>
                <w:szCs w:val="16"/>
              </w:rPr>
            </w:pPr>
            <w:r w:rsidRPr="00DD5310">
              <w:rPr>
                <w:rFonts w:eastAsia="Calibri"/>
                <w:sz w:val="16"/>
                <w:szCs w:val="16"/>
                <w:lang w:val="hy-AM"/>
              </w:rPr>
              <w:t>3.8</w:t>
            </w:r>
          </w:p>
        </w:tc>
        <w:tc>
          <w:tcPr>
            <w:tcW w:w="749" w:type="dxa"/>
            <w:shd w:val="clear" w:color="auto" w:fill="D9E2F3"/>
          </w:tcPr>
          <w:p w14:paraId="0612D2DE"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3.7</w:t>
            </w:r>
          </w:p>
        </w:tc>
        <w:tc>
          <w:tcPr>
            <w:tcW w:w="742" w:type="dxa"/>
            <w:shd w:val="clear" w:color="auto" w:fill="D9E2F3"/>
          </w:tcPr>
          <w:p w14:paraId="1B3036A0" w14:textId="77777777" w:rsidR="00226593" w:rsidRPr="00DD5310" w:rsidRDefault="00226593" w:rsidP="00022087">
            <w:pPr>
              <w:spacing w:line="276" w:lineRule="auto"/>
              <w:ind w:firstLine="0"/>
              <w:rPr>
                <w:rFonts w:eastAsia="Calibri" w:cs="Sylfaen"/>
                <w:sz w:val="16"/>
                <w:szCs w:val="16"/>
              </w:rPr>
            </w:pPr>
            <w:r w:rsidRPr="00DD5310">
              <w:rPr>
                <w:rFonts w:eastAsia="Calibri"/>
                <w:sz w:val="16"/>
                <w:szCs w:val="16"/>
              </w:rPr>
              <w:t>8.4</w:t>
            </w:r>
          </w:p>
        </w:tc>
        <w:tc>
          <w:tcPr>
            <w:tcW w:w="792" w:type="dxa"/>
            <w:shd w:val="clear" w:color="auto" w:fill="D9E2F3"/>
          </w:tcPr>
          <w:p w14:paraId="23AC5B27" w14:textId="77777777" w:rsidR="00226593" w:rsidRPr="00DD5310" w:rsidRDefault="00226593" w:rsidP="00022087">
            <w:pPr>
              <w:spacing w:line="276" w:lineRule="auto"/>
              <w:ind w:firstLine="0"/>
              <w:rPr>
                <w:rFonts w:eastAsia="Calibri"/>
                <w:sz w:val="16"/>
                <w:szCs w:val="16"/>
                <w:lang w:val="hy-AM"/>
              </w:rPr>
            </w:pPr>
            <w:r w:rsidRPr="00DD5310">
              <w:rPr>
                <w:rFonts w:eastAsia="Calibri"/>
                <w:sz w:val="16"/>
                <w:szCs w:val="16"/>
              </w:rPr>
              <w:t>8.0</w:t>
            </w:r>
          </w:p>
        </w:tc>
      </w:tr>
      <w:tr w:rsidR="00226593" w:rsidRPr="00787C27" w14:paraId="660DA226" w14:textId="77777777" w:rsidTr="000A2BEC">
        <w:trPr>
          <w:trHeight w:val="15"/>
        </w:trPr>
        <w:tc>
          <w:tcPr>
            <w:tcW w:w="2830" w:type="dxa"/>
            <w:shd w:val="clear" w:color="auto" w:fill="auto"/>
          </w:tcPr>
          <w:p w14:paraId="57E56F19" w14:textId="77777777" w:rsidR="00226593" w:rsidRPr="00DD5310" w:rsidRDefault="00226593" w:rsidP="00022087">
            <w:pPr>
              <w:spacing w:line="276" w:lineRule="auto"/>
              <w:ind w:firstLine="0"/>
              <w:rPr>
                <w:rFonts w:eastAsia="Calibri" w:cs="Sylfaen"/>
                <w:b/>
                <w:bCs/>
                <w:sz w:val="16"/>
                <w:szCs w:val="16"/>
                <w:lang w:val="hy-AM"/>
              </w:rPr>
            </w:pPr>
            <w:r w:rsidRPr="00DD5310">
              <w:rPr>
                <w:rFonts w:eastAsia="Calibri"/>
                <w:b/>
                <w:bCs/>
                <w:color w:val="000000"/>
                <w:sz w:val="16"/>
                <w:szCs w:val="16"/>
              </w:rPr>
              <w:t>Նավթի գներ</w:t>
            </w:r>
            <w:r w:rsidRPr="00DD5310">
              <w:rPr>
                <w:rFonts w:eastAsia="Calibri"/>
                <w:b/>
                <w:bCs/>
                <w:sz w:val="16"/>
                <w:szCs w:val="16"/>
              </w:rPr>
              <w:t xml:space="preserve"> </w:t>
            </w:r>
            <w:r w:rsidRPr="00DD5310">
              <w:rPr>
                <w:rFonts w:eastAsia="Calibri"/>
                <w:b/>
                <w:bCs/>
                <w:color w:val="000000"/>
                <w:sz w:val="16"/>
                <w:szCs w:val="16"/>
              </w:rPr>
              <w:t>($/</w:t>
            </w:r>
            <w:r w:rsidRPr="00DD5310">
              <w:rPr>
                <w:rFonts w:eastAsia="Calibri"/>
                <w:b/>
                <w:bCs/>
                <w:color w:val="000000"/>
                <w:sz w:val="16"/>
                <w:szCs w:val="16"/>
                <w:lang w:val="hy-AM"/>
              </w:rPr>
              <w:t>բարել</w:t>
            </w:r>
            <w:r w:rsidRPr="00DD5310">
              <w:rPr>
                <w:rFonts w:eastAsia="Calibri"/>
                <w:b/>
                <w:bCs/>
                <w:color w:val="000000"/>
                <w:sz w:val="16"/>
                <w:szCs w:val="16"/>
              </w:rPr>
              <w:t>)</w:t>
            </w:r>
          </w:p>
        </w:tc>
        <w:tc>
          <w:tcPr>
            <w:tcW w:w="769" w:type="dxa"/>
            <w:shd w:val="clear" w:color="auto" w:fill="auto"/>
          </w:tcPr>
          <w:p w14:paraId="17E407AF" w14:textId="77777777" w:rsidR="00226593" w:rsidRPr="00DD5310" w:rsidRDefault="00226593" w:rsidP="00022087">
            <w:pPr>
              <w:spacing w:line="276" w:lineRule="auto"/>
              <w:ind w:firstLine="0"/>
              <w:rPr>
                <w:rFonts w:eastAsia="Calibri" w:cs="Sylfaen"/>
                <w:sz w:val="16"/>
                <w:szCs w:val="16"/>
              </w:rPr>
            </w:pPr>
            <w:r w:rsidRPr="00DD5310">
              <w:rPr>
                <w:rFonts w:eastAsia="Calibri" w:cs="Sylfaen"/>
                <w:sz w:val="16"/>
                <w:szCs w:val="16"/>
              </w:rPr>
              <w:t>61.41</w:t>
            </w:r>
          </w:p>
        </w:tc>
        <w:tc>
          <w:tcPr>
            <w:tcW w:w="750" w:type="dxa"/>
            <w:shd w:val="clear" w:color="auto" w:fill="auto"/>
          </w:tcPr>
          <w:p w14:paraId="22078E75" w14:textId="77777777" w:rsidR="00226593" w:rsidRPr="00DD5310" w:rsidRDefault="00226593" w:rsidP="00022087">
            <w:pPr>
              <w:spacing w:line="276" w:lineRule="auto"/>
              <w:ind w:firstLine="0"/>
              <w:rPr>
                <w:rFonts w:eastAsia="Calibri" w:cs="Sylfaen"/>
                <w:sz w:val="16"/>
                <w:szCs w:val="16"/>
              </w:rPr>
            </w:pPr>
            <w:r w:rsidRPr="00DD5310">
              <w:rPr>
                <w:rFonts w:eastAsia="Calibri" w:cs="Sylfaen"/>
                <w:sz w:val="16"/>
                <w:szCs w:val="16"/>
              </w:rPr>
              <w:t>57.6</w:t>
            </w:r>
          </w:p>
        </w:tc>
        <w:tc>
          <w:tcPr>
            <w:tcW w:w="768" w:type="dxa"/>
            <w:shd w:val="clear" w:color="auto" w:fill="auto"/>
          </w:tcPr>
          <w:p w14:paraId="16F0D5BB" w14:textId="77777777" w:rsidR="00226593" w:rsidRPr="00DD5310" w:rsidRDefault="00226593" w:rsidP="00022087">
            <w:pPr>
              <w:spacing w:line="276" w:lineRule="auto"/>
              <w:ind w:firstLine="0"/>
              <w:rPr>
                <w:rFonts w:eastAsia="Calibri" w:cs="Sylfaen"/>
                <w:sz w:val="16"/>
                <w:szCs w:val="16"/>
              </w:rPr>
            </w:pPr>
            <w:r w:rsidRPr="00DD5310">
              <w:rPr>
                <w:rFonts w:eastAsia="Calibri" w:cs="Sylfaen"/>
                <w:sz w:val="16"/>
                <w:szCs w:val="16"/>
              </w:rPr>
              <w:t>58.77</w:t>
            </w:r>
          </w:p>
        </w:tc>
        <w:tc>
          <w:tcPr>
            <w:tcW w:w="862" w:type="dxa"/>
            <w:shd w:val="clear" w:color="auto" w:fill="auto"/>
          </w:tcPr>
          <w:p w14:paraId="30441564" w14:textId="77777777" w:rsidR="00226593" w:rsidRPr="00DD5310" w:rsidRDefault="00226593" w:rsidP="00022087">
            <w:pPr>
              <w:spacing w:line="276" w:lineRule="auto"/>
              <w:ind w:firstLine="0"/>
              <w:rPr>
                <w:rFonts w:eastAsia="Calibri" w:cs="Sylfaen"/>
                <w:sz w:val="16"/>
                <w:szCs w:val="16"/>
              </w:rPr>
            </w:pPr>
            <w:r w:rsidRPr="00DD5310">
              <w:rPr>
                <w:rFonts w:eastAsia="Calibri" w:cs="Sylfaen"/>
                <w:sz w:val="16"/>
                <w:szCs w:val="16"/>
              </w:rPr>
              <w:t>35.62</w:t>
            </w:r>
          </w:p>
        </w:tc>
        <w:tc>
          <w:tcPr>
            <w:tcW w:w="866" w:type="dxa"/>
            <w:shd w:val="clear" w:color="auto" w:fill="auto"/>
          </w:tcPr>
          <w:p w14:paraId="3EF5687B" w14:textId="77777777" w:rsidR="00226593" w:rsidRPr="00DD5310" w:rsidRDefault="00226593" w:rsidP="00022087">
            <w:pPr>
              <w:spacing w:line="276" w:lineRule="auto"/>
              <w:ind w:firstLine="0"/>
              <w:rPr>
                <w:rFonts w:eastAsia="Calibri" w:cs="Sylfaen"/>
                <w:sz w:val="16"/>
                <w:szCs w:val="16"/>
              </w:rPr>
            </w:pPr>
            <w:r w:rsidRPr="00DD5310">
              <w:rPr>
                <w:rFonts w:eastAsia="Calibri" w:cs="Sylfaen"/>
                <w:sz w:val="16"/>
                <w:szCs w:val="16"/>
              </w:rPr>
              <w:t>36.17</w:t>
            </w:r>
          </w:p>
        </w:tc>
        <w:tc>
          <w:tcPr>
            <w:tcW w:w="858" w:type="dxa"/>
            <w:shd w:val="clear" w:color="auto" w:fill="auto"/>
          </w:tcPr>
          <w:p w14:paraId="67B617A4" w14:textId="77777777" w:rsidR="00226593" w:rsidRPr="00DD5310" w:rsidRDefault="00226593" w:rsidP="00022087">
            <w:pPr>
              <w:spacing w:line="276" w:lineRule="auto"/>
              <w:ind w:firstLine="0"/>
              <w:rPr>
                <w:rFonts w:eastAsia="Calibri" w:cs="Sylfaen"/>
                <w:sz w:val="16"/>
                <w:szCs w:val="16"/>
              </w:rPr>
            </w:pPr>
            <w:r w:rsidRPr="00DD5310">
              <w:rPr>
                <w:rFonts w:eastAsia="Calibri" w:cs="Sylfaen"/>
                <w:sz w:val="16"/>
                <w:szCs w:val="16"/>
              </w:rPr>
              <w:t>55.0</w:t>
            </w:r>
          </w:p>
        </w:tc>
        <w:tc>
          <w:tcPr>
            <w:tcW w:w="749" w:type="dxa"/>
            <w:shd w:val="clear" w:color="auto" w:fill="auto"/>
          </w:tcPr>
          <w:p w14:paraId="4FB5CA11" w14:textId="77777777" w:rsidR="00226593" w:rsidRPr="00DD5310" w:rsidRDefault="00226593" w:rsidP="00022087">
            <w:pPr>
              <w:spacing w:line="276" w:lineRule="auto"/>
              <w:ind w:firstLine="0"/>
              <w:rPr>
                <w:rFonts w:eastAsia="Calibri" w:cs="Sylfaen"/>
                <w:sz w:val="16"/>
                <w:szCs w:val="16"/>
              </w:rPr>
            </w:pPr>
            <w:r w:rsidRPr="00DD5310">
              <w:rPr>
                <w:rFonts w:eastAsia="Calibri" w:cs="Sylfaen"/>
                <w:sz w:val="16"/>
                <w:szCs w:val="16"/>
              </w:rPr>
              <w:t>56.00</w:t>
            </w:r>
          </w:p>
        </w:tc>
        <w:tc>
          <w:tcPr>
            <w:tcW w:w="742" w:type="dxa"/>
            <w:shd w:val="clear" w:color="auto" w:fill="auto"/>
          </w:tcPr>
          <w:p w14:paraId="0C15BFB4" w14:textId="77777777" w:rsidR="00226593" w:rsidRPr="00DD5310" w:rsidRDefault="00226593" w:rsidP="00022087">
            <w:pPr>
              <w:spacing w:line="276" w:lineRule="auto"/>
              <w:ind w:firstLine="0"/>
              <w:rPr>
                <w:rFonts w:eastAsia="Calibri" w:cs="Sylfaen"/>
                <w:sz w:val="16"/>
                <w:szCs w:val="16"/>
              </w:rPr>
            </w:pPr>
            <w:r w:rsidRPr="00DD5310">
              <w:rPr>
                <w:rFonts w:eastAsia="Calibri" w:cs="Sylfaen"/>
                <w:sz w:val="16"/>
                <w:szCs w:val="16"/>
              </w:rPr>
              <w:t>37.86</w:t>
            </w:r>
          </w:p>
        </w:tc>
        <w:tc>
          <w:tcPr>
            <w:tcW w:w="792" w:type="dxa"/>
            <w:shd w:val="clear" w:color="auto" w:fill="auto"/>
          </w:tcPr>
          <w:p w14:paraId="3968017B" w14:textId="77777777" w:rsidR="00226593" w:rsidRPr="00DD5310" w:rsidRDefault="00226593" w:rsidP="00022087">
            <w:pPr>
              <w:spacing w:line="276" w:lineRule="auto"/>
              <w:ind w:firstLine="0"/>
              <w:rPr>
                <w:rFonts w:eastAsia="Calibri" w:cs="Sylfaen"/>
                <w:sz w:val="16"/>
                <w:szCs w:val="16"/>
              </w:rPr>
            </w:pPr>
            <w:r w:rsidRPr="00DD5310">
              <w:rPr>
                <w:rFonts w:eastAsia="Calibri" w:cs="Sylfaen"/>
                <w:sz w:val="16"/>
                <w:szCs w:val="16"/>
              </w:rPr>
              <w:t>37.54</w:t>
            </w:r>
          </w:p>
        </w:tc>
      </w:tr>
    </w:tbl>
    <w:p w14:paraId="34127D2C" w14:textId="77777777" w:rsidR="00226593" w:rsidRPr="002F5D73" w:rsidRDefault="00226593" w:rsidP="002F5D73">
      <w:pPr>
        <w:spacing w:line="276" w:lineRule="auto"/>
        <w:rPr>
          <w:rFonts w:cs="Sylfaen"/>
          <w:i/>
          <w:sz w:val="16"/>
          <w:szCs w:val="16"/>
        </w:rPr>
      </w:pPr>
      <w:r w:rsidRPr="00AC5F26">
        <w:rPr>
          <w:rFonts w:cs="Sylfaen"/>
          <w:i/>
          <w:sz w:val="16"/>
          <w:szCs w:val="16"/>
        </w:rPr>
        <w:t xml:space="preserve">Աղբյուրը` </w:t>
      </w:r>
      <w:r w:rsidRPr="00AC5F26">
        <w:rPr>
          <w:rFonts w:cs="Sylfaen"/>
          <w:i/>
          <w:sz w:val="16"/>
          <w:szCs w:val="16"/>
          <w:lang w:val="hy-AM"/>
        </w:rPr>
        <w:t>ԱՄՀ «</w:t>
      </w:r>
      <w:r w:rsidRPr="00AC5F26">
        <w:rPr>
          <w:rFonts w:cs="Sylfaen"/>
          <w:i/>
          <w:sz w:val="16"/>
          <w:szCs w:val="16"/>
        </w:rPr>
        <w:t>World Economic Outlook</w:t>
      </w:r>
      <w:r w:rsidRPr="00AC5F26">
        <w:rPr>
          <w:rFonts w:cs="Sylfaen"/>
          <w:i/>
          <w:sz w:val="16"/>
          <w:szCs w:val="16"/>
          <w:lang w:val="hy-AM"/>
        </w:rPr>
        <w:t>»</w:t>
      </w:r>
    </w:p>
    <w:p w14:paraId="4458D401" w14:textId="77777777" w:rsidR="00226593" w:rsidRPr="00A1468E" w:rsidRDefault="002F5D73" w:rsidP="00226593">
      <w:pPr>
        <w:spacing w:after="120" w:line="276" w:lineRule="auto"/>
        <w:rPr>
          <w:lang w:val="hy-AM"/>
        </w:rPr>
      </w:pPr>
      <w:r w:rsidRPr="002F5D73">
        <w:rPr>
          <w:rFonts w:eastAsia="Calibri" w:cs="Times New Roman"/>
          <w:b/>
          <w:color w:val="000000"/>
          <w:lang w:val="hy-AM"/>
        </w:rPr>
        <w:t>Հումքային ապրանքների համաշխարհային գները կտրուկ նվազում են</w:t>
      </w:r>
      <w:r w:rsidRPr="002F5D73">
        <w:rPr>
          <w:rFonts w:eastAsia="Calibri" w:cs="Times New Roman"/>
          <w:lang w:val="hy-AM"/>
        </w:rPr>
        <w:t>։ Համավարակով պայմանավորված ամբողջ աշխարհում պահանջարկի անկումը, անորոշության բարձրացումը և նավթի շուկայում հիմնական խաղացողների միջև տարաձայնությունները հանգեցրել են հումքային ապրանքների գների նվազման: 2020թ.  հունվար-մայիս ամիսներին նավթի միջազգային գները նվազել են 38%-ով, պղնձի գները՝ 13%-ով: ԱՄՀ-ի կանխատեսումներով 2020թ. նավթի բորսային գները կնվազեն 41.1%-ով, պղնձի գները՝</w:t>
      </w:r>
      <w:r>
        <w:rPr>
          <w:rFonts w:eastAsia="Calibri" w:cs="Times New Roman"/>
          <w:lang w:val="hy-AM"/>
        </w:rPr>
        <w:t xml:space="preserve"> </w:t>
      </w:r>
      <w:r w:rsidR="00226593" w:rsidRPr="00A1468E">
        <w:rPr>
          <w:lang w:val="hy-AM"/>
        </w:rPr>
        <w:t>13.5</w:t>
      </w:r>
      <w:r w:rsidR="00F211F7" w:rsidRPr="00A1468E">
        <w:rPr>
          <w:lang w:val="hy-AM"/>
        </w:rPr>
        <w:t>%</w:t>
      </w:r>
      <w:r w:rsidR="00F211F7">
        <w:rPr>
          <w:lang w:val="hy-AM"/>
        </w:rPr>
        <w:noBreakHyphen/>
      </w:r>
      <w:r w:rsidR="00226593" w:rsidRPr="007B23EF">
        <w:rPr>
          <w:lang w:val="hy-AM"/>
        </w:rPr>
        <w:t>ով, իսկ</w:t>
      </w:r>
      <w:r w:rsidR="00226593" w:rsidRPr="00A1468E">
        <w:rPr>
          <w:lang w:val="hy-AM"/>
        </w:rPr>
        <w:t xml:space="preserve"> 2021թ.-ից գները կսկսեն վերականգնվել:</w:t>
      </w:r>
    </w:p>
    <w:p w14:paraId="1ECA0E18" w14:textId="77777777" w:rsidR="002F5D73" w:rsidRPr="002F5D73" w:rsidRDefault="002F5D73" w:rsidP="002F5D73">
      <w:pPr>
        <w:spacing w:before="120" w:after="0" w:line="276" w:lineRule="auto"/>
        <w:rPr>
          <w:rFonts w:eastAsia="Calibri" w:cs="Times New Roman"/>
          <w:b/>
          <w:lang w:val="hy-AM"/>
        </w:rPr>
      </w:pPr>
      <w:r w:rsidRPr="002F5D73">
        <w:rPr>
          <w:rFonts w:eastAsia="Calibri" w:cs="Times New Roman"/>
          <w:b/>
          <w:lang w:val="hy-AM"/>
        </w:rPr>
        <w:t>Զարգացող երկրներում ազգային արժույթները սկսել են թուլանալ, իսկ երկրների ռիսկի հավելավճարները բարձրանալ:</w:t>
      </w:r>
      <w:r w:rsidRPr="002F5D73" w:rsidDel="00F227B8">
        <w:rPr>
          <w:rFonts w:eastAsia="Calibri" w:cs="Times New Roman"/>
          <w:b/>
          <w:lang w:val="hy-AM"/>
        </w:rPr>
        <w:t xml:space="preserve"> </w:t>
      </w:r>
      <w:r w:rsidRPr="002F5D73">
        <w:rPr>
          <w:rFonts w:eastAsia="Calibri" w:cs="Times New Roman"/>
          <w:lang w:val="hy-AM"/>
        </w:rPr>
        <w:t xml:space="preserve">Համավարակն իր բացասական ազդեցությունն է թողել նաև միջազգային ֆինանսական շուկաների վրա, երկրների միջև առևտրային սահմանափակումները, </w:t>
      </w:r>
      <w:r w:rsidRPr="002F5D73">
        <w:rPr>
          <w:rFonts w:eastAsia="Calibri" w:cs="Times New Roman"/>
          <w:lang w:val="hy-AM"/>
        </w:rPr>
        <w:lastRenderedPageBreak/>
        <w:t>ներդրումային միջավայրի բարձր անորոշությունը թուլացրել են զարգացող երկրների ազգային արժույթները և բարձրացրել երկրների ռիսկի հավելավճարները` սուվերեն սպրեդները։</w:t>
      </w:r>
    </w:p>
    <w:p w14:paraId="488B7F7E" w14:textId="77777777" w:rsidR="002F5D73" w:rsidRPr="002F5D73" w:rsidRDefault="002F5D73" w:rsidP="002F5D73">
      <w:pPr>
        <w:spacing w:before="0" w:after="0" w:line="276" w:lineRule="auto"/>
        <w:ind w:firstLine="0"/>
        <w:jc w:val="left"/>
        <w:rPr>
          <w:rFonts w:eastAsia="Calibri" w:cs="Times New Roman"/>
          <w:b/>
          <w:color w:val="000000"/>
          <w:lang w:val="hy-AM"/>
        </w:rPr>
      </w:pPr>
      <w:r w:rsidRPr="002F5D73">
        <w:rPr>
          <w:rFonts w:eastAsia="Calibri" w:cs="Times New Roman"/>
          <w:b/>
          <w:color w:val="000000"/>
          <w:lang w:val="hy-AM"/>
        </w:rPr>
        <w:t>Միջազգային տնտեսական և ֆինանսական զարգացումները և կանխատեսումները</w:t>
      </w:r>
    </w:p>
    <w:tbl>
      <w:tblPr>
        <w:tblStyle w:val="TableGrid22"/>
        <w:tblW w:w="10173" w:type="dxa"/>
        <w:tblInd w:w="-8" w:type="dxa"/>
        <w:tblBorders>
          <w:top w:val="single" w:sz="6" w:space="0" w:color="4F81BD" w:themeColor="accent1"/>
          <w:left w:val="single" w:sz="6" w:space="0" w:color="4F81BD" w:themeColor="accent1"/>
          <w:bottom w:val="single" w:sz="6" w:space="0" w:color="4F81BD" w:themeColor="accent1"/>
          <w:right w:val="single" w:sz="6" w:space="0" w:color="4F81BD" w:themeColor="accent1"/>
          <w:insideH w:val="single" w:sz="6" w:space="0" w:color="4F81BD" w:themeColor="accent1"/>
          <w:insideV w:val="single" w:sz="6" w:space="0" w:color="4F81BD" w:themeColor="accent1"/>
        </w:tblBorders>
        <w:tblLayout w:type="fixed"/>
        <w:tblLook w:val="04A0" w:firstRow="1" w:lastRow="0" w:firstColumn="1" w:lastColumn="0" w:noHBand="0" w:noVBand="1"/>
      </w:tblPr>
      <w:tblGrid>
        <w:gridCol w:w="5070"/>
        <w:gridCol w:w="5103"/>
      </w:tblGrid>
      <w:tr w:rsidR="002F5D73" w:rsidRPr="00A03AF2" w14:paraId="6D2A9A38" w14:textId="77777777" w:rsidTr="00E3727D">
        <w:trPr>
          <w:trHeight w:val="4071"/>
        </w:trPr>
        <w:tc>
          <w:tcPr>
            <w:tcW w:w="5070" w:type="dxa"/>
          </w:tcPr>
          <w:p w14:paraId="2AA6D745" w14:textId="77777777" w:rsidR="002F5D73" w:rsidRPr="002F5D73" w:rsidRDefault="002F5D73" w:rsidP="002F5D73">
            <w:pPr>
              <w:spacing w:before="0" w:after="0" w:line="240" w:lineRule="auto"/>
              <w:ind w:firstLine="0"/>
              <w:rPr>
                <w:bCs/>
                <w:i/>
                <w:sz w:val="18"/>
                <w:szCs w:val="18"/>
                <w:lang w:val="hy-AM"/>
              </w:rPr>
            </w:pPr>
            <w:r w:rsidRPr="002F5D73">
              <w:rPr>
                <w:b/>
                <w:bCs/>
                <w:i/>
                <w:sz w:val="18"/>
                <w:szCs w:val="18"/>
                <w:lang w:val="hy-AM"/>
              </w:rPr>
              <w:t>Գծապատկեր 1.1</w:t>
            </w:r>
            <w:r w:rsidRPr="002F5D73">
              <w:rPr>
                <w:bCs/>
                <w:i/>
                <w:sz w:val="18"/>
                <w:szCs w:val="18"/>
                <w:lang w:val="hy-AM"/>
              </w:rPr>
              <w:t xml:space="preserve"> Համաշխարհային ամենախոր </w:t>
            </w:r>
          </w:p>
          <w:p w14:paraId="5D9D4B61" w14:textId="77777777" w:rsidR="002F5D73" w:rsidRPr="002F5D73" w:rsidRDefault="002F5D73" w:rsidP="002F5D73">
            <w:pPr>
              <w:spacing w:before="0" w:after="0" w:line="240" w:lineRule="auto"/>
              <w:ind w:firstLine="0"/>
              <w:rPr>
                <w:bCs/>
                <w:i/>
                <w:sz w:val="18"/>
                <w:szCs w:val="18"/>
                <w:lang w:val="hy-AM"/>
              </w:rPr>
            </w:pPr>
            <w:r w:rsidRPr="002F5D73">
              <w:rPr>
                <w:bCs/>
                <w:i/>
                <w:sz w:val="18"/>
                <w:szCs w:val="18"/>
                <w:lang w:val="hy-AM"/>
              </w:rPr>
              <w:t xml:space="preserve">անկումը «Մեծ Դեպրեսիայից» հետո և թույլ </w:t>
            </w:r>
          </w:p>
          <w:p w14:paraId="7661B5DB" w14:textId="77777777" w:rsidR="002F5D73" w:rsidRPr="002F5D73" w:rsidRDefault="002F5D73" w:rsidP="002F5D73">
            <w:pPr>
              <w:spacing w:before="0" w:after="0" w:line="240" w:lineRule="auto"/>
              <w:ind w:firstLine="0"/>
              <w:rPr>
                <w:bCs/>
                <w:i/>
                <w:lang w:val="hy-AM"/>
              </w:rPr>
            </w:pPr>
            <w:r w:rsidRPr="002F5D73">
              <w:rPr>
                <w:bCs/>
                <w:i/>
                <w:sz w:val="18"/>
                <w:szCs w:val="18"/>
                <w:lang w:val="hy-AM"/>
              </w:rPr>
              <w:t>վերականգնումը հաջորդ տարի, տնտեսական աճեր</w:t>
            </w:r>
          </w:p>
          <w:p w14:paraId="1D8A88CC" w14:textId="77777777" w:rsidR="002F5D73" w:rsidRPr="00F330A0" w:rsidRDefault="002F5D73" w:rsidP="002F5D73">
            <w:pPr>
              <w:spacing w:after="160" w:line="276" w:lineRule="auto"/>
              <w:ind w:firstLine="0"/>
              <w:jc w:val="left"/>
              <w:rPr>
                <w:b/>
                <w:i/>
                <w:sz w:val="16"/>
                <w:szCs w:val="16"/>
                <w:lang w:val="hy-AM"/>
              </w:rPr>
            </w:pPr>
            <w:r w:rsidRPr="00F330A0">
              <w:rPr>
                <w:b/>
                <w:i/>
                <w:noProof/>
                <w:sz w:val="18"/>
                <w:szCs w:val="18"/>
              </w:rPr>
              <w:drawing>
                <wp:anchor distT="0" distB="0" distL="114300" distR="114300" simplePos="0" relativeHeight="251618304" behindDoc="1" locked="0" layoutInCell="1" allowOverlap="1" wp14:anchorId="438B823C" wp14:editId="5A10178E">
                  <wp:simplePos x="0" y="0"/>
                  <wp:positionH relativeFrom="column">
                    <wp:posOffset>3810</wp:posOffset>
                  </wp:positionH>
                  <wp:positionV relativeFrom="paragraph">
                    <wp:posOffset>34925</wp:posOffset>
                  </wp:positionV>
                  <wp:extent cx="3133725" cy="1800225"/>
                  <wp:effectExtent l="0" t="0" r="15875" b="15875"/>
                  <wp:wrapTight wrapText="bothSides">
                    <wp:wrapPolygon edited="0">
                      <wp:start x="0" y="0"/>
                      <wp:lineTo x="0" y="21638"/>
                      <wp:lineTo x="21622" y="21638"/>
                      <wp:lineTo x="21622" y="0"/>
                      <wp:lineTo x="0" y="0"/>
                    </wp:wrapPolygon>
                  </wp:wrapTight>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2F5D73">
              <w:rPr>
                <w:rFonts w:eastAsia="Calibri" w:cs="Times New Roman"/>
                <w:i/>
                <w:sz w:val="16"/>
                <w:szCs w:val="16"/>
                <w:lang w:val="hy-AM"/>
              </w:rPr>
              <w:t xml:space="preserve"> Աղբյուրը՝ ԱՄՀ</w:t>
            </w:r>
          </w:p>
        </w:tc>
        <w:tc>
          <w:tcPr>
            <w:tcW w:w="5103" w:type="dxa"/>
          </w:tcPr>
          <w:p w14:paraId="66AEC5DC" w14:textId="77777777" w:rsidR="002F5D73" w:rsidRPr="002F5D73" w:rsidRDefault="002F5D73" w:rsidP="002F5D73">
            <w:pPr>
              <w:spacing w:before="0" w:after="0" w:line="240" w:lineRule="auto"/>
              <w:ind w:firstLine="0"/>
              <w:rPr>
                <w:bCs/>
                <w:i/>
                <w:sz w:val="18"/>
                <w:szCs w:val="18"/>
                <w:lang w:val="hy-AM"/>
              </w:rPr>
            </w:pPr>
            <w:r w:rsidRPr="002F5D73">
              <w:rPr>
                <w:b/>
                <w:bCs/>
                <w:i/>
                <w:sz w:val="18"/>
                <w:szCs w:val="18"/>
                <w:lang w:val="hy-AM"/>
              </w:rPr>
              <w:t xml:space="preserve">Գծապատկեր 1.2 </w:t>
            </w:r>
            <w:r w:rsidRPr="002F5D73">
              <w:rPr>
                <w:bCs/>
                <w:i/>
                <w:sz w:val="18"/>
                <w:szCs w:val="18"/>
                <w:lang w:val="hy-AM"/>
              </w:rPr>
              <w:t>Հումքային ապրանքների գները կտրուկ անկում են ապրում</w:t>
            </w:r>
          </w:p>
          <w:p w14:paraId="59E97B43" w14:textId="77777777" w:rsidR="002F5D73" w:rsidRPr="002F5D73" w:rsidRDefault="002F5D73" w:rsidP="00651744">
            <w:pPr>
              <w:spacing w:line="276" w:lineRule="auto"/>
              <w:ind w:firstLine="0"/>
              <w:jc w:val="left"/>
              <w:rPr>
                <w:sz w:val="16"/>
                <w:szCs w:val="16"/>
                <w:lang w:val="hy-AM"/>
              </w:rPr>
            </w:pPr>
            <w:r w:rsidRPr="00F330A0">
              <w:rPr>
                <w:i/>
                <w:sz w:val="16"/>
                <w:szCs w:val="16"/>
                <w:lang w:val="hy-AM"/>
              </w:rPr>
              <w:t>Աղբյուրը՝ նավթի գների կանխատեսում ԱՄՀ, պղինձ՝ ՀԲ</w:t>
            </w:r>
            <w:r w:rsidRPr="002F5D73">
              <w:rPr>
                <w:b/>
                <w:noProof/>
                <w:lang w:val="hy-AM"/>
              </w:rPr>
              <w:t xml:space="preserve"> </w:t>
            </w:r>
            <w:r w:rsidRPr="00A1468E">
              <w:rPr>
                <w:b/>
                <w:noProof/>
              </w:rPr>
              <w:drawing>
                <wp:anchor distT="0" distB="0" distL="114300" distR="114300" simplePos="0" relativeHeight="251624448" behindDoc="1" locked="0" layoutInCell="1" allowOverlap="1" wp14:anchorId="366481AC" wp14:editId="48CF6A37">
                  <wp:simplePos x="0" y="0"/>
                  <wp:positionH relativeFrom="column">
                    <wp:posOffset>-64135</wp:posOffset>
                  </wp:positionH>
                  <wp:positionV relativeFrom="paragraph">
                    <wp:posOffset>159385</wp:posOffset>
                  </wp:positionV>
                  <wp:extent cx="3305175" cy="1838325"/>
                  <wp:effectExtent l="0" t="0" r="9525" b="15875"/>
                  <wp:wrapTight wrapText="bothSides">
                    <wp:wrapPolygon edited="0">
                      <wp:start x="0" y="0"/>
                      <wp:lineTo x="0" y="21637"/>
                      <wp:lineTo x="21579" y="21637"/>
                      <wp:lineTo x="21579" y="0"/>
                      <wp:lineTo x="0" y="0"/>
                    </wp:wrapPolygon>
                  </wp:wrapTight>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tc>
      </w:tr>
      <w:tr w:rsidR="002F5D73" w:rsidRPr="00A03AF2" w14:paraId="3D155642" w14:textId="77777777" w:rsidTr="00E3727D">
        <w:trPr>
          <w:trHeight w:val="220"/>
        </w:trPr>
        <w:tc>
          <w:tcPr>
            <w:tcW w:w="5070" w:type="dxa"/>
          </w:tcPr>
          <w:p w14:paraId="166B513B" w14:textId="77777777" w:rsidR="002F5D73" w:rsidRPr="002F5D73" w:rsidRDefault="002F5D73" w:rsidP="002F5D73">
            <w:pPr>
              <w:spacing w:before="0" w:after="0" w:line="240" w:lineRule="auto"/>
              <w:ind w:firstLine="0"/>
              <w:rPr>
                <w:bCs/>
                <w:i/>
                <w:sz w:val="18"/>
                <w:szCs w:val="18"/>
                <w:lang w:val="hy-AM"/>
              </w:rPr>
            </w:pPr>
            <w:r w:rsidRPr="002F5D73">
              <w:rPr>
                <w:b/>
                <w:bCs/>
                <w:i/>
                <w:sz w:val="18"/>
                <w:szCs w:val="18"/>
                <w:lang w:val="hy-AM"/>
              </w:rPr>
              <w:t>Գծապատկեր 1.3.</w:t>
            </w:r>
            <w:r w:rsidRPr="002F5D73">
              <w:rPr>
                <w:bCs/>
                <w:i/>
                <w:sz w:val="18"/>
                <w:szCs w:val="18"/>
                <w:lang w:val="hy-AM"/>
              </w:rPr>
              <w:t xml:space="preserve"> Թույլ պահանջարկի</w:t>
            </w:r>
            <w:r>
              <w:rPr>
                <w:bCs/>
                <w:i/>
                <w:sz w:val="18"/>
                <w:szCs w:val="18"/>
                <w:lang w:val="hy-AM"/>
              </w:rPr>
              <w:t xml:space="preserve"> </w:t>
            </w:r>
            <w:r w:rsidRPr="002F5D73">
              <w:rPr>
                <w:bCs/>
                <w:i/>
                <w:sz w:val="18"/>
                <w:szCs w:val="18"/>
                <w:lang w:val="hy-AM"/>
              </w:rPr>
              <w:t>և սահմանափակումների արտացոլումը</w:t>
            </w:r>
            <w:r w:rsidRPr="00F330A0">
              <w:rPr>
                <w:i/>
                <w:sz w:val="18"/>
                <w:szCs w:val="18"/>
                <w:lang w:val="hy-AM"/>
              </w:rPr>
              <w:t xml:space="preserve"> </w:t>
            </w:r>
          </w:p>
          <w:p w14:paraId="2E17F3B7" w14:textId="77777777" w:rsidR="002F5D73" w:rsidRPr="002F5D73" w:rsidRDefault="002F5D73" w:rsidP="002F5D73">
            <w:pPr>
              <w:ind w:firstLine="0"/>
              <w:rPr>
                <w:i/>
                <w:sz w:val="24"/>
                <w:szCs w:val="24"/>
                <w:lang w:val="hy-AM"/>
              </w:rPr>
            </w:pPr>
            <w:r w:rsidRPr="00F330A0">
              <w:rPr>
                <w:b/>
                <w:i/>
                <w:noProof/>
                <w:sz w:val="18"/>
                <w:szCs w:val="18"/>
              </w:rPr>
              <w:drawing>
                <wp:anchor distT="0" distB="0" distL="114300" distR="114300" simplePos="0" relativeHeight="251627520" behindDoc="1" locked="0" layoutInCell="1" allowOverlap="1" wp14:anchorId="582AABCD" wp14:editId="780DBFEB">
                  <wp:simplePos x="0" y="0"/>
                  <wp:positionH relativeFrom="column">
                    <wp:posOffset>-62865</wp:posOffset>
                  </wp:positionH>
                  <wp:positionV relativeFrom="paragraph">
                    <wp:posOffset>207010</wp:posOffset>
                  </wp:positionV>
                  <wp:extent cx="3096260" cy="1730375"/>
                  <wp:effectExtent l="0" t="0" r="8890" b="3175"/>
                  <wp:wrapTight wrapText="bothSides">
                    <wp:wrapPolygon edited="0">
                      <wp:start x="0" y="0"/>
                      <wp:lineTo x="0" y="21402"/>
                      <wp:lineTo x="21529" y="21402"/>
                      <wp:lineTo x="21529" y="0"/>
                      <wp:lineTo x="0" y="0"/>
                    </wp:wrapPolygon>
                  </wp:wrapTight>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F330A0">
              <w:rPr>
                <w:i/>
                <w:sz w:val="18"/>
                <w:szCs w:val="18"/>
                <w:lang w:val="hy-AM"/>
              </w:rPr>
              <w:t>համաշխարհային առևտրում</w:t>
            </w:r>
            <w:r w:rsidRPr="00F330A0">
              <w:rPr>
                <w:i/>
                <w:sz w:val="24"/>
                <w:szCs w:val="24"/>
                <w:lang w:val="hy-AM"/>
              </w:rPr>
              <w:t xml:space="preserve"> </w:t>
            </w:r>
          </w:p>
          <w:p w14:paraId="67ED7E8E" w14:textId="77777777" w:rsidR="002F5D73" w:rsidRPr="00F330A0" w:rsidRDefault="002F5D73" w:rsidP="002F5D73">
            <w:pPr>
              <w:spacing w:after="160" w:line="276" w:lineRule="auto"/>
              <w:ind w:firstLine="0"/>
              <w:jc w:val="left"/>
              <w:rPr>
                <w:i/>
                <w:sz w:val="16"/>
                <w:szCs w:val="16"/>
                <w:lang w:val="hy-AM"/>
              </w:rPr>
            </w:pPr>
            <w:r w:rsidRPr="00F330A0">
              <w:rPr>
                <w:i/>
                <w:sz w:val="16"/>
                <w:szCs w:val="16"/>
                <w:lang w:val="hy-AM"/>
              </w:rPr>
              <w:t>Աղբյուրը՝ ԱՄՀ</w:t>
            </w:r>
          </w:p>
        </w:tc>
        <w:tc>
          <w:tcPr>
            <w:tcW w:w="5103" w:type="dxa"/>
          </w:tcPr>
          <w:p w14:paraId="1D1D0DF1" w14:textId="77777777" w:rsidR="002F5D73" w:rsidRPr="002F5D73" w:rsidRDefault="002F5D73" w:rsidP="002F5D73">
            <w:pPr>
              <w:spacing w:before="0" w:after="0" w:line="240" w:lineRule="auto"/>
              <w:ind w:firstLine="0"/>
              <w:rPr>
                <w:bCs/>
                <w:i/>
                <w:sz w:val="18"/>
                <w:szCs w:val="18"/>
                <w:lang w:val="hy-AM"/>
              </w:rPr>
            </w:pPr>
            <w:r w:rsidRPr="00A1468E">
              <w:rPr>
                <w:b/>
                <w:noProof/>
                <w:sz w:val="18"/>
                <w:szCs w:val="18"/>
              </w:rPr>
              <w:drawing>
                <wp:anchor distT="0" distB="0" distL="114300" distR="114300" simplePos="0" relativeHeight="251621376" behindDoc="1" locked="0" layoutInCell="1" allowOverlap="1" wp14:anchorId="4288A284" wp14:editId="0ECF7D72">
                  <wp:simplePos x="0" y="0"/>
                  <wp:positionH relativeFrom="column">
                    <wp:posOffset>-56927</wp:posOffset>
                  </wp:positionH>
                  <wp:positionV relativeFrom="paragraph">
                    <wp:posOffset>438039</wp:posOffset>
                  </wp:positionV>
                  <wp:extent cx="3123565" cy="1885315"/>
                  <wp:effectExtent l="0" t="0" r="635" b="635"/>
                  <wp:wrapTight wrapText="bothSides">
                    <wp:wrapPolygon edited="0">
                      <wp:start x="0" y="0"/>
                      <wp:lineTo x="0" y="21389"/>
                      <wp:lineTo x="21473" y="21389"/>
                      <wp:lineTo x="21473" y="0"/>
                      <wp:lineTo x="0" y="0"/>
                    </wp:wrapPolygon>
                  </wp:wrapTight>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F330A0">
              <w:rPr>
                <w:b/>
                <w:i/>
                <w:sz w:val="18"/>
                <w:szCs w:val="18"/>
                <w:lang w:val="hy-AM"/>
              </w:rPr>
              <w:t xml:space="preserve">Գծապատկեր 1.4. </w:t>
            </w:r>
            <w:r w:rsidRPr="002F5D73">
              <w:rPr>
                <w:bCs/>
                <w:i/>
                <w:sz w:val="18"/>
                <w:szCs w:val="18"/>
                <w:lang w:val="hy-AM"/>
              </w:rPr>
              <w:t>Զարգացող երկրներում նկատվում է ազգային արժույթների թուլացում դոլարի նկատմամբ</w:t>
            </w:r>
          </w:p>
          <w:p w14:paraId="7EAC8FCB" w14:textId="77777777" w:rsidR="002F5D73" w:rsidRPr="00F330A0" w:rsidRDefault="002F5D73" w:rsidP="00651744">
            <w:pPr>
              <w:spacing w:after="160" w:line="276" w:lineRule="auto"/>
              <w:ind w:firstLine="0"/>
              <w:jc w:val="left"/>
              <w:rPr>
                <w:i/>
                <w:sz w:val="16"/>
                <w:szCs w:val="16"/>
                <w:lang w:val="hy-AM"/>
              </w:rPr>
            </w:pPr>
            <w:r w:rsidRPr="00651744">
              <w:rPr>
                <w:i/>
                <w:sz w:val="16"/>
                <w:szCs w:val="16"/>
                <w:lang w:val="hy-AM"/>
              </w:rPr>
              <w:t>Աղբյուրը՝ Բլումբերգ, ՀՀ ԿԲ, ՀՀ ՖՆ հաշվարկներ</w:t>
            </w:r>
          </w:p>
        </w:tc>
      </w:tr>
      <w:tr w:rsidR="002F5D73" w:rsidRPr="003A58A3" w14:paraId="6CE0A9F8" w14:textId="77777777" w:rsidTr="00E3727D">
        <w:trPr>
          <w:trHeight w:val="3719"/>
        </w:trPr>
        <w:tc>
          <w:tcPr>
            <w:tcW w:w="5070" w:type="dxa"/>
          </w:tcPr>
          <w:p w14:paraId="769AF106" w14:textId="77777777" w:rsidR="002F5D73" w:rsidRDefault="002F5D73" w:rsidP="002F5D73">
            <w:pPr>
              <w:spacing w:line="240" w:lineRule="auto"/>
              <w:ind w:firstLine="0"/>
              <w:rPr>
                <w:i/>
                <w:sz w:val="18"/>
                <w:szCs w:val="18"/>
                <w:lang w:val="hy-AM"/>
              </w:rPr>
            </w:pPr>
            <w:r w:rsidRPr="00F330A0">
              <w:rPr>
                <w:b/>
                <w:i/>
                <w:noProof/>
                <w:sz w:val="18"/>
                <w:szCs w:val="18"/>
              </w:rPr>
              <w:drawing>
                <wp:anchor distT="0" distB="0" distL="114300" distR="114300" simplePos="0" relativeHeight="251615232" behindDoc="1" locked="0" layoutInCell="1" allowOverlap="1" wp14:anchorId="490C2993" wp14:editId="72A3B7DA">
                  <wp:simplePos x="0" y="0"/>
                  <wp:positionH relativeFrom="column">
                    <wp:posOffset>-36195</wp:posOffset>
                  </wp:positionH>
                  <wp:positionV relativeFrom="paragraph">
                    <wp:posOffset>373380</wp:posOffset>
                  </wp:positionV>
                  <wp:extent cx="3157855" cy="1808480"/>
                  <wp:effectExtent l="0" t="0" r="4445" b="1270"/>
                  <wp:wrapTight wrapText="bothSides">
                    <wp:wrapPolygon edited="0">
                      <wp:start x="0" y="0"/>
                      <wp:lineTo x="0" y="21388"/>
                      <wp:lineTo x="21500" y="21388"/>
                      <wp:lineTo x="21500" y="0"/>
                      <wp:lineTo x="0" y="0"/>
                    </wp:wrapPolygon>
                  </wp:wrapTight>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F330A0">
              <w:rPr>
                <w:b/>
                <w:i/>
                <w:sz w:val="18"/>
                <w:szCs w:val="18"/>
                <w:lang w:val="hy-AM"/>
              </w:rPr>
              <w:t xml:space="preserve">Գծապատկեր 1.5. </w:t>
            </w:r>
            <w:r w:rsidRPr="002F5D73">
              <w:rPr>
                <w:bCs/>
                <w:i/>
                <w:sz w:val="18"/>
                <w:szCs w:val="18"/>
                <w:lang w:val="hy-AM"/>
              </w:rPr>
              <w:t>Բաժնետոմսերի միջազգային շուկան սկսել է վերականգնվել</w:t>
            </w:r>
          </w:p>
          <w:p w14:paraId="311D6539" w14:textId="77777777" w:rsidR="002F5D73" w:rsidRPr="002F5D73" w:rsidRDefault="002F5D73" w:rsidP="002F5D73">
            <w:pPr>
              <w:spacing w:line="240" w:lineRule="auto"/>
              <w:ind w:firstLine="0"/>
              <w:rPr>
                <w:i/>
                <w:sz w:val="18"/>
                <w:szCs w:val="18"/>
                <w:lang w:val="hy-AM"/>
              </w:rPr>
            </w:pPr>
            <w:r w:rsidRPr="00F330A0">
              <w:rPr>
                <w:i/>
                <w:sz w:val="16"/>
                <w:szCs w:val="16"/>
                <w:lang w:val="hy-AM"/>
              </w:rPr>
              <w:t>Աղբյուրը՝ Բլումբերգ, ՀՀ ՖՆ հաշվարկներ</w:t>
            </w:r>
          </w:p>
        </w:tc>
        <w:tc>
          <w:tcPr>
            <w:tcW w:w="5103" w:type="dxa"/>
          </w:tcPr>
          <w:p w14:paraId="4FC100DD" w14:textId="77777777" w:rsidR="002F5D73" w:rsidRPr="00A1468E" w:rsidRDefault="002F5D73" w:rsidP="002F5D73">
            <w:pPr>
              <w:spacing w:after="160" w:line="240" w:lineRule="auto"/>
              <w:ind w:firstLine="0"/>
              <w:rPr>
                <w:b/>
                <w:sz w:val="18"/>
                <w:szCs w:val="18"/>
                <w:lang w:val="hy-AM"/>
              </w:rPr>
            </w:pPr>
            <w:r w:rsidRPr="00F330A0">
              <w:rPr>
                <w:b/>
                <w:i/>
                <w:noProof/>
                <w:sz w:val="18"/>
                <w:szCs w:val="18"/>
              </w:rPr>
              <w:drawing>
                <wp:anchor distT="0" distB="0" distL="114300" distR="114300" simplePos="0" relativeHeight="251630592" behindDoc="1" locked="0" layoutInCell="1" allowOverlap="1" wp14:anchorId="0DD12307" wp14:editId="2B398EB3">
                  <wp:simplePos x="0" y="0"/>
                  <wp:positionH relativeFrom="column">
                    <wp:posOffset>-60325</wp:posOffset>
                  </wp:positionH>
                  <wp:positionV relativeFrom="paragraph">
                    <wp:posOffset>393065</wp:posOffset>
                  </wp:positionV>
                  <wp:extent cx="3296285" cy="1788160"/>
                  <wp:effectExtent l="0" t="0" r="18415" b="2540"/>
                  <wp:wrapTight wrapText="bothSides">
                    <wp:wrapPolygon edited="0">
                      <wp:start x="0" y="0"/>
                      <wp:lineTo x="0" y="21401"/>
                      <wp:lineTo x="21596" y="21401"/>
                      <wp:lineTo x="21596" y="0"/>
                      <wp:lineTo x="0" y="0"/>
                    </wp:wrapPolygon>
                  </wp:wrapTight>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F330A0">
              <w:rPr>
                <w:b/>
                <w:i/>
                <w:sz w:val="18"/>
                <w:szCs w:val="18"/>
                <w:lang w:val="hy-AM"/>
              </w:rPr>
              <w:t>Գծապատկեր 1.6.</w:t>
            </w:r>
            <w:r w:rsidRPr="00216BEF">
              <w:rPr>
                <w:b/>
                <w:i/>
                <w:sz w:val="18"/>
                <w:szCs w:val="18"/>
                <w:lang w:val="hy-AM"/>
              </w:rPr>
              <w:t xml:space="preserve"> </w:t>
            </w:r>
            <w:r w:rsidRPr="00F330A0">
              <w:rPr>
                <w:i/>
                <w:sz w:val="18"/>
                <w:szCs w:val="18"/>
                <w:lang w:val="hy-AM"/>
              </w:rPr>
              <w:t>Զարգացող երկրներում ռիսկի</w:t>
            </w:r>
            <w:r w:rsidRPr="00A1468E">
              <w:rPr>
                <w:sz w:val="18"/>
                <w:szCs w:val="18"/>
                <w:lang w:val="hy-AM"/>
              </w:rPr>
              <w:t xml:space="preserve"> </w:t>
            </w:r>
            <w:r w:rsidRPr="00F330A0">
              <w:rPr>
                <w:i/>
                <w:sz w:val="18"/>
                <w:szCs w:val="18"/>
                <w:lang w:val="hy-AM"/>
              </w:rPr>
              <w:t xml:space="preserve">հավելավճարները </w:t>
            </w:r>
            <w:r w:rsidRPr="00216BEF">
              <w:rPr>
                <w:i/>
                <w:sz w:val="18"/>
                <w:szCs w:val="18"/>
                <w:lang w:val="hy-AM"/>
              </w:rPr>
              <w:t>(EMBI Sovereign Spreads)</w:t>
            </w:r>
            <w:r w:rsidRPr="00F330A0">
              <w:rPr>
                <w:i/>
                <w:sz w:val="18"/>
                <w:szCs w:val="18"/>
                <w:lang w:val="hy-AM"/>
              </w:rPr>
              <w:t xml:space="preserve"> բարձրացել</w:t>
            </w:r>
            <w:r w:rsidRPr="00A1468E">
              <w:rPr>
                <w:sz w:val="18"/>
                <w:szCs w:val="18"/>
                <w:lang w:val="hy-AM"/>
              </w:rPr>
              <w:t xml:space="preserve"> </w:t>
            </w:r>
            <w:r w:rsidRPr="00F330A0">
              <w:rPr>
                <w:i/>
                <w:sz w:val="18"/>
                <w:szCs w:val="18"/>
                <w:lang w:val="hy-AM"/>
              </w:rPr>
              <w:t>են</w:t>
            </w:r>
          </w:p>
          <w:p w14:paraId="3A4B113A" w14:textId="77777777" w:rsidR="002F5D73" w:rsidRPr="00F330A0" w:rsidRDefault="002F5D73" w:rsidP="002F5D73">
            <w:pPr>
              <w:spacing w:after="160"/>
              <w:ind w:firstLine="0"/>
              <w:rPr>
                <w:b/>
                <w:i/>
                <w:sz w:val="16"/>
                <w:szCs w:val="16"/>
              </w:rPr>
            </w:pPr>
            <w:r w:rsidRPr="00F330A0">
              <w:rPr>
                <w:i/>
                <w:sz w:val="16"/>
                <w:szCs w:val="16"/>
                <w:lang w:val="hy-AM"/>
              </w:rPr>
              <w:t xml:space="preserve">Աղբյուրը՝ ԱՄՀ </w:t>
            </w:r>
            <w:r w:rsidRPr="002F5D73">
              <w:rPr>
                <w:i/>
                <w:sz w:val="16"/>
                <w:szCs w:val="16"/>
                <w:lang w:val="hy-AM"/>
              </w:rPr>
              <w:t>WEO, (EMBI = J.P. Morgan Emerging Markets Bond Index)</w:t>
            </w:r>
            <w:r w:rsidRPr="00F330A0">
              <w:rPr>
                <w:i/>
                <w:sz w:val="16"/>
                <w:szCs w:val="16"/>
              </w:rPr>
              <w:t xml:space="preserve"> </w:t>
            </w:r>
          </w:p>
        </w:tc>
      </w:tr>
    </w:tbl>
    <w:p w14:paraId="01E58F60" w14:textId="77777777" w:rsidR="00651744" w:rsidRDefault="00651744" w:rsidP="00226593">
      <w:pPr>
        <w:spacing w:after="120" w:line="276" w:lineRule="auto"/>
        <w:contextualSpacing/>
        <w:rPr>
          <w:b/>
          <w:lang w:val="hy-AM"/>
        </w:rPr>
      </w:pPr>
    </w:p>
    <w:p w14:paraId="5EBA0826" w14:textId="44BEA614" w:rsidR="00226593" w:rsidRDefault="00651744" w:rsidP="00226593">
      <w:pPr>
        <w:spacing w:after="120" w:line="276" w:lineRule="auto"/>
        <w:contextualSpacing/>
        <w:rPr>
          <w:rFonts w:eastAsia="Calibri" w:cs="Times New Roman"/>
          <w:lang w:val="hy-AM"/>
        </w:rPr>
      </w:pPr>
      <w:r w:rsidRPr="00651744">
        <w:rPr>
          <w:rFonts w:eastAsia="Calibri" w:cs="Times New Roman"/>
          <w:b/>
          <w:lang w:val="hy-AM"/>
        </w:rPr>
        <w:lastRenderedPageBreak/>
        <w:t>Առողջապահական և տնտեսական ճգնաժամին հակազդելու համար աշխարհում Կառավարությունները և Կենտրոնական բանկերը ավելի ագրեսիվ են խթանում տնտեսություններին, քան իրականացրել են համաշխարհային ֆինանսական ճգնա</w:t>
      </w:r>
      <w:r w:rsidR="007724F4">
        <w:rPr>
          <w:rFonts w:eastAsia="Calibri" w:cs="Times New Roman"/>
          <w:b/>
          <w:lang w:val="hy-AM"/>
        </w:rPr>
        <w:t>ժ</w:t>
      </w:r>
      <w:r w:rsidRPr="00651744">
        <w:rPr>
          <w:rFonts w:eastAsia="Calibri" w:cs="Times New Roman"/>
          <w:b/>
          <w:lang w:val="hy-AM"/>
        </w:rPr>
        <w:t>ամի ժամանակ</w:t>
      </w:r>
      <w:r w:rsidRPr="00651744">
        <w:rPr>
          <w:rFonts w:eastAsia="Times New Roman" w:cs="Sylfaen"/>
          <w:lang w:val="hy-AM"/>
        </w:rPr>
        <w:t>։</w:t>
      </w:r>
      <w:r w:rsidRPr="00651744">
        <w:rPr>
          <w:rFonts w:eastAsia="Calibri" w:cs="Times New Roman"/>
          <w:lang w:val="hy-AM"/>
        </w:rPr>
        <w:t xml:space="preserve"> COVID-19 համավարակի հետևանք</w:t>
      </w:r>
      <w:r w:rsidR="007724F4">
        <w:rPr>
          <w:rFonts w:eastAsia="Calibri" w:cs="Times New Roman"/>
          <w:lang w:val="hy-AM"/>
        </w:rPr>
        <w:t>ն</w:t>
      </w:r>
      <w:r w:rsidRPr="00651744">
        <w:rPr>
          <w:rFonts w:eastAsia="Calibri" w:cs="Times New Roman"/>
          <w:lang w:val="hy-AM"/>
        </w:rPr>
        <w:t>երը հաղթահարելու համար հարկաբյուջետային քաղաքականությունը առանցքային դերակատարում ունի։ Ներկայումս</w:t>
      </w:r>
      <w:r w:rsidR="008C23C8">
        <w:rPr>
          <w:rStyle w:val="FootnoteReference"/>
          <w:rFonts w:eastAsia="Calibri" w:cs="Times New Roman"/>
          <w:lang w:val="hy-AM"/>
        </w:rPr>
        <w:footnoteReference w:id="1"/>
      </w:r>
      <w:r w:rsidR="008C23C8">
        <w:rPr>
          <w:rFonts w:eastAsia="Calibri" w:cs="Times New Roman"/>
          <w:vertAlign w:val="superscript"/>
          <w:lang w:val="hy-AM"/>
        </w:rPr>
        <w:t xml:space="preserve"> </w:t>
      </w:r>
      <w:r w:rsidRPr="00651744">
        <w:rPr>
          <w:rFonts w:eastAsia="Calibri" w:cs="Times New Roman"/>
          <w:lang w:val="hy-AM"/>
        </w:rPr>
        <w:t xml:space="preserve">հարկաբյուջետային փաթեթները աշխարհում գերազանցում են </w:t>
      </w:r>
      <w:r>
        <w:rPr>
          <w:rFonts w:eastAsia="Calibri" w:cs="Times New Roman"/>
          <w:lang w:val="hy-AM"/>
        </w:rPr>
        <w:t>11</w:t>
      </w:r>
      <w:r w:rsidR="00226593" w:rsidRPr="003A58A3">
        <w:rPr>
          <w:lang w:val="hy-AM"/>
        </w:rPr>
        <w:t xml:space="preserve"> տր</w:t>
      </w:r>
      <w:r w:rsidR="00022087">
        <w:rPr>
          <w:lang w:val="hy-AM"/>
        </w:rPr>
        <w:t>ի</w:t>
      </w:r>
      <w:r w:rsidR="00226593" w:rsidRPr="003A58A3">
        <w:rPr>
          <w:lang w:val="hy-AM"/>
        </w:rPr>
        <w:t>լ</w:t>
      </w:r>
      <w:r w:rsidR="00022087">
        <w:rPr>
          <w:lang w:val="hy-AM"/>
        </w:rPr>
        <w:t>իո</w:t>
      </w:r>
      <w:r w:rsidR="00226593" w:rsidRPr="003A58A3">
        <w:rPr>
          <w:lang w:val="hy-AM"/>
        </w:rPr>
        <w:t xml:space="preserve">ն ԱՄՆ դոլարի ծավալը, որից </w:t>
      </w:r>
      <w:r>
        <w:rPr>
          <w:lang w:val="hy-AM"/>
        </w:rPr>
        <w:t>5.4</w:t>
      </w:r>
      <w:r w:rsidR="00226593" w:rsidRPr="003A58A3">
        <w:rPr>
          <w:lang w:val="hy-AM"/>
        </w:rPr>
        <w:t xml:space="preserve"> տրիլիոնը բաժին է ընկնում հարկերին </w:t>
      </w:r>
      <w:r w:rsidR="00022087">
        <w:rPr>
          <w:lang w:val="hy-AM"/>
        </w:rPr>
        <w:t>և</w:t>
      </w:r>
      <w:r w:rsidR="00022087" w:rsidRPr="003A58A3">
        <w:rPr>
          <w:lang w:val="hy-AM"/>
        </w:rPr>
        <w:t xml:space="preserve"> </w:t>
      </w:r>
      <w:r w:rsidR="00226593" w:rsidRPr="003A58A3">
        <w:rPr>
          <w:lang w:val="hy-AM"/>
        </w:rPr>
        <w:t xml:space="preserve">ծախսերին, իսկ </w:t>
      </w:r>
      <w:r>
        <w:rPr>
          <w:lang w:val="hy-AM"/>
        </w:rPr>
        <w:t>5.4</w:t>
      </w:r>
      <w:r w:rsidR="00226593" w:rsidRPr="003A58A3">
        <w:rPr>
          <w:lang w:val="hy-AM"/>
        </w:rPr>
        <w:t xml:space="preserve"> տրիլիոնը՝ վարկավորմանը և երաշխիքներին։ </w:t>
      </w:r>
      <w:r w:rsidRPr="00651744">
        <w:rPr>
          <w:rFonts w:eastAsia="Calibri" w:cs="Times New Roman"/>
          <w:lang w:val="hy-AM"/>
        </w:rPr>
        <w:t>Կենտրոնական բանկերը ևս խթանող դրամավարկային քաղաքականությամբ հակազդում են համավարակի տարածման տնտեսական ազդեցություններին՝ նվազեցնելով տոկոսադրույքները և ներդնելով ֆինանսական շուկայից ակտիվների ձեռք բերման աննախադեպ ծրագրեր։</w:t>
      </w:r>
    </w:p>
    <w:p w14:paraId="21D79571" w14:textId="77777777" w:rsidR="008C23C8" w:rsidRPr="008C23C8" w:rsidRDefault="008C23C8" w:rsidP="008C23C8">
      <w:pPr>
        <w:spacing w:before="0" w:after="120" w:line="276" w:lineRule="auto"/>
        <w:contextualSpacing/>
        <w:rPr>
          <w:rFonts w:eastAsia="Calibri" w:cs="Times New Roman"/>
          <w:lang w:val="hy-AM"/>
        </w:rPr>
      </w:pPr>
    </w:p>
    <w:p w14:paraId="668CCF4A" w14:textId="77777777" w:rsidR="008C23C8" w:rsidRPr="008C23C8" w:rsidRDefault="008C23C8" w:rsidP="008C23C8">
      <w:pPr>
        <w:spacing w:before="0" w:after="0" w:line="276" w:lineRule="auto"/>
        <w:ind w:firstLine="0"/>
        <w:contextualSpacing/>
        <w:rPr>
          <w:rFonts w:eastAsia="Calibri" w:cs="Times New Roman"/>
          <w:sz w:val="20"/>
          <w:szCs w:val="20"/>
          <w:lang w:val="hy-AM"/>
        </w:rPr>
      </w:pPr>
      <w:r w:rsidRPr="008C23C8">
        <w:rPr>
          <w:rFonts w:eastAsia="Calibri" w:cs="Times New Roman"/>
          <w:b/>
          <w:i/>
          <w:iCs/>
          <w:color w:val="000000"/>
          <w:lang w:val="hy-AM"/>
        </w:rPr>
        <w:t>Գծապատկեր 1.7.</w:t>
      </w:r>
      <w:r w:rsidRPr="008C23C8">
        <w:rPr>
          <w:rFonts w:eastAsia="Calibri" w:cs="Times New Roman"/>
          <w:b/>
          <w:i/>
          <w:iCs/>
          <w:color w:val="000000"/>
          <w:sz w:val="20"/>
          <w:szCs w:val="20"/>
          <w:lang w:val="hy-AM"/>
        </w:rPr>
        <w:t xml:space="preserve"> </w:t>
      </w:r>
      <w:r w:rsidRPr="008C23C8">
        <w:rPr>
          <w:rFonts w:eastAsia="Calibri" w:cs="Times New Roman"/>
          <w:bCs/>
          <w:i/>
          <w:iCs/>
          <w:color w:val="000000"/>
          <w:sz w:val="20"/>
          <w:szCs w:val="20"/>
          <w:lang w:val="hy-AM"/>
        </w:rPr>
        <w:t>Համաշխարհային տնտեսության և հարկաբյուջետային քաղաքականության արձագանքը (% ՀՆԱ-ում) ճգնաժամերի տարիներին</w:t>
      </w:r>
      <w:r w:rsidRPr="008C23C8">
        <w:rPr>
          <w:rFonts w:eastAsia="Calibri" w:cs="Times New Roman"/>
          <w:sz w:val="20"/>
          <w:szCs w:val="20"/>
          <w:lang w:val="hy-AM"/>
        </w:rPr>
        <w:t xml:space="preserve"> </w:t>
      </w:r>
    </w:p>
    <w:tbl>
      <w:tblPr>
        <w:tblStyle w:val="TableGrid41"/>
        <w:tblW w:w="9886" w:type="dxa"/>
        <w:tblBorders>
          <w:top w:val="single" w:sz="6" w:space="0" w:color="4472C4"/>
          <w:left w:val="single" w:sz="6" w:space="0" w:color="4472C4"/>
          <w:bottom w:val="single" w:sz="6" w:space="0" w:color="4472C4"/>
          <w:right w:val="single" w:sz="6" w:space="0" w:color="4472C4"/>
          <w:insideH w:val="single" w:sz="6" w:space="0" w:color="4472C4"/>
          <w:insideV w:val="single" w:sz="6" w:space="0" w:color="4472C4"/>
        </w:tblBorders>
        <w:tblLook w:val="04A0" w:firstRow="1" w:lastRow="0" w:firstColumn="1" w:lastColumn="0" w:noHBand="0" w:noVBand="1"/>
      </w:tblPr>
      <w:tblGrid>
        <w:gridCol w:w="3257"/>
        <w:gridCol w:w="3376"/>
        <w:gridCol w:w="3287"/>
      </w:tblGrid>
      <w:tr w:rsidR="008C23C8" w:rsidRPr="008C23C8" w14:paraId="68EF55EB" w14:textId="77777777" w:rsidTr="000A2BEC">
        <w:trPr>
          <w:trHeight w:val="3637"/>
        </w:trPr>
        <w:tc>
          <w:tcPr>
            <w:tcW w:w="3316" w:type="dxa"/>
          </w:tcPr>
          <w:p w14:paraId="42F92F69" w14:textId="77777777" w:rsidR="008C23C8" w:rsidRPr="008C23C8" w:rsidRDefault="008C23C8" w:rsidP="008C23C8">
            <w:pPr>
              <w:spacing w:before="0" w:after="0" w:line="276" w:lineRule="auto"/>
              <w:ind w:firstLine="0"/>
              <w:contextualSpacing/>
              <w:rPr>
                <w:rFonts w:cs="Times New Roman"/>
                <w:i/>
                <w:sz w:val="16"/>
                <w:szCs w:val="16"/>
              </w:rPr>
            </w:pPr>
            <w:r w:rsidRPr="008C23C8">
              <w:rPr>
                <w:rFonts w:cs="Times New Roman"/>
                <w:i/>
                <w:noProof/>
                <w:sz w:val="16"/>
                <w:szCs w:val="16"/>
              </w:rPr>
              <w:drawing>
                <wp:anchor distT="0" distB="0" distL="114300" distR="114300" simplePos="0" relativeHeight="251633664" behindDoc="1" locked="0" layoutInCell="1" allowOverlap="1" wp14:anchorId="5A24239F" wp14:editId="37776640">
                  <wp:simplePos x="0" y="0"/>
                  <wp:positionH relativeFrom="column">
                    <wp:posOffset>-5715</wp:posOffset>
                  </wp:positionH>
                  <wp:positionV relativeFrom="paragraph">
                    <wp:posOffset>20320</wp:posOffset>
                  </wp:positionV>
                  <wp:extent cx="1944000" cy="2095500"/>
                  <wp:effectExtent l="0" t="0" r="18415" b="0"/>
                  <wp:wrapTight wrapText="bothSides">
                    <wp:wrapPolygon edited="0">
                      <wp:start x="0" y="0"/>
                      <wp:lineTo x="0" y="21404"/>
                      <wp:lineTo x="21593" y="21404"/>
                      <wp:lineTo x="21593" y="0"/>
                      <wp:lineTo x="0" y="0"/>
                    </wp:wrapPolygon>
                  </wp:wrapTight>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8C23C8">
              <w:rPr>
                <w:rFonts w:cs="Times New Roman"/>
                <w:i/>
                <w:sz w:val="16"/>
                <w:szCs w:val="16"/>
                <w:lang w:val="hy-AM"/>
              </w:rPr>
              <w:t>Աղբյուրը՝ ԱՄՀ</w:t>
            </w:r>
            <w:r w:rsidRPr="008C23C8">
              <w:rPr>
                <w:rFonts w:cs="Times New Roman"/>
                <w:i/>
                <w:sz w:val="16"/>
                <w:szCs w:val="16"/>
              </w:rPr>
              <w:t xml:space="preserve">, </w:t>
            </w:r>
            <w:r w:rsidRPr="008C23C8">
              <w:rPr>
                <w:rFonts w:cs="Times New Roman"/>
                <w:i/>
                <w:sz w:val="16"/>
                <w:szCs w:val="16"/>
                <w:lang w:val="hy-AM"/>
              </w:rPr>
              <w:t>2020թ.</w:t>
            </w:r>
            <w:r w:rsidRPr="008C23C8">
              <w:rPr>
                <w:rFonts w:cs="Times New Roman"/>
                <w:i/>
                <w:sz w:val="16"/>
                <w:szCs w:val="16"/>
              </w:rPr>
              <w:t xml:space="preserve"> կ</w:t>
            </w:r>
            <w:r w:rsidRPr="008C23C8">
              <w:rPr>
                <w:rFonts w:cs="Times New Roman"/>
                <w:i/>
                <w:sz w:val="16"/>
                <w:szCs w:val="16"/>
                <w:lang w:val="hy-AM"/>
              </w:rPr>
              <w:t>անխատեսում</w:t>
            </w:r>
            <w:r w:rsidRPr="008C23C8">
              <w:rPr>
                <w:rFonts w:cs="Times New Roman"/>
                <w:i/>
                <w:sz w:val="16"/>
                <w:szCs w:val="16"/>
              </w:rPr>
              <w:t>:</w:t>
            </w:r>
          </w:p>
        </w:tc>
        <w:tc>
          <w:tcPr>
            <w:tcW w:w="3197" w:type="dxa"/>
          </w:tcPr>
          <w:p w14:paraId="6C9CADB4" w14:textId="77777777" w:rsidR="008C23C8" w:rsidRPr="008C23C8" w:rsidRDefault="008C23C8" w:rsidP="008C23C8">
            <w:pPr>
              <w:spacing w:before="0" w:after="0" w:line="276" w:lineRule="auto"/>
              <w:ind w:firstLine="0"/>
              <w:contextualSpacing/>
              <w:rPr>
                <w:rFonts w:cs="Times New Roman"/>
                <w:lang w:val="hy-AM"/>
              </w:rPr>
            </w:pPr>
            <w:r w:rsidRPr="008C23C8">
              <w:rPr>
                <w:rFonts w:cs="Times New Roman"/>
                <w:noProof/>
              </w:rPr>
              <w:drawing>
                <wp:anchor distT="0" distB="0" distL="114300" distR="114300" simplePos="0" relativeHeight="251636736" behindDoc="1" locked="0" layoutInCell="1" allowOverlap="1" wp14:anchorId="7A9A76C5" wp14:editId="12CB5563">
                  <wp:simplePos x="0" y="0"/>
                  <wp:positionH relativeFrom="column">
                    <wp:posOffset>-1905</wp:posOffset>
                  </wp:positionH>
                  <wp:positionV relativeFrom="paragraph">
                    <wp:posOffset>39370</wp:posOffset>
                  </wp:positionV>
                  <wp:extent cx="2038350" cy="2076450"/>
                  <wp:effectExtent l="0" t="0" r="0" b="0"/>
                  <wp:wrapTight wrapText="bothSides">
                    <wp:wrapPolygon edited="0">
                      <wp:start x="0" y="0"/>
                      <wp:lineTo x="0" y="21402"/>
                      <wp:lineTo x="21398" y="21402"/>
                      <wp:lineTo x="21398" y="0"/>
                      <wp:lineTo x="0" y="0"/>
                    </wp:wrapPolygon>
                  </wp:wrapTight>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tc>
        <w:tc>
          <w:tcPr>
            <w:tcW w:w="3373" w:type="dxa"/>
          </w:tcPr>
          <w:p w14:paraId="51C0B512" w14:textId="77777777" w:rsidR="008C23C8" w:rsidRPr="008C23C8" w:rsidRDefault="008C23C8" w:rsidP="008C23C8">
            <w:pPr>
              <w:spacing w:before="0" w:after="0" w:line="276" w:lineRule="auto"/>
              <w:ind w:firstLine="0"/>
              <w:contextualSpacing/>
              <w:rPr>
                <w:rFonts w:cs="Times New Roman"/>
                <w:lang w:val="hy-AM"/>
              </w:rPr>
            </w:pPr>
            <w:r w:rsidRPr="008C23C8">
              <w:rPr>
                <w:rFonts w:cs="Times New Roman"/>
                <w:noProof/>
              </w:rPr>
              <w:drawing>
                <wp:anchor distT="0" distB="0" distL="114300" distR="114300" simplePos="0" relativeHeight="251639808" behindDoc="1" locked="0" layoutInCell="1" allowOverlap="1" wp14:anchorId="1D976725" wp14:editId="545CC869">
                  <wp:simplePos x="0" y="0"/>
                  <wp:positionH relativeFrom="column">
                    <wp:posOffset>-54610</wp:posOffset>
                  </wp:positionH>
                  <wp:positionV relativeFrom="paragraph">
                    <wp:posOffset>58420</wp:posOffset>
                  </wp:positionV>
                  <wp:extent cx="1980000" cy="2057400"/>
                  <wp:effectExtent l="0" t="0" r="1270" b="0"/>
                  <wp:wrapTight wrapText="bothSides">
                    <wp:wrapPolygon edited="0">
                      <wp:start x="0" y="0"/>
                      <wp:lineTo x="0" y="21400"/>
                      <wp:lineTo x="21406" y="21400"/>
                      <wp:lineTo x="21406" y="0"/>
                      <wp:lineTo x="0" y="0"/>
                    </wp:wrapPolygon>
                  </wp:wrapTight>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tc>
      </w:tr>
    </w:tbl>
    <w:p w14:paraId="40C0052B" w14:textId="77777777" w:rsidR="008C23C8" w:rsidRDefault="008C23C8" w:rsidP="00226593">
      <w:pPr>
        <w:spacing w:after="120" w:line="276" w:lineRule="auto"/>
        <w:contextualSpacing/>
        <w:rPr>
          <w:lang w:val="hy-AM"/>
        </w:rPr>
      </w:pPr>
    </w:p>
    <w:p w14:paraId="21931292" w14:textId="77777777" w:rsidR="008C23C8" w:rsidRPr="00772498" w:rsidRDefault="00772498" w:rsidP="004154D0">
      <w:pPr>
        <w:pStyle w:val="Heading3"/>
        <w:numPr>
          <w:ilvl w:val="0"/>
          <w:numId w:val="0"/>
        </w:numPr>
        <w:jc w:val="both"/>
        <w:rPr>
          <w:rFonts w:eastAsia="Times New Roman" w:cs="Times New Roman"/>
          <w:color w:val="1F497D" w:themeColor="text2"/>
          <w:sz w:val="28"/>
          <w:szCs w:val="28"/>
        </w:rPr>
      </w:pPr>
      <w:bookmarkStart w:id="180" w:name="_Toc45705384"/>
      <w:bookmarkStart w:id="181" w:name="_Toc45810526"/>
      <w:bookmarkStart w:id="182" w:name="_Toc45838516"/>
      <w:bookmarkStart w:id="183" w:name="_Toc46154345"/>
      <w:r w:rsidRPr="00772498">
        <w:rPr>
          <w:rFonts w:eastAsia="Times New Roman" w:cs="Times New Roman"/>
          <w:caps w:val="0"/>
          <w:color w:val="1F497D" w:themeColor="text2"/>
          <w:sz w:val="28"/>
          <w:szCs w:val="28"/>
        </w:rPr>
        <w:t>1</w:t>
      </w:r>
      <w:r w:rsidRPr="00772498">
        <w:rPr>
          <w:caps w:val="0"/>
          <w:color w:val="1F497D" w:themeColor="text2"/>
          <w:sz w:val="28"/>
          <w:szCs w:val="28"/>
        </w:rPr>
        <w:t>.3. ՀՀ ՄԱԿՐՈՏՆՏԵՍԱԿԱՆ ԶԱՐԳԱՑՈՒՄՆԵՐ ԵՎ ԿԱՆԽԱՏԵՍՈՒՄՆԵՐ</w:t>
      </w:r>
      <w:bookmarkEnd w:id="180"/>
      <w:bookmarkEnd w:id="181"/>
      <w:bookmarkEnd w:id="182"/>
      <w:bookmarkEnd w:id="183"/>
    </w:p>
    <w:p w14:paraId="223C3D9D" w14:textId="77777777" w:rsidR="008C23C8" w:rsidRPr="00772498" w:rsidRDefault="008C23C8" w:rsidP="008C23C8">
      <w:pPr>
        <w:spacing w:before="0" w:after="120" w:line="240" w:lineRule="auto"/>
        <w:ind w:firstLine="0"/>
        <w:jc w:val="left"/>
        <w:rPr>
          <w:rFonts w:eastAsia="Calibri" w:cs="Times New Roman"/>
          <w:b/>
          <w:bCs/>
          <w:color w:val="1F497D" w:themeColor="text2"/>
          <w:sz w:val="24"/>
          <w:szCs w:val="24"/>
        </w:rPr>
      </w:pPr>
      <w:bookmarkStart w:id="184" w:name="_Toc45705385"/>
      <w:r w:rsidRPr="00772498">
        <w:rPr>
          <w:rFonts w:eastAsia="Calibri" w:cs="Times New Roman"/>
          <w:b/>
          <w:bCs/>
          <w:color w:val="1F497D" w:themeColor="text2"/>
          <w:sz w:val="24"/>
          <w:szCs w:val="24"/>
        </w:rPr>
        <w:t xml:space="preserve">1.3.1. </w:t>
      </w:r>
      <w:r w:rsidRPr="00772498">
        <w:rPr>
          <w:rFonts w:eastAsia="Calibri" w:cs="Sylfaen"/>
          <w:b/>
          <w:bCs/>
          <w:color w:val="1F497D" w:themeColor="text2"/>
          <w:sz w:val="24"/>
          <w:szCs w:val="24"/>
        </w:rPr>
        <w:t>ՀՆԱ</w:t>
      </w:r>
      <w:r w:rsidRPr="00772498">
        <w:rPr>
          <w:rFonts w:eastAsia="Calibri" w:cs="Times New Roman"/>
          <w:b/>
          <w:bCs/>
          <w:color w:val="1F497D" w:themeColor="text2"/>
          <w:sz w:val="24"/>
          <w:szCs w:val="24"/>
        </w:rPr>
        <w:t xml:space="preserve"> </w:t>
      </w:r>
      <w:r w:rsidRPr="00772498">
        <w:rPr>
          <w:rFonts w:eastAsia="Calibri" w:cs="Sylfaen"/>
          <w:b/>
          <w:bCs/>
          <w:color w:val="1F497D" w:themeColor="text2"/>
          <w:sz w:val="24"/>
          <w:szCs w:val="24"/>
        </w:rPr>
        <w:t>և</w:t>
      </w:r>
      <w:r w:rsidRPr="00772498">
        <w:rPr>
          <w:rFonts w:eastAsia="Calibri" w:cs="Times New Roman"/>
          <w:b/>
          <w:bCs/>
          <w:color w:val="1F497D" w:themeColor="text2"/>
          <w:sz w:val="24"/>
          <w:szCs w:val="24"/>
        </w:rPr>
        <w:t xml:space="preserve"> </w:t>
      </w:r>
      <w:r w:rsidRPr="00772498">
        <w:rPr>
          <w:rFonts w:eastAsia="Calibri" w:cs="Sylfaen"/>
          <w:b/>
          <w:bCs/>
          <w:color w:val="1F497D" w:themeColor="text2"/>
          <w:sz w:val="24"/>
          <w:szCs w:val="24"/>
        </w:rPr>
        <w:t>տնտեսական</w:t>
      </w:r>
      <w:r w:rsidRPr="00772498">
        <w:rPr>
          <w:rFonts w:eastAsia="Calibri" w:cs="Times New Roman"/>
          <w:b/>
          <w:bCs/>
          <w:color w:val="1F497D" w:themeColor="text2"/>
          <w:sz w:val="24"/>
          <w:szCs w:val="24"/>
        </w:rPr>
        <w:t xml:space="preserve"> </w:t>
      </w:r>
      <w:r w:rsidRPr="00772498">
        <w:rPr>
          <w:rFonts w:eastAsia="Calibri" w:cs="Sylfaen"/>
          <w:b/>
          <w:bCs/>
          <w:color w:val="1F497D" w:themeColor="text2"/>
          <w:sz w:val="24"/>
          <w:szCs w:val="24"/>
        </w:rPr>
        <w:t>աճ</w:t>
      </w:r>
      <w:bookmarkEnd w:id="184"/>
    </w:p>
    <w:p w14:paraId="7C1469F4" w14:textId="60F6381D" w:rsidR="00226593" w:rsidRPr="00F15782" w:rsidRDefault="008C23C8" w:rsidP="00226593">
      <w:pPr>
        <w:pStyle w:val="ListParagraph"/>
        <w:spacing w:after="120" w:line="276" w:lineRule="auto"/>
        <w:ind w:left="0" w:firstLine="360"/>
        <w:rPr>
          <w:rFonts w:cs="Sylfaen"/>
          <w:lang w:val="hy-AM"/>
        </w:rPr>
      </w:pPr>
      <w:bookmarkStart w:id="185" w:name="_Hlk44618099"/>
      <w:r w:rsidRPr="008C23C8">
        <w:rPr>
          <w:rFonts w:eastAsia="Calibri" w:cs="Sylfaen"/>
          <w:b/>
          <w:lang w:val="hy-AM"/>
        </w:rPr>
        <w:t xml:space="preserve">2017-2019 թթ. տնտեսությունում արձանագրված </w:t>
      </w:r>
      <w:r w:rsidR="00947B5A">
        <w:rPr>
          <w:rFonts w:cs="Sylfaen"/>
          <w:b/>
          <w:lang w:val="hy-AM"/>
        </w:rPr>
        <w:t>միջինում</w:t>
      </w:r>
      <w:r w:rsidR="00226593" w:rsidRPr="00083722">
        <w:rPr>
          <w:rFonts w:cs="Sylfaen"/>
          <w:b/>
          <w:lang w:val="hy-AM"/>
        </w:rPr>
        <w:t xml:space="preserve"> </w:t>
      </w:r>
      <w:r w:rsidRPr="008C23C8">
        <w:rPr>
          <w:rFonts w:eastAsia="Calibri" w:cs="Sylfaen"/>
          <w:b/>
          <w:lang w:val="hy-AM"/>
        </w:rPr>
        <w:t>6.8% աճի շարժիչ ուժ են հանդիսացել ծառայությունների և արդյունաբերության ճյուղերը</w:t>
      </w:r>
      <w:r w:rsidRPr="008C23C8">
        <w:rPr>
          <w:rFonts w:eastAsia="Calibri" w:cs="Sylfaen"/>
          <w:lang w:val="hy-AM"/>
        </w:rPr>
        <w:t>, ընդ որում՝ միջինում</w:t>
      </w:r>
      <w:r w:rsidRPr="008C23C8">
        <w:rPr>
          <w:rFonts w:eastAsia="Calibri" w:cs="Sylfaen"/>
          <w:lang w:val="es-ES"/>
        </w:rPr>
        <w:t xml:space="preserve"> </w:t>
      </w:r>
      <w:r w:rsidRPr="008C23C8">
        <w:rPr>
          <w:rFonts w:eastAsia="Calibri" w:cs="Sylfaen"/>
          <w:lang w:val="hy-AM"/>
        </w:rPr>
        <w:t>աճ է արձանագրվել տնտեսության բոլոր ճյուղերում,</w:t>
      </w:r>
      <w:r w:rsidRPr="008C23C8">
        <w:rPr>
          <w:rFonts w:eastAsia="Calibri" w:cs="Sylfaen"/>
          <w:lang w:val="es-ES"/>
        </w:rPr>
        <w:t xml:space="preserve"> </w:t>
      </w:r>
      <w:r w:rsidRPr="008C23C8">
        <w:rPr>
          <w:rFonts w:eastAsia="Calibri" w:cs="Sylfaen"/>
          <w:lang w:val="hy-AM"/>
        </w:rPr>
        <w:t>բացառությամբ գյուղատնտեսության:</w:t>
      </w:r>
      <w:r w:rsidRPr="008C23C8">
        <w:rPr>
          <w:rFonts w:eastAsia="Calibri" w:cs="Sylfaen"/>
          <w:bCs/>
          <w:lang w:val="hy-AM"/>
        </w:rPr>
        <w:t xml:space="preserve"> Պահանջարկի տեսանկյունից աճին նպաստել է ներքին պահանջարկը, ինչը պայ</w:t>
      </w:r>
      <w:r w:rsidRPr="008C23C8">
        <w:rPr>
          <w:rFonts w:eastAsia="Calibri" w:cs="Sylfaen"/>
          <w:lang w:val="hy-AM"/>
        </w:rPr>
        <w:t>ման</w:t>
      </w:r>
      <w:r w:rsidR="007724F4">
        <w:rPr>
          <w:rFonts w:eastAsia="Calibri" w:cs="Sylfaen"/>
          <w:lang w:val="hy-AM"/>
        </w:rPr>
        <w:t>ա</w:t>
      </w:r>
      <w:r w:rsidRPr="008C23C8">
        <w:rPr>
          <w:rFonts w:eastAsia="Calibri" w:cs="Sylfaen"/>
          <w:lang w:val="hy-AM"/>
        </w:rPr>
        <w:t xml:space="preserve">վորված է եղել հիմնականում վերջնական սպառման բարձր աճով։ </w:t>
      </w:r>
      <w:r w:rsidR="00226593" w:rsidRPr="00F15782">
        <w:rPr>
          <w:rFonts w:cs="Sylfaen"/>
          <w:lang w:val="hy-AM"/>
        </w:rPr>
        <w:t xml:space="preserve"> </w:t>
      </w:r>
    </w:p>
    <w:p w14:paraId="36319F24" w14:textId="60D38B1F" w:rsidR="00226593" w:rsidRPr="00F15782" w:rsidRDefault="008C23C8" w:rsidP="008C23C8">
      <w:pPr>
        <w:spacing w:after="120" w:line="276" w:lineRule="auto"/>
        <w:ind w:firstLine="630"/>
        <w:rPr>
          <w:rFonts w:cs="Sylfaen"/>
          <w:lang w:val="hy-AM"/>
        </w:rPr>
      </w:pPr>
      <w:r>
        <w:rPr>
          <w:rFonts w:cs="Sylfaen"/>
          <w:b/>
          <w:lang w:val="hy-AM"/>
        </w:rPr>
        <w:t>Կորոնավիրուսի</w:t>
      </w:r>
      <w:r w:rsidRPr="00F15782">
        <w:rPr>
          <w:rFonts w:cs="Sylfaen"/>
          <w:b/>
          <w:lang w:val="hy-AM"/>
        </w:rPr>
        <w:t xml:space="preserve"> </w:t>
      </w:r>
      <w:r>
        <w:rPr>
          <w:rFonts w:cs="Sylfaen"/>
          <w:b/>
          <w:lang w:val="hy-AM"/>
        </w:rPr>
        <w:t>հ</w:t>
      </w:r>
      <w:r w:rsidRPr="00EF5754">
        <w:rPr>
          <w:rFonts w:cs="Sylfaen"/>
          <w:b/>
          <w:lang w:val="hy-AM"/>
        </w:rPr>
        <w:t>ամավարակի</w:t>
      </w:r>
      <w:r w:rsidRPr="00F15782">
        <w:rPr>
          <w:rFonts w:cs="Sylfaen"/>
          <w:b/>
          <w:bCs/>
          <w:lang w:val="hy-AM"/>
        </w:rPr>
        <w:t xml:space="preserve"> բացասական ազդեցությունից անմասն չմնաց նաև ՀՀ տնտեսությունը։</w:t>
      </w:r>
      <w:r w:rsidRPr="00F15782">
        <w:rPr>
          <w:rFonts w:cs="Sylfaen"/>
          <w:lang w:val="hy-AM"/>
        </w:rPr>
        <w:t xml:space="preserve"> Չնայած 2020թ. տարեսկզբի աճի բարձր տեմպերին՝ ՀՀ-ում և գործընկեր երկրներում բռնկված համավարակի բացասական ազդեցությամբ պայմանավորված մարտ ամսից սկիզբ առան բացասական զարգացումներ, որոնք համավարակի տարածման կանխարգելման </w:t>
      </w:r>
      <w:r w:rsidRPr="00F15782">
        <w:rPr>
          <w:rFonts w:cs="Sylfaen"/>
          <w:lang w:val="hy-AM"/>
        </w:rPr>
        <w:lastRenderedPageBreak/>
        <w:t>նպատակով կիրառված սահմանափակումների</w:t>
      </w:r>
      <w:r w:rsidRPr="007B23EF">
        <w:rPr>
          <w:rFonts w:cs="Sylfaen"/>
          <w:lang w:val="hy-AM"/>
        </w:rPr>
        <w:t xml:space="preserve"> (</w:t>
      </w:r>
      <w:r>
        <w:rPr>
          <w:rFonts w:cs="Sylfaen"/>
          <w:lang w:val="hy-AM"/>
        </w:rPr>
        <w:t>առավել մանրամասն՝ ներքոնշյալ ներդիրում</w:t>
      </w:r>
      <w:r w:rsidRPr="007B23EF">
        <w:rPr>
          <w:rFonts w:cs="Sylfaen"/>
          <w:lang w:val="hy-AM"/>
        </w:rPr>
        <w:t>)</w:t>
      </w:r>
      <w:r w:rsidRPr="00F15782">
        <w:rPr>
          <w:rFonts w:cs="Sylfaen"/>
          <w:lang w:val="hy-AM"/>
        </w:rPr>
        <w:t xml:space="preserve"> հետևանքով ապրիլին կտրուկ վատթարացան, ինչը մայիս ամսին սահմանափակումների</w:t>
      </w:r>
      <w:r>
        <w:rPr>
          <w:rFonts w:cs="Sylfaen"/>
          <w:lang w:val="hy-AM"/>
        </w:rPr>
        <w:t xml:space="preserve"> </w:t>
      </w:r>
      <w:r w:rsidR="003A739C">
        <w:rPr>
          <w:rFonts w:cs="Sylfaen"/>
          <w:lang w:val="hy-AM"/>
        </w:rPr>
        <w:t xml:space="preserve">մեծ մասի </w:t>
      </w:r>
      <w:r w:rsidR="00226593" w:rsidRPr="00F15782">
        <w:rPr>
          <w:rFonts w:cs="Sylfaen"/>
          <w:lang w:val="hy-AM"/>
        </w:rPr>
        <w:t xml:space="preserve">վերացման </w:t>
      </w:r>
      <w:r w:rsidR="003A739C">
        <w:rPr>
          <w:rFonts w:cs="Sylfaen"/>
          <w:lang w:val="hy-AM"/>
        </w:rPr>
        <w:t xml:space="preserve"> </w:t>
      </w:r>
      <w:r w:rsidRPr="00F15782">
        <w:rPr>
          <w:rFonts w:cs="Sylfaen"/>
          <w:lang w:val="hy-AM"/>
        </w:rPr>
        <w:t>արդյունքում մի փոքր մեղմվեց: 2020թ. հունվար-մայիսին արձանագրվեց տնտեսական ակտիվության</w:t>
      </w:r>
      <w:r w:rsidRPr="007B23EF">
        <w:rPr>
          <w:rFonts w:cs="Sylfaen"/>
          <w:lang w:val="hy-AM"/>
        </w:rPr>
        <w:t xml:space="preserve"> </w:t>
      </w:r>
      <w:r w:rsidRPr="00F15782">
        <w:rPr>
          <w:rFonts w:cs="Sylfaen"/>
          <w:lang w:val="hy-AM"/>
        </w:rPr>
        <w:t xml:space="preserve">(ՏԱՑ) 3.9% </w:t>
      </w:r>
      <w:r w:rsidRPr="009B2B77">
        <w:rPr>
          <w:rFonts w:cs="Sylfaen"/>
          <w:lang w:val="hy-AM"/>
        </w:rPr>
        <w:t>նվազում</w:t>
      </w:r>
      <w:r w:rsidRPr="007B23EF">
        <w:rPr>
          <w:rFonts w:cs="Sylfaen"/>
          <w:lang w:val="hy-AM"/>
        </w:rPr>
        <w:t>, որը զիջում է նախորդ տարվա ցուցանիշը 11.0 տոկոսային կետով: Տնտեսական ակտիվությանը հակազդել են ծառայությունների (2.0 տոկոսային կետ), շինարարության (1.6 տոկոսային կետ) և առևտրի (1.4 տոկոսային կետ) համախառն թողարկումների իրական անկումը, իսկ արդյունաբերությունը ունեցել է 0.5 տոկոսային կետ դրական նպաստում</w:t>
      </w:r>
      <w:r w:rsidRPr="007B23EF">
        <w:rPr>
          <w:rFonts w:cs="Sylfaen"/>
          <w:vertAlign w:val="superscript"/>
          <w:lang w:val="ru-RU"/>
        </w:rPr>
        <w:footnoteReference w:id="2"/>
      </w:r>
      <w:r w:rsidRPr="007B23EF">
        <w:rPr>
          <w:rFonts w:cs="Sylfaen"/>
          <w:lang w:val="hy-AM"/>
        </w:rPr>
        <w:t>:</w:t>
      </w:r>
    </w:p>
    <w:p w14:paraId="28B2F854" w14:textId="77777777" w:rsidR="003A739C" w:rsidRPr="003A739C" w:rsidRDefault="003A739C" w:rsidP="003A739C">
      <w:pPr>
        <w:spacing w:before="0" w:after="120" w:line="276" w:lineRule="auto"/>
        <w:ind w:firstLine="539"/>
        <w:rPr>
          <w:rFonts w:eastAsia="Times New Roman" w:cs="Times Armenian"/>
          <w:bCs/>
          <w:noProof/>
          <w:lang w:val="hy-AM"/>
        </w:rPr>
      </w:pPr>
      <w:r w:rsidRPr="003A739C">
        <w:rPr>
          <w:rFonts w:eastAsia="Times New Roman" w:cs="Sylfaen"/>
          <w:noProof/>
          <w:lang w:val="hy-AM"/>
        </w:rPr>
        <w:t xml:space="preserve">Զգալի թվով պոտենցիալ հիվանդ մարդկանց առկայության, մեկուսացման, կարանտինի, արտակարգ դրության հետևանքով աշխատելու անհնարինության, կիրառվող սահմանափակումների, ինչպես նաև առկա անորոշությունների պայմաններում համավարակի բացասական ազդեցությունը առավելապես կրեց ծառայությունների ճյուղը: Ընդ որում՝ մայիս ամսին ապրիլի համեմատ </w:t>
      </w:r>
      <w:r w:rsidRPr="003A739C">
        <w:rPr>
          <w:rFonts w:eastAsia="Calibri" w:cs="Sylfaen"/>
          <w:bCs/>
          <w:lang w:val="hy-AM"/>
        </w:rPr>
        <w:t>ծառայությունների նվազման տեմպն ավելի արագացավ:</w:t>
      </w:r>
      <w:r w:rsidRPr="003A739C">
        <w:rPr>
          <w:rFonts w:eastAsia="Times New Roman" w:cs="Times Armenian"/>
          <w:bCs/>
          <w:noProof/>
          <w:highlight w:val="yellow"/>
          <w:lang w:val="hy-AM"/>
        </w:rPr>
        <w:t xml:space="preserve"> </w:t>
      </w:r>
    </w:p>
    <w:tbl>
      <w:tblPr>
        <w:tblStyle w:val="TableGrid"/>
        <w:tblW w:w="0" w:type="auto"/>
        <w:tblBorders>
          <w:top w:val="single" w:sz="6" w:space="0" w:color="4F81BD" w:themeColor="accent1"/>
          <w:left w:val="single" w:sz="6" w:space="0" w:color="4F81BD" w:themeColor="accent1"/>
          <w:bottom w:val="single" w:sz="6" w:space="0" w:color="4F81BD" w:themeColor="accent1"/>
          <w:right w:val="single" w:sz="6" w:space="0" w:color="4F81BD" w:themeColor="accent1"/>
          <w:insideH w:val="single" w:sz="6" w:space="0" w:color="4F81BD" w:themeColor="accent1"/>
          <w:insideV w:val="single" w:sz="6" w:space="0" w:color="4F81BD" w:themeColor="accent1"/>
        </w:tblBorders>
        <w:tblLook w:val="04A0" w:firstRow="1" w:lastRow="0" w:firstColumn="1" w:lastColumn="0" w:noHBand="0" w:noVBand="1"/>
      </w:tblPr>
      <w:tblGrid>
        <w:gridCol w:w="5019"/>
        <w:gridCol w:w="4901"/>
      </w:tblGrid>
      <w:tr w:rsidR="003A739C" w:rsidRPr="00643977" w14:paraId="52E064A0" w14:textId="77777777" w:rsidTr="00B614AA">
        <w:tc>
          <w:tcPr>
            <w:tcW w:w="5122" w:type="dxa"/>
          </w:tcPr>
          <w:p w14:paraId="74ED7698" w14:textId="77777777" w:rsidR="003A739C" w:rsidRPr="00F15782" w:rsidRDefault="003A739C" w:rsidP="003A739C">
            <w:pPr>
              <w:pStyle w:val="ListParagraph"/>
              <w:tabs>
                <w:tab w:val="right" w:pos="0"/>
              </w:tabs>
              <w:spacing w:before="120" w:line="240" w:lineRule="auto"/>
              <w:ind w:left="0"/>
              <w:jc w:val="left"/>
              <w:rPr>
                <w:sz w:val="16"/>
                <w:szCs w:val="16"/>
                <w:lang w:val="hy-AM"/>
              </w:rPr>
            </w:pPr>
            <w:r w:rsidRPr="003A739C">
              <w:rPr>
                <w:rFonts w:cs="Sylfaen"/>
                <w:b/>
                <w:bCs/>
                <w:i/>
                <w:sz w:val="16"/>
                <w:szCs w:val="16"/>
                <w:lang w:val="hy-AM"/>
              </w:rPr>
              <w:t>Գծապատկեր 1.8.</w:t>
            </w:r>
            <w:r w:rsidRPr="003A739C">
              <w:rPr>
                <w:rFonts w:cs="Sylfaen"/>
                <w:i/>
                <w:sz w:val="16"/>
                <w:szCs w:val="16"/>
                <w:lang w:val="hy-AM"/>
              </w:rPr>
              <w:t xml:space="preserve"> ՏԱՑ և տնտեսության ճյուղերի իրական աճերը նախորդ տարվա նույն ժամանակահատվածի նկատմամբ, (%)</w:t>
            </w:r>
            <w:r w:rsidRPr="00F15782">
              <w:rPr>
                <w:rFonts w:cs="Sylfaen"/>
                <w:i/>
                <w:sz w:val="16"/>
                <w:szCs w:val="16"/>
                <w:lang w:val="hy-AM"/>
              </w:rPr>
              <w:t xml:space="preserve"> </w:t>
            </w:r>
            <w:r w:rsidRPr="007B23EF">
              <w:rPr>
                <w:noProof/>
              </w:rPr>
              <w:drawing>
                <wp:inline distT="0" distB="0" distL="0" distR="0" wp14:anchorId="06815969" wp14:editId="2B4FCEE3">
                  <wp:extent cx="3064510" cy="2029767"/>
                  <wp:effectExtent l="0" t="0" r="2540" b="889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EB9B61" w14:textId="77777777" w:rsidR="003A739C" w:rsidRPr="00F330A0" w:rsidRDefault="003A739C" w:rsidP="00B614AA">
            <w:pPr>
              <w:pStyle w:val="ListParagraph"/>
              <w:tabs>
                <w:tab w:val="right" w:pos="0"/>
              </w:tabs>
              <w:spacing w:before="120" w:line="360" w:lineRule="auto"/>
              <w:ind w:left="0"/>
              <w:rPr>
                <w:rFonts w:cs="Sylfaen"/>
                <w:i/>
                <w:sz w:val="16"/>
                <w:szCs w:val="16"/>
                <w:lang w:val="hy-AM"/>
              </w:rPr>
            </w:pPr>
            <w:r w:rsidRPr="00F330A0">
              <w:rPr>
                <w:i/>
                <w:sz w:val="16"/>
                <w:szCs w:val="16"/>
                <w:lang w:val="hy-AM"/>
              </w:rPr>
              <w:t>Աղբյուրը՝ ՀՀ ՎԿ</w:t>
            </w:r>
          </w:p>
        </w:tc>
        <w:tc>
          <w:tcPr>
            <w:tcW w:w="5123" w:type="dxa"/>
          </w:tcPr>
          <w:p w14:paraId="6DB4C34F" w14:textId="77777777" w:rsidR="003A739C" w:rsidRDefault="003A739C" w:rsidP="00B614AA">
            <w:pPr>
              <w:pStyle w:val="ListParagraph"/>
              <w:tabs>
                <w:tab w:val="right" w:pos="0"/>
              </w:tabs>
              <w:spacing w:before="120"/>
              <w:ind w:left="0"/>
              <w:rPr>
                <w:rFonts w:cs="Sylfaen"/>
                <w:b/>
                <w:bCs/>
                <w:i/>
                <w:sz w:val="4"/>
                <w:szCs w:val="4"/>
                <w:lang w:val="hy-AM"/>
              </w:rPr>
            </w:pPr>
          </w:p>
          <w:p w14:paraId="4AB59D31" w14:textId="77777777" w:rsidR="003A739C" w:rsidRPr="003A739C" w:rsidRDefault="00B614AA" w:rsidP="003A739C">
            <w:pPr>
              <w:pStyle w:val="ListParagraph"/>
              <w:tabs>
                <w:tab w:val="right" w:pos="0"/>
              </w:tabs>
              <w:spacing w:before="120" w:line="240" w:lineRule="auto"/>
              <w:ind w:left="0"/>
              <w:rPr>
                <w:rFonts w:cs="Sylfaen"/>
                <w:i/>
                <w:sz w:val="16"/>
                <w:szCs w:val="16"/>
                <w:lang w:val="hy-AM"/>
              </w:rPr>
            </w:pPr>
            <w:r w:rsidRPr="003A739C">
              <w:rPr>
                <w:noProof/>
                <w:sz w:val="16"/>
                <w:szCs w:val="16"/>
              </w:rPr>
              <w:drawing>
                <wp:anchor distT="0" distB="0" distL="114300" distR="114300" simplePos="0" relativeHeight="251642880" behindDoc="1" locked="0" layoutInCell="1" allowOverlap="1" wp14:anchorId="2FC0A7B8" wp14:editId="0CEEFBBD">
                  <wp:simplePos x="0" y="0"/>
                  <wp:positionH relativeFrom="column">
                    <wp:posOffset>-49530</wp:posOffset>
                  </wp:positionH>
                  <wp:positionV relativeFrom="paragraph">
                    <wp:posOffset>423545</wp:posOffset>
                  </wp:positionV>
                  <wp:extent cx="3028950" cy="2099945"/>
                  <wp:effectExtent l="0" t="0" r="0" b="14605"/>
                  <wp:wrapTight wrapText="bothSides">
                    <wp:wrapPolygon edited="0">
                      <wp:start x="0" y="0"/>
                      <wp:lineTo x="0" y="21554"/>
                      <wp:lineTo x="21464" y="21554"/>
                      <wp:lineTo x="21464" y="0"/>
                      <wp:lineTo x="0" y="0"/>
                    </wp:wrapPolygon>
                  </wp:wrapTight>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3A739C" w:rsidRPr="003A739C">
              <w:rPr>
                <w:rFonts w:cs="Sylfaen"/>
                <w:b/>
                <w:i/>
                <w:sz w:val="16"/>
                <w:szCs w:val="16"/>
                <w:lang w:val="hy-AM"/>
              </w:rPr>
              <w:t>Գծապատկեր 1.9.</w:t>
            </w:r>
            <w:r w:rsidR="003A739C" w:rsidRPr="003A739C">
              <w:rPr>
                <w:rFonts w:cs="Sylfaen"/>
                <w:i/>
                <w:sz w:val="16"/>
                <w:szCs w:val="16"/>
                <w:lang w:val="hy-AM"/>
              </w:rPr>
              <w:t xml:space="preserve"> ՏԱՑ և տնտեսության ճյուղերի իրական աճերը նախորդ տարվա նույն ամսվա նկատմամբ, (%)</w:t>
            </w:r>
          </w:p>
          <w:p w14:paraId="345C456E" w14:textId="77777777" w:rsidR="003A739C" w:rsidRPr="00F330A0" w:rsidRDefault="003A739C" w:rsidP="003A739C">
            <w:pPr>
              <w:ind w:firstLine="0"/>
              <w:rPr>
                <w:i/>
                <w:sz w:val="16"/>
                <w:szCs w:val="16"/>
                <w:lang w:val="hy-AM"/>
              </w:rPr>
            </w:pPr>
            <w:r w:rsidRPr="00F330A0">
              <w:rPr>
                <w:i/>
                <w:sz w:val="16"/>
                <w:szCs w:val="16"/>
                <w:lang w:val="hy-AM"/>
              </w:rPr>
              <w:t>Աղբյուրը՝ ՀՀ ՎԿ</w:t>
            </w:r>
            <w:r w:rsidRPr="00F330A0" w:rsidDel="00DA0563">
              <w:rPr>
                <w:i/>
                <w:sz w:val="16"/>
                <w:szCs w:val="16"/>
                <w:lang w:val="hy-AM"/>
              </w:rPr>
              <w:t xml:space="preserve"> </w:t>
            </w:r>
          </w:p>
        </w:tc>
      </w:tr>
      <w:tr w:rsidR="003A739C" w:rsidRPr="00A03AF2" w14:paraId="6A6ADDC9" w14:textId="77777777" w:rsidTr="00D369E6">
        <w:trPr>
          <w:trHeight w:val="411"/>
        </w:trPr>
        <w:tc>
          <w:tcPr>
            <w:tcW w:w="5122" w:type="dxa"/>
          </w:tcPr>
          <w:p w14:paraId="05813BE6" w14:textId="77777777" w:rsidR="003A739C" w:rsidRPr="00F330A0" w:rsidRDefault="003A739C" w:rsidP="003A739C">
            <w:pPr>
              <w:pStyle w:val="ListParagraph"/>
              <w:tabs>
                <w:tab w:val="right" w:pos="0"/>
              </w:tabs>
              <w:spacing w:before="120" w:line="240" w:lineRule="auto"/>
              <w:ind w:left="0"/>
              <w:rPr>
                <w:rFonts w:cs="Sylfaen"/>
                <w:i/>
                <w:sz w:val="16"/>
                <w:szCs w:val="16"/>
                <w:lang w:val="hy-AM"/>
              </w:rPr>
            </w:pPr>
            <w:r w:rsidRPr="003A739C">
              <w:rPr>
                <w:rFonts w:cs="Sylfaen"/>
                <w:b/>
                <w:bCs/>
                <w:i/>
                <w:sz w:val="16"/>
                <w:szCs w:val="16"/>
                <w:lang w:val="hy-AM"/>
              </w:rPr>
              <w:lastRenderedPageBreak/>
              <w:t>Գծապատկեր 1.</w:t>
            </w:r>
            <w:r w:rsidRPr="003A739C">
              <w:rPr>
                <w:rFonts w:cs="Sylfaen"/>
                <w:b/>
                <w:bCs/>
                <w:i/>
                <w:sz w:val="16"/>
                <w:szCs w:val="16"/>
              </w:rPr>
              <w:t>10</w:t>
            </w:r>
            <w:r w:rsidRPr="003A739C">
              <w:rPr>
                <w:rFonts w:cs="Sylfaen"/>
                <w:b/>
                <w:bCs/>
                <w:i/>
                <w:sz w:val="16"/>
                <w:szCs w:val="16"/>
                <w:lang w:val="hy-AM"/>
              </w:rPr>
              <w:t>.</w:t>
            </w:r>
            <w:r w:rsidRPr="003A739C">
              <w:rPr>
                <w:rFonts w:cs="Sylfaen"/>
                <w:i/>
                <w:sz w:val="16"/>
                <w:szCs w:val="16"/>
                <w:lang w:val="hy-AM"/>
              </w:rPr>
              <w:t xml:space="preserve"> Տնտեսության ճյուղերի</w:t>
            </w:r>
            <w:r w:rsidRPr="003A739C">
              <w:rPr>
                <w:rFonts w:cs="Sylfaen"/>
                <w:i/>
                <w:sz w:val="16"/>
                <w:szCs w:val="16"/>
              </w:rPr>
              <w:t xml:space="preserve"> </w:t>
            </w:r>
            <w:r w:rsidRPr="003A739C">
              <w:rPr>
                <w:rFonts w:cs="Sylfaen"/>
                <w:i/>
                <w:sz w:val="16"/>
                <w:szCs w:val="16"/>
                <w:lang w:val="hy-AM"/>
              </w:rPr>
              <w:t>նպաստումները ՏԱՑ-ին (տ.կ.)</w:t>
            </w:r>
            <w:r w:rsidRPr="00F15782">
              <w:rPr>
                <w:rFonts w:cs="Sylfaen"/>
                <w:i/>
                <w:sz w:val="16"/>
                <w:szCs w:val="16"/>
                <w:lang w:val="hy-AM"/>
              </w:rPr>
              <w:t xml:space="preserve"> </w:t>
            </w:r>
            <w:r w:rsidRPr="00F330A0">
              <w:rPr>
                <w:i/>
                <w:noProof/>
                <w:sz w:val="16"/>
                <w:szCs w:val="16"/>
              </w:rPr>
              <w:drawing>
                <wp:inline distT="0" distB="0" distL="0" distR="0" wp14:anchorId="473C367C" wp14:editId="6C030F0E">
                  <wp:extent cx="3095625" cy="1929283"/>
                  <wp:effectExtent l="0" t="0" r="9525" b="1397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9E39E00" w14:textId="77777777" w:rsidR="003A739C" w:rsidRPr="00F15782" w:rsidRDefault="003A739C" w:rsidP="00B614AA">
            <w:pPr>
              <w:pStyle w:val="ListParagraph"/>
              <w:tabs>
                <w:tab w:val="right" w:pos="0"/>
              </w:tabs>
              <w:spacing w:before="120" w:line="360" w:lineRule="auto"/>
              <w:ind w:left="0"/>
              <w:rPr>
                <w:rFonts w:cs="Sylfaen"/>
                <w:lang w:val="hy-AM"/>
              </w:rPr>
            </w:pPr>
            <w:r w:rsidRPr="00F330A0">
              <w:rPr>
                <w:i/>
                <w:sz w:val="16"/>
                <w:szCs w:val="16"/>
                <w:lang w:val="hy-AM"/>
              </w:rPr>
              <w:t>Աղբյուրը՝ ՀՀ ՎԿ, ՀՀ ՖՆ հաշվարկներ</w:t>
            </w:r>
            <w:r w:rsidRPr="00854B0B">
              <w:rPr>
                <w:noProof/>
                <w:lang w:val="hy-AM"/>
              </w:rPr>
              <w:t xml:space="preserve"> </w:t>
            </w:r>
          </w:p>
        </w:tc>
        <w:tc>
          <w:tcPr>
            <w:tcW w:w="5123" w:type="dxa"/>
          </w:tcPr>
          <w:p w14:paraId="3C314FB9" w14:textId="77777777" w:rsidR="003A739C" w:rsidRDefault="003A739C" w:rsidP="00B614AA">
            <w:pPr>
              <w:pStyle w:val="ListParagraph"/>
              <w:tabs>
                <w:tab w:val="right" w:pos="0"/>
              </w:tabs>
              <w:spacing w:before="120"/>
              <w:ind w:left="0"/>
              <w:rPr>
                <w:rFonts w:cs="Sylfaen"/>
                <w:b/>
                <w:i/>
                <w:sz w:val="4"/>
                <w:szCs w:val="4"/>
                <w:lang w:val="hy-AM"/>
              </w:rPr>
            </w:pPr>
          </w:p>
          <w:p w14:paraId="4ACC515C" w14:textId="77777777" w:rsidR="003A739C" w:rsidRPr="00854B0B" w:rsidRDefault="003A739C" w:rsidP="003A739C">
            <w:pPr>
              <w:pStyle w:val="ListParagraph"/>
              <w:tabs>
                <w:tab w:val="right" w:pos="0"/>
              </w:tabs>
              <w:spacing w:before="120" w:line="240" w:lineRule="auto"/>
              <w:ind w:left="0"/>
              <w:rPr>
                <w:noProof/>
                <w:lang w:val="hy-AM"/>
              </w:rPr>
            </w:pPr>
            <w:r w:rsidRPr="003A739C">
              <w:rPr>
                <w:rFonts w:cs="Sylfaen"/>
                <w:b/>
                <w:i/>
                <w:sz w:val="16"/>
                <w:szCs w:val="16"/>
                <w:lang w:val="hy-AM"/>
              </w:rPr>
              <w:t>Գծապատկեր 1.11.</w:t>
            </w:r>
            <w:r w:rsidRPr="003A739C">
              <w:rPr>
                <w:rFonts w:cs="Sylfaen"/>
                <w:i/>
                <w:sz w:val="16"/>
                <w:szCs w:val="16"/>
                <w:lang w:val="hy-AM"/>
              </w:rPr>
              <w:t xml:space="preserve"> Տնտեսության ճյուղերի նպաստումները ՏԱՑ-ին նախորդ տարվա նույն ամսվա նկատմամբ,</w:t>
            </w:r>
            <w:r w:rsidRPr="00F330A0">
              <w:rPr>
                <w:rFonts w:cs="Sylfaen"/>
                <w:i/>
                <w:sz w:val="18"/>
                <w:szCs w:val="18"/>
                <w:lang w:val="hy-AM"/>
              </w:rPr>
              <w:t xml:space="preserve"> (տ.կ.)</w:t>
            </w:r>
            <w:r w:rsidRPr="007B23EF">
              <w:rPr>
                <w:noProof/>
              </w:rPr>
              <w:drawing>
                <wp:inline distT="0" distB="0" distL="0" distR="0" wp14:anchorId="4C658E63" wp14:editId="6F144102">
                  <wp:extent cx="3019425" cy="1959429"/>
                  <wp:effectExtent l="0" t="0" r="9525" b="3175"/>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B5A1881" w14:textId="77777777" w:rsidR="003A739C" w:rsidRPr="00F330A0" w:rsidRDefault="003A739C" w:rsidP="003A739C">
            <w:pPr>
              <w:ind w:firstLine="0"/>
              <w:rPr>
                <w:i/>
                <w:sz w:val="16"/>
                <w:szCs w:val="16"/>
                <w:lang w:val="hy-AM"/>
              </w:rPr>
            </w:pPr>
            <w:r w:rsidRPr="00F330A0">
              <w:rPr>
                <w:i/>
                <w:sz w:val="16"/>
                <w:szCs w:val="16"/>
                <w:lang w:val="hy-AM"/>
              </w:rPr>
              <w:t>Աղբյուրը՝ ՀՀ ՎԿ, ՀՀ ՖՆ հաշվարկներ</w:t>
            </w:r>
          </w:p>
        </w:tc>
      </w:tr>
    </w:tbl>
    <w:p w14:paraId="20CB4874" w14:textId="07FD50EB" w:rsidR="00B614AA" w:rsidRPr="00B614AA" w:rsidRDefault="00B614AA" w:rsidP="00B614AA">
      <w:pPr>
        <w:tabs>
          <w:tab w:val="right" w:pos="0"/>
        </w:tabs>
        <w:spacing w:before="120" w:after="0" w:line="276" w:lineRule="auto"/>
        <w:contextualSpacing/>
        <w:rPr>
          <w:rFonts w:eastAsia="Calibri" w:cs="Sylfaen"/>
          <w:lang w:val="hy-AM"/>
        </w:rPr>
      </w:pPr>
      <w:r w:rsidRPr="00B614AA">
        <w:rPr>
          <w:rFonts w:eastAsia="Calibri" w:cs="Sylfaen"/>
          <w:b/>
          <w:bCs/>
          <w:lang w:val="hy-AM"/>
        </w:rPr>
        <w:t xml:space="preserve">Համավարակի բացասական ազդեցությամբ պայմանավորված նվազեց նաև </w:t>
      </w:r>
      <w:r w:rsidRPr="00B614AA">
        <w:rPr>
          <w:rFonts w:eastAsia="Times New Roman" w:cs="Sylfaen"/>
          <w:b/>
          <w:bCs/>
          <w:noProof/>
          <w:lang w:val="hy-AM"/>
        </w:rPr>
        <w:t>ներքին պահանջարկը:</w:t>
      </w:r>
      <w:r w:rsidRPr="00B614AA">
        <w:rPr>
          <w:rFonts w:eastAsia="Times New Roman" w:cs="Sylfaen"/>
          <w:noProof/>
          <w:lang w:val="hy-AM"/>
        </w:rPr>
        <w:t xml:space="preserve"> Արդեն 2020թ. առաջին եռամսյակում կրելով համավարակի բացասական հետևանքները՝ առկա անորոշությունների պայմաններում գրանցվեց վերջնական սպառման</w:t>
      </w:r>
      <w:r w:rsidRPr="00B614AA">
        <w:rPr>
          <w:rFonts w:eastAsia="Calibri" w:cs="Sylfaen"/>
          <w:lang w:val="hy-AM"/>
        </w:rPr>
        <w:t xml:space="preserve"> դանդաղում, իսկ կապիտալ ներդրումները, արտահանումն ու ներմուծումը նվազեցին: Այս միտումները շարունակվեցին նաև հաջորդ ամ</w:t>
      </w:r>
      <w:r w:rsidR="007724F4">
        <w:rPr>
          <w:rFonts w:eastAsia="Calibri" w:cs="Sylfaen"/>
          <w:lang w:val="hy-AM"/>
        </w:rPr>
        <w:t>իս</w:t>
      </w:r>
      <w:r w:rsidRPr="00B614AA">
        <w:rPr>
          <w:rFonts w:eastAsia="Calibri" w:cs="Sylfaen"/>
          <w:lang w:val="hy-AM"/>
        </w:rPr>
        <w:t xml:space="preserve">ներին, դա է վկայում տնտեսությունում առկա թույլ գնաճային միջավայրը, առևտրի շրջանառության զգալի նվազումը, աշխատավարձերի աճի դանդաղումը, տրանսֆերտների էական կրճատումը և մշակող արդյունաբերության ներքին իրացման նվազումը։ </w:t>
      </w:r>
    </w:p>
    <w:p w14:paraId="31A75B37" w14:textId="77777777" w:rsidR="00B614AA" w:rsidRPr="00B614AA" w:rsidRDefault="00B614AA" w:rsidP="00B614AA">
      <w:pPr>
        <w:tabs>
          <w:tab w:val="right" w:pos="0"/>
        </w:tabs>
        <w:spacing w:before="120" w:after="0" w:line="276" w:lineRule="auto"/>
        <w:contextualSpacing/>
        <w:rPr>
          <w:rFonts w:eastAsia="Calibri" w:cs="Sylfaen"/>
          <w:lang w:val="hy-AM"/>
        </w:rPr>
      </w:pPr>
    </w:p>
    <w:tbl>
      <w:tblPr>
        <w:tblStyle w:val="TableGrid111"/>
        <w:tblW w:w="9918" w:type="dxa"/>
        <w:shd w:val="clear" w:color="auto" w:fill="D9D9D9"/>
        <w:tblLook w:val="04A0" w:firstRow="1" w:lastRow="0" w:firstColumn="1" w:lastColumn="0" w:noHBand="0" w:noVBand="1"/>
      </w:tblPr>
      <w:tblGrid>
        <w:gridCol w:w="3312"/>
        <w:gridCol w:w="6606"/>
      </w:tblGrid>
      <w:tr w:rsidR="00B614AA" w:rsidRPr="00A03AF2" w14:paraId="0028F6BF" w14:textId="77777777" w:rsidTr="000A2BEC">
        <w:tc>
          <w:tcPr>
            <w:tcW w:w="9918" w:type="dxa"/>
            <w:gridSpan w:val="2"/>
            <w:shd w:val="clear" w:color="auto" w:fill="D9D9D9"/>
          </w:tcPr>
          <w:p w14:paraId="7C6314FC" w14:textId="77777777" w:rsidR="00B614AA" w:rsidRPr="00B614AA" w:rsidRDefault="00B614AA" w:rsidP="00B614AA">
            <w:pPr>
              <w:tabs>
                <w:tab w:val="right" w:pos="0"/>
              </w:tabs>
              <w:spacing w:before="0" w:after="0" w:line="276" w:lineRule="auto"/>
              <w:ind w:firstLine="0"/>
              <w:contextualSpacing/>
              <w:jc w:val="center"/>
              <w:rPr>
                <w:rFonts w:cs="Sylfaen"/>
                <w:sz w:val="24"/>
                <w:szCs w:val="24"/>
                <w:lang w:val="hy-AM"/>
              </w:rPr>
            </w:pPr>
            <w:r w:rsidRPr="00B614AA">
              <w:rPr>
                <w:rFonts w:cs="Sylfaen"/>
                <w:b/>
                <w:sz w:val="18"/>
                <w:szCs w:val="18"/>
                <w:lang w:val="hy-AM"/>
              </w:rPr>
              <w:t xml:space="preserve">Ներդիր։ 1։ Կորոնավիրուսային համավարակի </w:t>
            </w:r>
            <w:r w:rsidRPr="00B614AA">
              <w:rPr>
                <w:rFonts w:cs="Sylfaen"/>
                <w:b/>
                <w:sz w:val="18"/>
                <w:szCs w:val="18"/>
                <w:lang w:val="sk-SK"/>
              </w:rPr>
              <w:t>(COVID-19)</w:t>
            </w:r>
            <w:r w:rsidRPr="00B614AA">
              <w:rPr>
                <w:rFonts w:cs="Sylfaen"/>
                <w:b/>
                <w:sz w:val="18"/>
                <w:szCs w:val="18"/>
                <w:lang w:val="hy-AM"/>
              </w:rPr>
              <w:t xml:space="preserve"> զարգացման դինամիկան ՀՀ-ում, կորոնավիրուսի կանխարգելման նպատակով տնտեսական գործունեության տեսակների սահմանափակումները</w:t>
            </w:r>
          </w:p>
        </w:tc>
      </w:tr>
      <w:tr w:rsidR="00B614AA" w:rsidRPr="00B614AA" w14:paraId="646E5A14" w14:textId="77777777" w:rsidTr="000A2BEC">
        <w:tc>
          <w:tcPr>
            <w:tcW w:w="3639" w:type="dxa"/>
            <w:shd w:val="clear" w:color="auto" w:fill="D9D9D9"/>
          </w:tcPr>
          <w:p w14:paraId="3E8E9FC7" w14:textId="77777777" w:rsidR="00B614AA" w:rsidRPr="00B614AA" w:rsidRDefault="00B614AA" w:rsidP="00B614AA">
            <w:pPr>
              <w:tabs>
                <w:tab w:val="left" w:pos="270"/>
              </w:tabs>
              <w:spacing w:before="0" w:after="0" w:line="240" w:lineRule="auto"/>
              <w:ind w:firstLine="360"/>
              <w:rPr>
                <w:rFonts w:cs="Sylfaen"/>
                <w:sz w:val="16"/>
                <w:szCs w:val="16"/>
                <w:lang w:val="hy-AM"/>
              </w:rPr>
            </w:pPr>
          </w:p>
          <w:p w14:paraId="00947D73" w14:textId="77777777" w:rsidR="00B614AA" w:rsidRPr="00B614AA" w:rsidRDefault="00B614AA" w:rsidP="00B614AA">
            <w:pPr>
              <w:tabs>
                <w:tab w:val="left" w:pos="270"/>
              </w:tabs>
              <w:spacing w:before="0" w:after="0" w:line="240" w:lineRule="auto"/>
              <w:ind w:firstLine="360"/>
              <w:rPr>
                <w:rFonts w:cs="Sylfaen"/>
                <w:sz w:val="16"/>
                <w:szCs w:val="16"/>
                <w:lang w:val="hy-AM"/>
              </w:rPr>
            </w:pPr>
            <w:r w:rsidRPr="00B614AA">
              <w:rPr>
                <w:rFonts w:cs="Sylfaen"/>
                <w:sz w:val="16"/>
                <w:szCs w:val="16"/>
                <w:lang w:val="hy-AM"/>
              </w:rPr>
              <w:t>2020թ. մարտի 1-ին ՀՀ-ում գրանցվեց կորոնավիրուսով հիվանդության առաջին դեպքը, որից հետո վարակը շատ արագ տարածվեց։</w:t>
            </w:r>
          </w:p>
          <w:p w14:paraId="5B9D52B5" w14:textId="77777777" w:rsidR="00B614AA" w:rsidRPr="00B614AA" w:rsidRDefault="00B614AA" w:rsidP="00B614AA">
            <w:pPr>
              <w:tabs>
                <w:tab w:val="left" w:pos="0"/>
              </w:tabs>
              <w:spacing w:before="0" w:after="0" w:line="240" w:lineRule="auto"/>
              <w:ind w:firstLine="165"/>
              <w:rPr>
                <w:rFonts w:cs="Sylfaen"/>
                <w:sz w:val="24"/>
                <w:szCs w:val="24"/>
                <w:lang w:val="hy-AM"/>
              </w:rPr>
            </w:pPr>
            <w:r w:rsidRPr="00B614AA">
              <w:rPr>
                <w:rFonts w:cs="Sylfaen"/>
                <w:sz w:val="16"/>
                <w:szCs w:val="16"/>
                <w:lang w:val="hy-AM"/>
              </w:rPr>
              <w:t xml:space="preserve">Կորոնավիրուսային համավարակի տարածման կանխարգելման նպատակով 2020թ. մարտի 16-ից ՀՀ-ում հայտարարվեց արտակարգ դրություն և պարետի որոշումներով արգելվեց տնտեսական գործունեության որոշ տեսակների գործունեությունը, մասնավորապես </w:t>
            </w:r>
            <w:r w:rsidRPr="00B614AA">
              <w:rPr>
                <w:rFonts w:cs="Sylfaen"/>
                <w:b/>
                <w:bCs/>
                <w:sz w:val="16"/>
                <w:szCs w:val="16"/>
                <w:lang w:val="hy-AM"/>
              </w:rPr>
              <w:t>արգելվեցին՝</w:t>
            </w:r>
          </w:p>
        </w:tc>
        <w:tc>
          <w:tcPr>
            <w:tcW w:w="6279" w:type="dxa"/>
            <w:shd w:val="clear" w:color="auto" w:fill="D9D9D9"/>
          </w:tcPr>
          <w:p w14:paraId="3D7AD0DB" w14:textId="77777777" w:rsidR="00B614AA" w:rsidRPr="00B614AA" w:rsidRDefault="00B614AA" w:rsidP="00B614AA">
            <w:pPr>
              <w:spacing w:before="0" w:after="0" w:line="240" w:lineRule="auto"/>
              <w:ind w:firstLine="0"/>
              <w:jc w:val="left"/>
              <w:rPr>
                <w:rFonts w:cs="Times New Roman"/>
                <w:i/>
                <w:iCs/>
                <w:color w:val="000000"/>
                <w:sz w:val="18"/>
                <w:szCs w:val="18"/>
                <w:lang w:val="hy-AM"/>
              </w:rPr>
            </w:pPr>
            <w:r w:rsidRPr="00B614AA">
              <w:rPr>
                <w:rFonts w:cs="Times New Roman"/>
                <w:b/>
                <w:bCs/>
                <w:i/>
                <w:iCs/>
                <w:color w:val="000000"/>
                <w:sz w:val="18"/>
                <w:szCs w:val="18"/>
                <w:lang w:val="hy-AM"/>
              </w:rPr>
              <w:t>Գծապատկեր</w:t>
            </w:r>
            <w:r w:rsidRPr="00B614AA">
              <w:rPr>
                <w:rFonts w:ascii="MS Gothic" w:eastAsia="MS Gothic" w:hAnsi="MS Gothic" w:cs="MS Gothic" w:hint="eastAsia"/>
                <w:b/>
                <w:bCs/>
                <w:i/>
                <w:iCs/>
                <w:color w:val="000000"/>
                <w:sz w:val="18"/>
                <w:szCs w:val="18"/>
                <w:lang w:val="hy-AM"/>
              </w:rPr>
              <w:t>․</w:t>
            </w:r>
            <w:r w:rsidRPr="00B614AA">
              <w:rPr>
                <w:rFonts w:cs="Times New Roman"/>
                <w:b/>
                <w:bCs/>
                <w:i/>
                <w:iCs/>
                <w:color w:val="000000"/>
                <w:sz w:val="18"/>
                <w:szCs w:val="18"/>
                <w:lang w:val="hy-AM"/>
              </w:rPr>
              <w:t xml:space="preserve"> </w:t>
            </w:r>
            <w:r w:rsidRPr="00B614AA">
              <w:rPr>
                <w:rFonts w:cs="Times New Roman"/>
                <w:i/>
                <w:iCs/>
                <w:color w:val="000000"/>
                <w:sz w:val="18"/>
                <w:szCs w:val="18"/>
                <w:lang w:val="hy-AM"/>
              </w:rPr>
              <w:t>ՀՀ-ում</w:t>
            </w:r>
            <w:r w:rsidRPr="00B614AA">
              <w:rPr>
                <w:rFonts w:cs="Times New Roman"/>
                <w:b/>
                <w:bCs/>
                <w:i/>
                <w:iCs/>
                <w:color w:val="000000"/>
                <w:sz w:val="18"/>
                <w:szCs w:val="18"/>
                <w:lang w:val="hy-AM"/>
              </w:rPr>
              <w:t xml:space="preserve"> </w:t>
            </w:r>
            <w:r w:rsidRPr="00B614AA">
              <w:rPr>
                <w:rFonts w:cs="Times New Roman"/>
                <w:i/>
                <w:iCs/>
                <w:color w:val="000000"/>
                <w:sz w:val="18"/>
                <w:szCs w:val="18"/>
                <w:lang w:val="hy-AM"/>
              </w:rPr>
              <w:t>կորոնավիրուսի հաստատված դեպքերը</w:t>
            </w:r>
          </w:p>
          <w:p w14:paraId="2BAB4477" w14:textId="77777777" w:rsidR="00B614AA" w:rsidRPr="00B614AA" w:rsidRDefault="00B614AA" w:rsidP="00B614AA">
            <w:pPr>
              <w:tabs>
                <w:tab w:val="right" w:pos="0"/>
              </w:tabs>
              <w:spacing w:before="0" w:after="0" w:line="276" w:lineRule="auto"/>
              <w:ind w:firstLine="0"/>
              <w:contextualSpacing/>
              <w:rPr>
                <w:rFonts w:cs="Sylfaen"/>
                <w:sz w:val="24"/>
                <w:szCs w:val="24"/>
                <w:lang w:val="hy-AM"/>
              </w:rPr>
            </w:pPr>
            <w:r w:rsidRPr="00B614AA">
              <w:rPr>
                <w:rFonts w:ascii="Calibri" w:hAnsi="Calibri" w:cs="Times New Roman"/>
                <w:noProof/>
                <w:sz w:val="18"/>
                <w:szCs w:val="18"/>
                <w:shd w:val="clear" w:color="auto" w:fill="D9D9D9"/>
              </w:rPr>
              <w:drawing>
                <wp:inline distT="0" distB="0" distL="0" distR="0" wp14:anchorId="770EC9C8" wp14:editId="0D5FF8C4">
                  <wp:extent cx="4057650" cy="1504950"/>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B614AA" w:rsidRPr="00B614AA" w14:paraId="71A1F767" w14:textId="77777777" w:rsidTr="000A2BEC">
        <w:tc>
          <w:tcPr>
            <w:tcW w:w="9918" w:type="dxa"/>
            <w:gridSpan w:val="2"/>
            <w:shd w:val="clear" w:color="auto" w:fill="D9D9D9"/>
          </w:tcPr>
          <w:p w14:paraId="78828ABA" w14:textId="77777777" w:rsidR="00B614AA" w:rsidRPr="00B614AA" w:rsidRDefault="00B614AA" w:rsidP="00B614AA">
            <w:pPr>
              <w:tabs>
                <w:tab w:val="left" w:pos="510"/>
              </w:tabs>
              <w:spacing w:before="0" w:after="0" w:line="240" w:lineRule="auto"/>
              <w:ind w:firstLine="240"/>
              <w:rPr>
                <w:rFonts w:cs="Times New Roman"/>
                <w:i/>
                <w:iCs/>
                <w:color w:val="000000"/>
                <w:sz w:val="18"/>
                <w:szCs w:val="18"/>
              </w:rPr>
            </w:pPr>
            <w:r w:rsidRPr="00B614AA">
              <w:rPr>
                <w:rFonts w:cs="Times New Roman"/>
                <w:b/>
                <w:bCs/>
                <w:i/>
                <w:iCs/>
                <w:color w:val="000000"/>
                <w:sz w:val="18"/>
                <w:szCs w:val="18"/>
              </w:rPr>
              <w:t xml:space="preserve">  1. մարտի 16-ից՝ </w:t>
            </w:r>
            <w:r w:rsidRPr="00B614AA">
              <w:rPr>
                <w:rFonts w:cs="Times New Roman"/>
                <w:i/>
                <w:iCs/>
                <w:color w:val="000000"/>
                <w:sz w:val="18"/>
                <w:szCs w:val="18"/>
              </w:rPr>
              <w:t>20 և ավելի անձանց մասնակցությամբ համերգները, ցուցադրությունները, թատերական ներկայացումները, սպորտային, մշակութային, կրթական, ժամանցային, տոնական, հիշատակի և այլ միջոցառումները, ուսումնական գործընթացը (բացառությամբ՝ հեռավար ուսուցման) և այլ գործունեություններ,</w:t>
            </w:r>
          </w:p>
          <w:p w14:paraId="4310FD21" w14:textId="77777777" w:rsidR="00B614AA" w:rsidRPr="00B614AA" w:rsidRDefault="00B614AA" w:rsidP="00B614AA">
            <w:pPr>
              <w:tabs>
                <w:tab w:val="left" w:pos="510"/>
              </w:tabs>
              <w:spacing w:before="0" w:after="0" w:line="240" w:lineRule="auto"/>
              <w:ind w:firstLine="240"/>
              <w:rPr>
                <w:rFonts w:cs="Times New Roman"/>
                <w:i/>
                <w:iCs/>
                <w:color w:val="000000"/>
                <w:sz w:val="18"/>
                <w:szCs w:val="18"/>
              </w:rPr>
            </w:pPr>
            <w:r w:rsidRPr="00B614AA">
              <w:rPr>
                <w:rFonts w:cs="Times New Roman"/>
                <w:b/>
                <w:bCs/>
                <w:i/>
                <w:iCs/>
                <w:color w:val="000000"/>
                <w:sz w:val="18"/>
                <w:szCs w:val="18"/>
              </w:rPr>
              <w:t>2.</w:t>
            </w:r>
            <w:r w:rsidRPr="00B614AA">
              <w:rPr>
                <w:rFonts w:cs="Times New Roman"/>
                <w:b/>
                <w:bCs/>
                <w:i/>
                <w:iCs/>
                <w:color w:val="000000"/>
                <w:sz w:val="18"/>
                <w:szCs w:val="18"/>
              </w:rPr>
              <w:tab/>
              <w:t>մարտի 22-ից</w:t>
            </w:r>
            <w:r w:rsidRPr="00B614AA">
              <w:rPr>
                <w:rFonts w:cs="Times New Roman"/>
                <w:i/>
                <w:iCs/>
                <w:color w:val="000000"/>
                <w:sz w:val="18"/>
                <w:szCs w:val="18"/>
              </w:rPr>
              <w:t>՝ առևտրի կենտրոնների (բացառությամբ՝ սննդի, խմիչքների, ծխախոտի մանրածախ առևտրի), բարերի, գիշերային ակումբների, պարահրապարակների, կինոֆիլմերի ցուցադրման, խաղատների, բուքմեյքերական և խաղագումարով գրազի կազմակերպման գործունեության սպասարկման գրասենյակների գործունեությունը,</w:t>
            </w:r>
          </w:p>
          <w:p w14:paraId="7DCBA2B1" w14:textId="77777777" w:rsidR="00B614AA" w:rsidRPr="00B614AA" w:rsidRDefault="00B614AA" w:rsidP="00B614AA">
            <w:pPr>
              <w:tabs>
                <w:tab w:val="left" w:pos="510"/>
              </w:tabs>
              <w:spacing w:before="0" w:after="0" w:line="240" w:lineRule="auto"/>
              <w:ind w:firstLine="240"/>
              <w:rPr>
                <w:rFonts w:cs="Times New Roman"/>
                <w:i/>
                <w:iCs/>
                <w:color w:val="000000"/>
                <w:sz w:val="18"/>
                <w:szCs w:val="18"/>
              </w:rPr>
            </w:pPr>
            <w:r w:rsidRPr="00B614AA">
              <w:rPr>
                <w:rFonts w:cs="Times New Roman"/>
                <w:b/>
                <w:bCs/>
                <w:i/>
                <w:iCs/>
                <w:color w:val="000000"/>
                <w:sz w:val="18"/>
                <w:szCs w:val="18"/>
              </w:rPr>
              <w:t>3.</w:t>
            </w:r>
            <w:r w:rsidRPr="00B614AA">
              <w:rPr>
                <w:rFonts w:cs="Times New Roman"/>
                <w:b/>
                <w:bCs/>
                <w:i/>
                <w:iCs/>
                <w:color w:val="000000"/>
                <w:sz w:val="18"/>
                <w:szCs w:val="18"/>
              </w:rPr>
              <w:tab/>
              <w:t xml:space="preserve">մարտի 27-ից՝ </w:t>
            </w:r>
            <w:r w:rsidRPr="00B614AA">
              <w:rPr>
                <w:rFonts w:cs="Times New Roman"/>
                <w:i/>
                <w:iCs/>
                <w:color w:val="000000"/>
                <w:sz w:val="18"/>
                <w:szCs w:val="18"/>
              </w:rPr>
              <w:t>գյուղատնտեսության բնագավառում օժանդակ գործունեությունը և ծառայությունների մատուցումը, շինարարությունը, առևտուրը (բացառությամբ՝ սննդամթերքի, խմիչքների, դեղատների գործունեության), կանոնավոր ուղևորափոխադրումները, անշարժ գույքի հետ կապված, մշակույթի, զվարճությունների, հանգստի, կացության, հանրային սննդի, տեղեկատվության և կապի, նորոգման և մի շարք այլ ծառայությունների գործունեությունը,</w:t>
            </w:r>
          </w:p>
          <w:p w14:paraId="082D59FD" w14:textId="77777777" w:rsidR="00B614AA" w:rsidRPr="00B614AA" w:rsidRDefault="00B614AA" w:rsidP="00B614AA">
            <w:pPr>
              <w:tabs>
                <w:tab w:val="left" w:pos="510"/>
              </w:tabs>
              <w:spacing w:before="0" w:after="0" w:line="240" w:lineRule="auto"/>
              <w:ind w:firstLine="240"/>
              <w:rPr>
                <w:rFonts w:cs="Times New Roman"/>
                <w:b/>
                <w:bCs/>
                <w:i/>
                <w:iCs/>
                <w:color w:val="000000"/>
                <w:sz w:val="18"/>
                <w:szCs w:val="18"/>
              </w:rPr>
            </w:pPr>
            <w:r w:rsidRPr="00B614AA">
              <w:rPr>
                <w:rFonts w:cs="Times New Roman"/>
                <w:b/>
                <w:bCs/>
                <w:i/>
                <w:iCs/>
                <w:color w:val="000000"/>
                <w:sz w:val="18"/>
                <w:szCs w:val="18"/>
              </w:rPr>
              <w:t>4.</w:t>
            </w:r>
            <w:r w:rsidRPr="00B614AA">
              <w:rPr>
                <w:rFonts w:cs="Times New Roman"/>
                <w:b/>
                <w:bCs/>
                <w:i/>
                <w:iCs/>
                <w:color w:val="000000"/>
                <w:sz w:val="18"/>
                <w:szCs w:val="18"/>
              </w:rPr>
              <w:tab/>
              <w:t xml:space="preserve">մարտի 31-ից՝ </w:t>
            </w:r>
            <w:r w:rsidRPr="00B614AA">
              <w:rPr>
                <w:rFonts w:cs="Times New Roman"/>
                <w:i/>
                <w:iCs/>
                <w:color w:val="000000"/>
                <w:sz w:val="18"/>
                <w:szCs w:val="18"/>
              </w:rPr>
              <w:t>մշակող արդյունաբերության (բացառությամբ՝ սննդամթերքի, խմիչքների, դեղերի, զենքի, զինամթերքի և տնտեսական որոշ ապրանքատեսակների արտադրության) և ցամաքային, քաղաքային, մերձքաղաքային տրանսպորտի գործունեությունը։</w:t>
            </w:r>
            <w:r w:rsidRPr="00B614AA">
              <w:rPr>
                <w:rFonts w:cs="Times New Roman"/>
                <w:b/>
                <w:bCs/>
                <w:i/>
                <w:iCs/>
                <w:color w:val="000000"/>
                <w:sz w:val="18"/>
                <w:szCs w:val="18"/>
              </w:rPr>
              <w:t xml:space="preserve"> </w:t>
            </w:r>
          </w:p>
          <w:p w14:paraId="4EE1F1C9" w14:textId="77777777" w:rsidR="00B614AA" w:rsidRPr="00B614AA" w:rsidRDefault="00B614AA" w:rsidP="00B614AA">
            <w:pPr>
              <w:tabs>
                <w:tab w:val="left" w:pos="510"/>
              </w:tabs>
              <w:spacing w:before="0" w:after="0" w:line="240" w:lineRule="auto"/>
              <w:ind w:firstLine="240"/>
              <w:rPr>
                <w:rFonts w:cs="Times New Roman"/>
                <w:b/>
                <w:bCs/>
                <w:i/>
                <w:iCs/>
                <w:color w:val="000000"/>
                <w:sz w:val="18"/>
                <w:szCs w:val="18"/>
              </w:rPr>
            </w:pPr>
            <w:r w:rsidRPr="00B614AA">
              <w:rPr>
                <w:rFonts w:cs="Times New Roman"/>
                <w:b/>
                <w:bCs/>
                <w:i/>
                <w:iCs/>
                <w:color w:val="000000"/>
                <w:sz w:val="18"/>
                <w:szCs w:val="18"/>
              </w:rPr>
              <w:lastRenderedPageBreak/>
              <w:t>Տնտեսական գործունեության որոշ տեսակների նկատմամբ գործող սահմանափակումները աստիճանաբար սկսեցին հանվել՝ սկսած ապրիլ ամսվա կեսերից, մասնավորապես թույլատրվեց՝</w:t>
            </w:r>
          </w:p>
          <w:p w14:paraId="4D0592AC" w14:textId="77777777" w:rsidR="00B614AA" w:rsidRPr="00B614AA" w:rsidRDefault="00B614AA" w:rsidP="00B614AA">
            <w:pPr>
              <w:tabs>
                <w:tab w:val="left" w:pos="510"/>
              </w:tabs>
              <w:spacing w:before="0" w:after="0" w:line="240" w:lineRule="auto"/>
              <w:ind w:firstLine="240"/>
              <w:rPr>
                <w:rFonts w:cs="Times New Roman"/>
                <w:b/>
                <w:bCs/>
                <w:i/>
                <w:iCs/>
                <w:color w:val="000000"/>
                <w:sz w:val="18"/>
                <w:szCs w:val="18"/>
              </w:rPr>
            </w:pPr>
            <w:r w:rsidRPr="00B614AA">
              <w:rPr>
                <w:rFonts w:cs="Times New Roman"/>
                <w:b/>
                <w:bCs/>
                <w:i/>
                <w:iCs/>
                <w:color w:val="000000"/>
                <w:sz w:val="18"/>
                <w:szCs w:val="18"/>
              </w:rPr>
              <w:t>1.</w:t>
            </w:r>
            <w:r w:rsidRPr="00B614AA">
              <w:rPr>
                <w:rFonts w:cs="Times New Roman"/>
                <w:b/>
                <w:bCs/>
                <w:i/>
                <w:iCs/>
                <w:color w:val="000000"/>
                <w:sz w:val="18"/>
                <w:szCs w:val="18"/>
              </w:rPr>
              <w:tab/>
              <w:t xml:space="preserve">ապրիլի 13-ից՝ </w:t>
            </w:r>
            <w:r w:rsidRPr="00B614AA">
              <w:rPr>
                <w:rFonts w:cs="Times New Roman"/>
                <w:i/>
                <w:iCs/>
                <w:color w:val="000000"/>
                <w:sz w:val="18"/>
                <w:szCs w:val="18"/>
              </w:rPr>
              <w:t>ծխախոտի, շինարարական որոշ նյութերի և կոնստրուկցիաների արտադրությունը, շինարարությունը (բացառությամբ ավարտական փուլի աշխատանքների) և մի շարք այլ գործունեություններ,</w:t>
            </w:r>
            <w:r w:rsidRPr="00B614AA">
              <w:rPr>
                <w:rFonts w:cs="Times New Roman"/>
                <w:b/>
                <w:bCs/>
                <w:i/>
                <w:iCs/>
                <w:color w:val="000000"/>
                <w:sz w:val="18"/>
                <w:szCs w:val="18"/>
              </w:rPr>
              <w:t xml:space="preserve"> </w:t>
            </w:r>
          </w:p>
          <w:p w14:paraId="69D8A47A" w14:textId="77777777" w:rsidR="00B614AA" w:rsidRPr="00B614AA" w:rsidRDefault="00B614AA" w:rsidP="00B614AA">
            <w:pPr>
              <w:tabs>
                <w:tab w:val="left" w:pos="510"/>
              </w:tabs>
              <w:spacing w:before="0" w:after="0" w:line="240" w:lineRule="auto"/>
              <w:ind w:firstLine="240"/>
              <w:rPr>
                <w:rFonts w:cs="Times New Roman"/>
                <w:b/>
                <w:bCs/>
                <w:i/>
                <w:iCs/>
                <w:color w:val="000000"/>
                <w:sz w:val="18"/>
                <w:szCs w:val="18"/>
              </w:rPr>
            </w:pPr>
            <w:r w:rsidRPr="00B614AA">
              <w:rPr>
                <w:rFonts w:cs="Times New Roman"/>
                <w:b/>
                <w:bCs/>
                <w:i/>
                <w:iCs/>
                <w:color w:val="000000"/>
                <w:sz w:val="18"/>
                <w:szCs w:val="18"/>
              </w:rPr>
              <w:t>2.</w:t>
            </w:r>
            <w:r w:rsidRPr="00B614AA">
              <w:rPr>
                <w:rFonts w:cs="Times New Roman"/>
                <w:b/>
                <w:bCs/>
                <w:i/>
                <w:iCs/>
                <w:color w:val="000000"/>
                <w:sz w:val="18"/>
                <w:szCs w:val="18"/>
              </w:rPr>
              <w:tab/>
              <w:t xml:space="preserve">ապրիլի 23-ից՝ </w:t>
            </w:r>
            <w:r w:rsidRPr="00B614AA">
              <w:rPr>
                <w:rFonts w:cs="Times New Roman"/>
                <w:i/>
                <w:iCs/>
                <w:color w:val="000000"/>
                <w:sz w:val="18"/>
                <w:szCs w:val="18"/>
              </w:rPr>
              <w:t>մի շարք արտադրությունների գործունեությունը, բացառությամբ մեծածախ առևտրի, անշարժ գույքի հետ կապված գործունեության, նորոգման և մի շարք այլ ծառայությունների մատուցումը</w:t>
            </w:r>
            <w:r w:rsidRPr="00B614AA">
              <w:rPr>
                <w:rFonts w:cs="Times New Roman"/>
                <w:b/>
                <w:bCs/>
                <w:i/>
                <w:iCs/>
                <w:color w:val="000000"/>
                <w:sz w:val="18"/>
                <w:szCs w:val="18"/>
              </w:rPr>
              <w:t xml:space="preserve">, </w:t>
            </w:r>
          </w:p>
          <w:p w14:paraId="372ACDEA" w14:textId="77777777" w:rsidR="00B614AA" w:rsidRPr="00B614AA" w:rsidRDefault="00B614AA" w:rsidP="00B614AA">
            <w:pPr>
              <w:tabs>
                <w:tab w:val="left" w:pos="510"/>
              </w:tabs>
              <w:spacing w:before="0" w:after="0" w:line="240" w:lineRule="auto"/>
              <w:ind w:firstLine="240"/>
              <w:rPr>
                <w:rFonts w:cs="Times New Roman"/>
                <w:i/>
                <w:iCs/>
                <w:color w:val="000000"/>
                <w:sz w:val="18"/>
                <w:szCs w:val="18"/>
              </w:rPr>
            </w:pPr>
            <w:r w:rsidRPr="00B614AA">
              <w:rPr>
                <w:rFonts w:cs="Times New Roman"/>
                <w:b/>
                <w:bCs/>
                <w:i/>
                <w:iCs/>
                <w:color w:val="000000"/>
                <w:sz w:val="18"/>
                <w:szCs w:val="18"/>
              </w:rPr>
              <w:t>3.</w:t>
            </w:r>
            <w:r w:rsidRPr="00B614AA">
              <w:rPr>
                <w:rFonts w:cs="Times New Roman"/>
                <w:b/>
                <w:bCs/>
                <w:i/>
                <w:iCs/>
                <w:color w:val="000000"/>
                <w:sz w:val="18"/>
                <w:szCs w:val="18"/>
              </w:rPr>
              <w:tab/>
              <w:t xml:space="preserve">մայիսի 4-ից՝ </w:t>
            </w:r>
            <w:r w:rsidRPr="00B614AA">
              <w:rPr>
                <w:rFonts w:cs="Times New Roman"/>
                <w:i/>
                <w:iCs/>
                <w:color w:val="000000"/>
                <w:sz w:val="18"/>
                <w:szCs w:val="18"/>
              </w:rPr>
              <w:t xml:space="preserve">ամբողջ մշակող արդյունաբերությունը, շինարարությունը, առևտուրը (բացառությամբ՝ մոլերի, առևտրի կենտրոնների և շուկաների), տեղեկատվության և կապի ոլորտի գործունեությունը, ռեստորանների, բարերի, սրճարանների, պանդոկների գործունեությունը բացառապես բացօթյա տարածքում և մի շարք այլ գործունեություններ, </w:t>
            </w:r>
          </w:p>
          <w:p w14:paraId="002A4B93" w14:textId="77777777" w:rsidR="00B614AA" w:rsidRPr="00B614AA" w:rsidRDefault="00B614AA" w:rsidP="00B614AA">
            <w:pPr>
              <w:tabs>
                <w:tab w:val="left" w:pos="510"/>
              </w:tabs>
              <w:spacing w:before="0" w:after="0" w:line="240" w:lineRule="auto"/>
              <w:ind w:firstLine="240"/>
              <w:rPr>
                <w:rFonts w:cs="Times New Roman"/>
                <w:b/>
                <w:bCs/>
                <w:i/>
                <w:iCs/>
                <w:color w:val="000000"/>
                <w:sz w:val="18"/>
                <w:szCs w:val="18"/>
              </w:rPr>
            </w:pPr>
            <w:r w:rsidRPr="00B614AA">
              <w:rPr>
                <w:rFonts w:cs="Times New Roman"/>
                <w:b/>
                <w:bCs/>
                <w:i/>
                <w:iCs/>
                <w:color w:val="000000"/>
                <w:sz w:val="18"/>
                <w:szCs w:val="18"/>
              </w:rPr>
              <w:t xml:space="preserve">4. մայիսի 18-ից՝ </w:t>
            </w:r>
            <w:r w:rsidRPr="00B614AA">
              <w:rPr>
                <w:rFonts w:cs="Times New Roman"/>
                <w:i/>
                <w:iCs/>
                <w:color w:val="000000"/>
                <w:sz w:val="18"/>
                <w:szCs w:val="18"/>
              </w:rPr>
              <w:t>տնտեսական գործունեության բոլոր տեսակների գործունեությունը, սակայն շարունակեցին գործել հեռավար ուսուցումը և հեռավար կազմակերպման հնարավորություն ունեցող գործունեության այլ տեսակները, ինչպես նաև որոշակի ժամանակահատվածով ըստ անհրաժեշտության շարունակվեց կասեցվել առանձին տնտեսավարողների գործունեությունը:</w:t>
            </w:r>
          </w:p>
        </w:tc>
      </w:tr>
    </w:tbl>
    <w:p w14:paraId="6D9D22AD" w14:textId="77777777" w:rsidR="00226593" w:rsidRPr="00B614AA" w:rsidRDefault="00226593" w:rsidP="00226593">
      <w:pPr>
        <w:rPr>
          <w:rFonts w:cs="Sylfaen"/>
          <w:bCs/>
          <w:sz w:val="14"/>
          <w:szCs w:val="14"/>
          <w:highlight w:val="yellow"/>
        </w:rPr>
      </w:pPr>
    </w:p>
    <w:p w14:paraId="4048439B" w14:textId="77777777" w:rsidR="00B614AA" w:rsidRDefault="00226593" w:rsidP="00B614AA">
      <w:pPr>
        <w:pStyle w:val="BodyText"/>
        <w:spacing w:line="276" w:lineRule="auto"/>
        <w:ind w:firstLine="360"/>
        <w:rPr>
          <w:rFonts w:eastAsia="GHEA Grapalat" w:cs="GHEA Grapalat"/>
          <w:lang w:val="hy-AM"/>
        </w:rPr>
      </w:pPr>
      <w:r w:rsidRPr="007B23EF">
        <w:rPr>
          <w:rFonts w:cs="Sylfaen"/>
          <w:b/>
          <w:bCs/>
          <w:u w:val="single"/>
          <w:lang w:val="hy-AM"/>
        </w:rPr>
        <w:t>Կանխատեսում</w:t>
      </w:r>
      <w:r>
        <w:rPr>
          <w:rFonts w:cs="Sylfaen"/>
          <w:b/>
          <w:bCs/>
          <w:u w:val="single"/>
          <w:lang w:val="hy-AM"/>
        </w:rPr>
        <w:t>։</w:t>
      </w:r>
      <w:r w:rsidRPr="007B23EF">
        <w:rPr>
          <w:rFonts w:cs="Sylfaen"/>
          <w:b/>
          <w:bCs/>
          <w:lang w:val="hy-AM"/>
        </w:rPr>
        <w:t xml:space="preserve"> </w:t>
      </w:r>
      <w:r w:rsidRPr="00CE269A">
        <w:rPr>
          <w:rFonts w:cs="Sylfaen"/>
          <w:b/>
          <w:lang w:val="hy-AM"/>
        </w:rPr>
        <w:t>Կորոնավիրուսի համաշխարհային ճգնաժամի պայմաններում</w:t>
      </w:r>
      <w:r w:rsidR="00A42529">
        <w:rPr>
          <w:rFonts w:cs="Sylfaen"/>
          <w:b/>
          <w:lang w:val="hy-AM"/>
        </w:rPr>
        <w:t>, հիմք ընդունելով համաշխարհային տնտեսության համար ԱՄՀ կողմից ապրիլին արված կանխատեսումները,</w:t>
      </w:r>
      <w:r w:rsidRPr="00CE269A">
        <w:rPr>
          <w:rFonts w:cs="Sylfaen"/>
          <w:b/>
          <w:lang w:val="hy-AM"/>
        </w:rPr>
        <w:t xml:space="preserve"> </w:t>
      </w:r>
      <w:r w:rsidR="00B614AA" w:rsidRPr="00B614AA">
        <w:rPr>
          <w:rFonts w:eastAsia="Calibri" w:cs="Sylfaen"/>
          <w:b/>
          <w:lang w:val="hy-AM"/>
        </w:rPr>
        <w:t xml:space="preserve">2020թ. կանխատեսվում է 2.6% տնտեսական անկում, իսկ միջնաժամկետում՝ միջինում 6.1% աճ: </w:t>
      </w:r>
      <w:r w:rsidR="00B614AA" w:rsidRPr="00B614AA">
        <w:rPr>
          <w:rFonts w:eastAsia="Calibri" w:cs="Sylfaen"/>
          <w:lang w:val="hy-AM"/>
        </w:rPr>
        <w:t>2020թ. ա</w:t>
      </w:r>
      <w:r w:rsidR="00B614AA" w:rsidRPr="00B614AA">
        <w:rPr>
          <w:rFonts w:eastAsia="Calibri" w:cs="GHEA Grapalat"/>
          <w:lang w:val="hy-AM"/>
        </w:rPr>
        <w:t>նկումը</w:t>
      </w:r>
      <w:r w:rsidR="00B614AA" w:rsidRPr="00B614AA">
        <w:rPr>
          <w:rFonts w:eastAsia="Calibri" w:cs="Sylfaen"/>
          <w:lang w:val="hy-AM"/>
        </w:rPr>
        <w:t xml:space="preserve"> </w:t>
      </w:r>
      <w:r w:rsidR="00B614AA" w:rsidRPr="00B614AA">
        <w:rPr>
          <w:rFonts w:eastAsia="Calibri" w:cs="GHEA Grapalat"/>
          <w:lang w:val="hy-AM"/>
        </w:rPr>
        <w:t>պայմանավորված</w:t>
      </w:r>
      <w:r w:rsidR="00B614AA" w:rsidRPr="00B614AA">
        <w:rPr>
          <w:rFonts w:eastAsia="Calibri" w:cs="Sylfaen"/>
          <w:lang w:val="hy-AM"/>
        </w:rPr>
        <w:t xml:space="preserve"> </w:t>
      </w:r>
      <w:r w:rsidR="00B614AA" w:rsidRPr="00B614AA">
        <w:rPr>
          <w:rFonts w:eastAsia="Calibri" w:cs="GHEA Grapalat"/>
          <w:lang w:val="hy-AM"/>
        </w:rPr>
        <w:t>կլինի</w:t>
      </w:r>
      <w:r w:rsidR="00B614AA" w:rsidRPr="00B614AA">
        <w:rPr>
          <w:rFonts w:eastAsia="Calibri" w:cs="Sylfaen"/>
          <w:lang w:val="hy-AM"/>
        </w:rPr>
        <w:t xml:space="preserve"> </w:t>
      </w:r>
      <w:r w:rsidR="00B614AA" w:rsidRPr="00B614AA">
        <w:rPr>
          <w:rFonts w:eastAsia="Calibri" w:cs="GHEA Grapalat"/>
          <w:lang w:val="hy-AM"/>
        </w:rPr>
        <w:t>առաջարկի</w:t>
      </w:r>
      <w:r w:rsidR="00B614AA" w:rsidRPr="00B614AA">
        <w:rPr>
          <w:rFonts w:eastAsia="Calibri" w:cs="Sylfaen"/>
          <w:lang w:val="hy-AM"/>
        </w:rPr>
        <w:t xml:space="preserve"> </w:t>
      </w:r>
      <w:r w:rsidR="00B614AA" w:rsidRPr="00B614AA">
        <w:rPr>
          <w:rFonts w:eastAsia="Calibri" w:cs="GHEA Grapalat"/>
          <w:lang w:val="hy-AM"/>
        </w:rPr>
        <w:t>և</w:t>
      </w:r>
      <w:r w:rsidR="00B614AA" w:rsidRPr="00B614AA">
        <w:rPr>
          <w:rFonts w:eastAsia="Calibri" w:cs="Sylfaen"/>
          <w:lang w:val="hy-AM"/>
        </w:rPr>
        <w:t xml:space="preserve"> </w:t>
      </w:r>
      <w:r w:rsidR="00B614AA" w:rsidRPr="00B614AA">
        <w:rPr>
          <w:rFonts w:eastAsia="Calibri" w:cs="GHEA Grapalat"/>
          <w:lang w:val="hy-AM"/>
        </w:rPr>
        <w:t>պահանջարկի</w:t>
      </w:r>
      <w:r w:rsidR="00B614AA" w:rsidRPr="00B614AA">
        <w:rPr>
          <w:rFonts w:eastAsia="Calibri" w:cs="Sylfaen"/>
          <w:lang w:val="hy-AM"/>
        </w:rPr>
        <w:t xml:space="preserve"> (</w:t>
      </w:r>
      <w:r w:rsidR="00B614AA" w:rsidRPr="00B614AA">
        <w:rPr>
          <w:rFonts w:eastAsia="Calibri" w:cs="GHEA Grapalat"/>
          <w:lang w:val="hy-AM"/>
        </w:rPr>
        <w:t>ինչպես</w:t>
      </w:r>
      <w:r w:rsidR="00B614AA" w:rsidRPr="00B614AA">
        <w:rPr>
          <w:rFonts w:eastAsia="Calibri" w:cs="Sylfaen"/>
          <w:lang w:val="hy-AM"/>
        </w:rPr>
        <w:t xml:space="preserve"> </w:t>
      </w:r>
      <w:r w:rsidR="00B614AA" w:rsidRPr="00B614AA">
        <w:rPr>
          <w:rFonts w:eastAsia="Calibri" w:cs="GHEA Grapalat"/>
          <w:lang w:val="hy-AM"/>
        </w:rPr>
        <w:t>ներքին,</w:t>
      </w:r>
      <w:r w:rsidR="00B614AA" w:rsidRPr="00B614AA">
        <w:rPr>
          <w:rFonts w:eastAsia="Calibri" w:cs="Sylfaen"/>
          <w:lang w:val="hy-AM"/>
        </w:rPr>
        <w:t xml:space="preserve"> </w:t>
      </w:r>
      <w:r w:rsidR="00B614AA" w:rsidRPr="00B614AA">
        <w:rPr>
          <w:rFonts w:eastAsia="Calibri" w:cs="GHEA Grapalat"/>
          <w:lang w:val="hy-AM"/>
        </w:rPr>
        <w:t>այնպես</w:t>
      </w:r>
      <w:r w:rsidR="00B614AA" w:rsidRPr="00B614AA">
        <w:rPr>
          <w:rFonts w:eastAsia="Calibri" w:cs="Sylfaen"/>
          <w:lang w:val="hy-AM"/>
        </w:rPr>
        <w:t xml:space="preserve"> </w:t>
      </w:r>
      <w:r w:rsidR="00B614AA" w:rsidRPr="00B614AA">
        <w:rPr>
          <w:rFonts w:eastAsia="Calibri" w:cs="GHEA Grapalat"/>
          <w:lang w:val="hy-AM"/>
        </w:rPr>
        <w:t>էլ</w:t>
      </w:r>
      <w:r w:rsidR="00B614AA" w:rsidRPr="00B614AA">
        <w:rPr>
          <w:rFonts w:eastAsia="Calibri" w:cs="Sylfaen"/>
          <w:lang w:val="hy-AM"/>
        </w:rPr>
        <w:t xml:space="preserve"> </w:t>
      </w:r>
      <w:r w:rsidR="00B614AA" w:rsidRPr="00B614AA">
        <w:rPr>
          <w:rFonts w:eastAsia="Calibri" w:cs="GHEA Grapalat"/>
          <w:lang w:val="hy-AM"/>
        </w:rPr>
        <w:t>արտաքին</w:t>
      </w:r>
      <w:r w:rsidR="00B614AA" w:rsidRPr="00B614AA">
        <w:rPr>
          <w:rFonts w:eastAsia="Calibri" w:cs="Sylfaen"/>
          <w:lang w:val="hy-AM"/>
        </w:rPr>
        <w:t xml:space="preserve">) </w:t>
      </w:r>
      <w:r w:rsidR="00B614AA" w:rsidRPr="00B614AA">
        <w:rPr>
          <w:rFonts w:eastAsia="Calibri" w:cs="GHEA Grapalat"/>
          <w:lang w:val="hy-AM"/>
        </w:rPr>
        <w:t>բացասական</w:t>
      </w:r>
      <w:r w:rsidR="00B614AA" w:rsidRPr="00B614AA">
        <w:rPr>
          <w:rFonts w:eastAsia="Calibri" w:cs="Sylfaen"/>
          <w:lang w:val="hy-AM"/>
        </w:rPr>
        <w:t xml:space="preserve"> </w:t>
      </w:r>
      <w:r w:rsidR="00B614AA" w:rsidRPr="00B614AA">
        <w:rPr>
          <w:rFonts w:eastAsia="Calibri" w:cs="GHEA Grapalat"/>
          <w:lang w:val="hy-AM"/>
        </w:rPr>
        <w:t>շոկերով</w:t>
      </w:r>
      <w:r w:rsidR="00B614AA" w:rsidRPr="00B614AA">
        <w:rPr>
          <w:rFonts w:eastAsia="GHEA Grapalat" w:cs="GHEA Grapalat"/>
          <w:lang w:val="hy-AM"/>
        </w:rPr>
        <w:t>։ ՀՀ կառավարության և ԿԲ կողմից վարվող խթանող հարկաբյուջետային և դրամավարկային քաղաքականության արդյունքում 2020թ.</w:t>
      </w:r>
      <w:r w:rsidR="00B614AA" w:rsidRPr="00B614AA" w:rsidDel="00301E27">
        <w:rPr>
          <w:rFonts w:eastAsia="GHEA Grapalat" w:cs="GHEA Grapalat"/>
          <w:lang w:val="hy-AM"/>
        </w:rPr>
        <w:t xml:space="preserve"> </w:t>
      </w:r>
      <w:r w:rsidR="00B614AA" w:rsidRPr="00B614AA">
        <w:rPr>
          <w:rFonts w:eastAsia="GHEA Grapalat" w:cs="GHEA Grapalat"/>
          <w:lang w:val="hy-AM"/>
        </w:rPr>
        <w:t xml:space="preserve">ՀՆԱ անկումը որոշակիորեն կմեղմվի։ Բացասական ազդեցությունների աստիճանական չեզոքացման հետ մեկտեղ տնտեսական աճը կվերականգնվի </w:t>
      </w:r>
      <w:r w:rsidR="00B614AA" w:rsidRPr="00B614AA">
        <w:rPr>
          <w:rFonts w:eastAsia="Calibri" w:cs="Sylfaen"/>
          <w:lang w:val="hy-AM"/>
        </w:rPr>
        <w:t>2021թ.՝</w:t>
      </w:r>
      <w:r w:rsidR="00B614AA" w:rsidRPr="00B614AA" w:rsidDel="00301E27">
        <w:rPr>
          <w:rFonts w:eastAsia="Calibri" w:cs="Sylfaen"/>
          <w:lang w:val="hy-AM"/>
        </w:rPr>
        <w:t xml:space="preserve"> </w:t>
      </w:r>
      <w:r w:rsidR="00B614AA" w:rsidRPr="00B614AA">
        <w:rPr>
          <w:rFonts w:eastAsia="Calibri" w:cs="Sylfaen"/>
          <w:lang w:val="hy-AM"/>
        </w:rPr>
        <w:t>մ</w:t>
      </w:r>
      <w:r w:rsidR="00B614AA" w:rsidRPr="00B614AA">
        <w:rPr>
          <w:rFonts w:eastAsia="GHEA Grapalat" w:cs="GHEA Grapalat"/>
          <w:lang w:val="hy-AM"/>
        </w:rPr>
        <w:t xml:space="preserve">իջնաժամկետ հատվածում մոտենալով իր ներուժային մակարդակին։ Միջնաժամկետում տնտեսական աճը պայմանավորված կլինի հիմնականում ծառայությունների և արդյունաբերության ճյուղերի աճերով: Ամբողջական պահանջարկը նույնպես կաճի՝ պայմանավորված հիմնականում ներքին սպառողական և ներդրումային պահանջարկի աճերով: </w:t>
      </w:r>
    </w:p>
    <w:p w14:paraId="2F56556B" w14:textId="77777777" w:rsidR="00226593" w:rsidRPr="00125ED1" w:rsidRDefault="00226593" w:rsidP="00B614AA">
      <w:pPr>
        <w:pStyle w:val="BodyText"/>
        <w:spacing w:line="276" w:lineRule="auto"/>
        <w:ind w:firstLine="360"/>
        <w:rPr>
          <w:rFonts w:cs="Sylfaen"/>
          <w:lang w:val="hy-AM"/>
        </w:rPr>
      </w:pPr>
      <w:r w:rsidRPr="00125ED1">
        <w:rPr>
          <w:rFonts w:cs="Sylfaen"/>
          <w:lang w:val="it-IT"/>
        </w:rPr>
        <w:t>2020</w:t>
      </w:r>
      <w:r w:rsidRPr="00125ED1">
        <w:rPr>
          <w:rFonts w:cs="Sylfaen"/>
          <w:lang w:val="hy-AM"/>
        </w:rPr>
        <w:t>թ.</w:t>
      </w:r>
      <w:r w:rsidRPr="00125ED1">
        <w:rPr>
          <w:rFonts w:cs="Sylfaen"/>
          <w:lang w:val="it-IT"/>
        </w:rPr>
        <w:t xml:space="preserve"> </w:t>
      </w:r>
      <w:r w:rsidRPr="00125ED1">
        <w:rPr>
          <w:rFonts w:cs="Sylfaen"/>
          <w:lang w:val="hy-AM"/>
        </w:rPr>
        <w:t>և</w:t>
      </w:r>
      <w:r w:rsidRPr="00125ED1">
        <w:rPr>
          <w:rFonts w:cs="Times Armenian"/>
          <w:lang w:val="it-IT"/>
        </w:rPr>
        <w:t xml:space="preserve"> </w:t>
      </w:r>
      <w:r w:rsidRPr="00125ED1">
        <w:rPr>
          <w:rFonts w:cs="Times Armenian"/>
          <w:lang w:val="hy-AM"/>
        </w:rPr>
        <w:t>մ</w:t>
      </w:r>
      <w:r w:rsidRPr="00125ED1">
        <w:rPr>
          <w:rFonts w:cs="Times Armenian"/>
          <w:lang w:val="it-IT"/>
        </w:rPr>
        <w:t>իջնաժամկետում դեֆլյատորը կաճի</w:t>
      </w:r>
      <w:r w:rsidRPr="00125ED1">
        <w:rPr>
          <w:rFonts w:cs="Times Armenian"/>
          <w:lang w:val="hy-AM"/>
        </w:rPr>
        <w:t>՝</w:t>
      </w:r>
      <w:r w:rsidRPr="00125ED1">
        <w:rPr>
          <w:rFonts w:cs="Times Armenian"/>
          <w:lang w:val="it-IT"/>
        </w:rPr>
        <w:t xml:space="preserve"> </w:t>
      </w:r>
      <w:r w:rsidRPr="00125ED1">
        <w:rPr>
          <w:rFonts w:cs="Times Armenian"/>
          <w:lang w:val="hy-AM"/>
        </w:rPr>
        <w:t>պայմանավորված</w:t>
      </w:r>
      <w:r w:rsidRPr="00125ED1">
        <w:rPr>
          <w:rFonts w:cs="Sylfaen"/>
          <w:lang w:val="hy-AM"/>
        </w:rPr>
        <w:t xml:space="preserve"> ՍԳԻ-ի և</w:t>
      </w:r>
      <w:r w:rsidRPr="00125ED1">
        <w:rPr>
          <w:rFonts w:cs="Sylfaen"/>
          <w:lang w:val="it-IT"/>
        </w:rPr>
        <w:t xml:space="preserve"> </w:t>
      </w:r>
      <w:r w:rsidRPr="00125ED1">
        <w:rPr>
          <w:rFonts w:cs="Sylfaen"/>
          <w:lang w:val="hy-AM"/>
        </w:rPr>
        <w:t>ապրանքների միջազգային գների զարգացումներով, իսկ միջնաժամկետում՝ ՍԳԻ-ին համահունչ կարագանա:</w:t>
      </w:r>
    </w:p>
    <w:p w14:paraId="1E17C7FC" w14:textId="1C15ECB0" w:rsidR="00226593" w:rsidRDefault="00226593" w:rsidP="00226593">
      <w:pPr>
        <w:pStyle w:val="ListParagraph"/>
        <w:tabs>
          <w:tab w:val="right" w:pos="0"/>
        </w:tabs>
        <w:spacing w:after="120" w:line="276" w:lineRule="auto"/>
        <w:ind w:left="0" w:firstLine="567"/>
        <w:rPr>
          <w:rFonts w:cs="Sylfaen"/>
          <w:b/>
          <w:lang w:val="hy-AM"/>
        </w:rPr>
      </w:pPr>
      <w:r w:rsidRPr="00125ED1">
        <w:rPr>
          <w:rFonts w:cs="Sylfaen"/>
          <w:b/>
          <w:lang w:val="hy-AM"/>
        </w:rPr>
        <w:t>Վերոնշյալ զարգացումների պայմաններում անվանական ՀՆԱ-ն 2020թ. կկազմի 6,505.1 մլրդ դրամ՝ 590 մլրդ դրամով պակաս լինելով 2020թ. պետական բյուջեով ծրագրված ցուցանիշից: Իսկ միջնաժա</w:t>
      </w:r>
      <w:r w:rsidR="007724F4">
        <w:rPr>
          <w:rFonts w:cs="Sylfaen"/>
          <w:b/>
          <w:lang w:val="hy-AM"/>
        </w:rPr>
        <w:t>մ</w:t>
      </w:r>
      <w:r w:rsidRPr="00125ED1">
        <w:rPr>
          <w:rFonts w:cs="Sylfaen"/>
          <w:b/>
          <w:lang w:val="hy-AM"/>
        </w:rPr>
        <w:t>կետում անվանական ՀՆԱ-ն կաճի՝ 2023թ. կազմելով 8,582.5 մլրդ դրամ։</w:t>
      </w:r>
    </w:p>
    <w:tbl>
      <w:tblPr>
        <w:tblStyle w:val="TableGrid70"/>
        <w:tblW w:w="0" w:type="auto"/>
        <w:tblBorders>
          <w:top w:val="single" w:sz="6" w:space="0" w:color="4472C4"/>
          <w:left w:val="single" w:sz="6" w:space="0" w:color="4472C4"/>
          <w:bottom w:val="single" w:sz="6" w:space="0" w:color="4472C4"/>
          <w:right w:val="single" w:sz="6" w:space="0" w:color="4472C4"/>
          <w:insideH w:val="single" w:sz="6" w:space="0" w:color="4472C4"/>
          <w:insideV w:val="single" w:sz="6" w:space="0" w:color="4472C4"/>
        </w:tblBorders>
        <w:tblLook w:val="04A0" w:firstRow="1" w:lastRow="0" w:firstColumn="1" w:lastColumn="0" w:noHBand="0" w:noVBand="1"/>
      </w:tblPr>
      <w:tblGrid>
        <w:gridCol w:w="4960"/>
        <w:gridCol w:w="4960"/>
      </w:tblGrid>
      <w:tr w:rsidR="00B614AA" w:rsidRPr="00A03AF2" w14:paraId="6913945C" w14:textId="77777777" w:rsidTr="00B614AA">
        <w:trPr>
          <w:trHeight w:val="3489"/>
        </w:trPr>
        <w:tc>
          <w:tcPr>
            <w:tcW w:w="5171" w:type="dxa"/>
          </w:tcPr>
          <w:p w14:paraId="115FC76C" w14:textId="77777777" w:rsidR="00B614AA" w:rsidRPr="00B614AA" w:rsidRDefault="00B614AA" w:rsidP="00B614AA">
            <w:pPr>
              <w:spacing w:before="0" w:after="0" w:line="240" w:lineRule="auto"/>
              <w:ind w:firstLine="0"/>
              <w:rPr>
                <w:rFonts w:cs="Times New Roman"/>
                <w:b/>
                <w:sz w:val="2"/>
                <w:szCs w:val="2"/>
                <w:lang w:val="hy-AM"/>
              </w:rPr>
            </w:pPr>
          </w:p>
          <w:p w14:paraId="2272288B" w14:textId="77777777" w:rsidR="00B614AA" w:rsidRPr="00B614AA" w:rsidRDefault="00B614AA" w:rsidP="00B614AA">
            <w:pPr>
              <w:spacing w:before="0" w:after="0" w:line="240" w:lineRule="auto"/>
              <w:ind w:firstLine="0"/>
              <w:rPr>
                <w:rFonts w:cs="Times New Roman"/>
                <w:sz w:val="16"/>
                <w:szCs w:val="16"/>
                <w:lang w:val="hy-AM"/>
              </w:rPr>
            </w:pPr>
            <w:r w:rsidRPr="00B614AA">
              <w:rPr>
                <w:rFonts w:cs="Times New Roman"/>
                <w:i/>
                <w:noProof/>
                <w:sz w:val="18"/>
                <w:szCs w:val="18"/>
              </w:rPr>
              <w:drawing>
                <wp:anchor distT="0" distB="0" distL="114300" distR="114300" simplePos="0" relativeHeight="251645952" behindDoc="0" locked="0" layoutInCell="1" allowOverlap="1" wp14:anchorId="35D73B77" wp14:editId="1D1109EB">
                  <wp:simplePos x="0" y="0"/>
                  <wp:positionH relativeFrom="column">
                    <wp:posOffset>-32420</wp:posOffset>
                  </wp:positionH>
                  <wp:positionV relativeFrom="paragraph">
                    <wp:posOffset>386610</wp:posOffset>
                  </wp:positionV>
                  <wp:extent cx="3123565" cy="1697990"/>
                  <wp:effectExtent l="0" t="0" r="635" b="16510"/>
                  <wp:wrapSquare wrapText="bothSides"/>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Pr="00B614AA">
              <w:rPr>
                <w:rFonts w:cs="Times New Roman"/>
                <w:b/>
                <w:i/>
                <w:sz w:val="18"/>
                <w:szCs w:val="18"/>
                <w:lang w:val="hy-AM"/>
              </w:rPr>
              <w:t>Գծապատկեր 1.12.</w:t>
            </w:r>
            <w:r w:rsidRPr="00B614AA">
              <w:rPr>
                <w:rFonts w:cs="Times New Roman"/>
                <w:sz w:val="16"/>
                <w:szCs w:val="16"/>
                <w:lang w:val="hy-AM"/>
              </w:rPr>
              <w:t xml:space="preserve"> </w:t>
            </w:r>
            <w:r w:rsidRPr="00B614AA">
              <w:rPr>
                <w:rFonts w:cs="Times New Roman"/>
                <w:i/>
                <w:sz w:val="18"/>
                <w:szCs w:val="18"/>
                <w:lang w:val="hy-AM"/>
              </w:rPr>
              <w:t>Անվանական ՀՆԱ և տնտեսական աճ</w:t>
            </w:r>
          </w:p>
          <w:p w14:paraId="108A19B7" w14:textId="77777777" w:rsidR="00B614AA" w:rsidRPr="00B614AA" w:rsidRDefault="00B614AA" w:rsidP="00B614AA">
            <w:pPr>
              <w:spacing w:before="0" w:after="0" w:line="259" w:lineRule="auto"/>
              <w:ind w:firstLine="0"/>
              <w:rPr>
                <w:rFonts w:cs="Times New Roman"/>
                <w:b/>
                <w:i/>
                <w:sz w:val="16"/>
                <w:szCs w:val="16"/>
                <w:lang w:val="hy-AM"/>
              </w:rPr>
            </w:pPr>
            <w:r w:rsidRPr="00B614AA">
              <w:rPr>
                <w:rFonts w:cs="Times New Roman"/>
                <w:i/>
                <w:sz w:val="16"/>
                <w:szCs w:val="16"/>
                <w:lang w:val="hy-AM"/>
              </w:rPr>
              <w:t>Աղբյուրը՝ ՀՀ ՎԿ, ՀՀ ՖՆ հաշվարկներ և կանխատեսումներ</w:t>
            </w:r>
          </w:p>
        </w:tc>
        <w:tc>
          <w:tcPr>
            <w:tcW w:w="5171" w:type="dxa"/>
          </w:tcPr>
          <w:p w14:paraId="1D094452" w14:textId="77777777" w:rsidR="00B614AA" w:rsidRPr="00B614AA" w:rsidRDefault="00B614AA" w:rsidP="00B614AA">
            <w:pPr>
              <w:spacing w:before="0" w:after="0" w:line="240" w:lineRule="auto"/>
              <w:ind w:firstLine="0"/>
              <w:jc w:val="left"/>
              <w:rPr>
                <w:rFonts w:cs="Times New Roman"/>
                <w:b/>
                <w:sz w:val="2"/>
                <w:szCs w:val="2"/>
                <w:lang w:val="hy-AM"/>
              </w:rPr>
            </w:pPr>
          </w:p>
          <w:p w14:paraId="078EB22B" w14:textId="77777777" w:rsidR="00B614AA" w:rsidRPr="00B614AA" w:rsidRDefault="00B614AA" w:rsidP="00B614AA">
            <w:pPr>
              <w:spacing w:before="0" w:after="0" w:line="240" w:lineRule="auto"/>
              <w:ind w:firstLine="0"/>
              <w:jc w:val="left"/>
              <w:rPr>
                <w:rFonts w:cs="Times New Roman"/>
                <w:sz w:val="16"/>
                <w:szCs w:val="16"/>
                <w:lang w:val="hy-AM"/>
              </w:rPr>
            </w:pPr>
            <w:r w:rsidRPr="00B614AA">
              <w:rPr>
                <w:rFonts w:cs="Times New Roman"/>
                <w:b/>
                <w:i/>
                <w:noProof/>
                <w:sz w:val="18"/>
                <w:szCs w:val="18"/>
              </w:rPr>
              <w:drawing>
                <wp:anchor distT="0" distB="0" distL="114300" distR="114300" simplePos="0" relativeHeight="251649024" behindDoc="0" locked="0" layoutInCell="1" allowOverlap="1" wp14:anchorId="31B62D00" wp14:editId="34E92E6B">
                  <wp:simplePos x="0" y="0"/>
                  <wp:positionH relativeFrom="column">
                    <wp:posOffset>67945</wp:posOffset>
                  </wp:positionH>
                  <wp:positionV relativeFrom="paragraph">
                    <wp:posOffset>407035</wp:posOffset>
                  </wp:positionV>
                  <wp:extent cx="2933065" cy="1506855"/>
                  <wp:effectExtent l="0" t="0" r="635" b="17145"/>
                  <wp:wrapSquare wrapText="bothSides"/>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Pr="00B614AA">
              <w:rPr>
                <w:rFonts w:cs="Times New Roman"/>
                <w:b/>
                <w:i/>
                <w:sz w:val="18"/>
                <w:szCs w:val="18"/>
                <w:lang w:val="hy-AM"/>
              </w:rPr>
              <w:t>Գծապատկեր 1.13</w:t>
            </w:r>
            <w:r w:rsidRPr="00B614AA">
              <w:rPr>
                <w:rFonts w:cs="Times New Roman"/>
                <w:b/>
                <w:sz w:val="16"/>
                <w:szCs w:val="16"/>
                <w:lang w:val="hy-AM"/>
              </w:rPr>
              <w:t>.</w:t>
            </w:r>
            <w:r w:rsidRPr="00B614AA">
              <w:rPr>
                <w:rFonts w:cs="Times New Roman"/>
                <w:color w:val="FF0000"/>
                <w:sz w:val="16"/>
                <w:szCs w:val="16"/>
                <w:lang w:val="hy-AM"/>
              </w:rPr>
              <w:t xml:space="preserve"> </w:t>
            </w:r>
            <w:r w:rsidRPr="00B614AA">
              <w:rPr>
                <w:rFonts w:cs="Times New Roman"/>
                <w:i/>
                <w:sz w:val="18"/>
                <w:szCs w:val="18"/>
                <w:lang w:val="hy-AM"/>
              </w:rPr>
              <w:t>Իրական ՀՆԱ անկումը/աճը տնտեսական ճգնաժամերի տարիներին</w:t>
            </w:r>
            <w:r w:rsidRPr="00B614AA">
              <w:rPr>
                <w:rFonts w:cs="Times New Roman"/>
                <w:sz w:val="16"/>
                <w:szCs w:val="16"/>
                <w:lang w:val="hy-AM"/>
              </w:rPr>
              <w:t xml:space="preserve"> </w:t>
            </w:r>
          </w:p>
          <w:p w14:paraId="0855CDD4" w14:textId="77777777" w:rsidR="00B614AA" w:rsidRPr="00B614AA" w:rsidRDefault="00B614AA" w:rsidP="00B614AA">
            <w:pPr>
              <w:spacing w:before="0" w:after="0" w:line="240" w:lineRule="auto"/>
              <w:ind w:firstLine="0"/>
              <w:jc w:val="left"/>
              <w:rPr>
                <w:rFonts w:cs="Times New Roman"/>
                <w:sz w:val="12"/>
                <w:szCs w:val="12"/>
                <w:lang w:val="hy-AM"/>
              </w:rPr>
            </w:pPr>
          </w:p>
          <w:p w14:paraId="5EC5E5F3" w14:textId="77777777" w:rsidR="00B614AA" w:rsidRPr="00B614AA" w:rsidRDefault="00B614AA" w:rsidP="00B614AA">
            <w:pPr>
              <w:spacing w:before="0" w:after="160" w:line="259" w:lineRule="auto"/>
              <w:ind w:firstLine="0"/>
              <w:rPr>
                <w:rFonts w:cs="Times New Roman"/>
                <w:b/>
                <w:i/>
                <w:sz w:val="16"/>
                <w:szCs w:val="16"/>
                <w:lang w:val="hy-AM"/>
              </w:rPr>
            </w:pPr>
            <w:r w:rsidRPr="00B614AA">
              <w:rPr>
                <w:rFonts w:cs="Times New Roman"/>
                <w:i/>
                <w:sz w:val="16"/>
                <w:szCs w:val="16"/>
                <w:lang w:val="hy-AM"/>
              </w:rPr>
              <w:t>Աղբյուրը՝ ՀՀ ՎԿ, ՀՀ ՖՆ կանխատեսում</w:t>
            </w:r>
          </w:p>
        </w:tc>
      </w:tr>
      <w:tr w:rsidR="00B614AA" w:rsidRPr="00A03AF2" w14:paraId="102EA693" w14:textId="77777777" w:rsidTr="00B614AA">
        <w:trPr>
          <w:trHeight w:val="3182"/>
        </w:trPr>
        <w:tc>
          <w:tcPr>
            <w:tcW w:w="5171" w:type="dxa"/>
          </w:tcPr>
          <w:p w14:paraId="2F2F7BA5" w14:textId="77777777" w:rsidR="00B614AA" w:rsidRPr="00B614AA" w:rsidRDefault="00B614AA" w:rsidP="00B614AA">
            <w:pPr>
              <w:spacing w:before="0" w:after="0" w:line="240" w:lineRule="auto"/>
              <w:ind w:firstLine="0"/>
              <w:jc w:val="left"/>
              <w:rPr>
                <w:rFonts w:cs="Times New Roman"/>
                <w:b/>
                <w:sz w:val="2"/>
                <w:szCs w:val="2"/>
                <w:lang w:val="hy-AM"/>
              </w:rPr>
            </w:pPr>
          </w:p>
          <w:p w14:paraId="4BA723D6" w14:textId="77777777" w:rsidR="00B614AA" w:rsidRPr="00B614AA" w:rsidRDefault="00B614AA" w:rsidP="00B614AA">
            <w:pPr>
              <w:spacing w:before="0" w:after="0" w:line="240" w:lineRule="auto"/>
              <w:ind w:firstLine="0"/>
              <w:jc w:val="left"/>
              <w:rPr>
                <w:rFonts w:cs="Times New Roman"/>
                <w:b/>
                <w:i/>
                <w:sz w:val="18"/>
                <w:szCs w:val="18"/>
                <w:lang w:val="hy-AM"/>
              </w:rPr>
            </w:pPr>
            <w:r w:rsidRPr="00B614AA">
              <w:rPr>
                <w:rFonts w:cs="Times New Roman"/>
                <w:b/>
                <w:i/>
                <w:sz w:val="18"/>
                <w:szCs w:val="18"/>
                <w:lang w:val="hy-AM"/>
              </w:rPr>
              <w:t>Գծապատկեր 1.14.</w:t>
            </w:r>
            <w:r w:rsidRPr="00B614AA">
              <w:rPr>
                <w:rFonts w:cs="Times New Roman"/>
                <w:i/>
                <w:sz w:val="18"/>
                <w:szCs w:val="18"/>
                <w:lang w:val="hy-AM"/>
              </w:rPr>
              <w:t xml:space="preserve"> Տնտեսության առանձին ճյուղերի նպաստումը տնտեսական աճին </w:t>
            </w:r>
          </w:p>
          <w:p w14:paraId="661699BD" w14:textId="77777777" w:rsidR="00B614AA" w:rsidRPr="00B614AA" w:rsidRDefault="00B614AA" w:rsidP="00B614AA">
            <w:pPr>
              <w:spacing w:before="0" w:after="0" w:line="240" w:lineRule="auto"/>
              <w:ind w:firstLine="0"/>
              <w:jc w:val="left"/>
              <w:rPr>
                <w:rFonts w:cs="Times New Roman"/>
                <w:b/>
                <w:sz w:val="4"/>
                <w:szCs w:val="4"/>
                <w:lang w:val="hy-AM"/>
              </w:rPr>
            </w:pPr>
          </w:p>
          <w:p w14:paraId="0C14CF11" w14:textId="77777777" w:rsidR="00B614AA" w:rsidRPr="00B614AA" w:rsidRDefault="00B614AA" w:rsidP="00B614AA">
            <w:pPr>
              <w:spacing w:before="0" w:after="0" w:line="240" w:lineRule="auto"/>
              <w:ind w:firstLine="0"/>
              <w:jc w:val="left"/>
              <w:rPr>
                <w:rFonts w:cs="Times New Roman"/>
                <w:b/>
                <w:sz w:val="20"/>
                <w:szCs w:val="20"/>
                <w:lang w:val="hy-AM"/>
              </w:rPr>
            </w:pPr>
            <w:r w:rsidRPr="00B614AA">
              <w:rPr>
                <w:rFonts w:cs="Times New Roman"/>
                <w:noProof/>
                <w:sz w:val="16"/>
                <w:szCs w:val="16"/>
                <w:shd w:val="clear" w:color="auto" w:fill="B4C6E7"/>
              </w:rPr>
              <w:drawing>
                <wp:inline distT="0" distB="0" distL="0" distR="0" wp14:anchorId="70A69B68" wp14:editId="42A4CB22">
                  <wp:extent cx="3093720" cy="1704975"/>
                  <wp:effectExtent l="0" t="0" r="11430" b="9525"/>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55865C4" w14:textId="77777777" w:rsidR="00B614AA" w:rsidRPr="00B614AA" w:rsidRDefault="00B614AA" w:rsidP="00B614AA">
            <w:pPr>
              <w:spacing w:before="0" w:after="160" w:line="259" w:lineRule="auto"/>
              <w:ind w:firstLine="0"/>
              <w:rPr>
                <w:rFonts w:cs="Times New Roman"/>
                <w:i/>
                <w:sz w:val="16"/>
                <w:szCs w:val="16"/>
                <w:lang w:val="hy-AM"/>
              </w:rPr>
            </w:pPr>
            <w:r w:rsidRPr="00B614AA">
              <w:rPr>
                <w:rFonts w:cs="Times New Roman"/>
                <w:i/>
                <w:sz w:val="16"/>
                <w:szCs w:val="16"/>
                <w:lang w:val="hy-AM"/>
              </w:rPr>
              <w:t>Աղբյուրը՝ ՀՀ ՎԿ, ՀՀ ՖՆ հաշվարկներ և կանխատեսումներ</w:t>
            </w:r>
          </w:p>
        </w:tc>
        <w:tc>
          <w:tcPr>
            <w:tcW w:w="5171" w:type="dxa"/>
          </w:tcPr>
          <w:p w14:paraId="7B44D895" w14:textId="77777777" w:rsidR="00B614AA" w:rsidRPr="00B614AA" w:rsidRDefault="00B614AA" w:rsidP="00B614AA">
            <w:pPr>
              <w:spacing w:before="0" w:after="0" w:line="240" w:lineRule="auto"/>
              <w:ind w:firstLine="0"/>
              <w:jc w:val="left"/>
              <w:rPr>
                <w:rFonts w:cs="Times New Roman"/>
                <w:b/>
                <w:sz w:val="2"/>
                <w:szCs w:val="2"/>
                <w:lang w:val="hy-AM"/>
              </w:rPr>
            </w:pPr>
          </w:p>
          <w:p w14:paraId="1B35B7CE" w14:textId="77777777" w:rsidR="00B614AA" w:rsidRPr="00B614AA" w:rsidRDefault="00B614AA" w:rsidP="00B614AA">
            <w:pPr>
              <w:spacing w:before="0" w:after="0" w:line="240" w:lineRule="auto"/>
              <w:ind w:firstLine="0"/>
              <w:jc w:val="left"/>
              <w:rPr>
                <w:rFonts w:cs="Times New Roman"/>
                <w:i/>
                <w:sz w:val="18"/>
                <w:szCs w:val="18"/>
                <w:lang w:val="hy-AM"/>
              </w:rPr>
            </w:pPr>
            <w:r w:rsidRPr="00B614AA">
              <w:rPr>
                <w:rFonts w:cs="Times New Roman"/>
                <w:b/>
                <w:i/>
                <w:sz w:val="18"/>
                <w:szCs w:val="18"/>
                <w:lang w:val="hy-AM"/>
              </w:rPr>
              <w:t xml:space="preserve">Գծապատկեր 1.15. </w:t>
            </w:r>
            <w:r w:rsidRPr="00B614AA">
              <w:rPr>
                <w:rFonts w:cs="Times New Roman"/>
                <w:i/>
                <w:sz w:val="18"/>
                <w:szCs w:val="18"/>
                <w:lang w:val="hy-AM"/>
              </w:rPr>
              <w:t>Տնտեսական աճին պահանջարկի բաղադրիչների նպաստումները</w:t>
            </w:r>
          </w:p>
          <w:p w14:paraId="76D90E0F" w14:textId="77777777" w:rsidR="00B614AA" w:rsidRPr="00B614AA" w:rsidRDefault="00B614AA" w:rsidP="00B614AA">
            <w:pPr>
              <w:spacing w:before="0" w:after="0" w:line="240" w:lineRule="auto"/>
              <w:ind w:firstLine="0"/>
              <w:jc w:val="left"/>
              <w:rPr>
                <w:rFonts w:cs="Times New Roman"/>
                <w:sz w:val="6"/>
                <w:szCs w:val="6"/>
                <w:lang w:val="hy-AM"/>
              </w:rPr>
            </w:pPr>
          </w:p>
          <w:p w14:paraId="7FFD4670" w14:textId="77777777" w:rsidR="00B614AA" w:rsidRPr="00B614AA" w:rsidRDefault="00B614AA" w:rsidP="00B614AA">
            <w:pPr>
              <w:spacing w:before="0" w:after="0" w:line="240" w:lineRule="auto"/>
              <w:ind w:firstLine="0"/>
              <w:jc w:val="left"/>
              <w:rPr>
                <w:rFonts w:cs="Times New Roman"/>
                <w:sz w:val="4"/>
                <w:szCs w:val="4"/>
                <w:lang w:val="hy-AM"/>
              </w:rPr>
            </w:pPr>
          </w:p>
          <w:p w14:paraId="32843398" w14:textId="77777777" w:rsidR="00B614AA" w:rsidRPr="00B614AA" w:rsidRDefault="00B614AA" w:rsidP="00B614AA">
            <w:pPr>
              <w:spacing w:before="0" w:after="0" w:line="240" w:lineRule="auto"/>
              <w:ind w:firstLine="0"/>
              <w:rPr>
                <w:rFonts w:cs="Times New Roman"/>
                <w:b/>
                <w:sz w:val="16"/>
                <w:szCs w:val="16"/>
                <w:lang w:val="hy-AM"/>
              </w:rPr>
            </w:pPr>
            <w:r w:rsidRPr="00B614AA">
              <w:rPr>
                <w:rFonts w:cs="Sylfaen"/>
                <w:b/>
                <w:noProof/>
                <w:sz w:val="16"/>
                <w:szCs w:val="16"/>
              </w:rPr>
              <w:drawing>
                <wp:inline distT="0" distB="0" distL="0" distR="0" wp14:anchorId="4711B5FC" wp14:editId="0D7F6E33">
                  <wp:extent cx="3123565" cy="1672108"/>
                  <wp:effectExtent l="0" t="0" r="635" b="444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4BC2045" w14:textId="77777777" w:rsidR="00B614AA" w:rsidRPr="00B614AA" w:rsidRDefault="00B614AA" w:rsidP="00B614AA">
            <w:pPr>
              <w:spacing w:before="0" w:after="160" w:line="259" w:lineRule="auto"/>
              <w:ind w:firstLine="0"/>
              <w:rPr>
                <w:rFonts w:cs="Times New Roman"/>
                <w:sz w:val="16"/>
                <w:szCs w:val="16"/>
                <w:lang w:val="hy-AM"/>
              </w:rPr>
            </w:pPr>
            <w:r w:rsidRPr="00B614AA">
              <w:rPr>
                <w:rFonts w:cs="Times New Roman"/>
                <w:i/>
                <w:sz w:val="16"/>
                <w:szCs w:val="16"/>
                <w:lang w:val="hy-AM"/>
              </w:rPr>
              <w:t>Աղբյուրը՝ ՀՀ ՎԿ, ՀՀ ՖՆ հաշվարկներ և կանխատեսումներ</w:t>
            </w:r>
          </w:p>
        </w:tc>
      </w:tr>
    </w:tbl>
    <w:p w14:paraId="68B90F05" w14:textId="77777777" w:rsidR="00B614AA" w:rsidRPr="00B614AA" w:rsidRDefault="00B614AA" w:rsidP="00B614AA">
      <w:pPr>
        <w:spacing w:before="0" w:after="0" w:line="276" w:lineRule="auto"/>
        <w:ind w:firstLine="0"/>
        <w:rPr>
          <w:rFonts w:eastAsia="Calibri" w:cs="Sylfaen"/>
          <w:b/>
          <w:u w:val="single"/>
          <w:lang w:val="hy-AM"/>
        </w:rPr>
      </w:pPr>
    </w:p>
    <w:p w14:paraId="1E8226CF" w14:textId="77777777" w:rsidR="00B614AA" w:rsidRPr="00B614AA" w:rsidRDefault="00B614AA" w:rsidP="00B614AA">
      <w:pPr>
        <w:spacing w:before="0" w:after="120" w:line="276" w:lineRule="auto"/>
        <w:rPr>
          <w:rFonts w:eastAsia="Times New Roman" w:cs="Sylfaen"/>
          <w:noProof/>
          <w:lang w:val="hy-AM"/>
        </w:rPr>
      </w:pPr>
      <w:r w:rsidRPr="00B614AA">
        <w:rPr>
          <w:rFonts w:eastAsia="Times New Roman" w:cs="Sylfaen"/>
          <w:b/>
          <w:bCs/>
          <w:noProof/>
          <w:u w:val="single"/>
          <w:lang w:val="hy-AM"/>
        </w:rPr>
        <w:t>Համախառն առաջարկի կանխատեսում</w:t>
      </w:r>
      <w:r w:rsidRPr="00B614AA">
        <w:rPr>
          <w:rFonts w:eastAsia="Times New Roman" w:cs="Sylfaen"/>
          <w:b/>
          <w:bCs/>
          <w:noProof/>
          <w:lang w:val="hy-AM"/>
        </w:rPr>
        <w:t xml:space="preserve">. </w:t>
      </w:r>
      <w:r w:rsidRPr="00B614AA">
        <w:rPr>
          <w:rFonts w:eastAsia="Times New Roman" w:cs="Sylfaen"/>
          <w:noProof/>
          <w:lang w:val="hy-AM"/>
        </w:rPr>
        <w:t xml:space="preserve">2020թ. համավարակի բացասական ազդեցության արդյունքում առաջարկի կրճատմամբ, ինչպես նաև ներքին և արտաքին պահանջարկի անկմամբ պայմանավորված սպասվում է տնտեսության աճի տեմպերի դանդաղում։ Մասնավորապես, արդյունաբերության և </w:t>
      </w:r>
      <w:r w:rsidRPr="00B614AA">
        <w:rPr>
          <w:rFonts w:eastAsia="Calibri" w:cs="Sylfaen"/>
          <w:bCs/>
          <w:lang w:val="hy-AM"/>
        </w:rPr>
        <w:t xml:space="preserve">ծառայությունների (ներառյալ առևտուրը) ճյուղերը կնվազեն համապատասխանաբար </w:t>
      </w:r>
      <w:r w:rsidRPr="00B614AA">
        <w:rPr>
          <w:rFonts w:eastAsia="Times New Roman" w:cs="Sylfaen"/>
          <w:noProof/>
          <w:lang w:val="hy-AM"/>
        </w:rPr>
        <w:t>5.0</w:t>
      </w:r>
      <w:r w:rsidRPr="00B614AA">
        <w:rPr>
          <w:rFonts w:eastAsia="Times New Roman" w:cs="Sylfaen"/>
          <w:lang w:val="hy-AM"/>
        </w:rPr>
        <w:t>%</w:t>
      </w:r>
      <w:r w:rsidRPr="00B614AA">
        <w:rPr>
          <w:rFonts w:eastAsia="Calibri" w:cs="Sylfaen"/>
          <w:bCs/>
          <w:lang w:val="hy-AM"/>
        </w:rPr>
        <w:t>-ով և 2.1%-</w:t>
      </w:r>
      <w:r w:rsidRPr="00B614AA">
        <w:rPr>
          <w:rFonts w:eastAsia="Times New Roman" w:cs="Sylfaen"/>
          <w:lang w:val="hy-AM"/>
        </w:rPr>
        <w:t xml:space="preserve">ով, իսկ </w:t>
      </w:r>
      <w:r w:rsidRPr="00B614AA">
        <w:rPr>
          <w:rFonts w:eastAsia="Times New Roman" w:cs="Sylfaen"/>
          <w:bCs/>
          <w:noProof/>
          <w:lang w:val="hy-AM"/>
        </w:rPr>
        <w:t xml:space="preserve">շինարարության աճի տեմպը կդանդաղի՝ կազմելով </w:t>
      </w:r>
      <w:r w:rsidRPr="00B614AA">
        <w:rPr>
          <w:rFonts w:eastAsia="Calibri" w:cs="Sylfaen"/>
          <w:bCs/>
          <w:lang w:val="hy-AM"/>
        </w:rPr>
        <w:t xml:space="preserve">1.0%: </w:t>
      </w:r>
    </w:p>
    <w:p w14:paraId="02178D93" w14:textId="77777777" w:rsidR="00B614AA" w:rsidRDefault="00B614AA" w:rsidP="00B614AA">
      <w:pPr>
        <w:spacing w:before="0" w:after="120" w:line="276" w:lineRule="auto"/>
        <w:ind w:firstLine="360"/>
        <w:rPr>
          <w:rFonts w:eastAsia="Calibri" w:cs="Sylfaen"/>
          <w:bCs/>
          <w:lang w:val="hy-AM"/>
        </w:rPr>
      </w:pPr>
      <w:r w:rsidRPr="00B614AA">
        <w:rPr>
          <w:rFonts w:eastAsia="Calibri" w:cs="Sylfaen"/>
          <w:bCs/>
          <w:lang w:val="hy-AM"/>
        </w:rPr>
        <w:t>Միջնաժամկետում</w:t>
      </w:r>
      <w:r w:rsidRPr="00B614AA">
        <w:rPr>
          <w:rFonts w:eastAsia="Calibri" w:cs="Sylfaen"/>
          <w:b/>
          <w:lang w:val="hy-AM"/>
        </w:rPr>
        <w:t>՝</w:t>
      </w:r>
      <w:r w:rsidRPr="00B614AA">
        <w:rPr>
          <w:rFonts w:eastAsia="Calibri" w:cs="Sylfaen"/>
          <w:bCs/>
          <w:lang w:val="hy-AM"/>
        </w:rPr>
        <w:t xml:space="preserve"> համավարակի բացասական ազդեցությունների չեզոքացման հետ մեկտեղ, </w:t>
      </w:r>
      <w:r w:rsidRPr="00B614AA">
        <w:rPr>
          <w:rFonts w:eastAsia="Times New Roman" w:cs="Sylfaen"/>
          <w:noProof/>
          <w:lang w:val="hy-AM"/>
        </w:rPr>
        <w:t>պայմանավորված սահմանափակումներից հետո արտադրության բնականոն աշխատանքների վերագործարկմամբ, արտաքին և ներքին պահանջարկի վերականգնմամբ, տնտեսությունում իրականացվող ներդրումներով, ինչպես նաև ՀՀ կառավարության կողմից համավարակի ազդեցությունների մեղմմանն ուղղված հարկաբյուջետային, ինչպես նաև արտահանման ու ներդրումների խթանմանն ուղղված քաղաքականություններով</w:t>
      </w:r>
      <w:r w:rsidRPr="00B614AA">
        <w:rPr>
          <w:rFonts w:eastAsia="Times New Roman" w:cs="Sylfaen"/>
          <w:bCs/>
          <w:noProof/>
          <w:lang w:val="hy-AM"/>
        </w:rPr>
        <w:t xml:space="preserve"> </w:t>
      </w:r>
      <w:r w:rsidRPr="00B614AA">
        <w:rPr>
          <w:rFonts w:eastAsia="Calibri" w:cs="Sylfaen"/>
          <w:bCs/>
          <w:lang w:val="hy-AM"/>
        </w:rPr>
        <w:t>ծառայությունները կաճեն միջինում 6.4%-ով, ա</w:t>
      </w:r>
      <w:r w:rsidRPr="00B614AA">
        <w:rPr>
          <w:rFonts w:eastAsia="Times New Roman" w:cs="Sylfaen"/>
          <w:noProof/>
          <w:lang w:val="hy-AM"/>
        </w:rPr>
        <w:t>րդյունաբերությունը՝ 8.2</w:t>
      </w:r>
      <w:r w:rsidRPr="00B614AA">
        <w:rPr>
          <w:rFonts w:eastAsia="Times New Roman" w:cs="Sylfaen"/>
          <w:lang w:val="hy-AM"/>
        </w:rPr>
        <w:t>%-ով, շ</w:t>
      </w:r>
      <w:r w:rsidRPr="00B614AA">
        <w:rPr>
          <w:rFonts w:eastAsia="Calibri" w:cs="Sylfaen"/>
          <w:bCs/>
          <w:lang w:val="hy-AM"/>
        </w:rPr>
        <w:t>ինարարության ճյուղը՝ 4.2%-ով, իսկ գյուղատնտեսության աճը կմոտենա իր ներուժային մակարդակին:</w:t>
      </w:r>
      <w:r w:rsidRPr="00B614AA" w:rsidDel="0048798B">
        <w:rPr>
          <w:rFonts w:eastAsia="Calibri" w:cs="Sylfaen"/>
          <w:bCs/>
          <w:lang w:val="hy-AM"/>
        </w:rPr>
        <w:t xml:space="preserve"> </w:t>
      </w:r>
    </w:p>
    <w:tbl>
      <w:tblPr>
        <w:tblStyle w:val="TableGrid80"/>
        <w:tblW w:w="0" w:type="auto"/>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4948"/>
        <w:gridCol w:w="4978"/>
      </w:tblGrid>
      <w:tr w:rsidR="00B614AA" w:rsidRPr="00A03AF2" w14:paraId="4DD1B6FE" w14:textId="77777777" w:rsidTr="00B614AA">
        <w:tc>
          <w:tcPr>
            <w:tcW w:w="5215" w:type="dxa"/>
          </w:tcPr>
          <w:p w14:paraId="5C9EE09F" w14:textId="77777777" w:rsidR="00B614AA" w:rsidRPr="00B614AA" w:rsidRDefault="00B614AA" w:rsidP="00B614AA">
            <w:pPr>
              <w:spacing w:before="0" w:after="0" w:line="240" w:lineRule="auto"/>
              <w:ind w:firstLine="0"/>
              <w:jc w:val="left"/>
              <w:rPr>
                <w:rFonts w:cs="Times New Roman"/>
                <w:bCs/>
                <w:sz w:val="18"/>
                <w:szCs w:val="16"/>
                <w:highlight w:val="cyan"/>
                <w:lang w:val="hy-AM"/>
              </w:rPr>
            </w:pPr>
            <w:r w:rsidRPr="00B614AA">
              <w:rPr>
                <w:rFonts w:ascii="Calibri" w:hAnsi="Calibri" w:cs="Times New Roman"/>
                <w:i/>
                <w:noProof/>
              </w:rPr>
              <w:drawing>
                <wp:anchor distT="0" distB="0" distL="114300" distR="114300" simplePos="0" relativeHeight="251652096" behindDoc="0" locked="0" layoutInCell="1" allowOverlap="1" wp14:anchorId="6CB35259" wp14:editId="366B0689">
                  <wp:simplePos x="0" y="0"/>
                  <wp:positionH relativeFrom="column">
                    <wp:posOffset>-43180</wp:posOffset>
                  </wp:positionH>
                  <wp:positionV relativeFrom="paragraph">
                    <wp:posOffset>321945</wp:posOffset>
                  </wp:positionV>
                  <wp:extent cx="3102610" cy="1858645"/>
                  <wp:effectExtent l="0" t="0" r="2540" b="8255"/>
                  <wp:wrapSquare wrapText="bothSides"/>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Pr="00B614AA">
              <w:rPr>
                <w:rFonts w:cs="Times New Roman"/>
                <w:b/>
                <w:i/>
                <w:sz w:val="18"/>
                <w:szCs w:val="16"/>
                <w:lang w:val="hy-AM"/>
              </w:rPr>
              <w:t xml:space="preserve">Գծապատկեր 1.16. </w:t>
            </w:r>
            <w:r w:rsidRPr="00B614AA">
              <w:rPr>
                <w:rFonts w:cs="Times New Roman"/>
                <w:bCs/>
                <w:i/>
                <w:sz w:val="18"/>
                <w:szCs w:val="16"/>
                <w:lang w:val="hy-AM"/>
              </w:rPr>
              <w:t>Ծախսային բաղադրիչների</w:t>
            </w:r>
            <w:r w:rsidRPr="00B614AA">
              <w:rPr>
                <w:rFonts w:cs="Times New Roman"/>
                <w:bCs/>
                <w:sz w:val="18"/>
                <w:szCs w:val="16"/>
                <w:lang w:val="hy-AM"/>
              </w:rPr>
              <w:t xml:space="preserve"> </w:t>
            </w:r>
            <w:r w:rsidRPr="00B614AA">
              <w:rPr>
                <w:rFonts w:cs="Times New Roman"/>
                <w:bCs/>
                <w:i/>
                <w:sz w:val="18"/>
                <w:szCs w:val="16"/>
                <w:lang w:val="hy-AM"/>
              </w:rPr>
              <w:t>տեսակարար կշիռները ՀՆԱ-ի կազմում</w:t>
            </w:r>
          </w:p>
          <w:p w14:paraId="561C11A6" w14:textId="77777777" w:rsidR="00B614AA" w:rsidRPr="00B614AA" w:rsidRDefault="00B614AA" w:rsidP="00B614AA">
            <w:pPr>
              <w:spacing w:before="0" w:after="0" w:line="240" w:lineRule="auto"/>
              <w:ind w:firstLine="0"/>
              <w:jc w:val="left"/>
              <w:rPr>
                <w:rFonts w:cs="Sylfaen"/>
                <w:bCs/>
                <w:sz w:val="16"/>
                <w:szCs w:val="16"/>
                <w:highlight w:val="cyan"/>
                <w:lang w:val="hy-AM"/>
              </w:rPr>
            </w:pPr>
            <w:r w:rsidRPr="00B614AA">
              <w:rPr>
                <w:rFonts w:cs="Times New Roman"/>
                <w:i/>
                <w:sz w:val="16"/>
                <w:szCs w:val="16"/>
                <w:lang w:val="hy-AM"/>
              </w:rPr>
              <w:t>Աղբյուրը՝ ՀՀ ՎԿ, ՀՀ ՖՆ հաշվարկներ և կանխատեսումներ</w:t>
            </w:r>
          </w:p>
        </w:tc>
        <w:tc>
          <w:tcPr>
            <w:tcW w:w="5030" w:type="dxa"/>
          </w:tcPr>
          <w:p w14:paraId="0DDDEEA4" w14:textId="77777777" w:rsidR="00B614AA" w:rsidRPr="00B614AA" w:rsidRDefault="00B614AA" w:rsidP="00B614AA">
            <w:pPr>
              <w:spacing w:before="0" w:after="0" w:line="240" w:lineRule="auto"/>
              <w:ind w:firstLine="0"/>
              <w:jc w:val="left"/>
              <w:rPr>
                <w:rFonts w:cs="Times New Roman"/>
                <w:bCs/>
                <w:sz w:val="16"/>
                <w:szCs w:val="16"/>
                <w:lang w:val="hy-AM"/>
              </w:rPr>
            </w:pPr>
            <w:r w:rsidRPr="00B614AA">
              <w:rPr>
                <w:rFonts w:ascii="Calibri" w:hAnsi="Calibri" w:cs="Times New Roman"/>
                <w:i/>
                <w:noProof/>
                <w:sz w:val="18"/>
                <w:szCs w:val="18"/>
              </w:rPr>
              <w:drawing>
                <wp:anchor distT="0" distB="0" distL="114300" distR="114300" simplePos="0" relativeHeight="251655168" behindDoc="0" locked="0" layoutInCell="1" allowOverlap="1" wp14:anchorId="42E68651" wp14:editId="20BBB562">
                  <wp:simplePos x="0" y="0"/>
                  <wp:positionH relativeFrom="column">
                    <wp:posOffset>-43815</wp:posOffset>
                  </wp:positionH>
                  <wp:positionV relativeFrom="paragraph">
                    <wp:posOffset>321945</wp:posOffset>
                  </wp:positionV>
                  <wp:extent cx="3112135" cy="1868805"/>
                  <wp:effectExtent l="0" t="0" r="12065" b="17145"/>
                  <wp:wrapSquare wrapText="bothSides"/>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r w:rsidRPr="00B614AA">
              <w:rPr>
                <w:rFonts w:cs="Times New Roman"/>
                <w:b/>
                <w:i/>
                <w:sz w:val="18"/>
                <w:szCs w:val="18"/>
                <w:lang w:val="hy-AM"/>
              </w:rPr>
              <w:t xml:space="preserve">Գծապատկեր 1.17. </w:t>
            </w:r>
            <w:r w:rsidRPr="00B614AA">
              <w:rPr>
                <w:rFonts w:cs="Times New Roman"/>
                <w:bCs/>
                <w:i/>
                <w:sz w:val="18"/>
                <w:szCs w:val="18"/>
                <w:lang w:val="hy-AM"/>
              </w:rPr>
              <w:t>Ճյուղերի տեսակարար կշիռները ՀՆԱ-ի կազմու</w:t>
            </w:r>
            <w:r w:rsidRPr="00B614AA">
              <w:rPr>
                <w:rFonts w:cs="Times New Roman"/>
                <w:bCs/>
                <w:i/>
                <w:sz w:val="16"/>
                <w:szCs w:val="16"/>
                <w:lang w:val="hy-AM"/>
              </w:rPr>
              <w:t>մ</w:t>
            </w:r>
          </w:p>
          <w:p w14:paraId="1618BB2F" w14:textId="77777777" w:rsidR="00B614AA" w:rsidRPr="00B614AA" w:rsidRDefault="00B614AA" w:rsidP="00B614AA">
            <w:pPr>
              <w:spacing w:before="0" w:after="0" w:line="240" w:lineRule="auto"/>
              <w:ind w:firstLine="0"/>
              <w:jc w:val="left"/>
              <w:rPr>
                <w:rFonts w:cs="Sylfaen"/>
                <w:bCs/>
                <w:sz w:val="16"/>
                <w:szCs w:val="16"/>
                <w:highlight w:val="cyan"/>
                <w:lang w:val="hy-AM"/>
              </w:rPr>
            </w:pPr>
            <w:r w:rsidRPr="00B614AA">
              <w:rPr>
                <w:rFonts w:cs="Times New Roman"/>
                <w:i/>
                <w:sz w:val="16"/>
                <w:szCs w:val="16"/>
                <w:lang w:val="hy-AM"/>
              </w:rPr>
              <w:t>Աղբյուրը՝ ՀՀ ՎԿ, ՀՀ ՖՆ հաշվարկներ և կանխատեսումներ</w:t>
            </w:r>
          </w:p>
        </w:tc>
      </w:tr>
    </w:tbl>
    <w:p w14:paraId="0165FB9B" w14:textId="77777777" w:rsidR="00B614AA" w:rsidRPr="00B614AA" w:rsidRDefault="00B614AA" w:rsidP="003714CE">
      <w:pPr>
        <w:spacing w:before="0" w:after="120" w:line="276" w:lineRule="auto"/>
        <w:rPr>
          <w:rFonts w:eastAsia="Calibri" w:cs="Sylfaen"/>
          <w:bCs/>
          <w:lang w:val="hy-AM"/>
        </w:rPr>
      </w:pPr>
      <w:r w:rsidRPr="00B614AA">
        <w:rPr>
          <w:rFonts w:eastAsia="Calibri" w:cs="Times New Roman"/>
          <w:b/>
          <w:bCs/>
          <w:u w:val="single"/>
          <w:lang w:val="hy-AM"/>
        </w:rPr>
        <w:t>Համախառն պահանջարկ</w:t>
      </w:r>
      <w:r w:rsidRPr="00B614AA">
        <w:rPr>
          <w:rFonts w:eastAsia="Calibri" w:cs="Times Armenian"/>
          <w:b/>
          <w:u w:val="single"/>
          <w:lang w:val="hy-AM"/>
        </w:rPr>
        <w:t xml:space="preserve">ի </w:t>
      </w:r>
      <w:r w:rsidRPr="00B614AA">
        <w:rPr>
          <w:rFonts w:eastAsia="Calibri" w:cs="Sylfaen"/>
          <w:b/>
          <w:u w:val="single"/>
          <w:lang w:val="hy-AM"/>
        </w:rPr>
        <w:t>կանխատեսում.</w:t>
      </w:r>
      <w:r w:rsidRPr="00B614AA">
        <w:rPr>
          <w:rFonts w:eastAsia="Calibri" w:cs="Sylfaen"/>
          <w:b/>
          <w:lang w:val="hy-AM"/>
        </w:rPr>
        <w:t xml:space="preserve"> </w:t>
      </w:r>
      <w:r w:rsidRPr="00B614AA">
        <w:rPr>
          <w:rFonts w:eastAsia="Calibri" w:cs="Sylfaen"/>
          <w:bCs/>
          <w:lang w:val="hy-AM"/>
        </w:rPr>
        <w:t>Կրելով համավարակի պայմաններում եկամուտների և տրանսֆերտների նվազման ազդեցությունը՝</w:t>
      </w:r>
      <w:r w:rsidRPr="00B614AA">
        <w:rPr>
          <w:rFonts w:eastAsia="Calibri" w:cs="Times Armenian"/>
          <w:bCs/>
          <w:lang w:val="hy-AM"/>
        </w:rPr>
        <w:t xml:space="preserve"> 2020թ. վերջնական սպառումը կնվազի </w:t>
      </w:r>
      <w:r w:rsidRPr="00B614AA">
        <w:rPr>
          <w:rFonts w:eastAsia="Calibri" w:cs="Sylfaen"/>
          <w:bCs/>
          <w:lang w:val="hy-AM"/>
        </w:rPr>
        <w:t>0.5%-ով</w:t>
      </w:r>
      <w:r w:rsidRPr="00B614AA">
        <w:rPr>
          <w:rFonts w:eastAsia="Calibri" w:cs="Times Armenian"/>
          <w:bCs/>
          <w:lang w:val="hy-AM"/>
        </w:rPr>
        <w:t>, իսկ ներդրումները՝ 1.1</w:t>
      </w:r>
      <w:r w:rsidRPr="00B614AA">
        <w:rPr>
          <w:rFonts w:eastAsia="Calibri" w:cs="Sylfaen"/>
          <w:bCs/>
          <w:lang w:val="hy-AM"/>
        </w:rPr>
        <w:t>%-ով</w:t>
      </w:r>
      <w:r w:rsidRPr="00B614AA">
        <w:rPr>
          <w:rFonts w:eastAsia="Calibri" w:cs="Sylfaen"/>
          <w:lang w:val="hy-AM"/>
        </w:rPr>
        <w:t xml:space="preserve">։ Սպառման և ներդրումների նվազումը կմեղմվի ՀՀ կառավարության և ԿԲ կողմից վարվող </w:t>
      </w:r>
      <w:r w:rsidRPr="00B614AA">
        <w:rPr>
          <w:rFonts w:eastAsia="Calibri" w:cs="Sylfaen"/>
          <w:bCs/>
          <w:lang w:val="hy-AM"/>
        </w:rPr>
        <w:t xml:space="preserve">համավարակի կանխարգելմանն ուղղված խթանող </w:t>
      </w:r>
      <w:r w:rsidRPr="00B614AA">
        <w:rPr>
          <w:rFonts w:eastAsia="Calibri" w:cs="Sylfaen"/>
          <w:bCs/>
          <w:lang w:val="hy-AM"/>
        </w:rPr>
        <w:lastRenderedPageBreak/>
        <w:t xml:space="preserve">հարկաբյուջետային և դրամավարկային քաղաքականությունների, ինչպես նաև </w:t>
      </w:r>
      <w:r w:rsidRPr="00B614AA">
        <w:rPr>
          <w:rFonts w:eastAsia="Calibri" w:cs="Sylfaen"/>
          <w:lang w:val="hy-AM"/>
        </w:rPr>
        <w:t>ներդրումային միջավայրը խթանող քաղաքա</w:t>
      </w:r>
      <w:r w:rsidRPr="00B614AA">
        <w:rPr>
          <w:rFonts w:eastAsia="Calibri" w:cs="Sylfaen"/>
          <w:lang w:val="hy-AM"/>
        </w:rPr>
        <w:softHyphen/>
        <w:t>կանության</w:t>
      </w:r>
      <w:r w:rsidRPr="00B614AA">
        <w:rPr>
          <w:rFonts w:eastAsia="Calibri" w:cs="Sylfaen"/>
          <w:bCs/>
          <w:lang w:val="hy-AM"/>
        </w:rPr>
        <w:t xml:space="preserve"> արդյունքում։ Միջնաժամկետում՝ սպառումը միջինում կաճի 4.8%-ով, իսկ ներդրումները՝ 6.9%-ով: </w:t>
      </w:r>
    </w:p>
    <w:p w14:paraId="407207CE" w14:textId="77777777" w:rsidR="00C35FD6" w:rsidRDefault="00B614AA" w:rsidP="00C35FD6">
      <w:pPr>
        <w:spacing w:before="0" w:after="120" w:line="276" w:lineRule="auto"/>
        <w:rPr>
          <w:rFonts w:eastAsia="Calibri" w:cs="Sylfaen"/>
          <w:bCs/>
          <w:lang w:val="hy-AM"/>
        </w:rPr>
      </w:pPr>
      <w:r w:rsidRPr="00B614AA">
        <w:rPr>
          <w:rFonts w:eastAsia="Calibri" w:cs="Sylfaen"/>
          <w:bCs/>
          <w:lang w:val="hy-AM"/>
        </w:rPr>
        <w:t>Արտահանումը և ներմուծումը 2020թ. կնվազեն 14.0%-ով և 9.0%-ով՝ պայմանավորված հիմնականում համավարակի ներքին և արտաքին բացասական հետևանքներով, իսկ ՀՀ տնտեսական ակտիվության, համաշխարհային տնտեսության վերականգնման և տնօրինվող եկամտի աճի պայմաններում միջնաժամկետում կաճեն միջինում 11.9%-ով և 6.2%-ով:</w:t>
      </w:r>
    </w:p>
    <w:p w14:paraId="71A240E7" w14:textId="77777777" w:rsidR="003714CE" w:rsidRDefault="003714CE" w:rsidP="00C35FD6">
      <w:pPr>
        <w:spacing w:before="0" w:after="0" w:line="240" w:lineRule="auto"/>
        <w:ind w:firstLine="0"/>
        <w:jc w:val="left"/>
        <w:rPr>
          <w:rFonts w:eastAsiaTheme="minorHAnsi"/>
          <w:b/>
          <w:bCs/>
          <w:color w:val="4F81BD" w:themeColor="accent1"/>
          <w:sz w:val="24"/>
          <w:szCs w:val="24"/>
          <w:lang w:val="hy-AM"/>
        </w:rPr>
      </w:pPr>
      <w:bookmarkStart w:id="186" w:name="_Toc45705386"/>
    </w:p>
    <w:p w14:paraId="78A0C5C4" w14:textId="77777777" w:rsidR="00D369E6" w:rsidRDefault="00D369E6" w:rsidP="00C35FD6">
      <w:pPr>
        <w:spacing w:before="0" w:after="0" w:line="240" w:lineRule="auto"/>
        <w:ind w:firstLine="0"/>
        <w:jc w:val="left"/>
        <w:rPr>
          <w:rFonts w:eastAsiaTheme="minorHAnsi"/>
          <w:b/>
          <w:bCs/>
          <w:color w:val="4F81BD" w:themeColor="accent1"/>
          <w:sz w:val="24"/>
          <w:szCs w:val="24"/>
          <w:lang w:val="hy-AM"/>
        </w:rPr>
      </w:pPr>
    </w:p>
    <w:p w14:paraId="4ACFE71D" w14:textId="77777777" w:rsidR="00C35FD6" w:rsidRPr="00772498" w:rsidRDefault="00C35FD6" w:rsidP="00C35FD6">
      <w:pPr>
        <w:spacing w:before="0" w:after="0" w:line="240" w:lineRule="auto"/>
        <w:ind w:firstLine="0"/>
        <w:jc w:val="left"/>
        <w:rPr>
          <w:rFonts w:eastAsiaTheme="minorHAnsi"/>
          <w:b/>
          <w:bCs/>
          <w:color w:val="1F497D" w:themeColor="text2"/>
          <w:sz w:val="24"/>
          <w:szCs w:val="24"/>
          <w:lang w:val="hy-AM"/>
        </w:rPr>
      </w:pPr>
      <w:r w:rsidRPr="00772498">
        <w:rPr>
          <w:rFonts w:eastAsiaTheme="minorHAnsi"/>
          <w:b/>
          <w:bCs/>
          <w:color w:val="1F497D" w:themeColor="text2"/>
          <w:sz w:val="24"/>
          <w:szCs w:val="24"/>
          <w:lang w:val="hy-AM"/>
        </w:rPr>
        <w:t>1.3.2. Աշխատանքի շուկա</w:t>
      </w:r>
      <w:bookmarkEnd w:id="186"/>
    </w:p>
    <w:p w14:paraId="24E22791" w14:textId="77777777" w:rsidR="00C35FD6" w:rsidRPr="00216BEF" w:rsidRDefault="00C35FD6" w:rsidP="00C35FD6">
      <w:pPr>
        <w:tabs>
          <w:tab w:val="num" w:pos="720"/>
        </w:tabs>
        <w:spacing w:before="120" w:after="120" w:line="276" w:lineRule="auto"/>
        <w:ind w:firstLine="357"/>
        <w:rPr>
          <w:rFonts w:cs="Times Armenian"/>
          <w:bCs/>
          <w:lang w:val="hy-AM"/>
        </w:rPr>
      </w:pPr>
      <w:r w:rsidRPr="00F15782">
        <w:rPr>
          <w:rFonts w:cs="Times Armenian"/>
          <w:b/>
          <w:lang w:val="hy-AM"/>
        </w:rPr>
        <w:t>Տնտեսական աճին զուգահեռ՝ 2017-2019</w:t>
      </w:r>
      <w:r w:rsidRPr="00F15782">
        <w:rPr>
          <w:rFonts w:cs="Sylfaen"/>
          <w:b/>
          <w:lang w:val="hy-AM"/>
        </w:rPr>
        <w:t>թ</w:t>
      </w:r>
      <w:r w:rsidRPr="007B23EF">
        <w:rPr>
          <w:rFonts w:cs="Sylfaen"/>
          <w:b/>
          <w:lang w:val="hy-AM"/>
        </w:rPr>
        <w:t>թ.</w:t>
      </w:r>
      <w:r w:rsidRPr="00F15782">
        <w:rPr>
          <w:rFonts w:cs="Sylfaen"/>
          <w:b/>
          <w:lang w:val="hy-AM"/>
        </w:rPr>
        <w:t xml:space="preserve"> գործազրկության մակարդակը նվազ</w:t>
      </w:r>
      <w:r w:rsidRPr="007B23EF">
        <w:rPr>
          <w:rFonts w:cs="Sylfaen"/>
          <w:b/>
          <w:lang w:val="hy-AM"/>
        </w:rPr>
        <w:t xml:space="preserve">ել </w:t>
      </w:r>
      <w:r w:rsidRPr="007B23EF">
        <w:rPr>
          <w:rFonts w:cs="Sylfaen"/>
          <w:bCs/>
          <w:lang w:val="hy-AM"/>
        </w:rPr>
        <w:t>է</w:t>
      </w:r>
      <w:r w:rsidRPr="00254795">
        <w:rPr>
          <w:rFonts w:cs="Sylfaen"/>
          <w:bCs/>
          <w:lang w:val="hy-AM"/>
        </w:rPr>
        <w:t>՝ 20.8%-ից հասնելով 18.9%-ի, իսկ աշխատուժի մասնակցության մակարդակն աճել՝ 56.4%-ից հասնելով 57.7%-ի:</w:t>
      </w:r>
      <w:r w:rsidRPr="00254795">
        <w:rPr>
          <w:rFonts w:cs="Times Armenian"/>
          <w:bCs/>
          <w:lang w:val="hy-AM"/>
        </w:rPr>
        <w:t xml:space="preserve"> </w:t>
      </w:r>
      <w:r w:rsidRPr="007B23EF">
        <w:rPr>
          <w:rFonts w:cs="Times Armenian"/>
          <w:bCs/>
          <w:lang w:val="hy-AM"/>
        </w:rPr>
        <w:t>Ն</w:t>
      </w:r>
      <w:r w:rsidRPr="00DA0563">
        <w:rPr>
          <w:rFonts w:cs="Times Armenian"/>
          <w:bCs/>
          <w:lang w:val="hy-AM"/>
        </w:rPr>
        <w:t>ույն ժամանակաշրջանում զբաղվածների թիվն աճել է, իսկ գործազուրկների</w:t>
      </w:r>
      <w:r w:rsidRPr="007B23EF">
        <w:rPr>
          <w:rFonts w:cs="Times Armenian"/>
          <w:bCs/>
          <w:lang w:val="hy-AM"/>
        </w:rPr>
        <w:t>նը</w:t>
      </w:r>
      <w:r w:rsidRPr="00DA0563">
        <w:rPr>
          <w:rFonts w:cs="Times Armenian"/>
          <w:bCs/>
          <w:lang w:val="hy-AM"/>
        </w:rPr>
        <w:t>՝ կրճատվել</w:t>
      </w:r>
      <w:r w:rsidRPr="007B23EF">
        <w:rPr>
          <w:rFonts w:cs="Times Armenian"/>
          <w:bCs/>
          <w:lang w:val="hy-AM"/>
        </w:rPr>
        <w:t>, ինչը</w:t>
      </w:r>
      <w:r>
        <w:rPr>
          <w:rFonts w:cs="Times Armenian"/>
          <w:bCs/>
          <w:lang w:val="hy-AM"/>
        </w:rPr>
        <w:t xml:space="preserve"> </w:t>
      </w:r>
      <w:r w:rsidRPr="007B23EF">
        <w:rPr>
          <w:rFonts w:cs="Times Armenian"/>
          <w:bCs/>
          <w:lang w:val="hy-AM"/>
        </w:rPr>
        <w:t>վկայ</w:t>
      </w:r>
      <w:r>
        <w:rPr>
          <w:rFonts w:cs="Times Armenian"/>
          <w:bCs/>
          <w:lang w:val="hy-AM"/>
        </w:rPr>
        <w:t>ում է</w:t>
      </w:r>
      <w:r w:rsidRPr="007B23EF">
        <w:rPr>
          <w:rFonts w:cs="Times Armenian"/>
          <w:bCs/>
          <w:lang w:val="hy-AM"/>
        </w:rPr>
        <w:t xml:space="preserve"> տ</w:t>
      </w:r>
      <w:r w:rsidRPr="00DA0563">
        <w:rPr>
          <w:rFonts w:cs="Times Armenian"/>
          <w:bCs/>
          <w:lang w:val="hy-AM"/>
        </w:rPr>
        <w:t>նտեսական աճի որակի</w:t>
      </w:r>
      <w:r w:rsidRPr="007B23EF">
        <w:rPr>
          <w:rFonts w:cs="Times Armenian"/>
          <w:bCs/>
          <w:lang w:val="hy-AM"/>
        </w:rPr>
        <w:t xml:space="preserve"> բար</w:t>
      </w:r>
      <w:r>
        <w:rPr>
          <w:rFonts w:cs="Times Armenian"/>
          <w:bCs/>
          <w:lang w:val="hy-AM"/>
        </w:rPr>
        <w:t>ելավման</w:t>
      </w:r>
      <w:r w:rsidRPr="00DA0563">
        <w:rPr>
          <w:rFonts w:cs="Times Armenian"/>
          <w:bCs/>
          <w:lang w:val="hy-AM"/>
        </w:rPr>
        <w:t xml:space="preserve"> մասին</w:t>
      </w:r>
      <w:r w:rsidRPr="007B23EF">
        <w:rPr>
          <w:rFonts w:cs="Times Armenian"/>
          <w:bCs/>
          <w:lang w:val="hy-AM"/>
        </w:rPr>
        <w:t>:</w:t>
      </w:r>
    </w:p>
    <w:p w14:paraId="1314ABF6" w14:textId="77777777" w:rsidR="00C35FD6" w:rsidRPr="00125ED1" w:rsidRDefault="00C35FD6" w:rsidP="00C35FD6">
      <w:pPr>
        <w:tabs>
          <w:tab w:val="num" w:pos="720"/>
          <w:tab w:val="left" w:pos="9450"/>
        </w:tabs>
        <w:spacing w:after="120" w:line="276" w:lineRule="auto"/>
        <w:ind w:firstLine="357"/>
        <w:rPr>
          <w:rFonts w:cs="Times Armenian"/>
          <w:b/>
          <w:bCs/>
          <w:lang w:val="hy-AM"/>
        </w:rPr>
      </w:pPr>
      <w:r w:rsidRPr="00125ED1">
        <w:rPr>
          <w:rFonts w:cs="Times Armenian"/>
          <w:b/>
          <w:lang w:val="hy-AM"/>
        </w:rPr>
        <w:t>Գործազրկության մակարդակը 2020թ. առաջին եռամսյակում նախորդ տարվա նույն ժամանակաշրջանի նկատմամբ նվազել է 1.3 տոկոսային կետով՝ կազմելով 19.8%</w:t>
      </w:r>
      <w:r w:rsidRPr="00216BEF">
        <w:rPr>
          <w:rFonts w:cs="Times Armenian"/>
          <w:b/>
          <w:lang w:val="hy-AM"/>
        </w:rPr>
        <w:t>, պայմանավորված նույն ժամանակահատվածում գրանցված 3.8</w:t>
      </w:r>
      <w:r w:rsidRPr="00125ED1">
        <w:rPr>
          <w:rFonts w:cs="Times Armenian"/>
          <w:b/>
          <w:lang w:val="hy-AM"/>
        </w:rPr>
        <w:t>%</w:t>
      </w:r>
      <w:r w:rsidRPr="00216BEF">
        <w:rPr>
          <w:rFonts w:cs="Times Armenian"/>
          <w:b/>
          <w:lang w:val="hy-AM"/>
        </w:rPr>
        <w:t xml:space="preserve"> տնտեսական աճով:</w:t>
      </w:r>
      <w:r w:rsidRPr="00125ED1">
        <w:rPr>
          <w:rFonts w:cs="Times Armenian"/>
          <w:bCs/>
          <w:lang w:val="hy-AM"/>
        </w:rPr>
        <w:t xml:space="preserve"> </w:t>
      </w:r>
      <w:r w:rsidRPr="00216BEF">
        <w:rPr>
          <w:rFonts w:cs="Times Armenian"/>
          <w:bCs/>
          <w:lang w:val="hy-AM"/>
        </w:rPr>
        <w:t xml:space="preserve">Անհրաժեշտ է նկատի ունենալ, որ առաջին եռամսյակի գործազրկության մակարդակի վրա </w:t>
      </w:r>
      <w:r w:rsidRPr="00125ED1">
        <w:rPr>
          <w:rFonts w:cs="Times Armenian"/>
          <w:bCs/>
          <w:lang w:val="hy-AM"/>
        </w:rPr>
        <w:t xml:space="preserve">համավարակի </w:t>
      </w:r>
      <w:r w:rsidRPr="00216BEF">
        <w:rPr>
          <w:rFonts w:cs="Times Armenian"/>
          <w:bCs/>
          <w:lang w:val="hy-AM"/>
        </w:rPr>
        <w:t xml:space="preserve">բացասական ազդեցությունը դեռևս չի արտացոլվել, քանի որ </w:t>
      </w:r>
      <w:r w:rsidRPr="00125ED1">
        <w:rPr>
          <w:rFonts w:cs="Times Armenian"/>
          <w:bCs/>
          <w:lang w:val="hy-AM"/>
        </w:rPr>
        <w:t>տնտեսական սահմանափակումները ՀՀ-ում սկսեցին գործել մարտի երկրորդ կեսից սկսած:</w:t>
      </w:r>
    </w:p>
    <w:p w14:paraId="1B15BE62" w14:textId="77777777" w:rsidR="00C35FD6" w:rsidRPr="00216BEF" w:rsidRDefault="00C35FD6" w:rsidP="00C35FD6">
      <w:pPr>
        <w:tabs>
          <w:tab w:val="num" w:pos="720"/>
        </w:tabs>
        <w:spacing w:after="120" w:line="276" w:lineRule="auto"/>
        <w:ind w:firstLine="357"/>
        <w:rPr>
          <w:rFonts w:cs="Times Armenian"/>
        </w:rPr>
      </w:pPr>
      <w:r w:rsidRPr="00125ED1">
        <w:rPr>
          <w:rFonts w:cs="Times Armenian"/>
          <w:b/>
          <w:bCs/>
          <w:lang w:val="hy-AM"/>
        </w:rPr>
        <w:t xml:space="preserve">2020թ. տնտեսական անկման պայմաններում էական բացասական ճնշումներ կլինեն նաև աշխատանքի շուկայի վրա։ </w:t>
      </w:r>
      <w:r w:rsidRPr="00216BEF">
        <w:rPr>
          <w:rFonts w:cs="Times Armenian"/>
          <w:lang w:val="hy-AM"/>
        </w:rPr>
        <w:t xml:space="preserve">Այս պայմաններում ակնկալվում է զբաղվածության նվազում և գործազրկության աճ։  </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025"/>
        <w:gridCol w:w="4901"/>
      </w:tblGrid>
      <w:tr w:rsidR="00C35FD6" w:rsidRPr="00125ED1" w14:paraId="30C2524E" w14:textId="77777777" w:rsidTr="001C57FF">
        <w:trPr>
          <w:trHeight w:val="3144"/>
        </w:trPr>
        <w:tc>
          <w:tcPr>
            <w:tcW w:w="5122" w:type="dxa"/>
          </w:tcPr>
          <w:p w14:paraId="2C356A0E" w14:textId="77777777" w:rsidR="00C35FD6" w:rsidRPr="00F330A0" w:rsidRDefault="00C35FD6" w:rsidP="00C35FD6">
            <w:pPr>
              <w:pStyle w:val="ListParagraph"/>
              <w:spacing w:line="240" w:lineRule="auto"/>
              <w:ind w:left="158"/>
              <w:rPr>
                <w:rFonts w:cs="Times Armenian"/>
                <w:bCs/>
                <w:i/>
                <w:sz w:val="18"/>
                <w:szCs w:val="18"/>
                <w:lang w:val="hy-AM"/>
              </w:rPr>
            </w:pPr>
            <w:r w:rsidRPr="00F330A0">
              <w:rPr>
                <w:rFonts w:cs="Times Armenian"/>
                <w:b/>
                <w:bCs/>
                <w:i/>
                <w:sz w:val="18"/>
                <w:szCs w:val="18"/>
                <w:lang w:val="hy-AM"/>
              </w:rPr>
              <w:t>Գծապատկեր 1.1</w:t>
            </w:r>
            <w:r w:rsidRPr="00F330A0">
              <w:rPr>
                <w:rFonts w:cs="Times Armenian"/>
                <w:b/>
                <w:bCs/>
                <w:i/>
                <w:sz w:val="18"/>
                <w:szCs w:val="18"/>
              </w:rPr>
              <w:t>8</w:t>
            </w:r>
            <w:r w:rsidRPr="00F330A0">
              <w:rPr>
                <w:rFonts w:cs="Times Armenian"/>
                <w:b/>
                <w:bCs/>
                <w:i/>
                <w:sz w:val="18"/>
                <w:szCs w:val="18"/>
                <w:lang w:val="hy-AM"/>
              </w:rPr>
              <w:t xml:space="preserve">. </w:t>
            </w:r>
            <w:r w:rsidRPr="00F330A0">
              <w:rPr>
                <w:rFonts w:cs="Times Armenian"/>
                <w:bCs/>
                <w:i/>
                <w:sz w:val="18"/>
                <w:szCs w:val="18"/>
                <w:lang w:val="hy-AM"/>
              </w:rPr>
              <w:t xml:space="preserve">Գործազրկություն և զբաղվածություն </w:t>
            </w:r>
          </w:p>
          <w:p w14:paraId="18325442" w14:textId="77777777" w:rsidR="00C35FD6" w:rsidRPr="00125ED1" w:rsidRDefault="00C35FD6" w:rsidP="001C57FF">
            <w:pPr>
              <w:pStyle w:val="ListParagraph"/>
              <w:spacing w:line="360" w:lineRule="auto"/>
              <w:ind w:left="155"/>
              <w:rPr>
                <w:rFonts w:cs="Times Armenian"/>
                <w:bCs/>
                <w:sz w:val="12"/>
                <w:szCs w:val="12"/>
              </w:rPr>
            </w:pPr>
            <w:r w:rsidRPr="00125ED1">
              <w:rPr>
                <w:rFonts w:cs="Times Armenian"/>
                <w:bCs/>
                <w:noProof/>
                <w:sz w:val="12"/>
                <w:szCs w:val="12"/>
              </w:rPr>
              <w:drawing>
                <wp:inline distT="0" distB="0" distL="0" distR="0" wp14:anchorId="5C2A2FEA" wp14:editId="597D1081">
                  <wp:extent cx="2958018" cy="1847850"/>
                  <wp:effectExtent l="0" t="0" r="13970" b="0"/>
                  <wp:docPr id="8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DD73227" w14:textId="77777777" w:rsidR="00C35FD6" w:rsidRPr="00F330A0" w:rsidRDefault="00C35FD6" w:rsidP="001C57FF">
            <w:pPr>
              <w:pStyle w:val="ListParagraph"/>
              <w:spacing w:line="360" w:lineRule="auto"/>
              <w:ind w:left="155"/>
              <w:rPr>
                <w:rFonts w:cs="Times Armenian"/>
                <w:bCs/>
                <w:i/>
                <w:sz w:val="16"/>
                <w:szCs w:val="16"/>
                <w:lang w:val="hy-AM"/>
              </w:rPr>
            </w:pPr>
            <w:r w:rsidRPr="00F330A0">
              <w:rPr>
                <w:rFonts w:cs="Times Armenian"/>
                <w:i/>
                <w:sz w:val="16"/>
                <w:szCs w:val="16"/>
              </w:rPr>
              <w:t>Աղբյուրը՝ ՀՀ ՎԿ</w:t>
            </w:r>
          </w:p>
        </w:tc>
        <w:tc>
          <w:tcPr>
            <w:tcW w:w="5123" w:type="dxa"/>
          </w:tcPr>
          <w:p w14:paraId="23ABFBA1" w14:textId="77777777" w:rsidR="00C35FD6" w:rsidRPr="00125ED1" w:rsidRDefault="00C35FD6" w:rsidP="00C35FD6">
            <w:pPr>
              <w:pStyle w:val="ListParagraph"/>
              <w:spacing w:line="240" w:lineRule="auto"/>
              <w:ind w:left="169"/>
              <w:rPr>
                <w:rFonts w:cs="Times Armenian"/>
                <w:noProof/>
                <w:sz w:val="18"/>
                <w:szCs w:val="18"/>
                <w:lang w:val="hy-AM" w:eastAsia="ru-RU"/>
              </w:rPr>
            </w:pPr>
            <w:r w:rsidRPr="00125ED1">
              <w:rPr>
                <w:rFonts w:cs="Times Armenian"/>
                <w:noProof/>
                <w:sz w:val="12"/>
                <w:szCs w:val="12"/>
              </w:rPr>
              <w:drawing>
                <wp:anchor distT="0" distB="0" distL="114300" distR="114300" simplePos="0" relativeHeight="251658240" behindDoc="1" locked="0" layoutInCell="1" allowOverlap="1" wp14:anchorId="2DEEFF4E" wp14:editId="44C51007">
                  <wp:simplePos x="0" y="0"/>
                  <wp:positionH relativeFrom="column">
                    <wp:posOffset>-1905</wp:posOffset>
                  </wp:positionH>
                  <wp:positionV relativeFrom="paragraph">
                    <wp:posOffset>313690</wp:posOffset>
                  </wp:positionV>
                  <wp:extent cx="2987040" cy="1908810"/>
                  <wp:effectExtent l="0" t="0" r="3810" b="15240"/>
                  <wp:wrapTight wrapText="bothSides">
                    <wp:wrapPolygon edited="0">
                      <wp:start x="0" y="0"/>
                      <wp:lineTo x="0" y="21557"/>
                      <wp:lineTo x="21490" y="21557"/>
                      <wp:lineTo x="21490" y="0"/>
                      <wp:lineTo x="0" y="0"/>
                    </wp:wrapPolygon>
                  </wp:wrapTight>
                  <wp:docPr id="87"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Pr="00125ED1">
              <w:rPr>
                <w:rFonts w:cs="Times Armenian"/>
                <w:b/>
                <w:bCs/>
                <w:i/>
                <w:iCs/>
                <w:sz w:val="18"/>
                <w:szCs w:val="18"/>
                <w:lang w:val="hy-AM"/>
              </w:rPr>
              <w:t>Գծապատկեր 1.1</w:t>
            </w:r>
            <w:r w:rsidRPr="00216BEF">
              <w:rPr>
                <w:rFonts w:cs="Times Armenian"/>
                <w:b/>
                <w:bCs/>
                <w:i/>
                <w:iCs/>
                <w:sz w:val="18"/>
                <w:szCs w:val="18"/>
                <w:lang w:val="hy-AM"/>
              </w:rPr>
              <w:t>9</w:t>
            </w:r>
            <w:r w:rsidRPr="00125ED1">
              <w:rPr>
                <w:rFonts w:cs="Times Armenian"/>
                <w:bCs/>
                <w:i/>
                <w:iCs/>
                <w:sz w:val="18"/>
                <w:szCs w:val="18"/>
                <w:lang w:val="hy-AM"/>
              </w:rPr>
              <w:t>. Աշխատուժի մասնակցության մակարդակ և աշխատավարձ</w:t>
            </w:r>
            <w:r w:rsidRPr="00125ED1">
              <w:rPr>
                <w:rFonts w:cs="Times Armenian"/>
                <w:noProof/>
                <w:sz w:val="18"/>
                <w:szCs w:val="18"/>
                <w:lang w:val="hy-AM" w:eastAsia="ru-RU"/>
              </w:rPr>
              <w:t xml:space="preserve"> </w:t>
            </w:r>
          </w:p>
          <w:p w14:paraId="17E113D3" w14:textId="77777777" w:rsidR="00C35FD6" w:rsidRPr="00F330A0" w:rsidRDefault="00C35FD6" w:rsidP="001C57FF">
            <w:pPr>
              <w:pStyle w:val="ListParagraph"/>
              <w:spacing w:line="360" w:lineRule="auto"/>
              <w:ind w:left="0"/>
              <w:rPr>
                <w:rFonts w:cs="Times Armenian"/>
                <w:bCs/>
                <w:i/>
                <w:sz w:val="16"/>
                <w:szCs w:val="16"/>
                <w:lang w:val="hy-AM"/>
              </w:rPr>
            </w:pPr>
            <w:r w:rsidRPr="00F330A0">
              <w:rPr>
                <w:rFonts w:cs="Times Armenian"/>
                <w:i/>
                <w:sz w:val="16"/>
                <w:szCs w:val="16"/>
              </w:rPr>
              <w:t>Աղբյուրը՝ ՀՀ ՎԿ</w:t>
            </w:r>
          </w:p>
        </w:tc>
      </w:tr>
    </w:tbl>
    <w:p w14:paraId="29DC4D35" w14:textId="77777777" w:rsidR="00C35FD6" w:rsidRPr="00216BEF" w:rsidRDefault="00C35FD6" w:rsidP="00C35FD6">
      <w:pPr>
        <w:spacing w:line="360" w:lineRule="auto"/>
        <w:rPr>
          <w:rFonts w:cs="Times Armenian"/>
          <w:bCs/>
          <w:sz w:val="6"/>
          <w:szCs w:val="6"/>
          <w:lang w:val="hy-AM"/>
        </w:rPr>
      </w:pPr>
    </w:p>
    <w:p w14:paraId="038AC00D" w14:textId="77777777" w:rsidR="00C35FD6" w:rsidRPr="00125ED1" w:rsidRDefault="00C35FD6" w:rsidP="00C35FD6">
      <w:pPr>
        <w:pStyle w:val="ListParagraph"/>
        <w:spacing w:after="120" w:line="276" w:lineRule="auto"/>
        <w:ind w:left="0" w:firstLine="448"/>
        <w:rPr>
          <w:rFonts w:cs="Times Armenian"/>
          <w:lang w:val="hy-AM"/>
        </w:rPr>
      </w:pPr>
      <w:r w:rsidRPr="00125ED1">
        <w:rPr>
          <w:rFonts w:cs="Times Armenian"/>
          <w:b/>
          <w:lang w:val="hy-AM"/>
        </w:rPr>
        <w:t>2017-2019թթ. անվանական աշխատավարձ</w:t>
      </w:r>
      <w:r w:rsidRPr="00216BEF">
        <w:rPr>
          <w:rFonts w:cs="Times Armenian"/>
          <w:b/>
          <w:lang w:val="hy-AM"/>
        </w:rPr>
        <w:t>ը</w:t>
      </w:r>
      <w:r w:rsidRPr="00125ED1">
        <w:rPr>
          <w:rFonts w:cs="Times Armenian"/>
          <w:b/>
          <w:lang w:val="hy-AM"/>
        </w:rPr>
        <w:t xml:space="preserve"> միջինում աճել է 3.9%-ով: 2020թ.</w:t>
      </w:r>
      <w:r w:rsidRPr="00216BEF">
        <w:rPr>
          <w:rFonts w:cs="Times Armenian"/>
          <w:b/>
          <w:lang w:val="hy-AM"/>
        </w:rPr>
        <w:t xml:space="preserve"> </w:t>
      </w:r>
      <w:r w:rsidRPr="00125ED1">
        <w:rPr>
          <w:rFonts w:cs="Times Armenian"/>
          <w:b/>
          <w:lang w:val="hy-AM"/>
        </w:rPr>
        <w:t>տարեսկզբի</w:t>
      </w:r>
      <w:r w:rsidRPr="00216BEF">
        <w:rPr>
          <w:rFonts w:cs="Times Armenian"/>
          <w:b/>
          <w:lang w:val="hy-AM"/>
        </w:rPr>
        <w:t xml:space="preserve">ն արձանագրված </w:t>
      </w:r>
      <w:r w:rsidRPr="00125ED1">
        <w:rPr>
          <w:rFonts w:cs="Times Armenian"/>
          <w:b/>
          <w:lang w:val="hy-AM"/>
        </w:rPr>
        <w:t xml:space="preserve">աշխատավարձի աճի </w:t>
      </w:r>
      <w:r w:rsidRPr="00216BEF">
        <w:rPr>
          <w:rFonts w:cs="Times Armenian"/>
          <w:b/>
          <w:lang w:val="hy-AM"/>
        </w:rPr>
        <w:t xml:space="preserve">բարձր </w:t>
      </w:r>
      <w:r w:rsidRPr="00125ED1">
        <w:rPr>
          <w:rFonts w:cs="Times Armenian"/>
          <w:b/>
          <w:lang w:val="hy-AM"/>
        </w:rPr>
        <w:t xml:space="preserve">տեմպերը </w:t>
      </w:r>
      <w:r w:rsidRPr="00216BEF">
        <w:rPr>
          <w:rFonts w:cs="Times Armenian"/>
          <w:b/>
          <w:lang w:val="hy-AM"/>
        </w:rPr>
        <w:t>կրելով համավարակի բացասական ազդեցությունները</w:t>
      </w:r>
      <w:r w:rsidRPr="00125ED1">
        <w:rPr>
          <w:rFonts w:cs="Times Armenian"/>
          <w:b/>
          <w:lang w:val="hy-AM"/>
        </w:rPr>
        <w:t xml:space="preserve"> </w:t>
      </w:r>
      <w:r w:rsidRPr="00216BEF">
        <w:rPr>
          <w:rFonts w:cs="Times Armenian"/>
          <w:b/>
          <w:lang w:val="hy-AM"/>
        </w:rPr>
        <w:t xml:space="preserve">գնալով </w:t>
      </w:r>
      <w:r w:rsidRPr="00125ED1">
        <w:rPr>
          <w:rFonts w:cs="Times Armenian"/>
          <w:b/>
          <w:lang w:val="hy-AM"/>
        </w:rPr>
        <w:t>դանդաղե</w:t>
      </w:r>
      <w:r w:rsidRPr="00216BEF">
        <w:rPr>
          <w:rFonts w:cs="Times Armenian"/>
          <w:b/>
          <w:lang w:val="hy-AM"/>
        </w:rPr>
        <w:t>ցին:</w:t>
      </w:r>
      <w:r w:rsidRPr="00216BEF">
        <w:rPr>
          <w:rFonts w:cs="Times Armenian"/>
          <w:lang w:val="hy-AM"/>
        </w:rPr>
        <w:t xml:space="preserve"> 2020թ. </w:t>
      </w:r>
      <w:r w:rsidRPr="00125ED1">
        <w:rPr>
          <w:rFonts w:cs="Times Armenian"/>
          <w:lang w:val="hy-AM"/>
        </w:rPr>
        <w:t>հունվար-մայիսին միջին ամսական անվանական աշխատավարձն աճել է 6.8%-ով՝ կազմելով 188,272</w:t>
      </w:r>
      <w:r w:rsidRPr="00216BEF">
        <w:rPr>
          <w:rFonts w:cs="Times Armenian"/>
          <w:lang w:val="hy-AM"/>
        </w:rPr>
        <w:t xml:space="preserve"> </w:t>
      </w:r>
      <w:r w:rsidRPr="00125ED1">
        <w:rPr>
          <w:rFonts w:cs="Times Armenian"/>
          <w:lang w:val="hy-AM"/>
        </w:rPr>
        <w:t xml:space="preserve">դրամ: Ընդ որում՝ </w:t>
      </w:r>
      <w:r w:rsidRPr="00125ED1">
        <w:rPr>
          <w:rFonts w:cs="Times Armenian"/>
          <w:lang w:val="hy-AM"/>
        </w:rPr>
        <w:lastRenderedPageBreak/>
        <w:t>սպառողական գների ինդեքսի 0.3% աճի պարագայում իրական աշխատավարձն աճել է 6.5%-ով: Պետական հատվածում միջին ամսական անվանական աշխատավարձն աճել է 8.8%-ով՝ կազմելով 162</w:t>
      </w:r>
      <w:r w:rsidRPr="00125ED1">
        <w:rPr>
          <w:rFonts w:cs="Calibri"/>
          <w:lang w:val="hy-AM"/>
        </w:rPr>
        <w:t>,247</w:t>
      </w:r>
      <w:r w:rsidRPr="00125ED1">
        <w:rPr>
          <w:rFonts w:cs="Times Armenian"/>
          <w:lang w:val="hy-AM"/>
        </w:rPr>
        <w:t xml:space="preserve"> դրամ, իսկ մասնավոր հատվածում՝ 5.4%-ով, կազմելով 201,112 դրամ:</w:t>
      </w:r>
    </w:p>
    <w:p w14:paraId="7CF6655F" w14:textId="77777777" w:rsidR="00C35FD6" w:rsidRPr="007B23EF" w:rsidRDefault="00C35FD6" w:rsidP="00C35FD6">
      <w:pPr>
        <w:pStyle w:val="ListParagraph"/>
        <w:spacing w:line="276" w:lineRule="auto"/>
        <w:ind w:left="0" w:firstLine="448"/>
        <w:rPr>
          <w:rFonts w:cs="Sylfaen"/>
          <w:lang w:val="hy-AM"/>
        </w:rPr>
      </w:pPr>
      <w:r w:rsidRPr="00125ED1">
        <w:rPr>
          <w:rFonts w:cs="Times Armenian"/>
          <w:b/>
          <w:bCs/>
          <w:lang w:val="hy-AM"/>
        </w:rPr>
        <w:t>2020թ. տնտեսական անկման պայմաններում</w:t>
      </w:r>
      <w:r w:rsidRPr="00216BEF">
        <w:rPr>
          <w:rFonts w:cs="Times Armenian"/>
          <w:b/>
          <w:bCs/>
          <w:lang w:val="hy-AM"/>
        </w:rPr>
        <w:t xml:space="preserve"> կարող են առաջանալ նաև աշխատավարձի </w:t>
      </w:r>
      <w:r>
        <w:rPr>
          <w:rFonts w:cs="Times Armenian"/>
          <w:b/>
          <w:bCs/>
          <w:lang w:val="hy-AM"/>
        </w:rPr>
        <w:t>աճի տեմպերի դանդաղման</w:t>
      </w:r>
      <w:r w:rsidRPr="00216BEF">
        <w:rPr>
          <w:rFonts w:cs="Times Armenian"/>
          <w:b/>
          <w:bCs/>
          <w:lang w:val="hy-AM"/>
        </w:rPr>
        <w:t xml:space="preserve"> ռիսկեր: </w:t>
      </w:r>
      <w:r>
        <w:rPr>
          <w:rFonts w:cs="Times Armenian"/>
          <w:lang w:val="hy-AM"/>
        </w:rPr>
        <w:t xml:space="preserve">  </w:t>
      </w:r>
    </w:p>
    <w:p w14:paraId="139BE5A0" w14:textId="77777777" w:rsidR="003714CE" w:rsidRDefault="003714CE" w:rsidP="00C35FD6">
      <w:pPr>
        <w:spacing w:before="0" w:after="120" w:line="240" w:lineRule="auto"/>
        <w:ind w:firstLine="0"/>
        <w:jc w:val="left"/>
        <w:rPr>
          <w:rFonts w:eastAsia="Calibri" w:cs="Times New Roman"/>
          <w:b/>
          <w:bCs/>
          <w:color w:val="4472C4"/>
          <w:sz w:val="24"/>
          <w:szCs w:val="24"/>
          <w:lang w:val="hy-AM"/>
        </w:rPr>
      </w:pPr>
      <w:bookmarkStart w:id="187" w:name="_Toc45705387"/>
    </w:p>
    <w:p w14:paraId="5EC4E531" w14:textId="77777777" w:rsidR="00C35FD6" w:rsidRPr="00772498" w:rsidRDefault="00C35FD6" w:rsidP="00C35FD6">
      <w:pPr>
        <w:spacing w:before="0" w:after="120" w:line="240" w:lineRule="auto"/>
        <w:ind w:firstLine="0"/>
        <w:jc w:val="left"/>
        <w:rPr>
          <w:rFonts w:eastAsia="Calibri" w:cs="Times New Roman"/>
          <w:b/>
          <w:bCs/>
          <w:color w:val="1F497D" w:themeColor="text2"/>
          <w:sz w:val="24"/>
          <w:szCs w:val="24"/>
          <w:lang w:val="hy-AM"/>
        </w:rPr>
      </w:pPr>
      <w:r w:rsidRPr="00772498">
        <w:rPr>
          <w:rFonts w:eastAsia="Calibri" w:cs="Times New Roman"/>
          <w:b/>
          <w:bCs/>
          <w:color w:val="1F497D" w:themeColor="text2"/>
          <w:sz w:val="24"/>
          <w:szCs w:val="24"/>
          <w:lang w:val="hy-AM"/>
        </w:rPr>
        <w:t xml:space="preserve">1.3.3. </w:t>
      </w:r>
      <w:r w:rsidRPr="00772498">
        <w:rPr>
          <w:rFonts w:eastAsia="Calibri" w:cs="Sylfaen"/>
          <w:b/>
          <w:bCs/>
          <w:color w:val="1F497D" w:themeColor="text2"/>
          <w:sz w:val="24"/>
          <w:szCs w:val="24"/>
          <w:lang w:val="hy-AM"/>
        </w:rPr>
        <w:t>ՀՀ</w:t>
      </w:r>
      <w:r w:rsidRPr="00772498">
        <w:rPr>
          <w:rFonts w:eastAsia="Calibri" w:cs="Times New Roman"/>
          <w:b/>
          <w:bCs/>
          <w:color w:val="1F497D" w:themeColor="text2"/>
          <w:sz w:val="24"/>
          <w:szCs w:val="24"/>
          <w:lang w:val="hy-AM"/>
        </w:rPr>
        <w:t xml:space="preserve"> </w:t>
      </w:r>
      <w:r w:rsidRPr="00772498">
        <w:rPr>
          <w:rFonts w:eastAsia="Calibri" w:cs="Sylfaen"/>
          <w:b/>
          <w:bCs/>
          <w:color w:val="1F497D" w:themeColor="text2"/>
          <w:sz w:val="24"/>
          <w:szCs w:val="24"/>
          <w:lang w:val="hy-AM"/>
        </w:rPr>
        <w:t>վճարային</w:t>
      </w:r>
      <w:r w:rsidRPr="00772498">
        <w:rPr>
          <w:rFonts w:eastAsia="Calibri" w:cs="Times New Roman"/>
          <w:b/>
          <w:bCs/>
          <w:color w:val="1F497D" w:themeColor="text2"/>
          <w:sz w:val="24"/>
          <w:szCs w:val="24"/>
          <w:lang w:val="hy-AM"/>
        </w:rPr>
        <w:t xml:space="preserve"> </w:t>
      </w:r>
      <w:r w:rsidRPr="00772498">
        <w:rPr>
          <w:rFonts w:eastAsia="Calibri" w:cs="Sylfaen"/>
          <w:b/>
          <w:bCs/>
          <w:color w:val="1F497D" w:themeColor="text2"/>
          <w:sz w:val="24"/>
          <w:szCs w:val="24"/>
          <w:lang w:val="hy-AM"/>
        </w:rPr>
        <w:t>հաշվեկշիռ</w:t>
      </w:r>
      <w:r w:rsidRPr="00772498">
        <w:rPr>
          <w:rFonts w:eastAsia="Calibri" w:cs="Times New Roman"/>
          <w:b/>
          <w:bCs/>
          <w:color w:val="1F497D" w:themeColor="text2"/>
          <w:sz w:val="24"/>
          <w:szCs w:val="24"/>
          <w:lang w:val="hy-AM"/>
        </w:rPr>
        <w:t xml:space="preserve">, </w:t>
      </w:r>
      <w:r w:rsidRPr="00772498">
        <w:rPr>
          <w:rFonts w:eastAsia="Calibri" w:cs="Sylfaen"/>
          <w:b/>
          <w:bCs/>
          <w:color w:val="1F497D" w:themeColor="text2"/>
          <w:sz w:val="24"/>
          <w:szCs w:val="24"/>
          <w:lang w:val="hy-AM"/>
        </w:rPr>
        <w:t>արտահանում</w:t>
      </w:r>
      <w:r w:rsidRPr="00772498">
        <w:rPr>
          <w:rFonts w:eastAsia="Calibri" w:cs="Times New Roman"/>
          <w:b/>
          <w:bCs/>
          <w:color w:val="1F497D" w:themeColor="text2"/>
          <w:sz w:val="24"/>
          <w:szCs w:val="24"/>
          <w:lang w:val="hy-AM"/>
        </w:rPr>
        <w:t xml:space="preserve"> </w:t>
      </w:r>
      <w:r w:rsidRPr="00772498">
        <w:rPr>
          <w:rFonts w:eastAsia="Calibri" w:cs="Sylfaen"/>
          <w:b/>
          <w:bCs/>
          <w:color w:val="1F497D" w:themeColor="text2"/>
          <w:sz w:val="24"/>
          <w:szCs w:val="24"/>
          <w:lang w:val="hy-AM"/>
        </w:rPr>
        <w:t>և</w:t>
      </w:r>
      <w:r w:rsidRPr="00772498">
        <w:rPr>
          <w:rFonts w:eastAsia="Calibri" w:cs="Times New Roman"/>
          <w:b/>
          <w:bCs/>
          <w:color w:val="1F497D" w:themeColor="text2"/>
          <w:sz w:val="24"/>
          <w:szCs w:val="24"/>
          <w:lang w:val="hy-AM"/>
        </w:rPr>
        <w:t xml:space="preserve"> </w:t>
      </w:r>
      <w:r w:rsidRPr="00772498">
        <w:rPr>
          <w:rFonts w:eastAsia="Calibri" w:cs="Sylfaen"/>
          <w:b/>
          <w:bCs/>
          <w:color w:val="1F497D" w:themeColor="text2"/>
          <w:sz w:val="24"/>
          <w:szCs w:val="24"/>
          <w:lang w:val="hy-AM"/>
        </w:rPr>
        <w:t>ներմուծում</w:t>
      </w:r>
      <w:bookmarkEnd w:id="187"/>
      <w:r w:rsidRPr="00772498">
        <w:rPr>
          <w:rFonts w:eastAsia="Calibri" w:cs="Times New Roman"/>
          <w:b/>
          <w:bCs/>
          <w:color w:val="1F497D" w:themeColor="text2"/>
          <w:sz w:val="24"/>
          <w:szCs w:val="24"/>
          <w:lang w:val="hy-AM"/>
        </w:rPr>
        <w:t xml:space="preserve"> </w:t>
      </w:r>
    </w:p>
    <w:p w14:paraId="4299803D" w14:textId="77777777" w:rsidR="00C35FD6" w:rsidRPr="00C35FD6" w:rsidRDefault="00C35FD6" w:rsidP="00C35FD6">
      <w:pPr>
        <w:tabs>
          <w:tab w:val="num" w:pos="720"/>
        </w:tabs>
        <w:spacing w:before="0" w:after="120" w:line="276" w:lineRule="auto"/>
        <w:ind w:firstLine="720"/>
        <w:rPr>
          <w:rFonts w:eastAsia="Calibri" w:cs="Sylfaen"/>
          <w:lang w:val="hy-AM"/>
        </w:rPr>
      </w:pPr>
      <w:r w:rsidRPr="00C35FD6">
        <w:rPr>
          <w:rFonts w:eastAsia="Calibri" w:cs="Sylfaen"/>
          <w:b/>
          <w:lang w:val="hy-AM"/>
        </w:rPr>
        <w:t>2017-2019թթ.</w:t>
      </w:r>
      <w:r w:rsidRPr="00C35FD6" w:rsidDel="00301E27">
        <w:rPr>
          <w:rFonts w:eastAsia="Calibri" w:cs="Sylfaen"/>
          <w:b/>
          <w:lang w:val="hy-AM"/>
        </w:rPr>
        <w:t xml:space="preserve"> </w:t>
      </w:r>
      <w:r w:rsidRPr="00C35FD6">
        <w:rPr>
          <w:rFonts w:eastAsia="Calibri" w:cs="Sylfaen"/>
          <w:b/>
          <w:lang w:val="hy-AM"/>
        </w:rPr>
        <w:t>վճարային հաշվեկշռի ընթացիկ հաշվի պակասուրդը վատթարացել է` միջինում կազմելով ՀՆԱ-ի 5.2%-ը:</w:t>
      </w:r>
      <w:r w:rsidRPr="00C35FD6">
        <w:rPr>
          <w:rFonts w:eastAsia="Calibri" w:cs="Sylfaen"/>
          <w:lang w:val="hy-AM"/>
        </w:rPr>
        <w:t xml:space="preserve"> </w:t>
      </w:r>
      <w:r w:rsidRPr="00C35FD6">
        <w:rPr>
          <w:rFonts w:eastAsia="Calibri" w:cs="Times Armenian"/>
          <w:lang w:val="hy-AM"/>
        </w:rPr>
        <w:t>Նշված տարիներին ընթացիկ հաշիվը բնութագրվել է ապրանքների և ծառայությունների հաշվեկշռի որոշակի վատթարացմամբ՝ դոլարային արտահայտությամբ ներմուծման առաջանցիկ աճով արտահանման միջին աճի համեմատ, ինչպես նաև սկզբնական և երկրորդային եկամուտների ծավալների աստիճանական կրճատմամբ։</w:t>
      </w:r>
      <w:r w:rsidRPr="00C35FD6">
        <w:rPr>
          <w:rFonts w:eastAsia="Calibri" w:cs="Sylfaen"/>
          <w:lang w:val="hy-AM"/>
        </w:rPr>
        <w:t xml:space="preserve"> 2019թ.</w:t>
      </w:r>
      <w:r w:rsidRPr="00C35FD6" w:rsidDel="00301E27">
        <w:rPr>
          <w:rFonts w:eastAsia="Calibri" w:cs="Sylfaen"/>
          <w:lang w:val="hy-AM"/>
        </w:rPr>
        <w:t xml:space="preserve"> </w:t>
      </w:r>
      <w:r w:rsidRPr="00C35FD6">
        <w:rPr>
          <w:rFonts w:eastAsia="Calibri" w:cs="Sylfaen"/>
          <w:lang w:val="hy-AM"/>
        </w:rPr>
        <w:t>ընթացիկ հաշվի պակասուրդը նախորդ տարվա համեմատ վատթարացել և կազմել է ՀՆԱ-ի 7.2%-ը, ինչը հիմնականում պայմանավորված է եղել ապրանքների և ծառայությունների բացասական հաշվեկշռի խորացմամբ:</w:t>
      </w:r>
    </w:p>
    <w:p w14:paraId="15D96C2B" w14:textId="77777777" w:rsidR="00C35FD6" w:rsidRPr="00C35FD6" w:rsidRDefault="00C35FD6" w:rsidP="00C35FD6">
      <w:pPr>
        <w:spacing w:before="0" w:after="120" w:line="276" w:lineRule="auto"/>
        <w:ind w:firstLine="0"/>
        <w:rPr>
          <w:rFonts w:eastAsia="Calibri" w:cs="Sylfaen"/>
          <w:lang w:val="hy-AM"/>
        </w:rPr>
      </w:pPr>
      <w:r w:rsidRPr="00C35FD6">
        <w:rPr>
          <w:rFonts w:eastAsia="Calibri" w:cs="Sylfaen"/>
          <w:lang w:val="hy-AM"/>
        </w:rPr>
        <w:t xml:space="preserve">        </w:t>
      </w:r>
      <w:r w:rsidRPr="00C35FD6">
        <w:rPr>
          <w:rFonts w:eastAsia="Calibri" w:cs="Sylfaen"/>
          <w:b/>
          <w:bCs/>
          <w:u w:val="single"/>
          <w:lang w:val="hy-AM"/>
        </w:rPr>
        <w:t>Կանխատեսում։</w:t>
      </w:r>
      <w:r w:rsidRPr="00C35FD6">
        <w:rPr>
          <w:rFonts w:eastAsia="Calibri" w:cs="Sylfaen"/>
          <w:lang w:val="hy-AM"/>
        </w:rPr>
        <w:t xml:space="preserve"> Համավարակի հետևանքով ներքին և արտաքին թուլացող պահանջարկի և գլոբալ զբոսաշրջության կրճատման </w:t>
      </w:r>
      <w:r w:rsidRPr="00C35FD6">
        <w:rPr>
          <w:rFonts w:eastAsia="GHEA Grapalat" w:cs="GHEA Grapalat"/>
          <w:lang w:val="hy-AM"/>
        </w:rPr>
        <w:t>պայմաններում</w:t>
      </w:r>
      <w:r w:rsidRPr="00C35FD6">
        <w:rPr>
          <w:rFonts w:eastAsia="Calibri" w:cs="Sylfaen"/>
          <w:lang w:val="hy-AM"/>
        </w:rPr>
        <w:t xml:space="preserve"> 2020թ. ընթացիկ հաշվի պակասուրդը նախորդ երեք տարիների միջինի համեմատ կխորանա՝ մոտենալով ՀՆԱ-ի 10% մակարդակի: Ակնկալվում է, որ պակասուրդի վատթարացմանը կնպաստի նաև հիմնական գործընկեր՝ ՌԴ տնտեսության անկման արդյունքում դրամական փոխանցումների զգալի կրճատումը: Միջնաժամկետ հորիզոնում ընթացիկ հաշվի պակասուրդը կբարելավվի՝ ձգտելով իր երկարաժամկետ հավասարակշիռ մակարդակին: </w:t>
      </w:r>
    </w:p>
    <w:p w14:paraId="51177673" w14:textId="77777777" w:rsidR="00C35FD6" w:rsidRPr="00C35FD6" w:rsidRDefault="00C35FD6" w:rsidP="00C35FD6">
      <w:pPr>
        <w:tabs>
          <w:tab w:val="left" w:pos="0"/>
        </w:tabs>
        <w:spacing w:before="0" w:after="0" w:line="276" w:lineRule="auto"/>
        <w:ind w:firstLine="0"/>
        <w:jc w:val="left"/>
        <w:rPr>
          <w:rFonts w:eastAsia="Calibri" w:cs="Times New Roman"/>
          <w:i/>
          <w:sz w:val="18"/>
          <w:szCs w:val="18"/>
          <w:lang w:val="hy-AM"/>
        </w:rPr>
      </w:pPr>
      <w:r w:rsidRPr="00C35FD6">
        <w:rPr>
          <w:rFonts w:eastAsia="Calibri" w:cs="Times New Roman"/>
          <w:i/>
          <w:noProof/>
          <w:sz w:val="18"/>
          <w:szCs w:val="18"/>
        </w:rPr>
        <w:drawing>
          <wp:anchor distT="0" distB="0" distL="114300" distR="114300" simplePos="0" relativeHeight="251664384" behindDoc="1" locked="0" layoutInCell="1" allowOverlap="1" wp14:anchorId="5704BB54" wp14:editId="6B9356BC">
            <wp:simplePos x="0" y="0"/>
            <wp:positionH relativeFrom="column">
              <wp:posOffset>3071495</wp:posOffset>
            </wp:positionH>
            <wp:positionV relativeFrom="paragraph">
              <wp:posOffset>218440</wp:posOffset>
            </wp:positionV>
            <wp:extent cx="3218815" cy="2266950"/>
            <wp:effectExtent l="0" t="0" r="635" b="0"/>
            <wp:wrapTight wrapText="bothSides">
              <wp:wrapPolygon edited="0">
                <wp:start x="0" y="0"/>
                <wp:lineTo x="0" y="21418"/>
                <wp:lineTo x="21476" y="21418"/>
                <wp:lineTo x="21476"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Pr="00C35FD6">
        <w:rPr>
          <w:rFonts w:eastAsia="Calibri" w:cs="Sylfaen"/>
          <w:b/>
          <w:i/>
          <w:lang w:val="hy-AM"/>
        </w:rPr>
        <w:t>Գծապատկեր</w:t>
      </w:r>
      <w:r w:rsidRPr="00C35FD6">
        <w:rPr>
          <w:rFonts w:eastAsia="Calibri" w:cs="Times Armenian"/>
          <w:b/>
          <w:i/>
          <w:lang w:val="hy-AM"/>
        </w:rPr>
        <w:t xml:space="preserve"> 1.20.</w:t>
      </w:r>
      <w:r w:rsidRPr="00C35FD6">
        <w:rPr>
          <w:rFonts w:eastAsia="Calibri" w:cs="Times Armenian"/>
          <w:i/>
          <w:sz w:val="21"/>
          <w:szCs w:val="20"/>
          <w:lang w:val="hy-AM"/>
        </w:rPr>
        <w:t xml:space="preserve"> </w:t>
      </w:r>
      <w:r w:rsidRPr="00C35FD6">
        <w:rPr>
          <w:rFonts w:eastAsia="Calibri" w:cs="Sylfaen"/>
          <w:i/>
          <w:sz w:val="20"/>
          <w:szCs w:val="20"/>
          <w:lang w:val="hy-AM"/>
        </w:rPr>
        <w:t>Ընթացիկ հաշվի պակասուրդը և բաղադրատարրերը (ՀՆԱ-ում %)</w:t>
      </w:r>
      <w:r w:rsidRPr="00C35FD6">
        <w:rPr>
          <w:rFonts w:eastAsia="Calibri" w:cs="Times New Roman"/>
          <w:i/>
          <w:noProof/>
          <w:sz w:val="16"/>
          <w:szCs w:val="16"/>
        </w:rPr>
        <w:drawing>
          <wp:anchor distT="0" distB="0" distL="114300" distR="114300" simplePos="0" relativeHeight="251661312" behindDoc="1" locked="0" layoutInCell="1" allowOverlap="1" wp14:anchorId="0E73669B" wp14:editId="7C3408F8">
            <wp:simplePos x="0" y="0"/>
            <wp:positionH relativeFrom="column">
              <wp:posOffset>-2540</wp:posOffset>
            </wp:positionH>
            <wp:positionV relativeFrom="paragraph">
              <wp:posOffset>217170</wp:posOffset>
            </wp:positionV>
            <wp:extent cx="3077210" cy="2266950"/>
            <wp:effectExtent l="0" t="0" r="8890" b="0"/>
            <wp:wrapTight wrapText="bothSides">
              <wp:wrapPolygon edited="0">
                <wp:start x="0" y="0"/>
                <wp:lineTo x="0" y="21418"/>
                <wp:lineTo x="21529" y="21418"/>
                <wp:lineTo x="21529" y="0"/>
                <wp:lineTo x="0" y="0"/>
              </wp:wrapPolygon>
            </wp:wrapTight>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14:paraId="0C2808E6" w14:textId="77777777" w:rsidR="00C35FD6" w:rsidRPr="00C35FD6" w:rsidRDefault="00C35FD6" w:rsidP="00C35FD6">
      <w:pPr>
        <w:spacing w:before="0" w:after="0" w:line="276" w:lineRule="auto"/>
        <w:ind w:firstLine="0"/>
        <w:rPr>
          <w:rFonts w:eastAsia="Calibri" w:cs="Sylfaen"/>
          <w:sz w:val="16"/>
          <w:szCs w:val="16"/>
          <w:lang w:val="hy-AM"/>
        </w:rPr>
      </w:pPr>
      <w:r w:rsidRPr="00C35FD6">
        <w:rPr>
          <w:rFonts w:eastAsia="Calibri" w:cs="Times New Roman"/>
          <w:i/>
          <w:sz w:val="18"/>
          <w:szCs w:val="18"/>
          <w:lang w:val="hy-AM"/>
        </w:rPr>
        <w:t>Աղբյուրը՝ ՀՀ ՎԿ, ԿԲ և ՀՀ ՖՆ հաշվարկներ և  կանխատեսումներ</w:t>
      </w:r>
    </w:p>
    <w:p w14:paraId="76EA2157" w14:textId="77777777" w:rsidR="00C35FD6" w:rsidRPr="00C35FD6" w:rsidRDefault="00C35FD6" w:rsidP="00C35FD6">
      <w:pPr>
        <w:spacing w:before="0" w:after="0" w:line="276" w:lineRule="auto"/>
        <w:ind w:firstLine="0"/>
        <w:rPr>
          <w:rFonts w:eastAsia="Calibri" w:cs="Sylfaen"/>
          <w:lang w:val="hy-AM"/>
        </w:rPr>
      </w:pPr>
    </w:p>
    <w:bookmarkEnd w:id="185"/>
    <w:p w14:paraId="0F0DF2E1" w14:textId="77777777" w:rsidR="00C35FD6" w:rsidRPr="00C35FD6" w:rsidRDefault="00C35FD6" w:rsidP="00C35FD6">
      <w:pPr>
        <w:spacing w:before="0" w:after="120" w:line="276" w:lineRule="auto"/>
        <w:ind w:firstLine="720"/>
        <w:rPr>
          <w:rFonts w:eastAsia="Calibri" w:cs="Sylfaen"/>
          <w:lang w:val="hy-AM"/>
        </w:rPr>
      </w:pPr>
      <w:r w:rsidRPr="00C35FD6">
        <w:rPr>
          <w:rFonts w:eastAsia="Calibri" w:cs="Sylfaen"/>
          <w:b/>
          <w:u w:val="single"/>
          <w:lang w:val="hy-AM"/>
        </w:rPr>
        <w:t>Արտահանում:</w:t>
      </w:r>
      <w:r w:rsidRPr="00C35FD6">
        <w:rPr>
          <w:rFonts w:eastAsia="Calibri" w:cs="Sylfaen"/>
          <w:b/>
          <w:lang w:val="hy-AM"/>
        </w:rPr>
        <w:t xml:space="preserve"> 2017-2019թթ. միջինում արձանագրվել է ապրանքների և ծառայությունների դոլարային արտահանման երկնիշ՝ 16.7% աճ: </w:t>
      </w:r>
      <w:r w:rsidRPr="00C35FD6">
        <w:rPr>
          <w:rFonts w:eastAsia="Calibri" w:cs="Sylfaen"/>
          <w:lang w:val="hy-AM"/>
        </w:rPr>
        <w:t xml:space="preserve">Հիմնականում տուրիզմի աշխուժացման շնորհիվ ծառայությունների արտահանումը միջինում աճել է 13.4%-ով: Ապրանքների արտահանման աճը վերջին երեք տարիներին արագացել է՝ միջինում կազմելով 19.4%՝ մեծամասամբ պայմանավորված արտաքին պահանջարկի աճով, ինչպես նաև տնտեսության </w:t>
      </w:r>
      <w:r w:rsidRPr="00C35FD6">
        <w:rPr>
          <w:rFonts w:eastAsia="Calibri" w:cs="Sylfaen"/>
          <w:lang w:val="hy-AM"/>
        </w:rPr>
        <w:lastRenderedPageBreak/>
        <w:t xml:space="preserve">արտահանելի հատվածում կատարված ներդրումներով: Վերջին տարիներին արտահանման կառուցվածքը բարելավվել է՝ ի օգուտ մշակող արդյունաբերության:  </w:t>
      </w:r>
    </w:p>
    <w:p w14:paraId="252B6759" w14:textId="77777777" w:rsidR="00C35FD6" w:rsidRPr="00C35FD6" w:rsidRDefault="00C35FD6" w:rsidP="00C35FD6">
      <w:pPr>
        <w:tabs>
          <w:tab w:val="num" w:pos="720"/>
        </w:tabs>
        <w:spacing w:before="0" w:after="120" w:line="276" w:lineRule="auto"/>
        <w:ind w:firstLine="539"/>
        <w:rPr>
          <w:rFonts w:eastAsia="Calibri" w:cs="Sylfaen"/>
          <w:lang w:val="hy-AM"/>
        </w:rPr>
      </w:pPr>
      <w:r w:rsidRPr="00C35FD6">
        <w:rPr>
          <w:rFonts w:eastAsia="Calibri" w:cs="Sylfaen"/>
          <w:lang w:val="hy-AM"/>
        </w:rPr>
        <w:t xml:space="preserve">2019թ. ապրանքների արտահանումն աճել է 19.4%-ով և հիմնականում պայմանավորված է եղել ներքին տնտեսության մշակող և հանքագործական արդյունաբերության աճերով։ Ծառայությունների արտահանման աճը պայմանավորվել է զբոսաշրջության նախորդ տարվա համեմատ ավելի բարձր՝ շուրջ 15% աճով: </w:t>
      </w:r>
      <w:r w:rsidRPr="00C35FD6">
        <w:rPr>
          <w:rFonts w:eastAsia="Calibri" w:cs="Sylfaen"/>
          <w:b/>
          <w:lang w:val="hy-AM"/>
        </w:rPr>
        <w:t xml:space="preserve">Համավարակի հետևանքով առավել մեծ վնասներ է կրել ծառայությունների արտահանման ոլորտը. </w:t>
      </w:r>
      <w:r w:rsidRPr="00C35FD6">
        <w:rPr>
          <w:rFonts w:eastAsia="Calibri" w:cs="Sylfaen"/>
          <w:lang w:val="hy-AM"/>
        </w:rPr>
        <w:t xml:space="preserve">2020թ. առաջին եռամսյակին ծառայությունների արտահանումը կրճատվել է 8.1%-ով, որին հիմնականում նպաստել է զբոսաշրջության արտահանման 15.3% անկումը։ </w:t>
      </w:r>
      <w:r w:rsidRPr="00C35FD6">
        <w:rPr>
          <w:rFonts w:eastAsia="Calibri" w:cs="Sylfaen"/>
          <w:b/>
          <w:lang w:val="hy-AM"/>
        </w:rPr>
        <w:t xml:space="preserve">Չնայած 2020թ. տարեսկզբի աճի բարձր տեմպերին՝ 2020թ. հունվար-մայիս ամիսներին ՀՀ ապրանքների արտահանումը նույնպես կրճատվել է 8.1%-ով, ինչը տեղի է ունեցել տնտեսության սահմանափակումների հետևանքով հայկական ապրանքների առաջարկի կրճատման, ինչպես նաև արտաքին պահանջարկի դանդաղման հետևանքով: </w:t>
      </w:r>
    </w:p>
    <w:p w14:paraId="0D28915C" w14:textId="77777777" w:rsidR="00C35FD6" w:rsidRPr="00C35FD6" w:rsidRDefault="00C35FD6" w:rsidP="00C35FD6">
      <w:pPr>
        <w:spacing w:before="0" w:after="0" w:line="276" w:lineRule="auto"/>
        <w:ind w:firstLine="0"/>
        <w:rPr>
          <w:rFonts w:eastAsia="Calibri" w:cs="Sylfaen"/>
          <w:bCs/>
          <w:i/>
          <w:sz w:val="20"/>
          <w:szCs w:val="20"/>
          <w:lang w:val="hy-AM"/>
        </w:rPr>
      </w:pPr>
      <w:r w:rsidRPr="00C35FD6">
        <w:rPr>
          <w:rFonts w:eastAsia="Calibri" w:cs="Times New Roman"/>
          <w:b/>
          <w:i/>
          <w:noProof/>
        </w:rPr>
        <w:drawing>
          <wp:anchor distT="0" distB="0" distL="114300" distR="114300" simplePos="0" relativeHeight="251676672" behindDoc="1" locked="0" layoutInCell="1" allowOverlap="1" wp14:anchorId="734908ED" wp14:editId="53E86F99">
            <wp:simplePos x="0" y="0"/>
            <wp:positionH relativeFrom="margin">
              <wp:posOffset>3480435</wp:posOffset>
            </wp:positionH>
            <wp:positionV relativeFrom="paragraph">
              <wp:posOffset>318770</wp:posOffset>
            </wp:positionV>
            <wp:extent cx="3028950" cy="1809750"/>
            <wp:effectExtent l="0" t="0" r="6350" b="6350"/>
            <wp:wrapTight wrapText="bothSides">
              <wp:wrapPolygon edited="0">
                <wp:start x="0" y="0"/>
                <wp:lineTo x="0" y="21524"/>
                <wp:lineTo x="21555" y="21524"/>
                <wp:lineTo x="21555" y="0"/>
                <wp:lineTo x="0" y="0"/>
              </wp:wrapPolygon>
            </wp:wrapTight>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Pr="00C35FD6">
        <w:rPr>
          <w:rFonts w:eastAsia="Calibri" w:cs="Times New Roman"/>
          <w:b/>
          <w:i/>
          <w:noProof/>
        </w:rPr>
        <w:drawing>
          <wp:anchor distT="0" distB="0" distL="114300" distR="114300" simplePos="0" relativeHeight="251673600" behindDoc="1" locked="0" layoutInCell="1" allowOverlap="1" wp14:anchorId="170E1208" wp14:editId="11D68165">
            <wp:simplePos x="0" y="0"/>
            <wp:positionH relativeFrom="margin">
              <wp:align>left</wp:align>
            </wp:positionH>
            <wp:positionV relativeFrom="paragraph">
              <wp:posOffset>317500</wp:posOffset>
            </wp:positionV>
            <wp:extent cx="3295650" cy="1809750"/>
            <wp:effectExtent l="0" t="0" r="0" b="0"/>
            <wp:wrapTight wrapText="bothSides">
              <wp:wrapPolygon edited="0">
                <wp:start x="0" y="0"/>
                <wp:lineTo x="0" y="21373"/>
                <wp:lineTo x="21475" y="21373"/>
                <wp:lineTo x="21475"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Pr="00C35FD6">
        <w:rPr>
          <w:rFonts w:eastAsia="Calibri" w:cs="Sylfaen"/>
          <w:b/>
          <w:i/>
          <w:lang w:val="hy-AM"/>
        </w:rPr>
        <w:t>Գծապատկեր 1.21</w:t>
      </w:r>
      <w:r w:rsidRPr="00C35FD6">
        <w:rPr>
          <w:rFonts w:ascii="MS Gothic" w:eastAsia="MS Gothic" w:hAnsi="MS Gothic" w:cs="MS Gothic" w:hint="eastAsia"/>
          <w:b/>
          <w:i/>
          <w:lang w:val="hy-AM"/>
        </w:rPr>
        <w:t>․</w:t>
      </w:r>
      <w:r w:rsidRPr="00C35FD6">
        <w:rPr>
          <w:rFonts w:eastAsia="Calibri" w:cs="Sylfaen"/>
          <w:bCs/>
          <w:i/>
          <w:sz w:val="20"/>
          <w:szCs w:val="20"/>
          <w:lang w:val="hy-AM"/>
        </w:rPr>
        <w:t xml:space="preserve"> 2020թ. ապրանքների արտահանման միտումները, %</w:t>
      </w:r>
    </w:p>
    <w:p w14:paraId="685D2999" w14:textId="77777777" w:rsidR="00C35FD6" w:rsidRPr="00C35FD6" w:rsidRDefault="00C35FD6" w:rsidP="00C35FD6">
      <w:pPr>
        <w:spacing w:before="0" w:after="0" w:line="276" w:lineRule="auto"/>
        <w:ind w:firstLine="540"/>
        <w:rPr>
          <w:rFonts w:eastAsia="Calibri" w:cs="Times New Roman"/>
          <w:i/>
          <w:sz w:val="18"/>
          <w:szCs w:val="18"/>
          <w:lang w:val="hy-AM"/>
        </w:rPr>
      </w:pPr>
      <w:r w:rsidRPr="00C35FD6">
        <w:rPr>
          <w:rFonts w:eastAsia="Calibri" w:cs="Times New Roman"/>
          <w:i/>
          <w:sz w:val="18"/>
          <w:szCs w:val="18"/>
          <w:lang w:val="hy-AM"/>
        </w:rPr>
        <w:t>Աղբյուրը՝ ՀՀ ՎԿ և ՀՀ ՖՆ հաշվարկներ:</w:t>
      </w:r>
    </w:p>
    <w:p w14:paraId="5911AEBE" w14:textId="77777777" w:rsidR="00C35FD6" w:rsidRPr="00C35FD6" w:rsidRDefault="00C35FD6" w:rsidP="00C35FD6">
      <w:pPr>
        <w:spacing w:before="0" w:after="0" w:line="276" w:lineRule="auto"/>
        <w:ind w:firstLine="0"/>
        <w:rPr>
          <w:rFonts w:eastAsia="Calibri" w:cs="Sylfaen"/>
          <w:b/>
          <w:u w:val="single"/>
          <w:lang w:val="hy-AM"/>
        </w:rPr>
      </w:pPr>
    </w:p>
    <w:p w14:paraId="166998E6" w14:textId="77777777" w:rsidR="00C35FD6" w:rsidRPr="00C35FD6" w:rsidRDefault="00C35FD6" w:rsidP="00C35FD6">
      <w:pPr>
        <w:spacing w:before="0" w:after="120" w:line="276" w:lineRule="auto"/>
        <w:ind w:firstLine="539"/>
        <w:rPr>
          <w:rFonts w:eastAsia="Calibri" w:cs="Sylfaen"/>
          <w:b/>
          <w:u w:val="single"/>
          <w:lang w:val="hy-AM"/>
        </w:rPr>
      </w:pPr>
      <w:r w:rsidRPr="00C35FD6">
        <w:rPr>
          <w:rFonts w:eastAsia="Calibri" w:cs="Sylfaen"/>
          <w:b/>
          <w:bCs/>
          <w:u w:val="single"/>
          <w:lang w:val="hy-AM"/>
        </w:rPr>
        <w:t>Կանխատեսում։</w:t>
      </w:r>
      <w:r w:rsidRPr="00C35FD6">
        <w:rPr>
          <w:rFonts w:eastAsia="Calibri" w:cs="Sylfaen"/>
          <w:lang w:val="hy-AM"/>
        </w:rPr>
        <w:t xml:space="preserve"> 2020թ. սպասվում է մոտ 22% արտահանման նվազում: Միջնաժամկետ հորիզոնում համաշխարհային և ՀՀ տնտեսական ակտիվության վերականգման, տնտեսության արտահանելի հատվածի զարգացումներով և արտահանման ու ներդրումների խրախուսմանն ուղղված ՀՀ կառավարության քաղաքականությանը համահունչ ակնկալվում է արտահանման երկնիշ աճի վերականգնում։ </w:t>
      </w:r>
    </w:p>
    <w:p w14:paraId="6C1B7C47" w14:textId="77777777" w:rsidR="00C35FD6" w:rsidRPr="00C35FD6" w:rsidRDefault="00C35FD6" w:rsidP="00C35FD6">
      <w:pPr>
        <w:tabs>
          <w:tab w:val="left" w:pos="0"/>
        </w:tabs>
        <w:spacing w:before="0" w:after="120" w:line="276" w:lineRule="auto"/>
        <w:ind w:firstLine="539"/>
        <w:rPr>
          <w:rFonts w:eastAsia="Calibri" w:cs="Sylfaen"/>
          <w:lang w:val="hy-AM"/>
        </w:rPr>
      </w:pPr>
      <w:r w:rsidRPr="00C35FD6">
        <w:rPr>
          <w:rFonts w:eastAsia="Calibri" w:cs="Sylfaen"/>
          <w:b/>
          <w:u w:val="single"/>
          <w:lang w:val="hy-AM"/>
        </w:rPr>
        <w:t>Ներմուծում:</w:t>
      </w:r>
      <w:r w:rsidRPr="00C35FD6">
        <w:rPr>
          <w:rFonts w:eastAsia="Calibri" w:cs="Sylfaen"/>
          <w:b/>
          <w:lang w:val="hy-AM"/>
        </w:rPr>
        <w:t xml:space="preserve"> 2017-2019թթ. միջինում արձանագրվել է ապրանքների և ծառայությունների դոլարային ներմուծման 18.8% աճ: </w:t>
      </w:r>
      <w:r w:rsidRPr="00C35FD6">
        <w:rPr>
          <w:rFonts w:eastAsia="Calibri" w:cs="Sylfaen"/>
          <w:lang w:val="hy-AM"/>
        </w:rPr>
        <w:t>Ծառայությունների ներմուծումը միջինում աճել է 15.3%-ով՝ հիմնականում ճանապարհորդության և տրանսպորտի հետ կապված ծառայությունների շնորհիվ: Ապրանքների ներմուծման ծավալները միջինում աճել են 20.7%-ով՝ պայմանավորված տնտեսական ակտիվության, ներքին պահանջարկի և բնակչության տնօրինվող եկամուտների աճերով: Վերջին երեք տարիների ընթացքում ներմուծման աճին հիմնականում նպաստել է միջանկյալ սպառման ապրանքների ներմուծումը, նշանակալի էր նաև կապիտալ բնույթի ապրանքների դերը։ 2019թ.</w:t>
      </w:r>
      <w:r w:rsidRPr="00C35FD6" w:rsidDel="00301E27">
        <w:rPr>
          <w:rFonts w:eastAsia="Calibri" w:cs="Sylfaen"/>
          <w:lang w:val="hy-AM"/>
        </w:rPr>
        <w:t xml:space="preserve"> </w:t>
      </w:r>
      <w:r w:rsidRPr="00C35FD6">
        <w:rPr>
          <w:rFonts w:eastAsia="Calibri" w:cs="Sylfaen"/>
          <w:lang w:val="hy-AM"/>
        </w:rPr>
        <w:t>ապրանքների ներմուծման 12.8% աճը պայմանավորվել է ինչպես նշված գործոններով, այնպես էլ մեծ քանակով ավտոմեքենաների ներկրմամբ: Ծառայությունների ներմուծման աճը կազմել է 13</w:t>
      </w:r>
      <w:r w:rsidRPr="00C35FD6">
        <w:rPr>
          <w:rFonts w:ascii="MS Mincho" w:eastAsia="MS Mincho" w:hAnsi="MS Mincho" w:cs="MS Mincho"/>
          <w:lang w:val="hy-AM"/>
        </w:rPr>
        <w:t>.</w:t>
      </w:r>
      <w:r w:rsidRPr="00C35FD6">
        <w:rPr>
          <w:rFonts w:eastAsia="Calibri" w:cs="Sylfaen"/>
          <w:lang w:val="hy-AM"/>
        </w:rPr>
        <w:t xml:space="preserve">5% և հիմնականում պայմանավորվել է ճանապարհորդության հետ կապված ծառայությունների աճով:  </w:t>
      </w:r>
      <w:r w:rsidRPr="00C35FD6">
        <w:rPr>
          <w:rFonts w:eastAsia="Calibri" w:cs="Sylfaen"/>
          <w:lang w:val="hy-AM"/>
        </w:rPr>
        <w:lastRenderedPageBreak/>
        <w:t>2020թ. առաջին եռամսյակի տվյալներով ծառայությունների ներմուծումը կրճատվել է 10</w:t>
      </w:r>
      <w:r w:rsidRPr="00C35FD6">
        <w:rPr>
          <w:rFonts w:eastAsia="MS Mincho" w:cs="MS Mincho"/>
          <w:lang w:val="hy-AM"/>
        </w:rPr>
        <w:t>.</w:t>
      </w:r>
      <w:r w:rsidRPr="00C35FD6">
        <w:rPr>
          <w:rFonts w:eastAsia="Calibri" w:cs="Sylfaen"/>
          <w:lang w:val="hy-AM"/>
        </w:rPr>
        <w:t>7%-ով՝ հիմնականում պայմանավորված ճանապարհորդության և մարդատար տրանսպորտի մեջ զբոսաշրջության հետ կապված ծառայությունների 12.6% անկմամբ։</w:t>
      </w:r>
    </w:p>
    <w:p w14:paraId="757BAFFE" w14:textId="77777777" w:rsidR="00C35FD6" w:rsidRPr="00C35FD6" w:rsidRDefault="00C35FD6" w:rsidP="00C35FD6">
      <w:pPr>
        <w:tabs>
          <w:tab w:val="left" w:pos="0"/>
        </w:tabs>
        <w:spacing w:before="0" w:after="120" w:line="276" w:lineRule="auto"/>
        <w:ind w:firstLine="539"/>
        <w:contextualSpacing/>
        <w:rPr>
          <w:rFonts w:eastAsia="Calibri" w:cs="Sylfaen"/>
          <w:lang w:val="hy-AM"/>
        </w:rPr>
      </w:pPr>
      <w:r w:rsidRPr="00C35FD6">
        <w:rPr>
          <w:rFonts w:eastAsia="GHEA Grapalat" w:cs="GHEA Grapalat"/>
          <w:lang w:val="hy-AM"/>
        </w:rPr>
        <w:t>Չնայած տարեսկզբի աճի տեմպերին՝ 2020թ</w:t>
      </w:r>
      <w:r w:rsidRPr="00C35FD6">
        <w:rPr>
          <w:rFonts w:eastAsia="Calibri" w:cs="Sylfaen"/>
          <w:lang w:val="hy-AM"/>
        </w:rPr>
        <w:t xml:space="preserve">. հունվար-մայիսին արձանագրվել է 12.8% ապրանքների ներմուծման անկում, որին հիմնական ազդեցությունն է ունեցել </w:t>
      </w:r>
      <w:r w:rsidRPr="00C35FD6">
        <w:rPr>
          <w:rFonts w:eastAsia="GHEA Grapalat" w:cs="GHEA Grapalat"/>
          <w:lang w:val="hy-AM"/>
        </w:rPr>
        <w:t>մաքսատուրքերի փոփոխությամբ պայմանավորված</w:t>
      </w:r>
      <w:r w:rsidRPr="00C35FD6">
        <w:rPr>
          <w:rFonts w:eastAsia="Calibri" w:cs="Sylfaen"/>
          <w:lang w:val="hy-AM"/>
        </w:rPr>
        <w:t xml:space="preserve"> մարդատար ավտոմեքենաների ներկրման կտրուկ նվազումը</w:t>
      </w:r>
      <w:r w:rsidRPr="00C35FD6">
        <w:rPr>
          <w:rFonts w:eastAsia="GHEA Grapalat" w:cs="GHEA Grapalat"/>
          <w:lang w:val="hy-AM"/>
        </w:rPr>
        <w:t xml:space="preserve">: </w:t>
      </w:r>
      <w:r w:rsidRPr="00C35FD6">
        <w:rPr>
          <w:rFonts w:eastAsia="Calibri" w:cs="Sylfaen"/>
          <w:b/>
          <w:lang w:val="hy-AM"/>
        </w:rPr>
        <w:t>Ներմուծման կրճատմանն են նպաստել նաև միջանկյալ և վերջնական սպառման ապրանքների, ինչպես նաև կապիտալ բնույթի ապրանքների ներմուծման նվազումը, ինչը պայմանավորվել է համավարակի հետևանքով տնտեսական ակտիվության դանդաղման պայմաններում ներքին պահանջարկի և ակտիվության թուլացմամբ։</w:t>
      </w:r>
      <w:r w:rsidRPr="00C35FD6">
        <w:rPr>
          <w:rFonts w:eastAsia="Calibri" w:cs="Sylfaen"/>
          <w:lang w:val="hy-AM"/>
        </w:rPr>
        <w:t xml:space="preserve"> </w:t>
      </w:r>
    </w:p>
    <w:p w14:paraId="251B9B63" w14:textId="77777777" w:rsidR="00C35FD6" w:rsidRPr="00C35FD6" w:rsidRDefault="000A2BEC" w:rsidP="00D11A32">
      <w:pPr>
        <w:tabs>
          <w:tab w:val="left" w:pos="0"/>
        </w:tabs>
        <w:spacing w:before="0" w:after="0" w:line="276" w:lineRule="auto"/>
        <w:ind w:firstLine="142"/>
        <w:rPr>
          <w:rFonts w:eastAsia="Calibri" w:cs="Sylfaen"/>
          <w:bCs/>
          <w:i/>
          <w:iCs/>
          <w:lang w:val="hy-AM"/>
        </w:rPr>
      </w:pPr>
      <w:r w:rsidRPr="00C35FD6">
        <w:rPr>
          <w:rFonts w:eastAsia="Calibri" w:cs="Times New Roman"/>
          <w:b/>
          <w:bCs/>
          <w:i/>
          <w:iCs/>
          <w:noProof/>
        </w:rPr>
        <w:drawing>
          <wp:anchor distT="0" distB="0" distL="114300" distR="114300" simplePos="0" relativeHeight="251670528" behindDoc="1" locked="0" layoutInCell="1" allowOverlap="1" wp14:anchorId="6D2EB3EA" wp14:editId="33B90900">
            <wp:simplePos x="0" y="0"/>
            <wp:positionH relativeFrom="margin">
              <wp:posOffset>3175635</wp:posOffset>
            </wp:positionH>
            <wp:positionV relativeFrom="paragraph">
              <wp:posOffset>254000</wp:posOffset>
            </wp:positionV>
            <wp:extent cx="3152775" cy="2057400"/>
            <wp:effectExtent l="0" t="0" r="9525" b="0"/>
            <wp:wrapTight wrapText="bothSides">
              <wp:wrapPolygon edited="0">
                <wp:start x="0" y="0"/>
                <wp:lineTo x="0" y="21400"/>
                <wp:lineTo x="21535" y="21400"/>
                <wp:lineTo x="21535" y="0"/>
                <wp:lineTo x="0" y="0"/>
              </wp:wrapPolygon>
            </wp:wrapTight>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C35FD6" w:rsidRPr="00C35FD6">
        <w:rPr>
          <w:rFonts w:eastAsia="Calibri" w:cs="Sylfaen"/>
          <w:b/>
          <w:bCs/>
          <w:i/>
          <w:iCs/>
          <w:noProof/>
        </w:rPr>
        <w:drawing>
          <wp:anchor distT="0" distB="0" distL="114300" distR="114300" simplePos="0" relativeHeight="251667456" behindDoc="1" locked="0" layoutInCell="1" allowOverlap="1" wp14:anchorId="5C9B1B8A" wp14:editId="457C7578">
            <wp:simplePos x="0" y="0"/>
            <wp:positionH relativeFrom="margin">
              <wp:posOffset>-100965</wp:posOffset>
            </wp:positionH>
            <wp:positionV relativeFrom="paragraph">
              <wp:posOffset>259080</wp:posOffset>
            </wp:positionV>
            <wp:extent cx="3276600" cy="2066925"/>
            <wp:effectExtent l="0" t="0" r="0" b="9525"/>
            <wp:wrapTight wrapText="bothSides">
              <wp:wrapPolygon edited="0">
                <wp:start x="0" y="0"/>
                <wp:lineTo x="0" y="21500"/>
                <wp:lineTo x="21474" y="21500"/>
                <wp:lineTo x="21474" y="0"/>
                <wp:lineTo x="0" y="0"/>
              </wp:wrapPolygon>
            </wp:wrapTight>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sidR="00C35FD6" w:rsidRPr="00C35FD6">
        <w:rPr>
          <w:rFonts w:eastAsia="Calibri" w:cs="Sylfaen"/>
          <w:b/>
          <w:bCs/>
          <w:i/>
          <w:iCs/>
          <w:lang w:val="hy-AM"/>
        </w:rPr>
        <w:t>Գծապատկեր 1.22</w:t>
      </w:r>
      <w:r w:rsidR="00C35FD6" w:rsidRPr="00C35FD6">
        <w:rPr>
          <w:rFonts w:ascii="MS Gothic" w:eastAsia="MS Gothic" w:hAnsi="MS Gothic" w:cs="MS Gothic" w:hint="eastAsia"/>
          <w:b/>
          <w:bCs/>
          <w:i/>
          <w:iCs/>
          <w:lang w:val="hy-AM"/>
        </w:rPr>
        <w:t>․</w:t>
      </w:r>
      <w:r w:rsidR="00C35FD6" w:rsidRPr="00C35FD6">
        <w:rPr>
          <w:rFonts w:eastAsia="Calibri" w:cs="Sylfaen"/>
          <w:bCs/>
          <w:i/>
          <w:iCs/>
          <w:sz w:val="21"/>
          <w:szCs w:val="21"/>
          <w:lang w:val="hy-AM"/>
        </w:rPr>
        <w:t xml:space="preserve"> </w:t>
      </w:r>
      <w:r w:rsidR="00C35FD6" w:rsidRPr="00C35FD6">
        <w:rPr>
          <w:rFonts w:eastAsia="Calibri" w:cs="Sylfaen"/>
          <w:bCs/>
          <w:i/>
          <w:iCs/>
          <w:sz w:val="20"/>
          <w:szCs w:val="20"/>
          <w:lang w:val="hy-AM"/>
        </w:rPr>
        <w:t>2020թ. ապրանքների ներմուծման միտումները,</w:t>
      </w:r>
      <w:r w:rsidR="00DE500D" w:rsidRPr="0035033F">
        <w:rPr>
          <w:rFonts w:eastAsia="Calibri" w:cs="Sylfaen"/>
          <w:bCs/>
          <w:i/>
          <w:iCs/>
          <w:sz w:val="20"/>
          <w:szCs w:val="20"/>
          <w:lang w:val="hy-AM"/>
        </w:rPr>
        <w:t xml:space="preserve"> </w:t>
      </w:r>
      <w:r w:rsidR="00C35FD6" w:rsidRPr="00C35FD6">
        <w:rPr>
          <w:rFonts w:eastAsia="Calibri" w:cs="Sylfaen"/>
          <w:bCs/>
          <w:i/>
          <w:iCs/>
          <w:sz w:val="20"/>
          <w:szCs w:val="20"/>
          <w:lang w:val="hy-AM"/>
        </w:rPr>
        <w:t>%</w:t>
      </w:r>
    </w:p>
    <w:p w14:paraId="2F24DF09" w14:textId="77777777" w:rsidR="00C35FD6" w:rsidRPr="00C35FD6" w:rsidRDefault="00C35FD6" w:rsidP="00C35FD6">
      <w:pPr>
        <w:tabs>
          <w:tab w:val="left" w:pos="0"/>
        </w:tabs>
        <w:spacing w:before="0" w:after="0" w:line="276" w:lineRule="auto"/>
        <w:ind w:firstLine="0"/>
        <w:rPr>
          <w:rFonts w:eastAsia="Calibri" w:cs="Sylfaen"/>
          <w:lang w:val="hy-AM"/>
        </w:rPr>
      </w:pPr>
      <w:r w:rsidRPr="00C35FD6">
        <w:rPr>
          <w:rFonts w:eastAsia="Calibri" w:cs="Sylfaen"/>
          <w:i/>
          <w:sz w:val="18"/>
          <w:szCs w:val="18"/>
          <w:lang w:val="hy-AM"/>
        </w:rPr>
        <w:t xml:space="preserve">Աղբյուրը՝ ՀՀ ՎԿ և ՀՀ ՖՆ հաշվարկներ:  </w:t>
      </w:r>
    </w:p>
    <w:p w14:paraId="348D2D58" w14:textId="77777777" w:rsidR="00C35FD6" w:rsidRPr="00C35FD6" w:rsidRDefault="00C35FD6" w:rsidP="00C35FD6">
      <w:pPr>
        <w:tabs>
          <w:tab w:val="left" w:pos="0"/>
          <w:tab w:val="num" w:pos="720"/>
        </w:tabs>
        <w:spacing w:before="0" w:after="120" w:line="276" w:lineRule="auto"/>
        <w:ind w:firstLine="539"/>
        <w:rPr>
          <w:rFonts w:eastAsia="Calibri" w:cs="Sylfaen"/>
          <w:lang w:val="hy-AM"/>
        </w:rPr>
      </w:pPr>
      <w:r w:rsidRPr="00C35FD6">
        <w:rPr>
          <w:rFonts w:eastAsia="Calibri" w:cs="Sylfaen"/>
          <w:b/>
          <w:bCs/>
          <w:u w:val="single"/>
          <w:lang w:val="hy-AM"/>
        </w:rPr>
        <w:t>Կանխատեսում։</w:t>
      </w:r>
      <w:r w:rsidRPr="00C35FD6">
        <w:rPr>
          <w:rFonts w:eastAsia="Calibri" w:cs="Sylfaen"/>
          <w:lang w:val="hy-AM"/>
        </w:rPr>
        <w:t xml:space="preserve"> Ապրանքների և ծառայությունների նկատմամբ ներքին պահանջարկի նվազմամբ պայմանավորված 2020թ. սպասվում է մոտ 15% ներմուծման կրճատում: Միջնաժամկետում ՀՀ տնտեսության աճի և ներքին պահանջարկի վերականգմանը զուգընթաց ներմուծման աճը կվերականգնվի:</w:t>
      </w:r>
    </w:p>
    <w:p w14:paraId="271150FA" w14:textId="183388EC" w:rsidR="00C35FD6" w:rsidRPr="00C35FD6" w:rsidRDefault="003714CE" w:rsidP="00C35FD6">
      <w:pPr>
        <w:tabs>
          <w:tab w:val="left" w:pos="0"/>
          <w:tab w:val="num" w:pos="720"/>
        </w:tabs>
        <w:spacing w:before="0" w:after="0" w:line="240" w:lineRule="auto"/>
        <w:ind w:firstLine="0"/>
        <w:rPr>
          <w:rFonts w:eastAsia="Calibri" w:cs="Sylfaen"/>
          <w:lang w:val="hy-AM"/>
        </w:rPr>
      </w:pPr>
      <w:r w:rsidRPr="00C35FD6">
        <w:rPr>
          <w:rFonts w:eastAsia="Calibri" w:cs="Sylfaen"/>
          <w:noProof/>
        </w:rPr>
        <w:drawing>
          <wp:anchor distT="0" distB="0" distL="114300" distR="114300" simplePos="0" relativeHeight="251682816" behindDoc="1" locked="0" layoutInCell="1" allowOverlap="1" wp14:anchorId="52B34B7E" wp14:editId="436404E1">
            <wp:simplePos x="0" y="0"/>
            <wp:positionH relativeFrom="column">
              <wp:posOffset>-2227</wp:posOffset>
            </wp:positionH>
            <wp:positionV relativeFrom="paragraph">
              <wp:posOffset>384002</wp:posOffset>
            </wp:positionV>
            <wp:extent cx="3048000" cy="2219325"/>
            <wp:effectExtent l="0" t="0" r="0" b="9525"/>
            <wp:wrapTight wrapText="bothSides">
              <wp:wrapPolygon edited="0">
                <wp:start x="0" y="0"/>
                <wp:lineTo x="0" y="21507"/>
                <wp:lineTo x="21465" y="21507"/>
                <wp:lineTo x="21465"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00C35FD6" w:rsidRPr="00C35FD6">
        <w:rPr>
          <w:rFonts w:eastAsia="Calibri" w:cs="Sylfaen"/>
          <w:noProof/>
        </w:rPr>
        <w:drawing>
          <wp:anchor distT="0" distB="0" distL="114300" distR="114300" simplePos="0" relativeHeight="251679744" behindDoc="1" locked="0" layoutInCell="1" allowOverlap="1" wp14:anchorId="6F1BF8FD" wp14:editId="1F2BE62B">
            <wp:simplePos x="0" y="0"/>
            <wp:positionH relativeFrom="column">
              <wp:posOffset>3162300</wp:posOffset>
            </wp:positionH>
            <wp:positionV relativeFrom="paragraph">
              <wp:posOffset>359410</wp:posOffset>
            </wp:positionV>
            <wp:extent cx="3237865" cy="2228850"/>
            <wp:effectExtent l="0" t="0" r="635" b="0"/>
            <wp:wrapTight wrapText="bothSides">
              <wp:wrapPolygon edited="0">
                <wp:start x="0" y="0"/>
                <wp:lineTo x="0" y="21415"/>
                <wp:lineTo x="21477" y="21415"/>
                <wp:lineTo x="21477" y="0"/>
                <wp:lineTo x="0" y="0"/>
              </wp:wrapPolygon>
            </wp:wrapTight>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C35FD6" w:rsidRPr="00C35FD6">
        <w:rPr>
          <w:rFonts w:eastAsia="Calibri" w:cs="Sylfaen"/>
          <w:b/>
          <w:i/>
          <w:lang w:val="hy-AM"/>
        </w:rPr>
        <w:t>Գծապա</w:t>
      </w:r>
      <w:r w:rsidR="007724F4">
        <w:rPr>
          <w:rFonts w:eastAsia="Calibri" w:cs="Sylfaen"/>
          <w:b/>
          <w:i/>
          <w:lang w:val="hy-AM"/>
        </w:rPr>
        <w:t>տ</w:t>
      </w:r>
      <w:r w:rsidR="00C35FD6" w:rsidRPr="00C35FD6">
        <w:rPr>
          <w:rFonts w:eastAsia="Calibri" w:cs="Sylfaen"/>
          <w:b/>
          <w:i/>
          <w:lang w:val="hy-AM"/>
        </w:rPr>
        <w:t>կեր 1.23</w:t>
      </w:r>
      <w:r w:rsidR="00C35FD6" w:rsidRPr="00C35FD6">
        <w:rPr>
          <w:rFonts w:ascii="MS Gothic" w:eastAsia="MS Gothic" w:hAnsi="MS Gothic" w:cs="MS Gothic" w:hint="eastAsia"/>
          <w:b/>
          <w:i/>
          <w:lang w:val="hy-AM"/>
        </w:rPr>
        <w:t>․</w:t>
      </w:r>
      <w:r w:rsidR="00C35FD6" w:rsidRPr="00C35FD6">
        <w:rPr>
          <w:rFonts w:eastAsia="Calibri" w:cs="Sylfaen"/>
          <w:bCs/>
          <w:sz w:val="21"/>
          <w:szCs w:val="21"/>
          <w:lang w:val="hy-AM"/>
        </w:rPr>
        <w:t xml:space="preserve"> </w:t>
      </w:r>
      <w:r w:rsidR="00C35FD6" w:rsidRPr="00C35FD6">
        <w:rPr>
          <w:rFonts w:eastAsia="Calibri" w:cs="Sylfaen"/>
          <w:bCs/>
          <w:i/>
          <w:sz w:val="20"/>
          <w:szCs w:val="20"/>
          <w:lang w:val="hy-AM"/>
        </w:rPr>
        <w:t>ՀՀ ապրանքների և ծառայությունների արտահանման և ներմուծման միտումները ՀՖՃ տարիներին և  2017-2023թթ., %</w:t>
      </w:r>
      <w:r w:rsidR="00C35FD6" w:rsidRPr="00C35FD6">
        <w:rPr>
          <w:rFonts w:eastAsia="Calibri" w:cs="Sylfaen"/>
          <w:bCs/>
          <w:sz w:val="21"/>
          <w:szCs w:val="21"/>
          <w:lang w:val="hy-AM"/>
        </w:rPr>
        <w:t xml:space="preserve">  </w:t>
      </w:r>
    </w:p>
    <w:p w14:paraId="5E5C4FA6" w14:textId="0C187385" w:rsidR="00C35FD6" w:rsidRDefault="00C35FD6" w:rsidP="00C35FD6">
      <w:pPr>
        <w:tabs>
          <w:tab w:val="left" w:pos="0"/>
          <w:tab w:val="num" w:pos="720"/>
        </w:tabs>
        <w:spacing w:before="0" w:after="0" w:line="276" w:lineRule="auto"/>
        <w:ind w:firstLine="0"/>
        <w:rPr>
          <w:rFonts w:eastAsia="Calibri" w:cs="Sylfaen"/>
          <w:i/>
          <w:sz w:val="18"/>
          <w:szCs w:val="18"/>
          <w:lang w:val="hy-AM"/>
        </w:rPr>
      </w:pPr>
      <w:r w:rsidRPr="00C35FD6">
        <w:rPr>
          <w:rFonts w:eastAsia="Calibri" w:cs="Sylfaen"/>
          <w:i/>
          <w:sz w:val="18"/>
          <w:szCs w:val="18"/>
          <w:lang w:val="hy-AM"/>
        </w:rPr>
        <w:t>Աղբյուր՝ ՀՀ ՎԿ և  ՀՀ ՖՆ հաշվարկներ և կանխա</w:t>
      </w:r>
      <w:r w:rsidR="007724F4">
        <w:rPr>
          <w:rFonts w:eastAsia="Calibri" w:cs="Sylfaen"/>
          <w:i/>
          <w:sz w:val="18"/>
          <w:szCs w:val="18"/>
          <w:lang w:val="hy-AM"/>
        </w:rPr>
        <w:t>տ</w:t>
      </w:r>
      <w:r w:rsidRPr="00C35FD6">
        <w:rPr>
          <w:rFonts w:eastAsia="Calibri" w:cs="Sylfaen"/>
          <w:i/>
          <w:sz w:val="18"/>
          <w:szCs w:val="18"/>
          <w:lang w:val="hy-AM"/>
        </w:rPr>
        <w:t>եսումներ:</w:t>
      </w:r>
    </w:p>
    <w:p w14:paraId="1668826D" w14:textId="77777777" w:rsidR="00C35FD6" w:rsidRPr="00C35FD6" w:rsidRDefault="00C35FD6" w:rsidP="00C35FD6">
      <w:pPr>
        <w:tabs>
          <w:tab w:val="left" w:pos="0"/>
          <w:tab w:val="num" w:pos="720"/>
        </w:tabs>
        <w:spacing w:before="0" w:after="0" w:line="276" w:lineRule="auto"/>
        <w:ind w:firstLine="0"/>
        <w:rPr>
          <w:rFonts w:eastAsia="Calibri" w:cs="Sylfaen"/>
          <w:i/>
          <w:sz w:val="18"/>
          <w:szCs w:val="18"/>
          <w:lang w:val="hy-AM"/>
        </w:rPr>
      </w:pPr>
    </w:p>
    <w:p w14:paraId="42605163" w14:textId="77777777" w:rsidR="00C35FD6" w:rsidRPr="00C35FD6" w:rsidRDefault="00C35FD6" w:rsidP="00C35FD6">
      <w:pPr>
        <w:spacing w:before="0" w:after="120" w:line="240" w:lineRule="auto"/>
        <w:ind w:firstLine="0"/>
        <w:jc w:val="left"/>
        <w:rPr>
          <w:rFonts w:eastAsia="Calibri" w:cs="Times New Roman"/>
          <w:b/>
          <w:bCs/>
          <w:color w:val="4472C4"/>
          <w:sz w:val="24"/>
          <w:szCs w:val="24"/>
          <w:lang w:val="hy-AM"/>
        </w:rPr>
      </w:pPr>
      <w:bookmarkStart w:id="188" w:name="_Toc45705388"/>
      <w:r w:rsidRPr="00772498">
        <w:rPr>
          <w:rFonts w:eastAsia="Calibri" w:cs="Times New Roman"/>
          <w:b/>
          <w:bCs/>
          <w:color w:val="1F497D" w:themeColor="text2"/>
          <w:sz w:val="24"/>
          <w:szCs w:val="24"/>
          <w:lang w:val="hy-AM"/>
        </w:rPr>
        <w:t xml:space="preserve">1.3.4. </w:t>
      </w:r>
      <w:r w:rsidRPr="00772498">
        <w:rPr>
          <w:rFonts w:eastAsia="Calibri" w:cs="Sylfaen"/>
          <w:b/>
          <w:bCs/>
          <w:color w:val="1F497D" w:themeColor="text2"/>
          <w:sz w:val="24"/>
          <w:szCs w:val="24"/>
          <w:lang w:val="hy-AM"/>
        </w:rPr>
        <w:t>Փոխարժեքներ</w:t>
      </w:r>
      <w:bookmarkEnd w:id="188"/>
    </w:p>
    <w:p w14:paraId="041F08E0" w14:textId="77777777" w:rsidR="00C35FD6" w:rsidRPr="00C35FD6" w:rsidRDefault="00C35FD6" w:rsidP="00C35FD6">
      <w:pPr>
        <w:spacing w:before="0" w:after="120" w:line="276" w:lineRule="auto"/>
        <w:ind w:right="-268" w:firstLine="539"/>
        <w:rPr>
          <w:rFonts w:eastAsia="Calibri" w:cs="Sylfaen"/>
          <w:lang w:val="hy-AM"/>
        </w:rPr>
      </w:pPr>
      <w:r w:rsidRPr="00C35FD6">
        <w:rPr>
          <w:rFonts w:eastAsia="Calibri" w:cs="Sylfaen"/>
          <w:b/>
          <w:lang w:val="hy-AM"/>
        </w:rPr>
        <w:lastRenderedPageBreak/>
        <w:t xml:space="preserve">2017-2019թթ. միջինում ՀՀ դրամն ԱՄՆ դոլարի նկատմամբ դրսևորել է հարաբերականորեն կայուն վարքագիծ, իսկ եվրոյի և ռուբլու նկատմամբ փոքր ինչ արժեզրկվել է:                                    </w:t>
      </w:r>
      <w:r w:rsidRPr="00C35FD6">
        <w:rPr>
          <w:rFonts w:eastAsia="Calibri" w:cs="Sylfaen"/>
          <w:lang w:val="hy-AM"/>
        </w:rPr>
        <w:t xml:space="preserve">2019թ. նախորդ տարվա միջինի նկատմամբ դրամն արժևորվել է բոլոր հիմնական արժույթների նկատմամբ. գրանցվել է ՀՀ դրամի անվանական արժեքի դոլարի նկատմամբ 0.53%, եվրոյի նկատմամբ՝ 6.08%, իսկ ռուբլու նկատմամբ՝ 4.03% արժևորում: </w:t>
      </w:r>
    </w:p>
    <w:p w14:paraId="35A43EE9" w14:textId="77777777" w:rsidR="00C35FD6" w:rsidRPr="00C35FD6" w:rsidRDefault="00C35FD6" w:rsidP="00C35FD6">
      <w:pPr>
        <w:spacing w:before="0" w:after="120" w:line="276" w:lineRule="auto"/>
        <w:ind w:firstLine="539"/>
        <w:rPr>
          <w:rFonts w:eastAsia="Calibri" w:cs="Sylfaen"/>
          <w:lang w:val="hy-AM"/>
        </w:rPr>
      </w:pPr>
      <w:r w:rsidRPr="00C35FD6">
        <w:rPr>
          <w:rFonts w:eastAsia="Calibri" w:cs="Sylfaen"/>
          <w:lang w:val="hy-AM"/>
        </w:rPr>
        <w:t xml:space="preserve">2020թ. հունվար-մայիս ամիսներին ՀՀ դրամի միջին փոխարժեքը  կազմել է 483.95 ՀՀ դրամ 1 ԱՄՆ դոլարի դիմաց՝ նախորդ տարվա նույն ժամանակահատվածի միջինի նկատմամբ արժևորվելով 0.28%-ով: </w:t>
      </w:r>
      <w:r w:rsidRPr="00C35FD6">
        <w:rPr>
          <w:rFonts w:eastAsia="Calibri" w:cs="Sylfaen"/>
          <w:b/>
          <w:lang w:val="hy-AM"/>
        </w:rPr>
        <w:t>Համավարակով պայմանավորված ՀՀ փոխարժեքի շուկայում մարտ ամսին նկատվել են արժեզրկման ճնշումներ, որն իր առավելագույն արժեքին հասել է ապրիլի 1-ին</w:t>
      </w:r>
      <w:r w:rsidRPr="00C35FD6">
        <w:rPr>
          <w:rFonts w:eastAsia="Calibri" w:cs="Sylfaen"/>
          <w:lang w:val="hy-AM"/>
        </w:rPr>
        <w:t>՝ կազմելով 505 ՀՀ դրամ մեկ ԱՄՆ դոլարի դիմաց: Ստեղծված իրավիճակին ՀՀ ԿԲ-ի համարժեք արձագանքման  արդյունքում դրամն աստիճանաբար կայունացել է: 2020թ. հունվար-մայիս ամիսներին այն ավելի մեծ չափով է արժևորվել եվրոյի (3.37%) և ռուսական ռուբլու (6.06%) նկատմամբ:</w:t>
      </w:r>
    </w:p>
    <w:p w14:paraId="790E39B2" w14:textId="77777777" w:rsidR="00D11A32" w:rsidRPr="00D11A32" w:rsidRDefault="00C35FD6" w:rsidP="00D11A32">
      <w:pPr>
        <w:spacing w:before="0" w:after="120" w:line="276" w:lineRule="auto"/>
        <w:rPr>
          <w:rFonts w:eastAsia="Calibri" w:cs="Times New Roman"/>
          <w:lang w:val="hy-AM"/>
        </w:rPr>
      </w:pPr>
      <w:r w:rsidRPr="00C35FD6">
        <w:rPr>
          <w:rFonts w:eastAsia="Calibri" w:cs="Times New Roman"/>
          <w:lang w:val="hy-AM"/>
        </w:rPr>
        <w:t>ՀՀ արտաքին առևտրի տեսանկյունից առավել կարևոր արժույթներից բաղկացած զամբյուղի նկատմամբ ՀՀ ազգային արժույթն</w:t>
      </w:r>
      <w:r w:rsidRPr="00C35FD6">
        <w:rPr>
          <w:rFonts w:eastAsia="Calibri" w:cs="Sylfaen"/>
          <w:lang w:val="hy-AM"/>
        </w:rPr>
        <w:t xml:space="preserve"> իրական արտահայտությամբ 2017-2019թթ. միջինում արժևորվել է 1%-ով: Իրական արդյունավետ փոխարժեքի արժևորման միտումը շարունակվել է՝ 2019թ. դրամը արժևորվել է 3.5%-ով, իսկ անվանական արտահայտությամբ՝ 7.2%-ով: 2020թ.-ի հունվար-ապրիլ ամիսներին ՀՀ դրամի իրական արդյունավետ փոխարժեքի արժևորումը կազմել է 0.9%, իսկ անվանականը՝ 4.4%՝ իր</w:t>
      </w:r>
      <w:r w:rsidRPr="00C35FD6">
        <w:rPr>
          <w:rFonts w:eastAsia="Calibri" w:cs="Times New Roman"/>
          <w:lang w:val="hy-AM"/>
        </w:rPr>
        <w:t xml:space="preserve"> բացասական ազդեցությունը թողնելով տեղական ապրանքների արտաքին մրցունակության վրա:</w:t>
      </w:r>
    </w:p>
    <w:tbl>
      <w:tblPr>
        <w:tblStyle w:val="TableGrid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gridCol w:w="5076"/>
      </w:tblGrid>
      <w:tr w:rsidR="00C35FD6" w:rsidRPr="00A03AF2" w14:paraId="34CC24C3" w14:textId="77777777" w:rsidTr="00E3727D">
        <w:trPr>
          <w:trHeight w:val="4949"/>
        </w:trPr>
        <w:tc>
          <w:tcPr>
            <w:tcW w:w="5012" w:type="dxa"/>
          </w:tcPr>
          <w:p w14:paraId="31C865B0" w14:textId="77777777" w:rsidR="00C35FD6" w:rsidRPr="00C35FD6" w:rsidRDefault="00C35FD6" w:rsidP="00C35FD6">
            <w:pPr>
              <w:spacing w:before="0" w:after="0" w:line="240" w:lineRule="auto"/>
              <w:ind w:right="-267" w:firstLine="0"/>
              <w:rPr>
                <w:rFonts w:cs="Sylfaen"/>
                <w:i/>
                <w:sz w:val="18"/>
                <w:szCs w:val="18"/>
                <w:lang w:val="hy-AM"/>
              </w:rPr>
            </w:pPr>
            <w:r w:rsidRPr="00C35FD6">
              <w:rPr>
                <w:rFonts w:cs="Sylfaen"/>
                <w:b/>
                <w:i/>
                <w:sz w:val="18"/>
                <w:szCs w:val="18"/>
                <w:lang w:val="hy-AM"/>
              </w:rPr>
              <w:t>Գծապատկեր 1.24. ՀՀ</w:t>
            </w:r>
            <w:r w:rsidRPr="00C35FD6">
              <w:rPr>
                <w:rFonts w:cs="Sylfaen"/>
                <w:i/>
                <w:sz w:val="18"/>
                <w:szCs w:val="18"/>
                <w:lang w:val="hy-AM"/>
              </w:rPr>
              <w:t xml:space="preserve"> դրամի անվանական </w:t>
            </w:r>
          </w:p>
          <w:p w14:paraId="6FF1ECDF" w14:textId="77777777" w:rsidR="00C35FD6" w:rsidRPr="00C35FD6" w:rsidRDefault="00C35FD6" w:rsidP="00C35FD6">
            <w:pPr>
              <w:spacing w:before="0" w:after="0" w:line="240" w:lineRule="auto"/>
              <w:ind w:right="-267" w:firstLine="0"/>
              <w:rPr>
                <w:rFonts w:cs="Sylfaen"/>
                <w:i/>
                <w:sz w:val="18"/>
                <w:szCs w:val="18"/>
                <w:lang w:val="hy-AM"/>
              </w:rPr>
            </w:pPr>
            <w:r w:rsidRPr="00C35FD6">
              <w:rPr>
                <w:rFonts w:cs="Sylfaen"/>
                <w:i/>
                <w:sz w:val="18"/>
                <w:szCs w:val="18"/>
                <w:lang w:val="hy-AM"/>
              </w:rPr>
              <w:t xml:space="preserve">փոխարժեքի օրական դինամիկան </w:t>
            </w:r>
          </w:p>
          <w:p w14:paraId="2F192258" w14:textId="1DB17669" w:rsidR="00C35FD6" w:rsidRPr="00C35FD6" w:rsidRDefault="000A2BEC" w:rsidP="00C35FD6">
            <w:pPr>
              <w:spacing w:before="0" w:after="0" w:line="240" w:lineRule="auto"/>
              <w:ind w:right="-267" w:firstLine="0"/>
              <w:rPr>
                <w:rFonts w:cs="Sylfaen"/>
                <w:i/>
                <w:sz w:val="18"/>
                <w:szCs w:val="18"/>
                <w:lang w:val="hy-AM"/>
              </w:rPr>
            </w:pPr>
            <w:r w:rsidRPr="00C35FD6">
              <w:rPr>
                <w:rFonts w:cs="Sylfaen"/>
                <w:i/>
                <w:noProof/>
                <w:sz w:val="18"/>
                <w:szCs w:val="18"/>
              </w:rPr>
              <w:drawing>
                <wp:anchor distT="0" distB="0" distL="114300" distR="114300" simplePos="0" relativeHeight="251688960" behindDoc="1" locked="0" layoutInCell="1" allowOverlap="1" wp14:anchorId="7229B498" wp14:editId="4502152B">
                  <wp:simplePos x="0" y="0"/>
                  <wp:positionH relativeFrom="margin">
                    <wp:posOffset>-26670</wp:posOffset>
                  </wp:positionH>
                  <wp:positionV relativeFrom="paragraph">
                    <wp:posOffset>230505</wp:posOffset>
                  </wp:positionV>
                  <wp:extent cx="3133725" cy="2114550"/>
                  <wp:effectExtent l="0" t="0" r="9525" b="0"/>
                  <wp:wrapTight wrapText="bothSides">
                    <wp:wrapPolygon edited="0">
                      <wp:start x="0" y="0"/>
                      <wp:lineTo x="0" y="21405"/>
                      <wp:lineTo x="21534" y="21405"/>
                      <wp:lineTo x="21534" y="0"/>
                      <wp:lineTo x="0" y="0"/>
                    </wp:wrapPolygon>
                  </wp:wrapTight>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00D96737">
              <w:rPr>
                <w:rFonts w:cs="Sylfaen"/>
                <w:i/>
                <w:noProof/>
                <w:sz w:val="18"/>
                <w:szCs w:val="18"/>
              </w:rPr>
              <mc:AlternateContent>
                <mc:Choice Requires="wps">
                  <w:drawing>
                    <wp:anchor distT="0" distB="0" distL="114300" distR="114300" simplePos="0" relativeHeight="251692032" behindDoc="0" locked="0" layoutInCell="1" allowOverlap="1" wp14:anchorId="7BF2E676" wp14:editId="21ADA576">
                      <wp:simplePos x="0" y="0"/>
                      <wp:positionH relativeFrom="column">
                        <wp:posOffset>2814320</wp:posOffset>
                      </wp:positionH>
                      <wp:positionV relativeFrom="paragraph">
                        <wp:posOffset>294005</wp:posOffset>
                      </wp:positionV>
                      <wp:extent cx="19050" cy="2019300"/>
                      <wp:effectExtent l="0" t="0" r="0" b="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 cy="20193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7CE472" id="Straight Connector 9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6pt,23.15pt" to="223.1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" strokecolor="windowText" strokeweight=".5pt">
                      <v:stroke joinstyle="miter"/>
                      <o:lock v:ext="edit" shapetype="f"/>
                    </v:line>
                  </w:pict>
                </mc:Fallback>
              </mc:AlternateContent>
            </w:r>
            <w:r w:rsidR="00C35FD6" w:rsidRPr="00C35FD6">
              <w:rPr>
                <w:rFonts w:cs="Sylfaen"/>
                <w:i/>
                <w:sz w:val="18"/>
                <w:szCs w:val="18"/>
                <w:lang w:val="hy-AM"/>
              </w:rPr>
              <w:t>հիմնական արժույթների նկատմամբ</w:t>
            </w:r>
          </w:p>
          <w:p w14:paraId="72476335" w14:textId="77777777" w:rsidR="00C35FD6" w:rsidRPr="00C35FD6" w:rsidRDefault="00C35FD6" w:rsidP="00C35FD6">
            <w:pPr>
              <w:spacing w:before="0" w:after="0" w:line="276" w:lineRule="auto"/>
              <w:ind w:right="-268" w:firstLine="0"/>
              <w:rPr>
                <w:rFonts w:cs="Sylfaen"/>
                <w:i/>
                <w:sz w:val="18"/>
                <w:szCs w:val="18"/>
                <w:lang w:val="hy-AM"/>
              </w:rPr>
            </w:pPr>
            <w:r w:rsidRPr="00C35FD6">
              <w:rPr>
                <w:rFonts w:cs="Sylfaen"/>
                <w:i/>
                <w:sz w:val="18"/>
                <w:szCs w:val="18"/>
                <w:lang w:val="hy-AM"/>
              </w:rPr>
              <w:t>Աղբյուրը՝ ՀՀ ԿԲ, ՀՀ ՖՆ հաշվարկներ</w:t>
            </w:r>
          </w:p>
        </w:tc>
        <w:tc>
          <w:tcPr>
            <w:tcW w:w="5053" w:type="dxa"/>
          </w:tcPr>
          <w:p w14:paraId="37B5CEE8" w14:textId="77777777" w:rsidR="00C35FD6" w:rsidRPr="00C35FD6" w:rsidRDefault="00C35FD6" w:rsidP="00E3727D">
            <w:pPr>
              <w:spacing w:before="0" w:after="0" w:line="240" w:lineRule="auto"/>
              <w:ind w:right="217" w:firstLine="0"/>
              <w:rPr>
                <w:rFonts w:cs="Sylfaen"/>
                <w:i/>
                <w:sz w:val="18"/>
                <w:szCs w:val="18"/>
                <w:lang w:val="hy-AM"/>
              </w:rPr>
            </w:pPr>
            <w:r w:rsidRPr="00C35FD6">
              <w:rPr>
                <w:rFonts w:cs="Sylfaen"/>
                <w:i/>
                <w:noProof/>
                <w:sz w:val="18"/>
                <w:szCs w:val="18"/>
              </w:rPr>
              <w:drawing>
                <wp:anchor distT="0" distB="0" distL="114300" distR="114300" simplePos="0" relativeHeight="251685888" behindDoc="1" locked="0" layoutInCell="1" allowOverlap="1" wp14:anchorId="308046E3" wp14:editId="442C3C6B">
                  <wp:simplePos x="0" y="0"/>
                  <wp:positionH relativeFrom="column">
                    <wp:posOffset>-27940</wp:posOffset>
                  </wp:positionH>
                  <wp:positionV relativeFrom="paragraph">
                    <wp:posOffset>546735</wp:posOffset>
                  </wp:positionV>
                  <wp:extent cx="3076575" cy="2114550"/>
                  <wp:effectExtent l="0" t="0" r="9525" b="0"/>
                  <wp:wrapTight wrapText="bothSides">
                    <wp:wrapPolygon edited="0">
                      <wp:start x="0" y="0"/>
                      <wp:lineTo x="0" y="21405"/>
                      <wp:lineTo x="21533" y="21405"/>
                      <wp:lineTo x="21533" y="0"/>
                      <wp:lineTo x="0" y="0"/>
                    </wp:wrapPolygon>
                  </wp:wrapTight>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r w:rsidRPr="00C35FD6">
              <w:rPr>
                <w:rFonts w:cs="Sylfaen"/>
                <w:b/>
                <w:i/>
                <w:sz w:val="18"/>
                <w:szCs w:val="18"/>
                <w:lang w:val="hy-AM"/>
              </w:rPr>
              <w:t>Գծապատկեր 1.25.</w:t>
            </w:r>
            <w:r w:rsidRPr="00C35FD6">
              <w:rPr>
                <w:rFonts w:cs="Sylfaen"/>
                <w:i/>
                <w:sz w:val="18"/>
                <w:szCs w:val="18"/>
                <w:lang w:val="hy-AM"/>
              </w:rPr>
              <w:t xml:space="preserve"> ՀՀ իրական և անվանական արդյունավետ փոխարժեքների կուտակային տ/տ աճերի դինամիկան</w:t>
            </w:r>
          </w:p>
          <w:p w14:paraId="54CF6E6D" w14:textId="77777777" w:rsidR="00C35FD6" w:rsidRPr="00C35FD6" w:rsidRDefault="00C35FD6" w:rsidP="00C35FD6">
            <w:pPr>
              <w:spacing w:before="0" w:after="0" w:line="276" w:lineRule="auto"/>
              <w:ind w:right="-268" w:firstLine="0"/>
              <w:rPr>
                <w:rFonts w:cs="Sylfaen"/>
                <w:sz w:val="16"/>
                <w:szCs w:val="16"/>
                <w:lang w:val="hy-AM"/>
              </w:rPr>
            </w:pPr>
            <w:r w:rsidRPr="00C35FD6">
              <w:rPr>
                <w:rFonts w:cs="Sylfaen"/>
                <w:i/>
                <w:sz w:val="18"/>
                <w:szCs w:val="18"/>
                <w:lang w:val="hy-AM"/>
              </w:rPr>
              <w:t>Աղբյուրը՝ ՀՀ ԿԲ, ՀՀ ՖՆ հաշվարկներ</w:t>
            </w:r>
          </w:p>
        </w:tc>
      </w:tr>
    </w:tbl>
    <w:p w14:paraId="16AB2C87" w14:textId="77777777" w:rsidR="00C35FD6" w:rsidRPr="00C35FD6" w:rsidRDefault="00C35FD6" w:rsidP="00C35FD6">
      <w:pPr>
        <w:spacing w:before="0" w:after="120" w:line="240" w:lineRule="auto"/>
        <w:ind w:firstLine="0"/>
        <w:jc w:val="left"/>
        <w:rPr>
          <w:rFonts w:eastAsia="Calibri" w:cs="Times New Roman"/>
          <w:sz w:val="24"/>
          <w:szCs w:val="24"/>
          <w:lang w:val="hy-AM"/>
        </w:rPr>
      </w:pPr>
      <w:bookmarkStart w:id="189" w:name="_Toc45705389"/>
      <w:r w:rsidRPr="00772498">
        <w:rPr>
          <w:rFonts w:eastAsia="Calibri" w:cs="Times New Roman"/>
          <w:b/>
          <w:color w:val="1F497D" w:themeColor="text2"/>
          <w:sz w:val="24"/>
          <w:szCs w:val="24"/>
          <w:lang w:val="hy-AM"/>
        </w:rPr>
        <w:t xml:space="preserve">1.3.5. </w:t>
      </w:r>
      <w:r w:rsidRPr="00772498">
        <w:rPr>
          <w:rFonts w:eastAsia="Calibri" w:cs="Sylfaen"/>
          <w:b/>
          <w:color w:val="1F497D" w:themeColor="text2"/>
          <w:sz w:val="24"/>
          <w:szCs w:val="24"/>
          <w:lang w:val="hy-AM"/>
        </w:rPr>
        <w:t>Գնաճ</w:t>
      </w:r>
      <w:r w:rsidRPr="00772498">
        <w:rPr>
          <w:rFonts w:eastAsia="Calibri" w:cs="Times New Roman"/>
          <w:b/>
          <w:color w:val="1F497D" w:themeColor="text2"/>
          <w:sz w:val="24"/>
          <w:szCs w:val="24"/>
          <w:lang w:val="hy-AM"/>
        </w:rPr>
        <w:t xml:space="preserve"> </w:t>
      </w:r>
      <w:r w:rsidRPr="00772498">
        <w:rPr>
          <w:rFonts w:eastAsia="Calibri" w:cs="Sylfaen"/>
          <w:b/>
          <w:color w:val="1F497D" w:themeColor="text2"/>
          <w:sz w:val="24"/>
          <w:szCs w:val="24"/>
          <w:lang w:val="hy-AM"/>
        </w:rPr>
        <w:t>և</w:t>
      </w:r>
      <w:r w:rsidRPr="00772498">
        <w:rPr>
          <w:rFonts w:eastAsia="Calibri" w:cs="Times New Roman"/>
          <w:b/>
          <w:color w:val="1F497D" w:themeColor="text2"/>
          <w:sz w:val="24"/>
          <w:szCs w:val="24"/>
          <w:lang w:val="hy-AM"/>
        </w:rPr>
        <w:t xml:space="preserve"> </w:t>
      </w:r>
      <w:r w:rsidRPr="00772498">
        <w:rPr>
          <w:rFonts w:eastAsia="Calibri" w:cs="Sylfaen"/>
          <w:b/>
          <w:color w:val="1F497D" w:themeColor="text2"/>
          <w:sz w:val="24"/>
          <w:szCs w:val="24"/>
          <w:lang w:val="hy-AM"/>
        </w:rPr>
        <w:t>դրամավարկային</w:t>
      </w:r>
      <w:r w:rsidRPr="00772498">
        <w:rPr>
          <w:rFonts w:eastAsia="Calibri" w:cs="Times New Roman"/>
          <w:b/>
          <w:color w:val="1F497D" w:themeColor="text2"/>
          <w:sz w:val="24"/>
          <w:szCs w:val="24"/>
          <w:lang w:val="hy-AM"/>
        </w:rPr>
        <w:t xml:space="preserve"> </w:t>
      </w:r>
      <w:r w:rsidRPr="00772498">
        <w:rPr>
          <w:rFonts w:eastAsia="Calibri" w:cs="Sylfaen"/>
          <w:b/>
          <w:color w:val="1F497D" w:themeColor="text2"/>
          <w:sz w:val="24"/>
          <w:szCs w:val="24"/>
          <w:lang w:val="hy-AM"/>
        </w:rPr>
        <w:t>քաղաքականություն</w:t>
      </w:r>
      <w:bookmarkEnd w:id="189"/>
      <w:r w:rsidRPr="00772498">
        <w:rPr>
          <w:rFonts w:eastAsia="Calibri" w:cs="Times New Roman"/>
          <w:color w:val="1F497D" w:themeColor="text2"/>
          <w:sz w:val="24"/>
          <w:szCs w:val="24"/>
          <w:lang w:val="hy-AM"/>
        </w:rPr>
        <w:t xml:space="preserve"> </w:t>
      </w:r>
    </w:p>
    <w:p w14:paraId="3FD7E8CC" w14:textId="77777777" w:rsidR="00C35FD6" w:rsidRPr="00C35FD6" w:rsidRDefault="00C35FD6" w:rsidP="00C35FD6">
      <w:pPr>
        <w:spacing w:before="0" w:after="120" w:line="276" w:lineRule="auto"/>
        <w:ind w:firstLine="720"/>
        <w:rPr>
          <w:rFonts w:eastAsia="Times New Roman" w:cs="Sylfaen"/>
          <w:lang w:val="hy-AM"/>
        </w:rPr>
      </w:pPr>
      <w:r w:rsidRPr="00C35FD6">
        <w:rPr>
          <w:rFonts w:eastAsia="Times New Roman" w:cs="Sylfaen"/>
          <w:b/>
          <w:lang w:val="hy-AM"/>
        </w:rPr>
        <w:t>2017-2019թթ</w:t>
      </w:r>
      <w:r w:rsidRPr="00C35FD6">
        <w:rPr>
          <w:rFonts w:eastAsia="MS Mincho" w:cs="Cambria Math"/>
          <w:b/>
          <w:lang w:val="hy-AM"/>
        </w:rPr>
        <w:t>.</w:t>
      </w:r>
      <w:r w:rsidRPr="00C35FD6">
        <w:rPr>
          <w:rFonts w:eastAsia="Times New Roman" w:cs="Sylfaen"/>
          <w:b/>
          <w:lang w:val="hy-AM"/>
        </w:rPr>
        <w:t xml:space="preserve"> ընթացքում տնտեսությունը գտնվել է չափավոր գնաճային միջավայրում։  </w:t>
      </w:r>
      <w:r w:rsidRPr="00C35FD6">
        <w:rPr>
          <w:rFonts w:eastAsia="Times New Roman" w:cs="Sylfaen"/>
          <w:lang w:val="hy-AM"/>
        </w:rPr>
        <w:t xml:space="preserve">2017թ. ընթացքում նախորդ տարվա գնանկումային միջավայրը չեզոքացել է, իսկ 2018թ. գնաճային միջավայրը ընդլայնվել է, սակայն վերջինս դրսևորվել է 12 ամսյա գնաճի տատանողականությամբ: 2019թ. գնաճային միջավայրը թուլացել է՝ տարվա առաջին կեսին 12-ամսյա գնաճի փոքր ինչ արագացման, իսկ երկրորդ կեսին՝ էական դանդաղման արդյունքում։ 12-ամսյա գնաճը </w:t>
      </w:r>
      <w:r w:rsidRPr="00C35FD6">
        <w:rPr>
          <w:rFonts w:eastAsia="Times New Roman" w:cs="Sylfaen"/>
          <w:lang w:val="hy-AM"/>
        </w:rPr>
        <w:lastRenderedPageBreak/>
        <w:t>դեկտեմբերին կազմել է 0.7%, իսկ միջին գնաճը՝ 1.4%։ Գնաճի դանդաղմանը նպաստել են ապրանքային շուկաներում մրցակցության ավելացումը և սպառողական պահանջարկի կառուցվածքի փոփոխությունն ի օգուտ երկարաժամկետ սպառման ապրանքների։</w:t>
      </w:r>
    </w:p>
    <w:p w14:paraId="590AA4F6" w14:textId="77777777" w:rsidR="00C35FD6" w:rsidRPr="00C35FD6" w:rsidRDefault="00C35FD6" w:rsidP="00C35FD6">
      <w:pPr>
        <w:spacing w:before="0" w:after="120" w:line="276" w:lineRule="auto"/>
        <w:ind w:firstLine="720"/>
        <w:rPr>
          <w:rFonts w:eastAsia="Times New Roman" w:cs="Sylfaen"/>
          <w:lang w:val="hy-AM"/>
        </w:rPr>
      </w:pPr>
      <w:r w:rsidRPr="00C35FD6">
        <w:rPr>
          <w:rFonts w:eastAsia="Times New Roman" w:cs="Sylfaen"/>
          <w:lang w:val="hy-AM"/>
        </w:rPr>
        <w:t xml:space="preserve"> 2020թ. հունվար-մայիս ամիսներին գնաճը նախորդ տարվա նույն ժամանակահատվածի համեմատ դանդաղել է՝ կազմելով 0.3%, 1.9%-ի համեմատ։ Դանդաղումը պայմանավորված է համավարակի բռնկման և տնտեսական գործունեության սահմանափակումների պայմաններում մի կողմից արտաքին հատվածից եկող գնանկումային ազդեցություններով, և մյուս կողմից՝ ներքին մասնավոր պահանջարկի թուլացմամբ։ </w:t>
      </w:r>
    </w:p>
    <w:p w14:paraId="08675CD1" w14:textId="77777777" w:rsidR="00C35FD6" w:rsidRPr="00C35FD6" w:rsidRDefault="00C35FD6" w:rsidP="00C35FD6">
      <w:pPr>
        <w:spacing w:before="0" w:after="120" w:line="276" w:lineRule="auto"/>
        <w:ind w:firstLine="720"/>
        <w:rPr>
          <w:rFonts w:eastAsia="Calibri" w:cs="Times New Roman"/>
          <w:lang w:val="hy-AM"/>
        </w:rPr>
      </w:pPr>
      <w:r w:rsidRPr="00C35FD6">
        <w:rPr>
          <w:rFonts w:eastAsia="Calibri" w:cs="Times New Roman"/>
          <w:b/>
          <w:lang w:val="hy-AM"/>
        </w:rPr>
        <w:t>2017-2019թթ</w:t>
      </w:r>
      <w:r w:rsidRPr="00C35FD6">
        <w:rPr>
          <w:rFonts w:eastAsia="Calibri" w:cs="Cambria Math"/>
          <w:b/>
          <w:lang w:val="hy-AM"/>
        </w:rPr>
        <w:t>.</w:t>
      </w:r>
      <w:r w:rsidRPr="00C35FD6">
        <w:rPr>
          <w:rFonts w:eastAsia="Calibri" w:cs="Times New Roman"/>
          <w:b/>
          <w:lang w:val="hy-AM"/>
        </w:rPr>
        <w:t xml:space="preserve"> ՀՀ կենտրոնական բանկի դրամավարկային քաղաքականությունն ունեցել է խթանող ուղղվածություն։ </w:t>
      </w:r>
      <w:r w:rsidRPr="00C35FD6">
        <w:rPr>
          <w:rFonts w:eastAsia="Calibri" w:cs="Times New Roman"/>
          <w:lang w:val="hy-AM"/>
        </w:rPr>
        <w:t>ԿԲ-ն նվազեցրել է վերաֆինանսավորման (ռեպո) տոկոսադրույքը 0.75 տոկոսային կետով, ինչպես նաև ֆինանսական շուկայում հանդես է եկել որպես իրացվելիության զուտ տրամադրող։ Ֆինանսական շուկայի կարճաժամկետ տոկոսադրույքների՝ վերաֆինանսավորման տոկոսադրույքի շուրջ ձևավորումն ապահովելու համար հիմնականում ամբողջությամբ բավարարվել է իրացվելիության նկատմամբ բանկային համակարգի պահանջարկը։</w:t>
      </w:r>
    </w:p>
    <w:p w14:paraId="0060838A" w14:textId="77777777" w:rsidR="00C35FD6" w:rsidRPr="009B01DD" w:rsidRDefault="00C35FD6" w:rsidP="00EA45BA">
      <w:pPr>
        <w:spacing w:after="120" w:line="276" w:lineRule="auto"/>
        <w:rPr>
          <w:lang w:val="hy-AM"/>
        </w:rPr>
      </w:pPr>
      <w:r w:rsidRPr="00C35FD6">
        <w:rPr>
          <w:rFonts w:eastAsia="Calibri" w:cs="Times New Roman"/>
          <w:lang w:val="hy-AM"/>
        </w:rPr>
        <w:t>2020թ</w:t>
      </w:r>
      <w:r w:rsidRPr="00C35FD6">
        <w:rPr>
          <w:rFonts w:eastAsia="Calibri" w:cs="Cambria Math"/>
          <w:lang w:val="hy-AM"/>
        </w:rPr>
        <w:t>.</w:t>
      </w:r>
      <w:r w:rsidRPr="00C35FD6">
        <w:rPr>
          <w:rFonts w:eastAsia="Calibri" w:cs="Times New Roman"/>
          <w:lang w:val="hy-AM"/>
        </w:rPr>
        <w:t xml:space="preserve"> </w:t>
      </w:r>
      <w:r w:rsidRPr="00C35FD6">
        <w:rPr>
          <w:rFonts w:eastAsia="Calibri" w:cs="GHEA Grapalat"/>
          <w:lang w:val="hy-AM"/>
        </w:rPr>
        <w:t>հունվար</w:t>
      </w:r>
      <w:r w:rsidRPr="00C35FD6">
        <w:rPr>
          <w:rFonts w:eastAsia="Calibri" w:cs="Times New Roman"/>
          <w:lang w:val="hy-AM"/>
        </w:rPr>
        <w:t>–մայիս ամիսներին ՀՀ ԿԲ- ն վերաֆինանսավորման տոկոսադրույքը նվազեցրել է ընդհանուր առմամբ 0.5 տոկոսային կետով` ցածր գնաճային միջավայրում ավելացնելով դրամավարկային խթանման չափը։ Փողի շուկայի տոկոսադրույքների ձևավորումը վերաֆինանսավորման տոկոսադրույքի շուրջ ապահովելու համար ԿԲ-ն շարունակել է բավարարել իրացվելիության նկատմամբ բանկային համակարգի պահանջարկը՝ ռեպո գործարքների միջոցով ավելացնելով զուտ իրացվելիության ներարկման չափը։ Հունիս ամսին ՀՀ ԿԲ-ն, արձագանքելով գնաճի դեպի ներքև</w:t>
      </w:r>
      <w:r>
        <w:rPr>
          <w:lang w:val="hy-AM"/>
        </w:rPr>
        <w:t xml:space="preserve"> </w:t>
      </w:r>
      <w:r w:rsidR="00226593">
        <w:rPr>
          <w:lang w:val="hy-AM"/>
        </w:rPr>
        <w:t>ուղ</w:t>
      </w:r>
      <w:r>
        <w:rPr>
          <w:lang w:val="hy-AM"/>
        </w:rPr>
        <w:t>ղվածությանը</w:t>
      </w:r>
      <w:r w:rsidR="00226593" w:rsidRPr="00A1468E">
        <w:rPr>
          <w:lang w:val="hy-AM"/>
        </w:rPr>
        <w:t>, ավելի կտրուկ է մեղմացրել դրամավարկային պայմանները</w:t>
      </w:r>
      <w:r w:rsidR="00226593" w:rsidRPr="007B23EF">
        <w:rPr>
          <w:lang w:val="hy-AM"/>
        </w:rPr>
        <w:t xml:space="preserve"> </w:t>
      </w:r>
      <w:r w:rsidR="00226593">
        <w:rPr>
          <w:lang w:val="hy-AM"/>
        </w:rPr>
        <w:t>և</w:t>
      </w:r>
      <w:r w:rsidR="00226593" w:rsidRPr="00A1468E">
        <w:rPr>
          <w:lang w:val="hy-AM"/>
        </w:rPr>
        <w:t xml:space="preserve"> նվազ</w:t>
      </w:r>
      <w:r w:rsidR="00226593">
        <w:rPr>
          <w:lang w:val="hy-AM"/>
        </w:rPr>
        <w:t>եցրել</w:t>
      </w:r>
      <w:r w:rsidR="00226593" w:rsidRPr="00A1468E">
        <w:rPr>
          <w:lang w:val="hy-AM"/>
        </w:rPr>
        <w:t xml:space="preserve"> վերաֆինանսավորման </w:t>
      </w:r>
      <w:r w:rsidR="00226593" w:rsidRPr="007B23EF">
        <w:rPr>
          <w:lang w:val="hy-AM"/>
        </w:rPr>
        <w:t>տոկոս</w:t>
      </w:r>
      <w:r w:rsidR="00226593" w:rsidRPr="00A1468E">
        <w:rPr>
          <w:lang w:val="hy-AM"/>
        </w:rPr>
        <w:t>ադրույքը ևս 0.5</w:t>
      </w:r>
      <w:r w:rsidR="00226593" w:rsidRPr="00216BEF">
        <w:rPr>
          <w:lang w:val="hy-AM"/>
        </w:rPr>
        <w:t xml:space="preserve"> տոկոսայ</w:t>
      </w:r>
      <w:r w:rsidR="00226593" w:rsidRPr="00A1468E">
        <w:rPr>
          <w:lang w:val="hy-AM"/>
        </w:rPr>
        <w:t>ին կետով։</w:t>
      </w:r>
    </w:p>
    <w:p w14:paraId="11A2EECC" w14:textId="77777777" w:rsidR="00EA45BA" w:rsidRPr="00EA45BA" w:rsidRDefault="00EA45BA" w:rsidP="00EA45BA">
      <w:pPr>
        <w:spacing w:before="0" w:after="120" w:line="276" w:lineRule="auto"/>
        <w:rPr>
          <w:rFonts w:eastAsia="Calibri" w:cs="Sylfaen"/>
          <w:lang w:val="es-ES"/>
        </w:rPr>
      </w:pPr>
      <w:r w:rsidRPr="00EA45BA">
        <w:rPr>
          <w:rFonts w:eastAsia="Calibri" w:cs="Sylfaen"/>
          <w:b/>
          <w:u w:val="single"/>
          <w:lang w:val="hy-AM"/>
        </w:rPr>
        <w:t>Կանխատեսում</w:t>
      </w:r>
      <w:r w:rsidRPr="00EA45BA">
        <w:rPr>
          <w:rFonts w:eastAsia="Calibri" w:cs="Sylfaen"/>
          <w:b/>
          <w:u w:val="single"/>
          <w:lang w:val="es-ES"/>
        </w:rPr>
        <w:t>.</w:t>
      </w:r>
      <w:r w:rsidRPr="00EA45BA">
        <w:rPr>
          <w:rFonts w:eastAsia="Calibri" w:cs="Sylfaen"/>
          <w:lang w:val="es-ES"/>
        </w:rPr>
        <w:t xml:space="preserve"> </w:t>
      </w:r>
      <w:r w:rsidRPr="00EA45BA">
        <w:rPr>
          <w:rFonts w:eastAsia="Calibri" w:cs="Sylfaen"/>
          <w:lang w:val="hy-AM"/>
        </w:rPr>
        <w:t xml:space="preserve">ԿԲ-ն կարճաժամկետ հատվածում կշարունակի վարել խթանող դրամավարկային քաղաքականություն, և, անհրաժեշտության դեպքում, կպահպանի քաղաքականության խթանող դիրքը նաև միջնաժամկետ հատվածում։ Կարճաժամկետում ներքին գների վրա մասնավոր պահանջարկի թույլ ազդեցությամբ կպահպանվի ցածր գնաճային միջավայրը, իսկ միջնաժամկետում գնաճը խթանող դրամավարկային քաղաքականության արդյունքում կարագանա, և կանխատեսվող հորիզոնի վերջում կկայունանա ԿԲ </w:t>
      </w:r>
      <w:r w:rsidRPr="00EA45BA">
        <w:rPr>
          <w:rFonts w:eastAsia="Calibri" w:cs="Sylfaen"/>
          <w:lang w:val="es-ES"/>
        </w:rPr>
        <w:t xml:space="preserve">4% </w:t>
      </w:r>
      <w:r w:rsidRPr="00EA45BA">
        <w:rPr>
          <w:rFonts w:eastAsia="Calibri" w:cs="Sylfaen"/>
          <w:lang w:val="hy-AM"/>
        </w:rPr>
        <w:t>նպատակային ցուցանիշի շուրջ</w:t>
      </w:r>
      <w:r w:rsidRPr="00EA45BA">
        <w:rPr>
          <w:rFonts w:eastAsia="Calibri" w:cs="Sylfaen"/>
          <w:vertAlign w:val="superscript"/>
          <w:lang w:val="hy-AM"/>
        </w:rPr>
        <w:footnoteReference w:id="3"/>
      </w:r>
      <w:r w:rsidRPr="00EA45BA">
        <w:rPr>
          <w:rFonts w:eastAsia="Calibri" w:cs="Sylfaen"/>
          <w:lang w:val="es-ES"/>
        </w:rPr>
        <w:t>:</w:t>
      </w:r>
    </w:p>
    <w:p w14:paraId="32AFBB4A" w14:textId="77777777" w:rsidR="00EA45BA" w:rsidRDefault="00EA45BA" w:rsidP="00EA45BA">
      <w:pPr>
        <w:spacing w:before="0" w:after="120" w:line="276" w:lineRule="auto"/>
        <w:ind w:firstLine="0"/>
        <w:rPr>
          <w:rFonts w:eastAsia="Times New Roman" w:cs="Sylfaen"/>
          <w:i/>
          <w:sz w:val="20"/>
          <w:szCs w:val="20"/>
          <w:lang w:val="hy-AM"/>
        </w:rPr>
      </w:pPr>
      <w:r w:rsidRPr="00EA45BA">
        <w:rPr>
          <w:rFonts w:eastAsia="Times New Roman" w:cs="Sylfaen"/>
          <w:b/>
          <w:i/>
          <w:lang w:val="hy-AM"/>
        </w:rPr>
        <w:t>Գծապատկեր 1.2</w:t>
      </w:r>
      <w:r w:rsidRPr="00EA45BA">
        <w:rPr>
          <w:rFonts w:eastAsia="Times New Roman" w:cs="Sylfaen"/>
          <w:b/>
          <w:i/>
          <w:lang w:val="es-ES"/>
        </w:rPr>
        <w:t>6</w:t>
      </w:r>
      <w:r w:rsidRPr="00EA45BA">
        <w:rPr>
          <w:rFonts w:eastAsia="Times New Roman" w:cs="Sylfaen"/>
          <w:b/>
          <w:i/>
          <w:lang w:val="hy-AM"/>
        </w:rPr>
        <w:t>.</w:t>
      </w:r>
      <w:r w:rsidRPr="00EA45BA">
        <w:rPr>
          <w:rFonts w:eastAsia="Times New Roman" w:cs="Sylfaen"/>
          <w:b/>
          <w:i/>
          <w:sz w:val="21"/>
          <w:szCs w:val="21"/>
          <w:lang w:val="hy-AM"/>
        </w:rPr>
        <w:t xml:space="preserve"> </w:t>
      </w:r>
      <w:r w:rsidRPr="00EA45BA">
        <w:rPr>
          <w:rFonts w:eastAsia="Times New Roman" w:cs="Sylfaen"/>
          <w:i/>
          <w:sz w:val="20"/>
          <w:szCs w:val="20"/>
          <w:lang w:val="hy-AM"/>
        </w:rPr>
        <w:t>Սպառողական գների աճը, դրամավարկային քաղաքականության հիմնական ցուցանիշները 2017-2020</w:t>
      </w:r>
      <w:r w:rsidRPr="00D11A32">
        <w:rPr>
          <w:rFonts w:eastAsia="Times New Roman" w:cs="Sylfaen"/>
          <w:i/>
          <w:sz w:val="20"/>
          <w:szCs w:val="20"/>
          <w:lang w:val="hy-AM"/>
        </w:rPr>
        <w:t>թ</w:t>
      </w:r>
      <w:r w:rsidRPr="00EA45BA">
        <w:rPr>
          <w:rFonts w:eastAsia="Times New Roman" w:cs="Sylfaen"/>
          <w:i/>
          <w:sz w:val="20"/>
          <w:szCs w:val="20"/>
          <w:lang w:val="hy-AM"/>
        </w:rPr>
        <w:t>թ</w:t>
      </w:r>
      <w:r w:rsidRPr="00EA45BA">
        <w:rPr>
          <w:rFonts w:eastAsia="Times New Roman" w:cs="Sylfaen"/>
          <w:i/>
          <w:sz w:val="20"/>
          <w:szCs w:val="20"/>
          <w:lang w:val="es-ES"/>
        </w:rPr>
        <w:t>.</w:t>
      </w:r>
      <w:r w:rsidRPr="00EA45BA">
        <w:rPr>
          <w:rFonts w:eastAsia="Times New Roman" w:cs="Sylfaen"/>
          <w:i/>
          <w:sz w:val="20"/>
          <w:szCs w:val="20"/>
          <w:lang w:val="hy-AM"/>
        </w:rPr>
        <w:t xml:space="preserve"> մայիսին և գնաճի կանխատեսումները միջնաժամկետ հատվածում</w:t>
      </w:r>
    </w:p>
    <w:p w14:paraId="1AB0CA0D" w14:textId="77777777" w:rsidR="00D11A32" w:rsidRPr="00D11A32" w:rsidRDefault="00D11A32" w:rsidP="00D11A32">
      <w:pPr>
        <w:spacing w:before="0" w:after="120" w:line="276" w:lineRule="auto"/>
        <w:ind w:firstLine="0"/>
        <w:jc w:val="left"/>
        <w:rPr>
          <w:rFonts w:eastAsia="Times New Roman" w:cs="Sylfaen"/>
          <w:i/>
          <w:sz w:val="24"/>
          <w:szCs w:val="24"/>
          <w:lang w:val="hy-AM"/>
        </w:rPr>
      </w:pPr>
      <w:r w:rsidRPr="00D11A32">
        <w:rPr>
          <w:rFonts w:eastAsia="Times New Roman" w:cs="Sylfaen"/>
          <w:b/>
          <w:noProof/>
          <w:sz w:val="24"/>
          <w:szCs w:val="24"/>
        </w:rPr>
        <w:lastRenderedPageBreak/>
        <w:drawing>
          <wp:inline distT="0" distB="0" distL="0" distR="0" wp14:anchorId="7016B96C" wp14:editId="32D45B4C">
            <wp:extent cx="3114000" cy="2000250"/>
            <wp:effectExtent l="0" t="0" r="1079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D11A32">
        <w:rPr>
          <w:rFonts w:eastAsia="Times New Roman" w:cs="Sylfaen"/>
          <w:b/>
          <w:noProof/>
          <w:sz w:val="24"/>
          <w:szCs w:val="24"/>
          <w:lang w:val="hy-AM"/>
        </w:rPr>
        <w:t xml:space="preserve"> </w:t>
      </w:r>
      <w:r w:rsidRPr="00D11A32">
        <w:rPr>
          <w:rFonts w:eastAsia="Times New Roman" w:cs="Sylfaen"/>
          <w:b/>
          <w:noProof/>
          <w:sz w:val="24"/>
          <w:szCs w:val="24"/>
        </w:rPr>
        <w:drawing>
          <wp:inline distT="0" distB="0" distL="0" distR="0" wp14:anchorId="17BF3E37" wp14:editId="1EC28206">
            <wp:extent cx="3114000" cy="2001600"/>
            <wp:effectExtent l="0" t="0" r="10795" b="177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D11A32">
        <w:rPr>
          <w:rFonts w:eastAsia="Times New Roman" w:cs="Sylfaen"/>
          <w:b/>
          <w:noProof/>
          <w:sz w:val="24"/>
          <w:szCs w:val="24"/>
        </w:rPr>
        <w:drawing>
          <wp:inline distT="0" distB="0" distL="0" distR="0" wp14:anchorId="2702E2F1" wp14:editId="34C90B52">
            <wp:extent cx="6300000" cy="485775"/>
            <wp:effectExtent l="0" t="0" r="571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B441B4F" w14:textId="77777777" w:rsidR="00EA45BA" w:rsidRDefault="00EA45BA" w:rsidP="00D11A32">
      <w:pPr>
        <w:spacing w:before="0" w:after="0" w:line="240" w:lineRule="auto"/>
        <w:ind w:firstLine="0"/>
        <w:jc w:val="left"/>
        <w:rPr>
          <w:rFonts w:eastAsia="Calibri" w:cs="Sylfaen"/>
          <w:i/>
          <w:sz w:val="18"/>
          <w:szCs w:val="18"/>
          <w:lang w:val="hy-AM"/>
        </w:rPr>
      </w:pPr>
      <w:r w:rsidRPr="00EA45BA">
        <w:rPr>
          <w:rFonts w:eastAsia="Times New Roman" w:cs="Sylfaen"/>
          <w:b/>
          <w:noProof/>
          <w:sz w:val="24"/>
          <w:szCs w:val="24"/>
        </w:rPr>
        <w:drawing>
          <wp:inline distT="0" distB="0" distL="0" distR="0" wp14:anchorId="1FC4257A" wp14:editId="42DE873F">
            <wp:extent cx="6300000" cy="2171700"/>
            <wp:effectExtent l="0" t="0" r="5715" b="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EA45BA">
        <w:rPr>
          <w:rFonts w:ascii="Times New Roman" w:eastAsia="Times New Roman" w:hAnsi="Times New Roman" w:cs="Times New Roman"/>
          <w:noProof/>
          <w:sz w:val="24"/>
          <w:szCs w:val="24"/>
        </w:rPr>
        <w:drawing>
          <wp:inline distT="0" distB="0" distL="0" distR="0" wp14:anchorId="6DF75220" wp14:editId="44169873">
            <wp:extent cx="3114000" cy="2145600"/>
            <wp:effectExtent l="0" t="0" r="10795" b="7620"/>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D11A32" w:rsidRPr="00D11A32">
        <w:rPr>
          <w:rFonts w:eastAsia="Calibri" w:cs="Sylfaen"/>
          <w:i/>
          <w:sz w:val="24"/>
          <w:szCs w:val="24"/>
          <w:lang w:val="hy-AM"/>
        </w:rPr>
        <w:t xml:space="preserve"> </w:t>
      </w:r>
      <w:r w:rsidRPr="00EA45BA">
        <w:rPr>
          <w:rFonts w:ascii="Times New Roman" w:eastAsia="Times New Roman" w:hAnsi="Times New Roman" w:cs="Times New Roman"/>
          <w:noProof/>
          <w:sz w:val="24"/>
          <w:szCs w:val="24"/>
        </w:rPr>
        <w:drawing>
          <wp:inline distT="0" distB="0" distL="0" distR="0" wp14:anchorId="31E35350" wp14:editId="78FFEE3D">
            <wp:extent cx="3114000" cy="2145030"/>
            <wp:effectExtent l="0" t="0" r="10795" b="762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EA45BA">
        <w:rPr>
          <w:rFonts w:eastAsia="Calibri" w:cs="Sylfaen"/>
          <w:i/>
          <w:sz w:val="18"/>
          <w:szCs w:val="18"/>
          <w:lang w:val="hy-AM"/>
        </w:rPr>
        <w:t>Աղբյուրը՝ ՀՀ ԿԲ, ՀՀ ՖՆ հաշվարկներ և կանխատեսումներ</w:t>
      </w:r>
    </w:p>
    <w:p w14:paraId="4ED85D38" w14:textId="77777777" w:rsidR="00D11A32" w:rsidRPr="00EA45BA" w:rsidRDefault="00D11A32" w:rsidP="00EA45BA">
      <w:pPr>
        <w:spacing w:before="0" w:after="0" w:line="240" w:lineRule="auto"/>
        <w:ind w:firstLine="0"/>
        <w:rPr>
          <w:rFonts w:eastAsia="Calibri" w:cs="Sylfaen"/>
          <w:i/>
          <w:sz w:val="18"/>
          <w:szCs w:val="18"/>
          <w:lang w:val="hy-AM"/>
        </w:rPr>
      </w:pPr>
    </w:p>
    <w:tbl>
      <w:tblPr>
        <w:tblStyle w:val="TableGrid100"/>
        <w:tblW w:w="0" w:type="auto"/>
        <w:shd w:val="clear" w:color="auto" w:fill="D9E2F3"/>
        <w:tblLook w:val="04A0" w:firstRow="1" w:lastRow="0" w:firstColumn="1" w:lastColumn="0" w:noHBand="0" w:noVBand="1"/>
      </w:tblPr>
      <w:tblGrid>
        <w:gridCol w:w="9926"/>
      </w:tblGrid>
      <w:tr w:rsidR="00EA45BA" w:rsidRPr="00EA45BA" w14:paraId="0C4BAC9E" w14:textId="77777777" w:rsidTr="00EA45BA">
        <w:trPr>
          <w:trHeight w:val="3698"/>
        </w:trPr>
        <w:tc>
          <w:tcPr>
            <w:tcW w:w="10160" w:type="dxa"/>
            <w:shd w:val="clear" w:color="auto" w:fill="D9E2F3"/>
          </w:tcPr>
          <w:p w14:paraId="5D7D1E09" w14:textId="77777777" w:rsidR="00EA45BA" w:rsidRPr="00EA45BA" w:rsidRDefault="00EA45BA" w:rsidP="00EA45BA">
            <w:pPr>
              <w:spacing w:before="0" w:after="0" w:line="276" w:lineRule="auto"/>
              <w:ind w:firstLine="0"/>
              <w:jc w:val="center"/>
              <w:rPr>
                <w:rFonts w:cs="Times New Roman"/>
                <w:b/>
                <w:sz w:val="18"/>
                <w:szCs w:val="18"/>
                <w:lang w:val="hy-AM"/>
              </w:rPr>
            </w:pPr>
            <w:r w:rsidRPr="00EA45BA">
              <w:rPr>
                <w:rFonts w:cs="Times New Roman"/>
                <w:b/>
                <w:sz w:val="18"/>
                <w:szCs w:val="18"/>
                <w:lang w:val="hy-AM"/>
              </w:rPr>
              <w:lastRenderedPageBreak/>
              <w:t>Ներդիր 2: Դրամավարկային քաղաքականության արձագանքը համավարակին աշխարհում</w:t>
            </w:r>
          </w:p>
          <w:p w14:paraId="23F6204E" w14:textId="26EB2695" w:rsidR="00EA45BA" w:rsidRPr="00EA45BA" w:rsidRDefault="00EA45BA" w:rsidP="00EA45BA">
            <w:pPr>
              <w:tabs>
                <w:tab w:val="left" w:pos="3780"/>
              </w:tabs>
              <w:spacing w:before="0" w:after="0" w:line="276" w:lineRule="auto"/>
              <w:ind w:firstLine="0"/>
              <w:rPr>
                <w:rFonts w:cs="Times New Roman"/>
                <w:sz w:val="18"/>
                <w:szCs w:val="18"/>
                <w:lang w:val="hy-AM"/>
              </w:rPr>
            </w:pPr>
            <w:r w:rsidRPr="00EA45BA">
              <w:rPr>
                <w:rFonts w:cs="Times New Roman"/>
                <w:sz w:val="18"/>
                <w:szCs w:val="18"/>
                <w:lang w:val="hy-AM"/>
              </w:rPr>
              <w:t>Աշխարհի ինչպես զարգացած, այնպես էլ զարգացող երկրների կենտրոնական բանկերի զգալի մասը խթանող դրամավարկային քաղաքականությամբ հակազդեց համավարակի տարածման տնտեսական ազդեցություններին՝ նվազեցնելով տոկոսադրույքները և ներդնելով ֆինանսական շուկայից ակտիվների ձեռք բերման աննախադեպ ծրագրեր։ Մեծ տասնյակի խմբի (G10) երկրները արդեն իսկ ֆինանսական շուկայից ձեռք են բերել 6 տրիլիոն ԱՄՆ դոլար ծավալի ակտիվներ, որը կրկնակի անգամ գերազանցում  է  2008 թվականի  համաշխարհային ֆինա</w:t>
            </w:r>
            <w:r w:rsidR="007724F4">
              <w:rPr>
                <w:rFonts w:cs="Times New Roman"/>
                <w:sz w:val="18"/>
                <w:szCs w:val="18"/>
                <w:lang w:val="hy-AM"/>
              </w:rPr>
              <w:t>ն</w:t>
            </w:r>
            <w:r w:rsidRPr="00EA45BA">
              <w:rPr>
                <w:rFonts w:cs="Times New Roman"/>
                <w:sz w:val="18"/>
                <w:szCs w:val="18"/>
                <w:lang w:val="hy-AM"/>
              </w:rPr>
              <w:t>սական ճգնաժամին հաջորդած երկու տարիների ընթացքում իրականացրած ձեռ</w:t>
            </w:r>
            <w:r w:rsidR="007724F4">
              <w:rPr>
                <w:rFonts w:cs="Times New Roman"/>
                <w:sz w:val="18"/>
                <w:szCs w:val="18"/>
                <w:lang w:val="hy-AM"/>
              </w:rPr>
              <w:t>ք</w:t>
            </w:r>
            <w:r w:rsidRPr="00EA45BA">
              <w:rPr>
                <w:rFonts w:cs="Times New Roman"/>
                <w:sz w:val="18"/>
                <w:szCs w:val="18"/>
                <w:lang w:val="hy-AM"/>
              </w:rPr>
              <w:t>բերման ծավալը։ Միևնույն ժամանակ, ֆինանսական շուկայից ակտիվների ձեռքբերման ծրագրեր են իրականացրել նաև որոշ զարգացող երկրներ (Թուրքիա, Հնդկաստան, Ռումինիա և այլն)։ Կենտրոնական բանկերի գործողությունները մեղմել են միջազգային ֆինանսական շուկաների անորոշությունները և օժանդակել իրական հատվածի ֆինանսավորմանը։</w:t>
            </w:r>
            <w:r w:rsidRPr="00EA45BA">
              <w:rPr>
                <w:rFonts w:cs="Times New Roman"/>
                <w:sz w:val="20"/>
                <w:szCs w:val="20"/>
                <w:lang w:val="hy-AM"/>
              </w:rPr>
              <w:t xml:space="preserve"> </w:t>
            </w:r>
          </w:p>
          <w:p w14:paraId="34420C6E" w14:textId="77777777" w:rsidR="00EA45BA" w:rsidRPr="00EA45BA" w:rsidRDefault="00EA45BA" w:rsidP="00EA45BA">
            <w:pPr>
              <w:tabs>
                <w:tab w:val="left" w:pos="3780"/>
              </w:tabs>
              <w:spacing w:before="0" w:after="0" w:line="360" w:lineRule="auto"/>
              <w:ind w:firstLine="0"/>
              <w:rPr>
                <w:rFonts w:cs="Times New Roman"/>
                <w:lang w:val="hy-AM"/>
              </w:rPr>
            </w:pPr>
            <w:r w:rsidRPr="00EA45BA">
              <w:rPr>
                <w:rFonts w:cs="Times New Roman"/>
                <w:noProof/>
              </w:rPr>
              <w:drawing>
                <wp:inline distT="0" distB="0" distL="0" distR="0" wp14:anchorId="0D63939F" wp14:editId="4022FF2C">
                  <wp:extent cx="6219825" cy="1744980"/>
                  <wp:effectExtent l="0" t="0" r="9525" b="26670"/>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4E3A55C" w14:textId="77777777" w:rsidR="00EA45BA" w:rsidRPr="00EA45BA" w:rsidRDefault="00EA45BA" w:rsidP="00EA45BA">
            <w:pPr>
              <w:spacing w:before="0" w:after="0" w:line="240" w:lineRule="auto"/>
              <w:ind w:firstLine="0"/>
              <w:rPr>
                <w:rFonts w:eastAsia="Times New Roman" w:cs="Times New Roman"/>
                <w:sz w:val="16"/>
                <w:szCs w:val="16"/>
                <w:lang w:val="hy-AM"/>
              </w:rPr>
            </w:pPr>
            <w:r w:rsidRPr="00EA45BA">
              <w:rPr>
                <w:rFonts w:eastAsia="Times New Roman" w:cs="Times New Roman"/>
                <w:sz w:val="16"/>
                <w:szCs w:val="16"/>
                <w:lang w:val="hy-AM"/>
              </w:rPr>
              <w:t xml:space="preserve">Աղբյուրը՝ Արժույթի միջազգային հիմնադրամի զեկույցներ (World Economic Outlook, April 2020: The Great Lockdown, Global Financial Stability Report Update: Financial Conditions Have Eased, but Insolvencies Loom Large) և </w:t>
            </w:r>
            <w:hyperlink r:id="rId48" w:history="1">
              <w:r w:rsidRPr="00EA45BA">
                <w:rPr>
                  <w:rFonts w:eastAsia="SimSun" w:cs="Times New Roman"/>
                  <w:color w:val="0000FF"/>
                  <w:sz w:val="16"/>
                  <w:szCs w:val="16"/>
                  <w:u w:val="single"/>
                  <w:lang w:val="hy-AM"/>
                </w:rPr>
                <w:t>http://www.centralbanknews.info/</w:t>
              </w:r>
            </w:hyperlink>
            <w:r w:rsidRPr="00EA45BA">
              <w:rPr>
                <w:rFonts w:eastAsia="Times New Roman" w:cs="Times New Roman"/>
                <w:sz w:val="16"/>
                <w:szCs w:val="16"/>
                <w:lang w:val="hy-AM"/>
              </w:rPr>
              <w:t>։</w:t>
            </w:r>
          </w:p>
        </w:tc>
      </w:tr>
    </w:tbl>
    <w:p w14:paraId="4E29D5FB" w14:textId="77777777" w:rsidR="003714CE" w:rsidRDefault="003714CE" w:rsidP="003714CE">
      <w:pPr>
        <w:pStyle w:val="Heading3"/>
        <w:numPr>
          <w:ilvl w:val="0"/>
          <w:numId w:val="0"/>
        </w:numPr>
        <w:rPr>
          <w:rFonts w:eastAsia="Times New Roman" w:cs="Times New Roman"/>
        </w:rPr>
      </w:pPr>
      <w:bookmarkStart w:id="190" w:name="_Toc45810527"/>
      <w:bookmarkStart w:id="191" w:name="_Toc45838517"/>
      <w:bookmarkStart w:id="192" w:name="_Toc45269226"/>
    </w:p>
    <w:p w14:paraId="3602DAF2" w14:textId="77777777" w:rsidR="00EA45BA" w:rsidRPr="003714CE" w:rsidRDefault="00772498" w:rsidP="003714CE">
      <w:pPr>
        <w:pStyle w:val="Heading3"/>
        <w:numPr>
          <w:ilvl w:val="0"/>
          <w:numId w:val="0"/>
        </w:numPr>
        <w:rPr>
          <w:rFonts w:eastAsia="Times New Roman" w:cs="Times New Roman"/>
          <w:color w:val="548DD4" w:themeColor="text2" w:themeTint="99"/>
          <w:sz w:val="28"/>
          <w:szCs w:val="28"/>
        </w:rPr>
      </w:pPr>
      <w:bookmarkStart w:id="193" w:name="_Toc46154346"/>
      <w:r w:rsidRPr="00772498">
        <w:rPr>
          <w:rFonts w:eastAsia="Times New Roman" w:cs="Times New Roman"/>
          <w:caps w:val="0"/>
          <w:color w:val="1F497D" w:themeColor="text2"/>
          <w:sz w:val="28"/>
          <w:szCs w:val="28"/>
        </w:rPr>
        <w:t xml:space="preserve">1.4. </w:t>
      </w:r>
      <w:r w:rsidRPr="00772498">
        <w:rPr>
          <w:rFonts w:eastAsia="Times New Roman"/>
          <w:caps w:val="0"/>
          <w:color w:val="1F497D" w:themeColor="text2"/>
          <w:sz w:val="28"/>
          <w:szCs w:val="28"/>
        </w:rPr>
        <w:t>ԿԱՆԽԱՏԵՍՈՒՄՆԵՐԻ</w:t>
      </w:r>
      <w:r w:rsidRPr="00772498">
        <w:rPr>
          <w:rFonts w:eastAsia="Times New Roman" w:cs="Times New Roman"/>
          <w:caps w:val="0"/>
          <w:color w:val="1F497D" w:themeColor="text2"/>
          <w:sz w:val="28"/>
          <w:szCs w:val="28"/>
        </w:rPr>
        <w:t xml:space="preserve"> </w:t>
      </w:r>
      <w:r w:rsidRPr="00772498">
        <w:rPr>
          <w:rFonts w:eastAsia="Times New Roman"/>
          <w:caps w:val="0"/>
          <w:color w:val="1F497D" w:themeColor="text2"/>
          <w:sz w:val="28"/>
          <w:szCs w:val="28"/>
        </w:rPr>
        <w:t>ՀԻՄՔՈՒՄ</w:t>
      </w:r>
      <w:r w:rsidRPr="00772498">
        <w:rPr>
          <w:rFonts w:eastAsia="Times New Roman" w:cs="Times New Roman"/>
          <w:caps w:val="0"/>
          <w:color w:val="1F497D" w:themeColor="text2"/>
          <w:sz w:val="28"/>
          <w:szCs w:val="28"/>
        </w:rPr>
        <w:t xml:space="preserve"> </w:t>
      </w:r>
      <w:r w:rsidRPr="00772498">
        <w:rPr>
          <w:rFonts w:eastAsia="Times New Roman"/>
          <w:caps w:val="0"/>
          <w:color w:val="1F497D" w:themeColor="text2"/>
          <w:sz w:val="28"/>
          <w:szCs w:val="28"/>
        </w:rPr>
        <w:t>ԸՆԿԱԾ</w:t>
      </w:r>
      <w:r w:rsidRPr="00772498">
        <w:rPr>
          <w:rFonts w:eastAsia="Times New Roman" w:cs="Times New Roman"/>
          <w:caps w:val="0"/>
          <w:color w:val="1F497D" w:themeColor="text2"/>
          <w:sz w:val="28"/>
          <w:szCs w:val="28"/>
        </w:rPr>
        <w:t xml:space="preserve"> </w:t>
      </w:r>
      <w:r w:rsidRPr="00772498">
        <w:rPr>
          <w:rFonts w:eastAsia="Times New Roman"/>
          <w:caps w:val="0"/>
          <w:color w:val="1F497D" w:themeColor="text2"/>
          <w:sz w:val="28"/>
          <w:szCs w:val="28"/>
        </w:rPr>
        <w:t>ԵՆԹԱԴՐՈՒԹՅՈՒՆՆԵՐԸ</w:t>
      </w:r>
      <w:bookmarkEnd w:id="190"/>
      <w:bookmarkEnd w:id="191"/>
      <w:bookmarkEnd w:id="193"/>
      <w:r w:rsidRPr="00772498">
        <w:rPr>
          <w:rFonts w:eastAsia="Times New Roman" w:cs="Times New Roman"/>
          <w:caps w:val="0"/>
          <w:color w:val="1F497D" w:themeColor="text2"/>
          <w:sz w:val="28"/>
          <w:szCs w:val="28"/>
        </w:rPr>
        <w:t xml:space="preserve"> </w:t>
      </w:r>
    </w:p>
    <w:p w14:paraId="26964ACF" w14:textId="33140DBE" w:rsidR="00173FEB" w:rsidRPr="0035033F" w:rsidRDefault="00EA45BA" w:rsidP="0035033F">
      <w:pPr>
        <w:spacing w:before="120" w:after="120" w:line="276" w:lineRule="auto"/>
        <w:ind w:firstLine="709"/>
        <w:rPr>
          <w:rFonts w:eastAsia="Calibri" w:cs="Times New Roman"/>
          <w:lang w:val="hy-AM"/>
        </w:rPr>
      </w:pPr>
      <w:r w:rsidRPr="00EA45BA">
        <w:rPr>
          <w:rFonts w:eastAsia="Calibri" w:cs="Sylfaen"/>
          <w:bCs/>
          <w:lang w:val="hy-AM"/>
        </w:rPr>
        <w:t>2021-2023 թվականների ՄԺԾԾ մակրոտնտեսական շրջանակի կանխատեսումներն իրականացվել են ՀՀ ՖՆ կողմից՝ կիրառելով ՀՀ ՖՆ հարկաբյուջետային քաղաքականության դինամիկ ստոխաստիկ ընդհանուր հավասարակշռության (Fiscal Policy Strategy</w:t>
      </w:r>
      <w:r w:rsidRPr="00EA45BA">
        <w:rPr>
          <w:rFonts w:eastAsia="Calibri" w:cs="Times New Roman"/>
          <w:bCs/>
          <w:lang w:val="hy-AM"/>
        </w:rPr>
        <w:t xml:space="preserve"> </w:t>
      </w:r>
      <w:r w:rsidR="00595A2D" w:rsidRPr="0035033F">
        <w:rPr>
          <w:rFonts w:eastAsia="Calibri" w:cs="Sylfaen"/>
          <w:bCs/>
          <w:lang w:val="hy-AM"/>
        </w:rPr>
        <w:t>D</w:t>
      </w:r>
      <w:r w:rsidRPr="00EA45BA">
        <w:rPr>
          <w:rFonts w:eastAsia="Calibri" w:cs="Sylfaen"/>
          <w:bCs/>
          <w:lang w:val="hy-AM"/>
        </w:rPr>
        <w:t xml:space="preserve">ynamic </w:t>
      </w:r>
      <w:r w:rsidR="00595A2D" w:rsidRPr="0035033F">
        <w:rPr>
          <w:rFonts w:eastAsia="Calibri" w:cs="Sylfaen"/>
          <w:bCs/>
          <w:lang w:val="hy-AM"/>
        </w:rPr>
        <w:t>S</w:t>
      </w:r>
      <w:r w:rsidRPr="00EA45BA">
        <w:rPr>
          <w:rFonts w:eastAsia="Calibri" w:cs="Sylfaen"/>
          <w:bCs/>
          <w:lang w:val="hy-AM"/>
        </w:rPr>
        <w:t>tochastic General E</w:t>
      </w:r>
      <w:r w:rsidR="00595A2D" w:rsidRPr="0035033F">
        <w:rPr>
          <w:rFonts w:eastAsia="Calibri" w:cs="Sylfaen"/>
          <w:bCs/>
          <w:lang w:val="hy-AM"/>
        </w:rPr>
        <w:t>quilibrium</w:t>
      </w:r>
      <w:r w:rsidRPr="00EA45BA">
        <w:rPr>
          <w:rFonts w:eastAsia="Calibri"/>
          <w:bCs/>
          <w:lang w:val="hy-AM"/>
        </w:rPr>
        <w:t xml:space="preserve"> </w:t>
      </w:r>
      <w:r w:rsidR="00595A2D" w:rsidRPr="0035033F">
        <w:rPr>
          <w:rFonts w:eastAsia="Calibri" w:cs="Times New Roman"/>
          <w:bCs/>
          <w:lang w:val="hy-AM"/>
        </w:rPr>
        <w:t>(</w:t>
      </w:r>
      <w:r w:rsidRPr="00EA45BA">
        <w:rPr>
          <w:rFonts w:eastAsia="Calibri" w:cs="Sylfaen"/>
          <w:bCs/>
          <w:lang w:val="hy-AM"/>
        </w:rPr>
        <w:t>DSGE</w:t>
      </w:r>
      <w:r w:rsidR="00595A2D" w:rsidRPr="0035033F">
        <w:rPr>
          <w:rFonts w:eastAsia="Calibri" w:cs="Sylfaen"/>
          <w:bCs/>
          <w:lang w:val="hy-AM"/>
        </w:rPr>
        <w:t>)</w:t>
      </w:r>
      <w:r w:rsidRPr="00EA45BA">
        <w:rPr>
          <w:rFonts w:eastAsia="Calibri" w:cs="Sylfaen"/>
          <w:bCs/>
          <w:lang w:val="hy-AM"/>
        </w:rPr>
        <w:t>) մոդելը</w:t>
      </w:r>
      <w:r w:rsidRPr="00EA45BA">
        <w:rPr>
          <w:rFonts w:eastAsia="GHEA Grapalat" w:cs="GHEA Grapalat"/>
          <w:vertAlign w:val="superscript"/>
        </w:rPr>
        <w:footnoteReference w:id="4"/>
      </w:r>
      <w:r w:rsidRPr="00EA45BA">
        <w:rPr>
          <w:rFonts w:eastAsia="Calibri" w:cs="Sylfaen"/>
          <w:bCs/>
          <w:lang w:val="hy-AM"/>
        </w:rPr>
        <w:t xml:space="preserve"> և տնտեսաչափական մոդելները, որոնց համար տեղեկատվական հիմք են հանդիսացել նե</w:t>
      </w:r>
      <w:r w:rsidR="007724F4">
        <w:rPr>
          <w:rFonts w:eastAsia="Calibri" w:cs="Sylfaen"/>
          <w:bCs/>
          <w:lang w:val="hy-AM"/>
        </w:rPr>
        <w:t>ր</w:t>
      </w:r>
      <w:r w:rsidRPr="00EA45BA">
        <w:rPr>
          <w:rFonts w:eastAsia="Calibri" w:cs="Sylfaen"/>
          <w:bCs/>
          <w:lang w:val="hy-AM"/>
        </w:rPr>
        <w:t>քին և արտաքին ընթացիկ տնտեսական և ֆինանսական զարգացումները, ինչպես նաև 2020թ. ապրիլի դրությամբ ՀՀ գործընկեր երկրների տնտեսական  զարգացումների և հումքային ապրանքների համաշխարհային գների միջազգային կառույցների կողմից արված կանխատեսումները: Կանխատեսումների հիմքում ընկած է նաև այն ենթադրությունը, որ ՀՀ և գործընկեր երկրների տնտեսությունները «V-աձև» զարգացում են ունենալու՝ ամենամեծ անկումը գրանցելով երկրորդ եռամսյակում և սկսում վերականգնվել դրանից հետո։ Մասնավորապես՝</w:t>
      </w:r>
    </w:p>
    <w:p w14:paraId="6EC0B951" w14:textId="77777777" w:rsidR="00EA45BA" w:rsidRPr="00EA45BA" w:rsidRDefault="00EA45BA" w:rsidP="00EA45BA">
      <w:pPr>
        <w:numPr>
          <w:ilvl w:val="0"/>
          <w:numId w:val="26"/>
        </w:numPr>
        <w:spacing w:before="0" w:after="120" w:line="276" w:lineRule="auto"/>
        <w:contextualSpacing/>
        <w:rPr>
          <w:rFonts w:eastAsia="Calibri" w:cs="Sylfaen"/>
          <w:bCs/>
          <w:lang w:val="hy-AM"/>
        </w:rPr>
      </w:pPr>
      <w:r w:rsidRPr="00EA45BA">
        <w:rPr>
          <w:rFonts w:eastAsia="Calibri" w:cs="Sylfaen"/>
          <w:bCs/>
          <w:lang w:val="hy-AM"/>
        </w:rPr>
        <w:t>Մարտ ամսին հայտարարված արտակարգ դրության պայմաններում կիրառվեցին տնտեսական ակտիվության համատարած սահմանափակումներ, որոնք աստիճանաբար հանվեցին մինչև հունիս՝  առաջացնելով, հիմնականում երկրորդ եռամսյակում, առաջարկի և պահանջարկի էական բացասական շոկեր։</w:t>
      </w:r>
    </w:p>
    <w:p w14:paraId="72925B9F" w14:textId="77777777" w:rsidR="00EA45BA" w:rsidRPr="00EA45BA" w:rsidRDefault="00EA45BA" w:rsidP="00EA45BA">
      <w:pPr>
        <w:numPr>
          <w:ilvl w:val="0"/>
          <w:numId w:val="26"/>
        </w:numPr>
        <w:spacing w:before="0" w:after="120" w:line="276" w:lineRule="auto"/>
        <w:contextualSpacing/>
        <w:rPr>
          <w:rFonts w:eastAsia="Calibri" w:cs="Sylfaen"/>
          <w:bCs/>
          <w:lang w:val="hy-AM"/>
        </w:rPr>
      </w:pPr>
      <w:r w:rsidRPr="00EA45BA">
        <w:rPr>
          <w:rFonts w:eastAsia="Calibri" w:cs="Sylfaen"/>
          <w:bCs/>
          <w:lang w:val="hy-AM"/>
        </w:rPr>
        <w:lastRenderedPageBreak/>
        <w:t>Արտաքին աշխարհից ՀՀ տնտեսություն փոխանցվող շոկերը գնահատվել են հիմնվելով հիմնականում ԱՄՀ ապրիլ ամսին հրապարակված գնահատականների և կանխատեսումների վրա՝</w:t>
      </w:r>
    </w:p>
    <w:p w14:paraId="73D1E50F" w14:textId="77777777" w:rsidR="00EA45BA" w:rsidRPr="00EA45BA" w:rsidRDefault="00EA45BA" w:rsidP="00EA45BA">
      <w:pPr>
        <w:numPr>
          <w:ilvl w:val="1"/>
          <w:numId w:val="26"/>
        </w:numPr>
        <w:spacing w:before="0" w:after="120" w:line="276" w:lineRule="auto"/>
        <w:ind w:left="1434" w:hanging="357"/>
        <w:rPr>
          <w:rFonts w:eastAsia="Calibri" w:cs="Sylfaen"/>
          <w:bCs/>
          <w:lang w:val="af-ZA"/>
        </w:rPr>
      </w:pPr>
      <w:r w:rsidRPr="00EA45BA">
        <w:rPr>
          <w:rFonts w:eastAsia="Calibri" w:cs="Times New Roman"/>
          <w:lang w:val="es-ES"/>
        </w:rPr>
        <w:t>ԱՄՀ-ի կանխատեսումներին համապատասխան գնահատվում է, որ Հայաստանի հիմ</w:t>
      </w:r>
      <w:r w:rsidRPr="00EA45BA">
        <w:rPr>
          <w:rFonts w:eastAsia="Calibri" w:cs="Times New Roman"/>
          <w:lang w:val="es-ES"/>
        </w:rPr>
        <w:softHyphen/>
        <w:t xml:space="preserve">նական գործընկեր երկրների, այդ թվում` </w:t>
      </w:r>
      <w:r w:rsidRPr="00EA45BA">
        <w:rPr>
          <w:rFonts w:eastAsia="Calibri" w:cs="Times New Roman"/>
          <w:lang w:val="hy-AM"/>
        </w:rPr>
        <w:t xml:space="preserve">Ռուսաստանի, </w:t>
      </w:r>
      <w:r w:rsidRPr="00EA45BA">
        <w:rPr>
          <w:rFonts w:eastAsia="Calibri" w:cs="Times New Roman"/>
          <w:lang w:val="es-ES"/>
        </w:rPr>
        <w:t>ԱՄՆ-ի, Չինաստանի և Եվրոգոտու արտաքին պահանջարկը 2020թ. միջինում կկրճատվի 5.9%-ով</w:t>
      </w:r>
      <w:r w:rsidRPr="00EA45BA">
        <w:rPr>
          <w:rFonts w:eastAsia="Calibri" w:cs="Times New Roman"/>
          <w:vertAlign w:val="superscript"/>
          <w:lang w:val="es-ES"/>
        </w:rPr>
        <w:footnoteReference w:id="5"/>
      </w:r>
      <w:r w:rsidRPr="00EA45BA">
        <w:rPr>
          <w:rFonts w:eastAsia="Calibri" w:cs="Times New Roman"/>
          <w:lang w:val="hy-AM"/>
        </w:rPr>
        <w:t>,</w:t>
      </w:r>
    </w:p>
    <w:p w14:paraId="564D6BDB" w14:textId="77777777" w:rsidR="00EA45BA" w:rsidRPr="00EA45BA" w:rsidRDefault="00EA45BA" w:rsidP="00EA45BA">
      <w:pPr>
        <w:numPr>
          <w:ilvl w:val="1"/>
          <w:numId w:val="26"/>
        </w:numPr>
        <w:spacing w:before="0" w:after="120" w:line="276" w:lineRule="auto"/>
        <w:ind w:left="1434" w:hanging="357"/>
        <w:rPr>
          <w:rFonts w:eastAsia="Calibri" w:cs="Times New Roman"/>
          <w:lang w:val="af-ZA"/>
        </w:rPr>
      </w:pPr>
      <w:r w:rsidRPr="00EA45BA">
        <w:rPr>
          <w:rFonts w:eastAsia="Calibri" w:cs="Sylfaen"/>
        </w:rPr>
        <w:t>Նավթի</w:t>
      </w:r>
      <w:r w:rsidRPr="00EA45BA">
        <w:rPr>
          <w:rFonts w:eastAsia="Calibri" w:cs="Times New Roman"/>
          <w:lang w:val="af-ZA"/>
        </w:rPr>
        <w:t xml:space="preserve"> </w:t>
      </w:r>
      <w:r w:rsidRPr="00EA45BA">
        <w:rPr>
          <w:rFonts w:eastAsia="Calibri" w:cs="Sylfaen"/>
        </w:rPr>
        <w:t>և</w:t>
      </w:r>
      <w:r w:rsidRPr="00EA45BA">
        <w:rPr>
          <w:rFonts w:eastAsia="Calibri" w:cs="Times New Roman"/>
          <w:lang w:val="af-ZA"/>
        </w:rPr>
        <w:t xml:space="preserve"> </w:t>
      </w:r>
      <w:r w:rsidRPr="00EA45BA">
        <w:rPr>
          <w:rFonts w:eastAsia="Calibri" w:cs="Sylfaen"/>
        </w:rPr>
        <w:t>պղնձի</w:t>
      </w:r>
      <w:r w:rsidRPr="00EA45BA">
        <w:rPr>
          <w:rFonts w:eastAsia="Calibri" w:cs="Times New Roman"/>
          <w:lang w:val="af-ZA"/>
        </w:rPr>
        <w:t xml:space="preserve"> </w:t>
      </w:r>
      <w:r w:rsidRPr="00EA45BA">
        <w:rPr>
          <w:rFonts w:eastAsia="Calibri" w:cs="Sylfaen"/>
        </w:rPr>
        <w:t>համաշխարհային</w:t>
      </w:r>
      <w:r w:rsidRPr="00EA45BA">
        <w:rPr>
          <w:rFonts w:eastAsia="Calibri" w:cs="Times New Roman"/>
          <w:lang w:val="af-ZA"/>
        </w:rPr>
        <w:t xml:space="preserve"> </w:t>
      </w:r>
      <w:r w:rsidRPr="00EA45BA">
        <w:rPr>
          <w:rFonts w:eastAsia="Calibri" w:cs="Sylfaen"/>
        </w:rPr>
        <w:t>գների</w:t>
      </w:r>
      <w:r w:rsidRPr="00EA45BA">
        <w:rPr>
          <w:rFonts w:eastAsia="Calibri" w:cs="Times New Roman"/>
          <w:lang w:val="af-ZA"/>
        </w:rPr>
        <w:t xml:space="preserve"> </w:t>
      </w:r>
      <w:r w:rsidRPr="00EA45BA">
        <w:rPr>
          <w:rFonts w:eastAsia="Calibri" w:cs="Sylfaen"/>
        </w:rPr>
        <w:t>անկումը</w:t>
      </w:r>
      <w:r w:rsidRPr="00EA45BA">
        <w:rPr>
          <w:rFonts w:eastAsia="Calibri" w:cs="Times New Roman"/>
          <w:lang w:val="af-ZA"/>
        </w:rPr>
        <w:t xml:space="preserve"> 2020</w:t>
      </w:r>
      <w:r w:rsidRPr="00EA45BA">
        <w:rPr>
          <w:rFonts w:eastAsia="Calibri" w:cs="Sylfaen"/>
        </w:rPr>
        <w:t>թ</w:t>
      </w:r>
      <w:r w:rsidRPr="00EA45BA">
        <w:rPr>
          <w:rFonts w:eastAsia="Calibri" w:cs="Times New Roman"/>
          <w:lang w:val="af-ZA"/>
        </w:rPr>
        <w:t xml:space="preserve">. </w:t>
      </w:r>
      <w:r w:rsidRPr="00EA45BA">
        <w:rPr>
          <w:rFonts w:eastAsia="Calibri" w:cs="Sylfaen"/>
        </w:rPr>
        <w:t>կշարունակվի</w:t>
      </w:r>
      <w:r w:rsidRPr="00EA45BA">
        <w:rPr>
          <w:rFonts w:eastAsia="Calibri" w:cs="Times New Roman"/>
          <w:lang w:val="af-ZA"/>
        </w:rPr>
        <w:t xml:space="preserve">: </w:t>
      </w:r>
      <w:r w:rsidRPr="00EA45BA">
        <w:rPr>
          <w:rFonts w:eastAsia="Calibri" w:cs="Sylfaen"/>
          <w:lang w:val="hy-AM"/>
        </w:rPr>
        <w:t>Ակնկալվում</w:t>
      </w:r>
      <w:r w:rsidRPr="00EA45BA">
        <w:rPr>
          <w:rFonts w:eastAsia="Calibri" w:cs="Times New Roman"/>
          <w:lang w:val="hy-AM"/>
        </w:rPr>
        <w:t xml:space="preserve"> </w:t>
      </w:r>
      <w:r w:rsidRPr="00EA45BA">
        <w:rPr>
          <w:rFonts w:eastAsia="Calibri" w:cs="Sylfaen"/>
          <w:lang w:val="hy-AM"/>
        </w:rPr>
        <w:t>է</w:t>
      </w:r>
      <w:r w:rsidRPr="00EA45BA">
        <w:rPr>
          <w:rFonts w:eastAsia="Calibri" w:cs="Times New Roman"/>
          <w:lang w:val="hy-AM"/>
        </w:rPr>
        <w:t xml:space="preserve">, </w:t>
      </w:r>
      <w:r w:rsidRPr="00EA45BA">
        <w:rPr>
          <w:rFonts w:eastAsia="Calibri" w:cs="Sylfaen"/>
          <w:lang w:val="hy-AM"/>
        </w:rPr>
        <w:t>որ</w:t>
      </w:r>
      <w:r w:rsidRPr="00EA45BA">
        <w:rPr>
          <w:rFonts w:eastAsia="Calibri" w:cs="Times New Roman"/>
          <w:lang w:val="hy-AM"/>
        </w:rPr>
        <w:t xml:space="preserve"> 2021</w:t>
      </w:r>
      <w:r w:rsidRPr="00EA45BA">
        <w:rPr>
          <w:rFonts w:eastAsia="Calibri" w:cs="Sylfaen"/>
          <w:lang w:val="hy-AM"/>
        </w:rPr>
        <w:t>թ</w:t>
      </w:r>
      <w:r w:rsidRPr="00EA45BA">
        <w:rPr>
          <w:rFonts w:eastAsia="Calibri" w:cs="Times New Roman"/>
          <w:lang w:val="hy-AM"/>
        </w:rPr>
        <w:t>.</w:t>
      </w:r>
      <w:r w:rsidRPr="00EA45BA">
        <w:rPr>
          <w:rFonts w:eastAsia="Calibri" w:cs="Times New Roman"/>
          <w:lang w:val="af-ZA"/>
        </w:rPr>
        <w:t xml:space="preserve"> </w:t>
      </w:r>
      <w:r w:rsidRPr="00EA45BA">
        <w:rPr>
          <w:rFonts w:eastAsia="Calibri" w:cs="Sylfaen"/>
        </w:rPr>
        <w:t>հումքային</w:t>
      </w:r>
      <w:r w:rsidRPr="00EA45BA">
        <w:rPr>
          <w:rFonts w:eastAsia="Calibri" w:cs="Sylfaen"/>
          <w:lang w:val="hy-AM"/>
        </w:rPr>
        <w:t xml:space="preserve"> ապրանքների միջազգային</w:t>
      </w:r>
      <w:r w:rsidRPr="00EA45BA">
        <w:rPr>
          <w:rFonts w:eastAsia="Calibri" w:cs="Times New Roman"/>
          <w:lang w:val="af-ZA"/>
        </w:rPr>
        <w:t xml:space="preserve"> </w:t>
      </w:r>
      <w:r w:rsidRPr="00EA45BA">
        <w:rPr>
          <w:rFonts w:eastAsia="Calibri" w:cs="Sylfaen"/>
          <w:lang w:val="hy-AM"/>
        </w:rPr>
        <w:t>գները</w:t>
      </w:r>
      <w:r w:rsidRPr="00EA45BA">
        <w:rPr>
          <w:rFonts w:eastAsia="Calibri" w:cs="Times New Roman"/>
          <w:lang w:val="hy-AM"/>
        </w:rPr>
        <w:t xml:space="preserve"> </w:t>
      </w:r>
      <w:r w:rsidRPr="00EA45BA">
        <w:rPr>
          <w:rFonts w:eastAsia="Calibri" w:cs="Sylfaen"/>
          <w:lang w:val="hy-AM"/>
        </w:rPr>
        <w:t>կսկսեն</w:t>
      </w:r>
      <w:r w:rsidRPr="00EA45BA">
        <w:rPr>
          <w:rFonts w:eastAsia="Calibri" w:cs="Times New Roman"/>
          <w:lang w:val="hy-AM"/>
        </w:rPr>
        <w:t xml:space="preserve"> </w:t>
      </w:r>
      <w:r w:rsidRPr="00EA45BA">
        <w:rPr>
          <w:rFonts w:eastAsia="Calibri" w:cs="Sylfaen"/>
          <w:lang w:val="hy-AM"/>
        </w:rPr>
        <w:t>վերականգնվել</w:t>
      </w:r>
      <w:r w:rsidRPr="00EA45BA">
        <w:rPr>
          <w:rFonts w:eastAsia="Calibri" w:cs="Times New Roman"/>
          <w:lang w:val="hy-AM"/>
        </w:rPr>
        <w:t>,</w:t>
      </w:r>
    </w:p>
    <w:p w14:paraId="732F90B0" w14:textId="77777777" w:rsidR="00EA45BA" w:rsidRPr="00EA45BA" w:rsidRDefault="00EA45BA" w:rsidP="00EA45BA">
      <w:pPr>
        <w:numPr>
          <w:ilvl w:val="1"/>
          <w:numId w:val="26"/>
        </w:numPr>
        <w:spacing w:before="0" w:after="120" w:line="276" w:lineRule="auto"/>
        <w:ind w:left="1434" w:hanging="357"/>
        <w:rPr>
          <w:rFonts w:eastAsia="Calibri" w:cs="Times New Roman"/>
          <w:lang w:val="af-ZA"/>
        </w:rPr>
      </w:pPr>
      <w:r w:rsidRPr="00EA45BA">
        <w:rPr>
          <w:rFonts w:eastAsia="Calibri" w:cs="Sylfaen"/>
        </w:rPr>
        <w:t>Արտաքին</w:t>
      </w:r>
      <w:r w:rsidRPr="00EA45BA">
        <w:rPr>
          <w:rFonts w:eastAsia="Calibri" w:cs="Sylfaen"/>
          <w:lang w:val="af-ZA"/>
        </w:rPr>
        <w:t xml:space="preserve"> </w:t>
      </w:r>
      <w:r w:rsidRPr="00EA45BA">
        <w:rPr>
          <w:rFonts w:eastAsia="Calibri" w:cs="Sylfaen"/>
        </w:rPr>
        <w:t>զարգացումներով</w:t>
      </w:r>
      <w:r w:rsidRPr="00EA45BA">
        <w:rPr>
          <w:rFonts w:eastAsia="Calibri" w:cs="Sylfaen"/>
          <w:lang w:val="af-ZA"/>
        </w:rPr>
        <w:t xml:space="preserve">, </w:t>
      </w:r>
      <w:r w:rsidRPr="00EA45BA">
        <w:rPr>
          <w:rFonts w:eastAsia="Calibri" w:cs="Sylfaen"/>
        </w:rPr>
        <w:t>մասնավորապես՝</w:t>
      </w:r>
      <w:r w:rsidRPr="00EA45BA">
        <w:rPr>
          <w:rFonts w:eastAsia="Calibri" w:cs="Sylfaen"/>
          <w:lang w:val="af-ZA"/>
        </w:rPr>
        <w:t xml:space="preserve"> </w:t>
      </w:r>
      <w:r w:rsidRPr="00EA45BA">
        <w:rPr>
          <w:rFonts w:eastAsia="Calibri" w:cs="Sylfaen"/>
          <w:lang w:val="es-ES"/>
        </w:rPr>
        <w:t xml:space="preserve">Ռուսաստանի </w:t>
      </w:r>
      <w:r w:rsidRPr="00EA45BA">
        <w:rPr>
          <w:rFonts w:eastAsia="Calibri" w:cs="Sylfaen"/>
          <w:lang w:val="ru-RU"/>
        </w:rPr>
        <w:t>տնտեսական</w:t>
      </w:r>
      <w:r w:rsidRPr="00EA45BA">
        <w:rPr>
          <w:rFonts w:eastAsia="Calibri" w:cs="Sylfaen"/>
          <w:lang w:val="es-ES"/>
        </w:rPr>
        <w:t xml:space="preserve"> </w:t>
      </w:r>
      <w:r w:rsidRPr="00EA45BA">
        <w:rPr>
          <w:rFonts w:eastAsia="Calibri" w:cs="Sylfaen"/>
        </w:rPr>
        <w:t>անկմամբ</w:t>
      </w:r>
      <w:r w:rsidRPr="00EA45BA">
        <w:rPr>
          <w:rFonts w:eastAsia="Calibri" w:cs="Sylfaen"/>
          <w:lang w:val="hy-AM"/>
        </w:rPr>
        <w:t xml:space="preserve"> </w:t>
      </w:r>
      <w:r w:rsidRPr="00EA45BA">
        <w:rPr>
          <w:rFonts w:eastAsia="Calibri" w:cs="Sylfaen"/>
          <w:lang w:val="es-ES"/>
        </w:rPr>
        <w:t>պայմանավորված՝</w:t>
      </w:r>
      <w:r w:rsidRPr="00EA45BA">
        <w:rPr>
          <w:rFonts w:eastAsia="Calibri" w:cs="Sylfaen"/>
          <w:lang w:val="af-ZA"/>
        </w:rPr>
        <w:t xml:space="preserve"> 2020</w:t>
      </w:r>
      <w:r w:rsidRPr="00EA45BA">
        <w:rPr>
          <w:rFonts w:eastAsia="Calibri" w:cs="Sylfaen"/>
        </w:rPr>
        <w:t>թ</w:t>
      </w:r>
      <w:r w:rsidRPr="00EA45BA">
        <w:rPr>
          <w:rFonts w:eastAsia="Calibri" w:cs="Sylfaen"/>
          <w:lang w:val="af-ZA"/>
        </w:rPr>
        <w:t xml:space="preserve">. </w:t>
      </w:r>
      <w:r w:rsidRPr="00EA45BA">
        <w:rPr>
          <w:rFonts w:eastAsia="Calibri" w:cs="Sylfaen"/>
        </w:rPr>
        <w:t>գնահատվում</w:t>
      </w:r>
      <w:r w:rsidRPr="00EA45BA">
        <w:rPr>
          <w:rFonts w:eastAsia="Calibri" w:cs="Sylfaen"/>
          <w:lang w:val="af-ZA"/>
        </w:rPr>
        <w:t xml:space="preserve"> </w:t>
      </w:r>
      <w:r w:rsidRPr="00EA45BA">
        <w:rPr>
          <w:rFonts w:eastAsia="Calibri" w:cs="Sylfaen"/>
        </w:rPr>
        <w:t>է</w:t>
      </w:r>
      <w:r w:rsidRPr="00EA45BA">
        <w:rPr>
          <w:rFonts w:eastAsia="Calibri" w:cs="Sylfaen"/>
          <w:lang w:val="af-ZA"/>
        </w:rPr>
        <w:t xml:space="preserve"> </w:t>
      </w:r>
      <w:r w:rsidRPr="00EA45BA">
        <w:rPr>
          <w:rFonts w:eastAsia="Calibri" w:cs="Sylfaen"/>
        </w:rPr>
        <w:t>դրամական</w:t>
      </w:r>
      <w:r w:rsidRPr="00EA45BA">
        <w:rPr>
          <w:rFonts w:eastAsia="Calibri" w:cs="Sylfaen"/>
          <w:lang w:val="af-ZA"/>
        </w:rPr>
        <w:t xml:space="preserve"> </w:t>
      </w:r>
      <w:r w:rsidRPr="00EA45BA">
        <w:rPr>
          <w:rFonts w:eastAsia="Calibri" w:cs="Sylfaen"/>
        </w:rPr>
        <w:t>փոխանցումների</w:t>
      </w:r>
      <w:r w:rsidRPr="00EA45BA">
        <w:rPr>
          <w:rFonts w:eastAsia="Calibri" w:cs="Sylfaen"/>
          <w:lang w:val="af-ZA"/>
        </w:rPr>
        <w:t xml:space="preserve"> </w:t>
      </w:r>
      <w:r w:rsidRPr="00EA45BA">
        <w:rPr>
          <w:rFonts w:eastAsia="Calibri" w:cs="Sylfaen"/>
        </w:rPr>
        <w:t>էապես</w:t>
      </w:r>
      <w:r w:rsidRPr="00EA45BA">
        <w:rPr>
          <w:rFonts w:eastAsia="Calibri" w:cs="Sylfaen"/>
          <w:lang w:val="af-ZA"/>
        </w:rPr>
        <w:t xml:space="preserve"> </w:t>
      </w:r>
      <w:r w:rsidRPr="00EA45BA">
        <w:rPr>
          <w:rFonts w:eastAsia="Calibri" w:cs="Sylfaen"/>
        </w:rPr>
        <w:t>կրճատում</w:t>
      </w:r>
      <w:r w:rsidRPr="00EA45BA">
        <w:rPr>
          <w:rFonts w:eastAsia="Calibri" w:cs="Sylfaen"/>
          <w:lang w:val="af-ZA"/>
        </w:rPr>
        <w:t xml:space="preserve">, </w:t>
      </w:r>
      <w:r w:rsidRPr="00EA45BA">
        <w:rPr>
          <w:rFonts w:eastAsia="Calibri" w:cs="Sylfaen"/>
        </w:rPr>
        <w:t>իսկ</w:t>
      </w:r>
      <w:r w:rsidRPr="00EA45BA">
        <w:rPr>
          <w:rFonts w:eastAsia="Calibri" w:cs="Sylfaen"/>
          <w:lang w:val="af-ZA"/>
        </w:rPr>
        <w:t xml:space="preserve"> </w:t>
      </w:r>
      <w:r w:rsidRPr="00EA45BA">
        <w:rPr>
          <w:rFonts w:eastAsia="Calibri" w:cs="Sylfaen"/>
        </w:rPr>
        <w:t>միջնաժամկետում</w:t>
      </w:r>
      <w:r w:rsidRPr="00EA45BA">
        <w:rPr>
          <w:rFonts w:eastAsia="Calibri" w:cs="Times New Roman"/>
          <w:lang w:val="hy-AM"/>
        </w:rPr>
        <w:t xml:space="preserve"> </w:t>
      </w:r>
      <w:r w:rsidRPr="00EA45BA">
        <w:rPr>
          <w:rFonts w:eastAsia="Calibri" w:cs="Sylfaen"/>
        </w:rPr>
        <w:t>դրանց</w:t>
      </w:r>
      <w:r w:rsidRPr="00EA45BA">
        <w:rPr>
          <w:rFonts w:eastAsia="Calibri" w:cs="Sylfaen"/>
          <w:lang w:val="hy-AM"/>
        </w:rPr>
        <w:t xml:space="preserve"> </w:t>
      </w:r>
      <w:r w:rsidRPr="00EA45BA">
        <w:rPr>
          <w:rFonts w:eastAsia="Calibri" w:cs="Sylfaen"/>
        </w:rPr>
        <w:t>վերականգնման</w:t>
      </w:r>
      <w:r w:rsidRPr="00EA45BA">
        <w:rPr>
          <w:rFonts w:eastAsia="Calibri" w:cs="Sylfaen"/>
          <w:lang w:val="af-ZA"/>
        </w:rPr>
        <w:t xml:space="preserve"> </w:t>
      </w:r>
      <w:r w:rsidRPr="00EA45BA">
        <w:rPr>
          <w:rFonts w:eastAsia="Calibri" w:cs="Sylfaen"/>
          <w:lang w:val="hy-AM"/>
        </w:rPr>
        <w:t xml:space="preserve">ազդեցությունը </w:t>
      </w:r>
      <w:r w:rsidRPr="00EA45BA">
        <w:rPr>
          <w:rFonts w:eastAsia="Calibri" w:cs="Sylfaen"/>
        </w:rPr>
        <w:t>բնակչության</w:t>
      </w:r>
      <w:r w:rsidRPr="00EA45BA">
        <w:rPr>
          <w:rFonts w:eastAsia="Calibri" w:cs="Sylfaen"/>
          <w:lang w:val="af-ZA"/>
        </w:rPr>
        <w:t xml:space="preserve"> </w:t>
      </w:r>
      <w:r w:rsidRPr="00EA45BA">
        <w:rPr>
          <w:rFonts w:eastAsia="Calibri" w:cs="Sylfaen"/>
        </w:rPr>
        <w:t>տն</w:t>
      </w:r>
      <w:r w:rsidRPr="00EA45BA">
        <w:rPr>
          <w:rFonts w:eastAsia="Calibri" w:cs="Sylfaen"/>
          <w:lang w:val="hy-AM"/>
        </w:rPr>
        <w:t>օ</w:t>
      </w:r>
      <w:r w:rsidRPr="00EA45BA">
        <w:rPr>
          <w:rFonts w:eastAsia="Calibri" w:cs="Sylfaen"/>
        </w:rPr>
        <w:t>րինվող</w:t>
      </w:r>
      <w:r w:rsidRPr="00EA45BA">
        <w:rPr>
          <w:rFonts w:eastAsia="Calibri" w:cs="Sylfaen"/>
          <w:lang w:val="af-ZA"/>
        </w:rPr>
        <w:t xml:space="preserve"> </w:t>
      </w:r>
      <w:r w:rsidRPr="00EA45BA">
        <w:rPr>
          <w:rFonts w:eastAsia="Calibri" w:cs="Sylfaen"/>
        </w:rPr>
        <w:t>եկամտի</w:t>
      </w:r>
      <w:r w:rsidRPr="00EA45BA">
        <w:rPr>
          <w:rFonts w:eastAsia="Calibri" w:cs="Sylfaen"/>
          <w:lang w:val="hy-AM"/>
        </w:rPr>
        <w:t xml:space="preserve"> վրա </w:t>
      </w:r>
      <w:r w:rsidRPr="00EA45BA">
        <w:rPr>
          <w:rFonts w:eastAsia="Calibri" w:cs="Times New Roman"/>
          <w:lang w:val="es-ES"/>
        </w:rPr>
        <w:t xml:space="preserve">կընթանա </w:t>
      </w:r>
      <w:r w:rsidRPr="00EA45BA">
        <w:rPr>
          <w:rFonts w:eastAsia="Calibri" w:cs="Times New Roman"/>
          <w:lang w:val="hy-AM"/>
        </w:rPr>
        <w:t>համեմատաբար</w:t>
      </w:r>
      <w:r w:rsidRPr="00EA45BA">
        <w:rPr>
          <w:rFonts w:eastAsia="Calibri" w:cs="Times New Roman"/>
          <w:lang w:val="es-ES"/>
        </w:rPr>
        <w:t xml:space="preserve"> դանդաղ տեմպերով</w:t>
      </w:r>
      <w:r w:rsidRPr="00EA45BA">
        <w:rPr>
          <w:rFonts w:eastAsia="Calibri" w:cs="Times New Roman"/>
          <w:lang w:val="hy-AM"/>
        </w:rPr>
        <w:t>,</w:t>
      </w:r>
    </w:p>
    <w:p w14:paraId="02CEB1DE" w14:textId="77777777" w:rsidR="00EA45BA" w:rsidRPr="00EA45BA" w:rsidRDefault="00EA45BA" w:rsidP="00EA45BA">
      <w:pPr>
        <w:numPr>
          <w:ilvl w:val="1"/>
          <w:numId w:val="26"/>
        </w:numPr>
        <w:spacing w:before="0" w:after="120" w:line="276" w:lineRule="auto"/>
        <w:ind w:left="1434" w:hanging="357"/>
        <w:rPr>
          <w:rFonts w:eastAsia="Calibri" w:cs="Sylfaen"/>
          <w:lang w:val="af-ZA"/>
        </w:rPr>
      </w:pPr>
      <w:r w:rsidRPr="00EA45BA">
        <w:rPr>
          <w:rFonts w:eastAsia="Calibri" w:cs="Sylfaen"/>
        </w:rPr>
        <w:t>Միջնաժամկետում</w:t>
      </w:r>
      <w:r w:rsidRPr="00EA45BA">
        <w:rPr>
          <w:rFonts w:eastAsia="Calibri" w:cs="Sylfaen"/>
          <w:lang w:val="af-ZA"/>
        </w:rPr>
        <w:t xml:space="preserve"> </w:t>
      </w:r>
      <w:r w:rsidRPr="00EA45BA">
        <w:rPr>
          <w:rFonts w:eastAsia="Calibri" w:cs="Sylfaen"/>
        </w:rPr>
        <w:t>համաշխարհային</w:t>
      </w:r>
      <w:r w:rsidRPr="00EA45BA">
        <w:rPr>
          <w:rFonts w:eastAsia="Calibri" w:cs="Sylfaen"/>
          <w:lang w:val="af-ZA"/>
        </w:rPr>
        <w:t xml:space="preserve"> </w:t>
      </w:r>
      <w:r w:rsidRPr="00EA45BA">
        <w:rPr>
          <w:rFonts w:eastAsia="Calibri" w:cs="Sylfaen"/>
        </w:rPr>
        <w:t>և</w:t>
      </w:r>
      <w:r w:rsidRPr="00EA45BA">
        <w:rPr>
          <w:rFonts w:eastAsia="Calibri" w:cs="Sylfaen"/>
          <w:lang w:val="af-ZA"/>
        </w:rPr>
        <w:t xml:space="preserve"> </w:t>
      </w:r>
      <w:r w:rsidRPr="00EA45BA">
        <w:rPr>
          <w:rFonts w:eastAsia="Calibri" w:cs="Sylfaen"/>
        </w:rPr>
        <w:t>գործընկեր</w:t>
      </w:r>
      <w:r w:rsidRPr="00EA45BA">
        <w:rPr>
          <w:rFonts w:eastAsia="Calibri" w:cs="Sylfaen"/>
          <w:lang w:val="af-ZA"/>
        </w:rPr>
        <w:t xml:space="preserve"> </w:t>
      </w:r>
      <w:r w:rsidRPr="00EA45BA">
        <w:rPr>
          <w:rFonts w:eastAsia="Calibri" w:cs="Sylfaen"/>
        </w:rPr>
        <w:t>երկրների</w:t>
      </w:r>
      <w:r w:rsidRPr="00EA45BA">
        <w:rPr>
          <w:rFonts w:eastAsia="Calibri" w:cs="Sylfaen"/>
          <w:lang w:val="af-ZA"/>
        </w:rPr>
        <w:t xml:space="preserve"> </w:t>
      </w:r>
      <w:r w:rsidRPr="00EA45BA">
        <w:rPr>
          <w:rFonts w:eastAsia="Calibri" w:cs="Sylfaen"/>
        </w:rPr>
        <w:t>տնտեսությունները</w:t>
      </w:r>
      <w:r w:rsidRPr="00EA45BA">
        <w:rPr>
          <w:rFonts w:eastAsia="Calibri" w:cs="Sylfaen"/>
          <w:lang w:val="af-ZA"/>
        </w:rPr>
        <w:t xml:space="preserve"> </w:t>
      </w:r>
      <w:r w:rsidRPr="00EA45BA">
        <w:rPr>
          <w:rFonts w:eastAsia="Calibri" w:cs="Sylfaen"/>
        </w:rPr>
        <w:t>աստիճանաբար</w:t>
      </w:r>
      <w:r w:rsidRPr="00EA45BA">
        <w:rPr>
          <w:rFonts w:eastAsia="Calibri" w:cs="Sylfaen"/>
          <w:lang w:val="af-ZA"/>
        </w:rPr>
        <w:t xml:space="preserve"> </w:t>
      </w:r>
      <w:r w:rsidRPr="00EA45BA">
        <w:rPr>
          <w:rFonts w:eastAsia="Calibri" w:cs="Sylfaen"/>
        </w:rPr>
        <w:t>կ</w:t>
      </w:r>
      <w:r w:rsidRPr="00EA45BA">
        <w:rPr>
          <w:rFonts w:eastAsia="Calibri" w:cs="Sylfaen"/>
          <w:lang w:val="hy-AM"/>
        </w:rPr>
        <w:t>վ</w:t>
      </w:r>
      <w:r w:rsidRPr="00EA45BA">
        <w:rPr>
          <w:rFonts w:eastAsia="Calibri" w:cs="Sylfaen"/>
        </w:rPr>
        <w:t>երականգնվեն՝</w:t>
      </w:r>
      <w:r w:rsidRPr="00EA45BA">
        <w:rPr>
          <w:rFonts w:eastAsia="Calibri" w:cs="Sylfaen"/>
          <w:lang w:val="af-ZA"/>
        </w:rPr>
        <w:t xml:space="preserve"> </w:t>
      </w:r>
      <w:r w:rsidRPr="00EA45BA">
        <w:rPr>
          <w:rFonts w:eastAsia="Calibri" w:cs="Sylfaen"/>
        </w:rPr>
        <w:t>վերադառնալով</w:t>
      </w:r>
      <w:r w:rsidRPr="00EA45BA">
        <w:rPr>
          <w:rFonts w:eastAsia="Calibri" w:cs="Sylfaen"/>
          <w:lang w:val="af-ZA"/>
        </w:rPr>
        <w:t xml:space="preserve"> </w:t>
      </w:r>
      <w:r w:rsidRPr="00EA45BA">
        <w:rPr>
          <w:rFonts w:eastAsia="Calibri" w:cs="Sylfaen"/>
        </w:rPr>
        <w:t>բնականոն</w:t>
      </w:r>
      <w:r w:rsidRPr="00EA45BA">
        <w:rPr>
          <w:rFonts w:eastAsia="Calibri" w:cs="Sylfaen"/>
          <w:lang w:val="af-ZA"/>
        </w:rPr>
        <w:t xml:space="preserve"> </w:t>
      </w:r>
      <w:r w:rsidRPr="00EA45BA">
        <w:rPr>
          <w:rFonts w:eastAsia="Calibri" w:cs="Sylfaen"/>
        </w:rPr>
        <w:t>զարգացման։</w:t>
      </w:r>
    </w:p>
    <w:p w14:paraId="4E8A43ED" w14:textId="235FF71C" w:rsidR="00EA45BA" w:rsidRPr="00EA45BA" w:rsidRDefault="00EA45BA" w:rsidP="00EA45BA">
      <w:pPr>
        <w:numPr>
          <w:ilvl w:val="0"/>
          <w:numId w:val="26"/>
        </w:numPr>
        <w:spacing w:before="0" w:after="120" w:line="276" w:lineRule="auto"/>
        <w:rPr>
          <w:rFonts w:eastAsia="Calibri" w:cs="Sylfaen"/>
          <w:bCs/>
          <w:lang w:val="hy-AM"/>
        </w:rPr>
      </w:pPr>
      <w:r w:rsidRPr="00EA45BA">
        <w:rPr>
          <w:rFonts w:eastAsia="Calibri" w:cs="Sylfaen"/>
          <w:bCs/>
          <w:lang w:val="hy-AM"/>
        </w:rPr>
        <w:t>2020թ. ենթադրվել է  համավար</w:t>
      </w:r>
      <w:r w:rsidR="007724F4">
        <w:rPr>
          <w:rFonts w:eastAsia="Calibri" w:cs="Sylfaen"/>
          <w:bCs/>
          <w:lang w:val="hy-AM"/>
        </w:rPr>
        <w:t>ա</w:t>
      </w:r>
      <w:r w:rsidRPr="00EA45BA">
        <w:rPr>
          <w:rFonts w:eastAsia="Calibri" w:cs="Sylfaen"/>
          <w:bCs/>
          <w:lang w:val="hy-AM"/>
        </w:rPr>
        <w:t xml:space="preserve">կի հետևանքների չեզոքացմանն ուղղված խթանող հարկաբյուջետային միջոցառումների՝ </w:t>
      </w:r>
      <w:r w:rsidRPr="00EA45BA">
        <w:rPr>
          <w:rFonts w:eastAsia="Calibri" w:cs="Sylfaen"/>
          <w:bCs/>
          <w:lang w:val="af-ZA"/>
        </w:rPr>
        <w:t xml:space="preserve">150 </w:t>
      </w:r>
      <w:r w:rsidRPr="00EA45BA">
        <w:rPr>
          <w:rFonts w:eastAsia="Calibri" w:cs="Sylfaen"/>
          <w:bCs/>
          <w:lang w:val="hy-AM"/>
        </w:rPr>
        <w:t>մլրդ դրամի ամբողջական օգտագործում, իսկ 2021-2022թթ.՝ հարկաբյուջետային կանոնների տրամաբանության ներքո վերադարձ պետական պարտքի կայունության ապահովման և տնտեսական աճի խթանմանն ուղղված քաղաքականության իրականացմանը:</w:t>
      </w:r>
    </w:p>
    <w:p w14:paraId="295CB05F" w14:textId="77777777" w:rsidR="00AE7D71" w:rsidRDefault="00EA45BA" w:rsidP="00EA45BA">
      <w:pPr>
        <w:numPr>
          <w:ilvl w:val="0"/>
          <w:numId w:val="26"/>
        </w:numPr>
        <w:spacing w:before="0" w:after="120" w:line="276" w:lineRule="auto"/>
        <w:rPr>
          <w:rFonts w:eastAsia="Calibri" w:cs="Sylfaen"/>
          <w:bCs/>
          <w:lang w:val="hy-AM"/>
        </w:rPr>
      </w:pPr>
      <w:r w:rsidRPr="00EA45BA">
        <w:rPr>
          <w:rFonts w:eastAsia="Calibri" w:cs="Sylfaen"/>
          <w:bCs/>
          <w:lang w:val="hy-AM"/>
        </w:rPr>
        <w:t>Դրամավարկային քաղաքականությունը  2020թ. միտված է խթանելու ամբողջական պահանջարկը։ Միջնաժամկետում նույնպես նպատակադրվում է խթանող դրամավարկային պայմանների պահպանում՝ նպատակ ունենալով ապահովել գների կայունացումը թիրախի շուրջ։</w:t>
      </w:r>
    </w:p>
    <w:p w14:paraId="63E6EBC0" w14:textId="77777777" w:rsidR="00AE7D71" w:rsidRDefault="00AE7D71">
      <w:pPr>
        <w:spacing w:before="0" w:after="200" w:line="276" w:lineRule="auto"/>
        <w:ind w:firstLine="0"/>
        <w:jc w:val="left"/>
        <w:rPr>
          <w:rFonts w:eastAsia="Calibri" w:cs="Sylfaen"/>
          <w:bCs/>
          <w:lang w:val="hy-AM"/>
        </w:rPr>
      </w:pPr>
      <w:r>
        <w:rPr>
          <w:rFonts w:eastAsia="Calibri" w:cs="Sylfaen"/>
          <w:bCs/>
          <w:lang w:val="hy-AM"/>
        </w:rPr>
        <w:br w:type="page"/>
      </w:r>
    </w:p>
    <w:p w14:paraId="2CEF0A48" w14:textId="77777777" w:rsidR="00AE7D71" w:rsidRPr="00C17AB2" w:rsidRDefault="00772498" w:rsidP="00C17AB2">
      <w:pPr>
        <w:pStyle w:val="Heading3"/>
        <w:numPr>
          <w:ilvl w:val="0"/>
          <w:numId w:val="0"/>
        </w:numPr>
        <w:rPr>
          <w:rFonts w:eastAsia="Times New Roman" w:cs="Times New Roman"/>
          <w:caps w:val="0"/>
          <w:color w:val="1F497D" w:themeColor="text2"/>
          <w:sz w:val="28"/>
          <w:szCs w:val="28"/>
        </w:rPr>
      </w:pPr>
      <w:bookmarkStart w:id="194" w:name="_Toc45705390"/>
      <w:bookmarkStart w:id="195" w:name="_Toc45810528"/>
      <w:bookmarkStart w:id="196" w:name="_Toc45838518"/>
      <w:bookmarkStart w:id="197" w:name="_Toc46154347"/>
      <w:r w:rsidRPr="00C17AB2">
        <w:rPr>
          <w:rFonts w:eastAsia="Times New Roman" w:cs="Times New Roman"/>
          <w:caps w:val="0"/>
          <w:color w:val="1F497D" w:themeColor="text2"/>
          <w:sz w:val="28"/>
          <w:szCs w:val="28"/>
        </w:rPr>
        <w:lastRenderedPageBreak/>
        <w:t>1.5. ԿՈՐՈՆԱՎԻՐՈՒՍԻ ՀԱՄԱՎԱՐԱԿԻ (COVID-19) ԱԶԴԵՑՈՒԹՅԱՆ ԳՆԱՀԱՏՈՒՄԸ ՀԱՐԿԱԲՅՈՒՋԵՏԱՅԻՆ ՔԱՂԱՔԱԿԱՆՈՒԹՅԱՆ ԸՆԴՀԱՆՈՒՐ ՀԱՎԱՍԱՐԱԿՇՌՈՒԹՅԱՆ DSGE ՄՈԴԵԼՈՎ</w:t>
      </w:r>
      <w:bookmarkEnd w:id="194"/>
      <w:bookmarkEnd w:id="195"/>
      <w:bookmarkEnd w:id="196"/>
      <w:bookmarkEnd w:id="197"/>
      <w:r w:rsidRPr="00C17AB2">
        <w:rPr>
          <w:rFonts w:eastAsia="Times New Roman" w:cs="Times New Roman"/>
          <w:caps w:val="0"/>
          <w:color w:val="1F497D" w:themeColor="text2"/>
          <w:sz w:val="28"/>
          <w:szCs w:val="28"/>
        </w:rPr>
        <w:t xml:space="preserve">  </w:t>
      </w:r>
    </w:p>
    <w:tbl>
      <w:tblPr>
        <w:tblStyle w:val="TableGrid"/>
        <w:tblW w:w="11083"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3"/>
      </w:tblGrid>
      <w:tr w:rsidR="00EA45BA" w:rsidRPr="00D12B8B" w14:paraId="70ECAD15" w14:textId="77777777" w:rsidTr="00A0704D">
        <w:trPr>
          <w:trHeight w:val="9480"/>
        </w:trPr>
        <w:tc>
          <w:tcPr>
            <w:tcW w:w="11083" w:type="dxa"/>
          </w:tcPr>
          <w:p w14:paraId="696A245A" w14:textId="109DB830" w:rsidR="00EA45BA" w:rsidRPr="0035033F" w:rsidRDefault="00AE7D71" w:rsidP="00A0704D">
            <w:pPr>
              <w:tabs>
                <w:tab w:val="left" w:pos="10605"/>
              </w:tabs>
              <w:spacing w:before="120" w:after="120" w:line="276" w:lineRule="auto"/>
              <w:ind w:right="270" w:firstLine="709"/>
              <w:rPr>
                <w:rFonts w:eastAsia="Calibri" w:cs="Sylfaen"/>
                <w:bCs/>
                <w:lang w:val="hy-AM"/>
              </w:rPr>
            </w:pPr>
            <w:r w:rsidRPr="000B2742">
              <w:rPr>
                <w:rFonts w:eastAsia="GHEA Grapalat" w:cs="GHEA Grapalat"/>
                <w:lang w:val="hy-AM"/>
              </w:rPr>
              <w:br w:type="page"/>
            </w:r>
            <w:r w:rsidR="00D96737">
              <w:rPr>
                <w:rFonts w:eastAsia="Calibri" w:cs="Sylfaen"/>
                <w:bCs/>
                <w:noProof/>
              </w:rPr>
              <mc:AlternateContent>
                <mc:Choice Requires="wps">
                  <w:drawing>
                    <wp:anchor distT="0" distB="0" distL="114300" distR="114300" simplePos="0" relativeHeight="251695104" behindDoc="1" locked="0" layoutInCell="1" allowOverlap="1" wp14:anchorId="19A40E9B" wp14:editId="1D70EF6C">
                      <wp:simplePos x="0" y="0"/>
                      <wp:positionH relativeFrom="column">
                        <wp:posOffset>1905</wp:posOffset>
                      </wp:positionH>
                      <wp:positionV relativeFrom="page">
                        <wp:posOffset>1986280</wp:posOffset>
                      </wp:positionV>
                      <wp:extent cx="6518910" cy="5755640"/>
                      <wp:effectExtent l="0" t="0" r="0" b="0"/>
                      <wp:wrapTight wrapText="bothSides">
                        <wp:wrapPolygon edited="0">
                          <wp:start x="0" y="0"/>
                          <wp:lineTo x="0" y="21590"/>
                          <wp:lineTo x="21587" y="21590"/>
                          <wp:lineTo x="21587" y="0"/>
                          <wp:lineTo x="0" y="0"/>
                        </wp:wrapPolygon>
                      </wp:wrapTight>
                      <wp:docPr id="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910" cy="5755640"/>
                              </a:xfrm>
                              <a:prstGeom prst="rect">
                                <a:avLst/>
                              </a:prstGeom>
                              <a:solidFill>
                                <a:srgbClr val="D8E2F4"/>
                              </a:solidFill>
                              <a:ln w="6350">
                                <a:solidFill>
                                  <a:srgbClr val="000000"/>
                                </a:solidFill>
                                <a:miter lim="800000"/>
                                <a:headEnd/>
                                <a:tailEnd/>
                              </a:ln>
                            </wps:spPr>
                            <wps:txbx>
                              <w:txbxContent>
                                <w:p w14:paraId="30B3660D" w14:textId="77777777" w:rsidR="00CB6CFF" w:rsidRPr="00BA364D" w:rsidRDefault="00CB6CFF" w:rsidP="00EA45BA">
                                  <w:pPr>
                                    <w:spacing w:line="360" w:lineRule="auto"/>
                                    <w:ind w:firstLine="720"/>
                                    <w:rPr>
                                      <w:rFonts w:eastAsia="GHEA Grapalat" w:cs="GHEA Grapalat"/>
                                      <w:b/>
                                      <w:bCs/>
                                      <w:i/>
                                      <w:sz w:val="18"/>
                                      <w:szCs w:val="18"/>
                                      <w:lang w:val="hy-AM"/>
                                    </w:rPr>
                                  </w:pPr>
                                  <w:r w:rsidRPr="00123DB8">
                                    <w:rPr>
                                      <w:rFonts w:eastAsia="GHEA Grapalat" w:cs="GHEA Grapalat"/>
                                      <w:b/>
                                      <w:bCs/>
                                      <w:i/>
                                      <w:sz w:val="18"/>
                                      <w:szCs w:val="18"/>
                                      <w:lang w:val="hy-AM"/>
                                    </w:rPr>
                                    <w:t>Ներդիր</w:t>
                                  </w:r>
                                  <w:r>
                                    <w:rPr>
                                      <w:rFonts w:eastAsia="GHEA Grapalat" w:cs="GHEA Grapalat"/>
                                      <w:b/>
                                      <w:bCs/>
                                      <w:i/>
                                      <w:sz w:val="18"/>
                                      <w:szCs w:val="18"/>
                                    </w:rPr>
                                    <w:t xml:space="preserve"> 3: </w:t>
                                  </w:r>
                                  <w:r>
                                    <w:rPr>
                                      <w:rFonts w:eastAsia="GHEA Grapalat" w:cs="GHEA Grapalat"/>
                                      <w:b/>
                                      <w:bCs/>
                                      <w:i/>
                                      <w:sz w:val="18"/>
                                      <w:szCs w:val="18"/>
                                      <w:lang w:val="hy-AM"/>
                                    </w:rPr>
                                    <w:t xml:space="preserve">ՀՀ ՖՆ հարկաբյուջետային քաղաքականության </w:t>
                                  </w:r>
                                  <w:r>
                                    <w:rPr>
                                      <w:rFonts w:eastAsia="GHEA Grapalat" w:cs="GHEA Grapalat"/>
                                      <w:b/>
                                      <w:bCs/>
                                      <w:i/>
                                      <w:sz w:val="18"/>
                                      <w:szCs w:val="18"/>
                                    </w:rPr>
                                    <w:t>DSGE</w:t>
                                  </w:r>
                                  <w:r>
                                    <w:rPr>
                                      <w:rFonts w:eastAsia="GHEA Grapalat" w:cs="GHEA Grapalat"/>
                                      <w:b/>
                                      <w:bCs/>
                                      <w:i/>
                                      <w:sz w:val="18"/>
                                      <w:szCs w:val="18"/>
                                      <w:lang w:val="hy-AM"/>
                                    </w:rPr>
                                    <w:t xml:space="preserve"> մոդելը </w:t>
                                  </w:r>
                                  <w:r w:rsidRPr="00854B0B">
                                    <w:rPr>
                                      <w:bCs/>
                                      <w:sz w:val="18"/>
                                      <w:szCs w:val="18"/>
                                      <w:lang w:val="hy-AM"/>
                                    </w:rPr>
                                    <w:t>(Fiscal Policy Strategy</w:t>
                                  </w:r>
                                  <w:r>
                                    <w:rPr>
                                      <w:bCs/>
                                      <w:sz w:val="18"/>
                                      <w:szCs w:val="18"/>
                                    </w:rPr>
                                    <w:t xml:space="preserve"> DSGE</w:t>
                                  </w:r>
                                  <w:r w:rsidRPr="00854B0B">
                                    <w:rPr>
                                      <w:bCs/>
                                      <w:sz w:val="18"/>
                                      <w:szCs w:val="18"/>
                                      <w:lang w:val="hy-AM"/>
                                    </w:rPr>
                                    <w:t>)</w:t>
                                  </w:r>
                                </w:p>
                                <w:p w14:paraId="6D5ECE45" w14:textId="77777777" w:rsidR="00CB6CFF" w:rsidRPr="007B23EF" w:rsidRDefault="00CB6CFF" w:rsidP="00EA45BA">
                                  <w:pPr>
                                    <w:tabs>
                                      <w:tab w:val="left" w:pos="720"/>
                                    </w:tabs>
                                    <w:rPr>
                                      <w:bCs/>
                                      <w:sz w:val="18"/>
                                      <w:szCs w:val="18"/>
                                      <w:lang w:val="hy-AM"/>
                                    </w:rPr>
                                  </w:pPr>
                                  <w:r w:rsidRPr="007B23EF">
                                    <w:rPr>
                                      <w:bCs/>
                                      <w:sz w:val="18"/>
                                      <w:szCs w:val="18"/>
                                      <w:lang w:val="hy-AM"/>
                                    </w:rPr>
                                    <w:tab/>
                                    <w:t xml:space="preserve">FPS DSGE մոդելը իր տեսակի մեջ առաջինն է, որը մշակվել է ՀՀ ՖՆ-ում և պատկանում է նախարարությանը: Մոդելի մշակումը կարևորագույն քայլ է ՀՀ ՖՆ-ում քանակական մակրոտնտեսական մոդելավորման ավանդույթի ձևավորման ուղղությամբ: Հարկաբյուջետային քաղաքականության մշակմանն ու իրականացմանն աջակցելու համար ՀՀ ՖՆ մակրոտնտեսական կանխատեսման և վերլուծության համակարգը անցել է զարգացման որոշ փուլեր` պարզ մեթոդներից մինչև կիսակառուցվածքային վիճակագրական մեթոդներ, ինչը սակայն, բավարար չէ հարկաբյուջետային քաղաքականության միջնաժամկետ և երկարաժամկետ բազմակողմանի հետևանքները վերլուծելու, ինչպես նաև արդյունավետ ու հետևողական ձևով քաղաքականության սցենարներ մշակելու համար։ Նշված խնդրին ինստիտուցիոնալ լուծում տալու նպատակով ՀՀ ՖՆ և ԱՄՀ համատեղ ջանքերով մշակվել է հարկաբյուջետային քաղաքականության ռազմավարության մոդելը, որը լիովին կալիբրացված և վավերացված է Հայաստանի տնտեսական զարգացումների համար, պատկանում է նախարարությանը և կարող է օգտագործվել հարկաբյուջետային </w:t>
                                  </w:r>
                                  <w:r>
                                    <w:rPr>
                                      <w:bCs/>
                                      <w:sz w:val="18"/>
                                      <w:szCs w:val="18"/>
                                      <w:lang w:val="hy-AM"/>
                                    </w:rPr>
                                    <w:t xml:space="preserve">և այլ մակրոտմտեսական </w:t>
                                  </w:r>
                                  <w:r w:rsidRPr="007B23EF">
                                    <w:rPr>
                                      <w:bCs/>
                                      <w:sz w:val="18"/>
                                      <w:szCs w:val="18"/>
                                      <w:lang w:val="hy-AM"/>
                                    </w:rPr>
                                    <w:t>քաղաքականությ</w:t>
                                  </w:r>
                                  <w:r>
                                    <w:rPr>
                                      <w:bCs/>
                                      <w:sz w:val="18"/>
                                      <w:szCs w:val="18"/>
                                      <w:lang w:val="hy-AM"/>
                                    </w:rPr>
                                    <w:t>ունների</w:t>
                                  </w:r>
                                  <w:r w:rsidRPr="007B23EF">
                                    <w:rPr>
                                      <w:bCs/>
                                      <w:sz w:val="18"/>
                                      <w:szCs w:val="18"/>
                                      <w:lang w:val="hy-AM"/>
                                    </w:rPr>
                                    <w:t xml:space="preserve"> խնդիրների լայն դասի վերլուծության համար:</w:t>
                                  </w:r>
                                </w:p>
                                <w:p w14:paraId="691C2D31" w14:textId="77777777" w:rsidR="00CB6CFF" w:rsidRPr="007B23EF" w:rsidRDefault="00CB6CFF" w:rsidP="00EA45BA">
                                  <w:pPr>
                                    <w:tabs>
                                      <w:tab w:val="left" w:pos="720"/>
                                    </w:tabs>
                                    <w:rPr>
                                      <w:bCs/>
                                      <w:sz w:val="18"/>
                                      <w:szCs w:val="18"/>
                                      <w:lang w:val="hy-AM"/>
                                    </w:rPr>
                                  </w:pPr>
                                  <w:r w:rsidRPr="007B23EF">
                                    <w:rPr>
                                      <w:bCs/>
                                      <w:sz w:val="18"/>
                                      <w:szCs w:val="18"/>
                                      <w:lang w:val="hy-AM"/>
                                    </w:rPr>
                                    <w:tab/>
                                    <w:t xml:space="preserve">Այսպիսով, հարկաբյուջետային քաղաքականության ռազմավարության մոդելը ամբողջությամբ միկրո հիմքերով փոքր բաց տնտեսության դինամիկ ստոխաստիկ ընդհանուր հավասարակշռության (DSGE) մոդել է, որտեղ շեշտադրվում է հարկաբյուջետային քաղաքականությունը։ </w:t>
                                  </w:r>
                                </w:p>
                                <w:p w14:paraId="78FEA204" w14:textId="77777777" w:rsidR="00CB6CFF" w:rsidRPr="007B23EF" w:rsidRDefault="00CB6CFF" w:rsidP="00EA45BA">
                                  <w:pPr>
                                    <w:tabs>
                                      <w:tab w:val="left" w:pos="720"/>
                                    </w:tabs>
                                    <w:spacing w:line="259" w:lineRule="auto"/>
                                    <w:rPr>
                                      <w:bCs/>
                                      <w:sz w:val="18"/>
                                      <w:szCs w:val="18"/>
                                      <w:lang w:val="hy-AM"/>
                                    </w:rPr>
                                  </w:pPr>
                                  <w:r w:rsidRPr="007B23EF">
                                    <w:rPr>
                                      <w:bCs/>
                                      <w:sz w:val="18"/>
                                      <w:szCs w:val="18"/>
                                      <w:lang w:val="hy-AM"/>
                                    </w:rPr>
                                    <w:tab/>
                                    <w:t>Մոդելի հիմնական կառուցվածքային հատկանիշներն են՝</w:t>
                                  </w:r>
                                </w:p>
                                <w:p w14:paraId="5B9A5EE6" w14:textId="77777777" w:rsidR="00CB6CFF" w:rsidRPr="007B23EF" w:rsidRDefault="00CB6CFF" w:rsidP="00EA45BA">
                                  <w:pPr>
                                    <w:numPr>
                                      <w:ilvl w:val="0"/>
                                      <w:numId w:val="28"/>
                                    </w:numPr>
                                    <w:tabs>
                                      <w:tab w:val="left" w:pos="720"/>
                                    </w:tabs>
                                    <w:spacing w:before="0" w:after="0" w:line="259" w:lineRule="auto"/>
                                    <w:rPr>
                                      <w:bCs/>
                                      <w:sz w:val="18"/>
                                      <w:szCs w:val="18"/>
                                      <w:lang w:val="hy-AM"/>
                                    </w:rPr>
                                  </w:pPr>
                                  <w:r w:rsidRPr="007B23EF">
                                    <w:rPr>
                                      <w:bCs/>
                                      <w:sz w:val="18"/>
                                      <w:szCs w:val="18"/>
                                      <w:lang w:val="hy-AM"/>
                                    </w:rPr>
                                    <w:t>հարկաբյուջետային քաղաքականության գործիքների՝ հարկերի, պետական ծախսերի և պետական տրանսֆերտների առկայություն</w:t>
                                  </w:r>
                                </w:p>
                                <w:p w14:paraId="4C3789AD" w14:textId="77777777" w:rsidR="00CB6CFF" w:rsidRPr="007B23EF" w:rsidRDefault="00CB6CFF" w:rsidP="00EA45BA">
                                  <w:pPr>
                                    <w:numPr>
                                      <w:ilvl w:val="0"/>
                                      <w:numId w:val="28"/>
                                    </w:numPr>
                                    <w:tabs>
                                      <w:tab w:val="left" w:pos="720"/>
                                    </w:tabs>
                                    <w:spacing w:before="0" w:after="0" w:line="259" w:lineRule="auto"/>
                                    <w:rPr>
                                      <w:bCs/>
                                      <w:sz w:val="18"/>
                                      <w:szCs w:val="18"/>
                                      <w:lang w:val="hy-AM"/>
                                    </w:rPr>
                                  </w:pPr>
                                  <w:r w:rsidRPr="007B23EF">
                                    <w:rPr>
                                      <w:bCs/>
                                      <w:sz w:val="18"/>
                                      <w:szCs w:val="18"/>
                                      <w:lang w:val="hy-AM"/>
                                    </w:rPr>
                                    <w:t>դրամավարկային քաղաքականության գործիքների առկայություն</w:t>
                                  </w:r>
                                </w:p>
                                <w:p w14:paraId="09A98FD0" w14:textId="77777777" w:rsidR="00CB6CFF" w:rsidRPr="007B23EF" w:rsidRDefault="00CB6CFF" w:rsidP="00EA45BA">
                                  <w:pPr>
                                    <w:numPr>
                                      <w:ilvl w:val="0"/>
                                      <w:numId w:val="28"/>
                                    </w:numPr>
                                    <w:tabs>
                                      <w:tab w:val="left" w:pos="720"/>
                                    </w:tabs>
                                    <w:spacing w:before="0" w:after="0" w:line="259" w:lineRule="auto"/>
                                    <w:rPr>
                                      <w:bCs/>
                                      <w:sz w:val="18"/>
                                      <w:szCs w:val="18"/>
                                      <w:lang w:val="hy-AM"/>
                                    </w:rPr>
                                  </w:pPr>
                                  <w:r w:rsidRPr="007B23EF">
                                    <w:rPr>
                                      <w:bCs/>
                                      <w:sz w:val="18"/>
                                      <w:szCs w:val="18"/>
                                      <w:lang w:val="hy-AM"/>
                                    </w:rPr>
                                    <w:t>երկու խմբի տնային տնտեսություններ՝ համատեղ գոյատևող/խնայող (OLG) և սահմանափակ իրացվելիությամբ (ROT)</w:t>
                                  </w:r>
                                </w:p>
                                <w:p w14:paraId="48FEC97F" w14:textId="77777777" w:rsidR="00CB6CFF" w:rsidRPr="007B23EF" w:rsidRDefault="00CB6CFF" w:rsidP="00EA45BA">
                                  <w:pPr>
                                    <w:numPr>
                                      <w:ilvl w:val="0"/>
                                      <w:numId w:val="28"/>
                                    </w:numPr>
                                    <w:tabs>
                                      <w:tab w:val="left" w:pos="720"/>
                                    </w:tabs>
                                    <w:spacing w:before="0" w:after="0" w:line="259" w:lineRule="auto"/>
                                    <w:rPr>
                                      <w:bCs/>
                                      <w:sz w:val="18"/>
                                      <w:szCs w:val="18"/>
                                      <w:lang w:val="hy-AM"/>
                                    </w:rPr>
                                  </w:pPr>
                                  <w:r w:rsidRPr="007B23EF">
                                    <w:rPr>
                                      <w:bCs/>
                                      <w:sz w:val="18"/>
                                      <w:szCs w:val="18"/>
                                      <w:lang w:val="hy-AM"/>
                                    </w:rPr>
                                    <w:t>տնտեսության արտահանելի և ոչ արտահանելի հատվածներ</w:t>
                                  </w:r>
                                </w:p>
                                <w:p w14:paraId="7184EA0C" w14:textId="77777777" w:rsidR="00CB6CFF" w:rsidRPr="007B23EF" w:rsidRDefault="00CB6CFF" w:rsidP="00EA45BA">
                                  <w:pPr>
                                    <w:numPr>
                                      <w:ilvl w:val="0"/>
                                      <w:numId w:val="28"/>
                                    </w:numPr>
                                    <w:tabs>
                                      <w:tab w:val="left" w:pos="720"/>
                                    </w:tabs>
                                    <w:spacing w:before="0" w:after="0" w:line="259" w:lineRule="auto"/>
                                    <w:rPr>
                                      <w:bCs/>
                                      <w:sz w:val="18"/>
                                      <w:szCs w:val="18"/>
                                      <w:lang w:val="hy-AM"/>
                                    </w:rPr>
                                  </w:pPr>
                                  <w:r w:rsidRPr="007B23EF">
                                    <w:rPr>
                                      <w:bCs/>
                                      <w:sz w:val="18"/>
                                      <w:szCs w:val="18"/>
                                      <w:lang w:val="hy-AM"/>
                                    </w:rPr>
                                    <w:t>կապիտալ արտադրող ֆիրմաներ, վերավաճառողներ, արհմիություններ։</w:t>
                                  </w:r>
                                </w:p>
                                <w:p w14:paraId="1313B131" w14:textId="77777777" w:rsidR="00CB6CFF" w:rsidRPr="007B23EF" w:rsidRDefault="00CB6CFF" w:rsidP="00EA45BA">
                                  <w:pPr>
                                    <w:tabs>
                                      <w:tab w:val="left" w:pos="720"/>
                                    </w:tabs>
                                    <w:spacing w:line="259" w:lineRule="auto"/>
                                    <w:rPr>
                                      <w:sz w:val="18"/>
                                      <w:szCs w:val="18"/>
                                      <w:lang w:val="hy-AM"/>
                                    </w:rPr>
                                  </w:pPr>
                                  <w:r w:rsidRPr="007B23EF">
                                    <w:rPr>
                                      <w:bCs/>
                                      <w:sz w:val="18"/>
                                      <w:szCs w:val="18"/>
                                      <w:lang w:val="hy-AM"/>
                                    </w:rPr>
                                    <w:tab/>
                                  </w:r>
                                  <w:r>
                                    <w:rPr>
                                      <w:bCs/>
                                      <w:sz w:val="18"/>
                                      <w:szCs w:val="18"/>
                                      <w:lang w:val="hy-AM"/>
                                    </w:rPr>
                                    <w:t>Մոդելում կան նաև վ</w:t>
                                  </w:r>
                                  <w:r w:rsidRPr="007B23EF">
                                    <w:rPr>
                                      <w:bCs/>
                                      <w:sz w:val="18"/>
                                      <w:szCs w:val="18"/>
                                      <w:lang w:val="hy-AM"/>
                                    </w:rPr>
                                    <w:t>արքագծային հատկանիշներ</w:t>
                                  </w:r>
                                  <w:r>
                                    <w:rPr>
                                      <w:bCs/>
                                      <w:sz w:val="18"/>
                                      <w:szCs w:val="18"/>
                                      <w:lang w:val="hy-AM"/>
                                    </w:rPr>
                                    <w:t>,</w:t>
                                  </w:r>
                                  <w:r>
                                    <w:rPr>
                                      <w:sz w:val="18"/>
                                      <w:szCs w:val="18"/>
                                      <w:lang w:val="hy-AM"/>
                                    </w:rPr>
                                    <w:t xml:space="preserve"> որոնց շնորհիվ տարբեր խմբերի տնային տնտեսություններն ու ֆիրմաները որոշակի ձևով են արձագանքում հարկաբյուջետային քաղաքականության փոփոխություններն:</w:t>
                                  </w:r>
                                  <w:r>
                                    <w:rPr>
                                      <w:bCs/>
                                      <w:sz w:val="18"/>
                                      <w:szCs w:val="18"/>
                                      <w:lang w:val="hy-AM"/>
                                    </w:rPr>
                                    <w:t xml:space="preserve"> </w:t>
                                  </w:r>
                                  <w:r w:rsidRPr="007B23EF">
                                    <w:rPr>
                                      <w:sz w:val="18"/>
                                      <w:szCs w:val="18"/>
                                      <w:lang w:val="hy-AM"/>
                                    </w:rPr>
                                    <w:t xml:space="preserve">Մոդելը հիմնվում է տնտեսական գործակալների վարքագծի վրա և թույլ է տալիս բացահայտել հարկաբյուջետային քաղաքականության </w:t>
                                  </w:r>
                                  <w:r>
                                    <w:rPr>
                                      <w:sz w:val="18"/>
                                      <w:szCs w:val="18"/>
                                      <w:lang w:val="hy-AM"/>
                                    </w:rPr>
                                    <w:t>բազմակողմանի</w:t>
                                  </w:r>
                                  <w:r w:rsidRPr="007B23EF">
                                    <w:rPr>
                                      <w:sz w:val="18"/>
                                      <w:szCs w:val="18"/>
                                      <w:lang w:val="hy-AM"/>
                                    </w:rPr>
                                    <w:t xml:space="preserve"> ազդեցությունները, ինչը դժվար է իրագործել վիճակագրական մոդելների միջոցով։ Այսպիսով, նշված գործիքի միջոցով հնարավոր է դառնում  հասկանալ քաղաքականության փոփոխությունների մակրոտնտեսական ազդեցությունները, դրանց փոխանցումային մեխանիզմը և քանակապես գնահատել հարկաբյուջետային քաղաքականության ազդեցությունները տնտեսական զարգացումների վրա միջին և երակարաժամկետ հատվածներում: </w:t>
                                  </w:r>
                                </w:p>
                                <w:p w14:paraId="75816EC1" w14:textId="77777777" w:rsidR="00CB6CFF" w:rsidRPr="00123DB8" w:rsidRDefault="00CB6CFF" w:rsidP="00EA45BA">
                                  <w:pPr>
                                    <w:rPr>
                                      <w:rFonts w:ascii="Sylfaen" w:hAnsi="Sylfaen"/>
                                      <w:sz w:val="18"/>
                                      <w:szCs w:val="18"/>
                                      <w:lang w:val="hy-AM"/>
                                    </w:rPr>
                                  </w:pPr>
                                </w:p>
                                <w:p w14:paraId="0182C6AC" w14:textId="77777777" w:rsidR="00CB6CFF" w:rsidRPr="00123DB8" w:rsidRDefault="00CB6CFF" w:rsidP="00EA45BA">
                                  <w:pPr>
                                    <w:rPr>
                                      <w:rFonts w:ascii="Sylfaen" w:hAnsi="Sylfaen"/>
                                      <w:sz w:val="18"/>
                                      <w:szCs w:val="18"/>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A40E9B" id="_x0000_t202" coordsize="21600,21600" o:spt="202" path="m,l,21600r21600,l21600,xe">
                      <v:stroke joinstyle="miter"/>
                      <v:path gradientshapeok="t" o:connecttype="rect"/>
                    </v:shapetype>
                    <v:shape id="Text Box 102" o:spid="_x0000_s1026" type="#_x0000_t202" style="position:absolute;left:0;text-align:left;margin-left:.15pt;margin-top:156.4pt;width:513.3pt;height:453.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" fillcolor="#d8e2f4" strokeweight=".5pt">
                      <v:textbox>
                        <w:txbxContent>
                          <w:p w14:paraId="30B3660D" w14:textId="77777777" w:rsidR="00CB6CFF" w:rsidRPr="00BA364D" w:rsidRDefault="00CB6CFF" w:rsidP="00EA45BA">
                            <w:pPr>
                              <w:spacing w:line="360" w:lineRule="auto"/>
                              <w:ind w:firstLine="720"/>
                              <w:rPr>
                                <w:rFonts w:eastAsia="GHEA Grapalat" w:cs="GHEA Grapalat"/>
                                <w:b/>
                                <w:bCs/>
                                <w:i/>
                                <w:sz w:val="18"/>
                                <w:szCs w:val="18"/>
                                <w:lang w:val="hy-AM"/>
                              </w:rPr>
                            </w:pPr>
                            <w:r w:rsidRPr="00123DB8">
                              <w:rPr>
                                <w:rFonts w:eastAsia="GHEA Grapalat" w:cs="GHEA Grapalat"/>
                                <w:b/>
                                <w:bCs/>
                                <w:i/>
                                <w:sz w:val="18"/>
                                <w:szCs w:val="18"/>
                                <w:lang w:val="hy-AM"/>
                              </w:rPr>
                              <w:t>Ներդիր</w:t>
                            </w:r>
                            <w:r>
                              <w:rPr>
                                <w:rFonts w:eastAsia="GHEA Grapalat" w:cs="GHEA Grapalat"/>
                                <w:b/>
                                <w:bCs/>
                                <w:i/>
                                <w:sz w:val="18"/>
                                <w:szCs w:val="18"/>
                              </w:rPr>
                              <w:t xml:space="preserve"> 3: </w:t>
                            </w:r>
                            <w:r>
                              <w:rPr>
                                <w:rFonts w:eastAsia="GHEA Grapalat" w:cs="GHEA Grapalat"/>
                                <w:b/>
                                <w:bCs/>
                                <w:i/>
                                <w:sz w:val="18"/>
                                <w:szCs w:val="18"/>
                                <w:lang w:val="hy-AM"/>
                              </w:rPr>
                              <w:t xml:space="preserve">ՀՀ ՖՆ հարկաբյուջետային քաղաքականության </w:t>
                            </w:r>
                            <w:r>
                              <w:rPr>
                                <w:rFonts w:eastAsia="GHEA Grapalat" w:cs="GHEA Grapalat"/>
                                <w:b/>
                                <w:bCs/>
                                <w:i/>
                                <w:sz w:val="18"/>
                                <w:szCs w:val="18"/>
                              </w:rPr>
                              <w:t>DSGE</w:t>
                            </w:r>
                            <w:r>
                              <w:rPr>
                                <w:rFonts w:eastAsia="GHEA Grapalat" w:cs="GHEA Grapalat"/>
                                <w:b/>
                                <w:bCs/>
                                <w:i/>
                                <w:sz w:val="18"/>
                                <w:szCs w:val="18"/>
                                <w:lang w:val="hy-AM"/>
                              </w:rPr>
                              <w:t xml:space="preserve"> մոդելը </w:t>
                            </w:r>
                            <w:r w:rsidRPr="00854B0B">
                              <w:rPr>
                                <w:bCs/>
                                <w:sz w:val="18"/>
                                <w:szCs w:val="18"/>
                                <w:lang w:val="hy-AM"/>
                              </w:rPr>
                              <w:t>(Fiscal Policy Strategy</w:t>
                            </w:r>
                            <w:r>
                              <w:rPr>
                                <w:bCs/>
                                <w:sz w:val="18"/>
                                <w:szCs w:val="18"/>
                              </w:rPr>
                              <w:t xml:space="preserve"> DSGE</w:t>
                            </w:r>
                            <w:r w:rsidRPr="00854B0B">
                              <w:rPr>
                                <w:bCs/>
                                <w:sz w:val="18"/>
                                <w:szCs w:val="18"/>
                                <w:lang w:val="hy-AM"/>
                              </w:rPr>
                              <w:t>)</w:t>
                            </w:r>
                          </w:p>
                          <w:p w14:paraId="6D5ECE45" w14:textId="77777777" w:rsidR="00CB6CFF" w:rsidRPr="007B23EF" w:rsidRDefault="00CB6CFF" w:rsidP="00EA45BA">
                            <w:pPr>
                              <w:tabs>
                                <w:tab w:val="left" w:pos="720"/>
                              </w:tabs>
                              <w:rPr>
                                <w:bCs/>
                                <w:sz w:val="18"/>
                                <w:szCs w:val="18"/>
                                <w:lang w:val="hy-AM"/>
                              </w:rPr>
                            </w:pPr>
                            <w:r w:rsidRPr="007B23EF">
                              <w:rPr>
                                <w:bCs/>
                                <w:sz w:val="18"/>
                                <w:szCs w:val="18"/>
                                <w:lang w:val="hy-AM"/>
                              </w:rPr>
                              <w:tab/>
                              <w:t xml:space="preserve">FPS DSGE մոդելը իր տեսակի մեջ առաջինն է, որը մշակվել է ՀՀ ՖՆ-ում և պատկանում է նախարարությանը: Մոդելի մշակումը կարևորագույն քայլ է ՀՀ ՖՆ-ում քանակական մակրոտնտեսական մոդելավորման ավանդույթի ձևավորման ուղղությամբ: Հարկաբյուջետային քաղաքականության մշակմանն ու իրականացմանն աջակցելու համար ՀՀ ՖՆ մակրոտնտեսական կանխատեսման և վերլուծության համակարգը անցել է զարգացման որոշ փուլեր` պարզ մեթոդներից մինչև կիսակառուցվածքային վիճակագրական մեթոդներ, ինչը սակայն, բավարար չէ հարկաբյուջետային քաղաքականության միջնաժամկետ և երկարաժամկետ բազմակողմանի հետևանքները վերլուծելու, ինչպես նաև արդյունավետ ու հետևողական ձևով քաղաքականության սցենարներ մշակելու համար։ Նշված խնդրին ինստիտուցիոնալ լուծում տալու նպատակով ՀՀ ՖՆ և ԱՄՀ համատեղ ջանքերով մշակվել է հարկաբյուջետային քաղաքականության ռազմավարության մոդելը, որը լիովին կալիբրացված և վավերացված է Հայաստանի տնտեսական զարգացումների համար, պատկանում է նախարարությանը և կարող է օգտագործվել հարկաբյուջետային </w:t>
                            </w:r>
                            <w:r>
                              <w:rPr>
                                <w:bCs/>
                                <w:sz w:val="18"/>
                                <w:szCs w:val="18"/>
                                <w:lang w:val="hy-AM"/>
                              </w:rPr>
                              <w:t xml:space="preserve">և այլ մակրոտմտեսական </w:t>
                            </w:r>
                            <w:r w:rsidRPr="007B23EF">
                              <w:rPr>
                                <w:bCs/>
                                <w:sz w:val="18"/>
                                <w:szCs w:val="18"/>
                                <w:lang w:val="hy-AM"/>
                              </w:rPr>
                              <w:t>քաղաքականությ</w:t>
                            </w:r>
                            <w:r>
                              <w:rPr>
                                <w:bCs/>
                                <w:sz w:val="18"/>
                                <w:szCs w:val="18"/>
                                <w:lang w:val="hy-AM"/>
                              </w:rPr>
                              <w:t>ունների</w:t>
                            </w:r>
                            <w:r w:rsidRPr="007B23EF">
                              <w:rPr>
                                <w:bCs/>
                                <w:sz w:val="18"/>
                                <w:szCs w:val="18"/>
                                <w:lang w:val="hy-AM"/>
                              </w:rPr>
                              <w:t xml:space="preserve"> խնդիրների լայն դասի վերլուծության համար:</w:t>
                            </w:r>
                          </w:p>
                          <w:p w14:paraId="691C2D31" w14:textId="77777777" w:rsidR="00CB6CFF" w:rsidRPr="007B23EF" w:rsidRDefault="00CB6CFF" w:rsidP="00EA45BA">
                            <w:pPr>
                              <w:tabs>
                                <w:tab w:val="left" w:pos="720"/>
                              </w:tabs>
                              <w:rPr>
                                <w:bCs/>
                                <w:sz w:val="18"/>
                                <w:szCs w:val="18"/>
                                <w:lang w:val="hy-AM"/>
                              </w:rPr>
                            </w:pPr>
                            <w:r w:rsidRPr="007B23EF">
                              <w:rPr>
                                <w:bCs/>
                                <w:sz w:val="18"/>
                                <w:szCs w:val="18"/>
                                <w:lang w:val="hy-AM"/>
                              </w:rPr>
                              <w:tab/>
                              <w:t xml:space="preserve">Այսպիսով, հարկաբյուջետային քաղաքականության ռազմավարության մոդելը ամբողջությամբ միկրո հիմքերով փոքր բաց տնտեսության դինամիկ ստոխաստիկ ընդհանուր հավասարակշռության (DSGE) մոդել է, որտեղ շեշտադրվում է հարկաբյուջետային քաղաքականությունը։ </w:t>
                            </w:r>
                          </w:p>
                          <w:p w14:paraId="78FEA204" w14:textId="77777777" w:rsidR="00CB6CFF" w:rsidRPr="007B23EF" w:rsidRDefault="00CB6CFF" w:rsidP="00EA45BA">
                            <w:pPr>
                              <w:tabs>
                                <w:tab w:val="left" w:pos="720"/>
                              </w:tabs>
                              <w:spacing w:line="259" w:lineRule="auto"/>
                              <w:rPr>
                                <w:bCs/>
                                <w:sz w:val="18"/>
                                <w:szCs w:val="18"/>
                                <w:lang w:val="hy-AM"/>
                              </w:rPr>
                            </w:pPr>
                            <w:r w:rsidRPr="007B23EF">
                              <w:rPr>
                                <w:bCs/>
                                <w:sz w:val="18"/>
                                <w:szCs w:val="18"/>
                                <w:lang w:val="hy-AM"/>
                              </w:rPr>
                              <w:tab/>
                              <w:t>Մոդելի հիմնական կառուցվածքային հատկանիշներն են՝</w:t>
                            </w:r>
                          </w:p>
                          <w:p w14:paraId="5B9A5EE6" w14:textId="77777777" w:rsidR="00CB6CFF" w:rsidRPr="007B23EF" w:rsidRDefault="00CB6CFF" w:rsidP="00EA45BA">
                            <w:pPr>
                              <w:numPr>
                                <w:ilvl w:val="0"/>
                                <w:numId w:val="28"/>
                              </w:numPr>
                              <w:tabs>
                                <w:tab w:val="left" w:pos="720"/>
                              </w:tabs>
                              <w:spacing w:before="0" w:after="0" w:line="259" w:lineRule="auto"/>
                              <w:rPr>
                                <w:bCs/>
                                <w:sz w:val="18"/>
                                <w:szCs w:val="18"/>
                                <w:lang w:val="hy-AM"/>
                              </w:rPr>
                            </w:pPr>
                            <w:r w:rsidRPr="007B23EF">
                              <w:rPr>
                                <w:bCs/>
                                <w:sz w:val="18"/>
                                <w:szCs w:val="18"/>
                                <w:lang w:val="hy-AM"/>
                              </w:rPr>
                              <w:t>հարկաբյուջետային քաղաքականության գործիքների՝ հարկերի, պետական ծախսերի և պետական տրանսֆերտների առկայություն</w:t>
                            </w:r>
                          </w:p>
                          <w:p w14:paraId="4C3789AD" w14:textId="77777777" w:rsidR="00CB6CFF" w:rsidRPr="007B23EF" w:rsidRDefault="00CB6CFF" w:rsidP="00EA45BA">
                            <w:pPr>
                              <w:numPr>
                                <w:ilvl w:val="0"/>
                                <w:numId w:val="28"/>
                              </w:numPr>
                              <w:tabs>
                                <w:tab w:val="left" w:pos="720"/>
                              </w:tabs>
                              <w:spacing w:before="0" w:after="0" w:line="259" w:lineRule="auto"/>
                              <w:rPr>
                                <w:bCs/>
                                <w:sz w:val="18"/>
                                <w:szCs w:val="18"/>
                                <w:lang w:val="hy-AM"/>
                              </w:rPr>
                            </w:pPr>
                            <w:r w:rsidRPr="007B23EF">
                              <w:rPr>
                                <w:bCs/>
                                <w:sz w:val="18"/>
                                <w:szCs w:val="18"/>
                                <w:lang w:val="hy-AM"/>
                              </w:rPr>
                              <w:t>դրամավարկային քաղաքականության գործիքների առկայություն</w:t>
                            </w:r>
                          </w:p>
                          <w:p w14:paraId="09A98FD0" w14:textId="77777777" w:rsidR="00CB6CFF" w:rsidRPr="007B23EF" w:rsidRDefault="00CB6CFF" w:rsidP="00EA45BA">
                            <w:pPr>
                              <w:numPr>
                                <w:ilvl w:val="0"/>
                                <w:numId w:val="28"/>
                              </w:numPr>
                              <w:tabs>
                                <w:tab w:val="left" w:pos="720"/>
                              </w:tabs>
                              <w:spacing w:before="0" w:after="0" w:line="259" w:lineRule="auto"/>
                              <w:rPr>
                                <w:bCs/>
                                <w:sz w:val="18"/>
                                <w:szCs w:val="18"/>
                                <w:lang w:val="hy-AM"/>
                              </w:rPr>
                            </w:pPr>
                            <w:r w:rsidRPr="007B23EF">
                              <w:rPr>
                                <w:bCs/>
                                <w:sz w:val="18"/>
                                <w:szCs w:val="18"/>
                                <w:lang w:val="hy-AM"/>
                              </w:rPr>
                              <w:t>երկու խմբի տնային տնտեսություններ՝ համատեղ գոյատևող/խնայող (OLG) և սահմանափակ իրացվելիությամբ (ROT)</w:t>
                            </w:r>
                          </w:p>
                          <w:p w14:paraId="48FEC97F" w14:textId="77777777" w:rsidR="00CB6CFF" w:rsidRPr="007B23EF" w:rsidRDefault="00CB6CFF" w:rsidP="00EA45BA">
                            <w:pPr>
                              <w:numPr>
                                <w:ilvl w:val="0"/>
                                <w:numId w:val="28"/>
                              </w:numPr>
                              <w:tabs>
                                <w:tab w:val="left" w:pos="720"/>
                              </w:tabs>
                              <w:spacing w:before="0" w:after="0" w:line="259" w:lineRule="auto"/>
                              <w:rPr>
                                <w:bCs/>
                                <w:sz w:val="18"/>
                                <w:szCs w:val="18"/>
                                <w:lang w:val="hy-AM"/>
                              </w:rPr>
                            </w:pPr>
                            <w:r w:rsidRPr="007B23EF">
                              <w:rPr>
                                <w:bCs/>
                                <w:sz w:val="18"/>
                                <w:szCs w:val="18"/>
                                <w:lang w:val="hy-AM"/>
                              </w:rPr>
                              <w:t>տնտեսության արտահանելի և ոչ արտահանելի հատվածներ</w:t>
                            </w:r>
                          </w:p>
                          <w:p w14:paraId="7184EA0C" w14:textId="77777777" w:rsidR="00CB6CFF" w:rsidRPr="007B23EF" w:rsidRDefault="00CB6CFF" w:rsidP="00EA45BA">
                            <w:pPr>
                              <w:numPr>
                                <w:ilvl w:val="0"/>
                                <w:numId w:val="28"/>
                              </w:numPr>
                              <w:tabs>
                                <w:tab w:val="left" w:pos="720"/>
                              </w:tabs>
                              <w:spacing w:before="0" w:after="0" w:line="259" w:lineRule="auto"/>
                              <w:rPr>
                                <w:bCs/>
                                <w:sz w:val="18"/>
                                <w:szCs w:val="18"/>
                                <w:lang w:val="hy-AM"/>
                              </w:rPr>
                            </w:pPr>
                            <w:r w:rsidRPr="007B23EF">
                              <w:rPr>
                                <w:bCs/>
                                <w:sz w:val="18"/>
                                <w:szCs w:val="18"/>
                                <w:lang w:val="hy-AM"/>
                              </w:rPr>
                              <w:t>կապիտալ արտադրող ֆիրմաներ, վերավաճառողներ, արհմիություններ։</w:t>
                            </w:r>
                          </w:p>
                          <w:p w14:paraId="1313B131" w14:textId="77777777" w:rsidR="00CB6CFF" w:rsidRPr="007B23EF" w:rsidRDefault="00CB6CFF" w:rsidP="00EA45BA">
                            <w:pPr>
                              <w:tabs>
                                <w:tab w:val="left" w:pos="720"/>
                              </w:tabs>
                              <w:spacing w:line="259" w:lineRule="auto"/>
                              <w:rPr>
                                <w:sz w:val="18"/>
                                <w:szCs w:val="18"/>
                                <w:lang w:val="hy-AM"/>
                              </w:rPr>
                            </w:pPr>
                            <w:r w:rsidRPr="007B23EF">
                              <w:rPr>
                                <w:bCs/>
                                <w:sz w:val="18"/>
                                <w:szCs w:val="18"/>
                                <w:lang w:val="hy-AM"/>
                              </w:rPr>
                              <w:tab/>
                            </w:r>
                            <w:r>
                              <w:rPr>
                                <w:bCs/>
                                <w:sz w:val="18"/>
                                <w:szCs w:val="18"/>
                                <w:lang w:val="hy-AM"/>
                              </w:rPr>
                              <w:t>Մոդելում կան նաև վ</w:t>
                            </w:r>
                            <w:r w:rsidRPr="007B23EF">
                              <w:rPr>
                                <w:bCs/>
                                <w:sz w:val="18"/>
                                <w:szCs w:val="18"/>
                                <w:lang w:val="hy-AM"/>
                              </w:rPr>
                              <w:t>արքագծային հատկանիշներ</w:t>
                            </w:r>
                            <w:r>
                              <w:rPr>
                                <w:bCs/>
                                <w:sz w:val="18"/>
                                <w:szCs w:val="18"/>
                                <w:lang w:val="hy-AM"/>
                              </w:rPr>
                              <w:t>,</w:t>
                            </w:r>
                            <w:r>
                              <w:rPr>
                                <w:sz w:val="18"/>
                                <w:szCs w:val="18"/>
                                <w:lang w:val="hy-AM"/>
                              </w:rPr>
                              <w:t xml:space="preserve"> որոնց շնորհիվ տարբեր խմբերի տնային տնտեսություններն ու ֆիրմաները որոշակի ձևով են արձագանքում հարկաբյուջետային քաղաքականության փոփոխություններն:</w:t>
                            </w:r>
                            <w:r>
                              <w:rPr>
                                <w:bCs/>
                                <w:sz w:val="18"/>
                                <w:szCs w:val="18"/>
                                <w:lang w:val="hy-AM"/>
                              </w:rPr>
                              <w:t xml:space="preserve"> </w:t>
                            </w:r>
                            <w:r w:rsidRPr="007B23EF">
                              <w:rPr>
                                <w:sz w:val="18"/>
                                <w:szCs w:val="18"/>
                                <w:lang w:val="hy-AM"/>
                              </w:rPr>
                              <w:t xml:space="preserve">Մոդելը հիմնվում է տնտեսական գործակալների վարքագծի վրա և թույլ է տալիս բացահայտել հարկաբյուջետային քաղաքականության </w:t>
                            </w:r>
                            <w:r>
                              <w:rPr>
                                <w:sz w:val="18"/>
                                <w:szCs w:val="18"/>
                                <w:lang w:val="hy-AM"/>
                              </w:rPr>
                              <w:t>բազմակողմանի</w:t>
                            </w:r>
                            <w:r w:rsidRPr="007B23EF">
                              <w:rPr>
                                <w:sz w:val="18"/>
                                <w:szCs w:val="18"/>
                                <w:lang w:val="hy-AM"/>
                              </w:rPr>
                              <w:t xml:space="preserve"> ազդեցությունները, ինչը դժվար է իրագործել վիճակագրական մոդելների միջոցով։ Այսպիսով, նշված գործիքի միջոցով հնարավոր է դառնում  հասկանալ քաղաքականության փոփոխությունների մակրոտնտեսական ազդեցությունները, դրանց փոխանցումային մեխանիզմը և քանակապես գնահատել հարկաբյուջետային քաղաքականության ազդեցությունները տնտեսական զարգացումների վրա միջին և երակարաժամկետ հատվածներում: </w:t>
                            </w:r>
                          </w:p>
                          <w:p w14:paraId="75816EC1" w14:textId="77777777" w:rsidR="00CB6CFF" w:rsidRPr="00123DB8" w:rsidRDefault="00CB6CFF" w:rsidP="00EA45BA">
                            <w:pPr>
                              <w:rPr>
                                <w:rFonts w:ascii="Sylfaen" w:hAnsi="Sylfaen"/>
                                <w:sz w:val="18"/>
                                <w:szCs w:val="18"/>
                                <w:lang w:val="hy-AM"/>
                              </w:rPr>
                            </w:pPr>
                          </w:p>
                          <w:p w14:paraId="0182C6AC" w14:textId="77777777" w:rsidR="00CB6CFF" w:rsidRPr="00123DB8" w:rsidRDefault="00CB6CFF" w:rsidP="00EA45BA">
                            <w:pPr>
                              <w:rPr>
                                <w:rFonts w:ascii="Sylfaen" w:hAnsi="Sylfaen"/>
                                <w:sz w:val="18"/>
                                <w:szCs w:val="18"/>
                                <w:lang w:val="hy-AM"/>
                              </w:rPr>
                            </w:pPr>
                          </w:p>
                        </w:txbxContent>
                      </v:textbox>
                      <w10:wrap type="tight" anchory="page"/>
                    </v:shape>
                  </w:pict>
                </mc:Fallback>
              </mc:AlternateContent>
            </w:r>
            <w:r w:rsidR="00EA45BA" w:rsidRPr="00467EB5">
              <w:rPr>
                <w:rFonts w:eastAsia="Calibri" w:cs="Sylfaen"/>
                <w:bCs/>
                <w:lang w:val="hy-AM"/>
              </w:rPr>
              <w:t xml:space="preserve">ՀՀ տնտեսության վրա կորոնավիրուսի համավարակի ազդեցությունը, դրա փոխանցումային մեխանիզմները, ինչպես նաև համավարակի տնտեսական հետևանքները մեղմելու նպատակով պետության կողմից իրականացվող միջոցառումների ազդեցությունը գնահատելու նպատակով կառուցվել է COVID-19 hամավարակի սցենար՝ կիրառելով ՀՀ ՖՆ հարկաբյուջետային քաղաքականության </w:t>
            </w:r>
            <w:r w:rsidR="00595A2D" w:rsidRPr="0035033F">
              <w:rPr>
                <w:rFonts w:eastAsia="Calibri" w:cs="Sylfaen"/>
                <w:bCs/>
                <w:lang w:val="hy-AM"/>
              </w:rPr>
              <w:t>DSGE</w:t>
            </w:r>
            <w:r w:rsidR="00EA45BA" w:rsidRPr="00467EB5">
              <w:rPr>
                <w:rFonts w:eastAsia="Calibri" w:cs="Sylfaen"/>
                <w:bCs/>
                <w:lang w:val="hy-AM"/>
              </w:rPr>
              <w:t xml:space="preserve"> մոդելը։ Կառուցվել են արտաքին և ներքին շոկերի ազդեցության, ինչպես նաև հարկաբյուջետային քաղաքականության ազդեցության սցենարներ, որոնց արդյունքների հիման վրա մշակվել է 2021-2023թթ. ՄԺԾԾ մակրոտնտեսական և հարկաբյուջետային շրջանակները։ Սցենարում ենթադրվել է, որ ՀՀ տնտեսությունն, այսպես կոչված, «V-աձև» զարգացում է ունենալու. ամենամեծ տնտեսական անկումը գրանցվելու է երկրորդ</w:t>
            </w:r>
            <w:r w:rsidR="00EA45BA" w:rsidRPr="00FC0AED">
              <w:rPr>
                <w:rFonts w:eastAsia="Calibri" w:cs="Sylfaen"/>
                <w:bCs/>
                <w:lang w:val="hy-AM"/>
              </w:rPr>
              <w:t xml:space="preserve"> </w:t>
            </w:r>
            <w:r w:rsidR="00EA45BA" w:rsidRPr="00467EB5">
              <w:rPr>
                <w:rFonts w:eastAsia="Calibri" w:cs="Sylfaen"/>
                <w:bCs/>
                <w:lang w:val="hy-AM"/>
              </w:rPr>
              <w:t xml:space="preserve">եռամսյակում, որից հետո երրորդ եռամսյակից սկսած տնտեսությունը սկսելու է </w:t>
            </w:r>
            <w:r w:rsidR="00EA45BA" w:rsidRPr="00467EB5">
              <w:rPr>
                <w:rFonts w:eastAsia="Calibri" w:cs="Sylfaen"/>
                <w:bCs/>
                <w:lang w:val="hy-AM"/>
              </w:rPr>
              <w:lastRenderedPageBreak/>
              <w:t xml:space="preserve">վերականգնվել: Բաժին 1.6-ում նկարագրված տնտեսական աճի դեպի ներքև ռիսկերի դրսևորման պարագայում տնտեսական անկումը կլինի ավելի խորը՝ ազդեցության միևնույն փոխանցումային մեխանիզմով և երկարատև վերականգնումով։ </w:t>
            </w:r>
          </w:p>
          <w:p w14:paraId="28017361" w14:textId="77777777" w:rsidR="00EA45BA" w:rsidRPr="00F16BE3" w:rsidRDefault="00AE7D71" w:rsidP="00D11A32">
            <w:pPr>
              <w:ind w:firstLine="709"/>
              <w:rPr>
                <w:rFonts w:eastAsia="GHEA Grapalat" w:cs="GHEA Grapalat"/>
                <w:sz w:val="24"/>
                <w:szCs w:val="24"/>
                <w:lang w:val="hy-AM"/>
              </w:rPr>
            </w:pPr>
            <w:r w:rsidRPr="00C26481">
              <w:rPr>
                <w:rFonts w:eastAsia="GHEA Grapalat" w:cs="GHEA Grapalat"/>
                <w:noProof/>
                <w:u w:val="single"/>
              </w:rPr>
              <w:drawing>
                <wp:anchor distT="0" distB="0" distL="114300" distR="114300" simplePos="0" relativeHeight="251698176" behindDoc="1" locked="0" layoutInCell="1" allowOverlap="1" wp14:anchorId="45D11F0F" wp14:editId="02A1589F">
                  <wp:simplePos x="0" y="0"/>
                  <wp:positionH relativeFrom="column">
                    <wp:posOffset>137683</wp:posOffset>
                  </wp:positionH>
                  <wp:positionV relativeFrom="paragraph">
                    <wp:posOffset>550287</wp:posOffset>
                  </wp:positionV>
                  <wp:extent cx="6505575" cy="641032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505575" cy="6410325"/>
                          </a:xfrm>
                          <a:prstGeom prst="rect">
                            <a:avLst/>
                          </a:prstGeom>
                          <a:noFill/>
                          <a:ln>
                            <a:noFill/>
                          </a:ln>
                        </pic:spPr>
                      </pic:pic>
                    </a:graphicData>
                  </a:graphic>
                </wp:anchor>
              </w:drawing>
            </w:r>
            <w:r w:rsidR="00EA45BA" w:rsidRPr="000D6974">
              <w:rPr>
                <w:rFonts w:eastAsia="GHEA Grapalat" w:cs="GHEA Grapalat"/>
                <w:b/>
                <w:i/>
                <w:lang w:val="hy-AM"/>
              </w:rPr>
              <w:t>Գծապատկեր</w:t>
            </w:r>
            <w:r w:rsidR="00EA45BA" w:rsidRPr="00CC697B">
              <w:rPr>
                <w:rFonts w:eastAsia="GHEA Grapalat" w:cs="GHEA Grapalat"/>
                <w:b/>
                <w:i/>
                <w:lang w:val="hy-AM"/>
              </w:rPr>
              <w:t xml:space="preserve"> 1.27. </w:t>
            </w:r>
            <w:r w:rsidR="00EA45BA" w:rsidRPr="000D6974">
              <w:rPr>
                <w:rFonts w:eastAsia="MS Mincho" w:cs="Arial"/>
                <w:i/>
                <w:sz w:val="20"/>
                <w:szCs w:val="20"/>
                <w:lang w:val="hy-AM"/>
              </w:rPr>
              <w:t xml:space="preserve">Տնտեսության </w:t>
            </w:r>
            <w:r w:rsidR="00EA45BA" w:rsidRPr="00CC697B">
              <w:rPr>
                <w:rFonts w:eastAsia="MS Mincho" w:cs="Arial"/>
                <w:i/>
                <w:sz w:val="20"/>
                <w:szCs w:val="20"/>
                <w:lang w:val="hy-AM"/>
              </w:rPr>
              <w:t xml:space="preserve">արձագանքը </w:t>
            </w:r>
            <w:r w:rsidR="00EA45BA" w:rsidRPr="00F16BE3">
              <w:rPr>
                <w:rFonts w:eastAsia="MS Mincho" w:cs="Arial"/>
                <w:i/>
                <w:sz w:val="20"/>
                <w:szCs w:val="20"/>
                <w:lang w:val="hy-AM"/>
              </w:rPr>
              <w:t>ներքին և արտաքին շոկերին, հարկաբյուջետային քաղաքականության խթանող ազդեցությունը</w:t>
            </w:r>
            <w:r w:rsidR="00EA45BA" w:rsidRPr="00F16BE3">
              <w:rPr>
                <w:rFonts w:eastAsia="GHEA Grapalat" w:cs="GHEA Grapalat"/>
                <w:lang w:val="hy-AM"/>
              </w:rPr>
              <w:t xml:space="preserve"> </w:t>
            </w:r>
          </w:p>
          <w:p w14:paraId="5AB40C2E" w14:textId="77777777" w:rsidR="00EA45BA" w:rsidRDefault="00EA45BA" w:rsidP="00AE7D71">
            <w:pPr>
              <w:pStyle w:val="BodyText"/>
              <w:spacing w:after="240"/>
              <w:ind w:firstLine="0"/>
              <w:rPr>
                <w:rFonts w:eastAsiaTheme="minorHAnsi" w:cs="Sylfaen"/>
                <w:i/>
                <w:sz w:val="18"/>
                <w:szCs w:val="18"/>
                <w:lang w:val="hy-AM"/>
              </w:rPr>
            </w:pPr>
            <w:r w:rsidRPr="00F330A0">
              <w:rPr>
                <w:rFonts w:eastAsiaTheme="minorHAnsi" w:cs="Sylfaen"/>
                <w:i/>
                <w:sz w:val="18"/>
                <w:szCs w:val="18"/>
                <w:lang w:val="hy-AM"/>
              </w:rPr>
              <w:t>Աղբյուր</w:t>
            </w:r>
            <w:r>
              <w:rPr>
                <w:rFonts w:eastAsiaTheme="minorHAnsi" w:cs="Sylfaen"/>
                <w:i/>
                <w:sz w:val="18"/>
                <w:szCs w:val="18"/>
                <w:lang w:val="hy-AM"/>
              </w:rPr>
              <w:t>ը</w:t>
            </w:r>
            <w:r w:rsidRPr="00F330A0">
              <w:rPr>
                <w:rFonts w:eastAsiaTheme="minorHAnsi" w:cs="Sylfaen"/>
                <w:i/>
                <w:sz w:val="18"/>
                <w:szCs w:val="18"/>
                <w:lang w:val="hy-AM"/>
              </w:rPr>
              <w:t>՝ ՀՀ ՖՆ</w:t>
            </w:r>
            <w:r>
              <w:rPr>
                <w:rFonts w:eastAsiaTheme="minorHAnsi" w:cs="Sylfaen"/>
                <w:i/>
                <w:sz w:val="18"/>
                <w:szCs w:val="18"/>
                <w:lang w:val="hy-AM"/>
              </w:rPr>
              <w:t xml:space="preserve"> գնահատումներ և</w:t>
            </w:r>
            <w:r w:rsidRPr="00F330A0">
              <w:rPr>
                <w:rFonts w:eastAsiaTheme="minorHAnsi" w:cs="Sylfaen"/>
                <w:i/>
                <w:sz w:val="18"/>
                <w:szCs w:val="18"/>
                <w:lang w:val="hy-AM"/>
              </w:rPr>
              <w:t xml:space="preserve"> </w:t>
            </w:r>
            <w:r>
              <w:rPr>
                <w:rFonts w:eastAsiaTheme="minorHAnsi" w:cs="Sylfaen"/>
                <w:i/>
                <w:sz w:val="18"/>
                <w:szCs w:val="18"/>
                <w:lang w:val="hy-AM"/>
              </w:rPr>
              <w:t>կանխատեսումներ</w:t>
            </w:r>
            <w:r w:rsidRPr="00F330A0">
              <w:rPr>
                <w:rFonts w:eastAsiaTheme="minorHAnsi" w:cs="Sylfaen"/>
                <w:i/>
                <w:sz w:val="18"/>
                <w:szCs w:val="18"/>
                <w:lang w:val="hy-AM"/>
              </w:rPr>
              <w:t xml:space="preserve">: Գծապատկերներում </w:t>
            </w:r>
            <w:r>
              <w:rPr>
                <w:rFonts w:eastAsiaTheme="minorHAnsi" w:cs="Sylfaen"/>
                <w:i/>
                <w:sz w:val="18"/>
                <w:szCs w:val="18"/>
                <w:lang w:val="hy-AM"/>
              </w:rPr>
              <w:t xml:space="preserve">ցուցանիշները ներկայացված են որպես իրենց </w:t>
            </w:r>
            <w:r w:rsidRPr="00F330A0">
              <w:rPr>
                <w:rFonts w:eastAsiaTheme="minorHAnsi" w:cs="Sylfaen"/>
                <w:i/>
                <w:sz w:val="18"/>
                <w:szCs w:val="18"/>
                <w:lang w:val="hy-AM"/>
              </w:rPr>
              <w:t>հավասարակշիռ մակարդակներից</w:t>
            </w:r>
            <w:r>
              <w:rPr>
                <w:rFonts w:eastAsiaTheme="minorHAnsi" w:cs="Sylfaen"/>
                <w:i/>
                <w:sz w:val="18"/>
                <w:szCs w:val="18"/>
                <w:lang w:val="hy-AM"/>
              </w:rPr>
              <w:t>, համապատասխանաբար,  տոկոս կամ տոկոսային կետ շեղումներով</w:t>
            </w:r>
          </w:p>
          <w:p w14:paraId="4844268A" w14:textId="77777777" w:rsidR="00EA45BA" w:rsidRDefault="00EA45BA" w:rsidP="001C57FF">
            <w:pPr>
              <w:pStyle w:val="BodyText"/>
              <w:spacing w:after="240"/>
              <w:rPr>
                <w:rFonts w:eastAsia="GHEA Grapalat"/>
                <w:sz w:val="24"/>
                <w:szCs w:val="24"/>
                <w:lang w:val="hy-AM"/>
              </w:rPr>
            </w:pPr>
          </w:p>
          <w:p w14:paraId="79875033" w14:textId="77777777" w:rsidR="00D369E6" w:rsidRPr="00854B0B" w:rsidRDefault="00D369E6" w:rsidP="001C57FF">
            <w:pPr>
              <w:pStyle w:val="BodyText"/>
              <w:spacing w:after="240"/>
              <w:rPr>
                <w:rFonts w:eastAsia="GHEA Grapalat"/>
                <w:sz w:val="24"/>
                <w:szCs w:val="24"/>
                <w:lang w:val="hy-AM"/>
              </w:rPr>
            </w:pPr>
          </w:p>
          <w:p w14:paraId="571CAD16" w14:textId="77777777" w:rsidR="00EA45BA" w:rsidRPr="00AE7D71" w:rsidRDefault="00EA45BA" w:rsidP="00A0704D">
            <w:pPr>
              <w:spacing w:line="276" w:lineRule="auto"/>
              <w:ind w:right="270"/>
              <w:rPr>
                <w:rFonts w:eastAsia="Times New Roman" w:cs="Sylfaen"/>
                <w:b/>
                <w:i/>
                <w:sz w:val="21"/>
                <w:szCs w:val="21"/>
                <w:lang w:val="hy-AM"/>
              </w:rPr>
            </w:pPr>
            <w:r>
              <w:rPr>
                <w:rFonts w:eastAsia="Times New Roman" w:cs="Sylfaen"/>
                <w:b/>
                <w:i/>
                <w:sz w:val="24"/>
                <w:szCs w:val="24"/>
                <w:lang w:val="hy-AM"/>
              </w:rPr>
              <w:t>Գծապատկեր</w:t>
            </w:r>
            <w:r w:rsidRPr="00C26481">
              <w:rPr>
                <w:rFonts w:eastAsia="Times New Roman" w:cs="Sylfaen"/>
                <w:b/>
                <w:i/>
                <w:sz w:val="24"/>
                <w:szCs w:val="24"/>
                <w:lang w:val="hy-AM"/>
              </w:rPr>
              <w:t xml:space="preserve"> 1.28.</w:t>
            </w:r>
            <w:r w:rsidRPr="00C26481">
              <w:rPr>
                <w:rFonts w:eastAsia="Times New Roman" w:cs="Sylfaen"/>
                <w:b/>
                <w:i/>
                <w:sz w:val="21"/>
                <w:szCs w:val="21"/>
                <w:lang w:val="hy-AM"/>
              </w:rPr>
              <w:t xml:space="preserve"> </w:t>
            </w:r>
            <w:r w:rsidRPr="00C26481">
              <w:rPr>
                <w:rFonts w:eastAsia="Times New Roman" w:cs="Sylfaen"/>
                <w:i/>
                <w:sz w:val="20"/>
                <w:szCs w:val="20"/>
                <w:lang w:val="hy-AM"/>
              </w:rPr>
              <w:t>Հարկաբյուջետային միջավայրը  շոկերի ազդեցության ներքո և քաղաքականության իրականացումից հետո</w:t>
            </w:r>
            <w:r w:rsidRPr="00C26481">
              <w:rPr>
                <w:rFonts w:eastAsia="Times New Roman" w:cs="Sylfaen"/>
                <w:b/>
                <w:i/>
                <w:sz w:val="21"/>
                <w:szCs w:val="21"/>
                <w:lang w:val="hy-AM"/>
              </w:rPr>
              <w:t xml:space="preserve"> </w:t>
            </w:r>
          </w:p>
          <w:p w14:paraId="022908E0" w14:textId="77777777" w:rsidR="00C7695C" w:rsidRDefault="00C7695C" w:rsidP="00B62713">
            <w:pPr>
              <w:spacing w:line="276" w:lineRule="auto"/>
              <w:ind w:right="540" w:firstLine="0"/>
              <w:rPr>
                <w:rFonts w:cs="Sylfaen"/>
                <w:i/>
                <w:sz w:val="18"/>
                <w:szCs w:val="18"/>
                <w:lang w:val="hy-AM"/>
              </w:rPr>
            </w:pPr>
            <w:r w:rsidRPr="00605135">
              <w:rPr>
                <w:rFonts w:eastAsia="Times New Roman" w:cs="Sylfaen"/>
                <w:b/>
                <w:i/>
                <w:noProof/>
                <w:sz w:val="21"/>
                <w:szCs w:val="21"/>
                <w:u w:val="single"/>
              </w:rPr>
              <w:drawing>
                <wp:inline distT="0" distB="0" distL="0" distR="0" wp14:anchorId="02D17AE5" wp14:editId="39646056">
                  <wp:extent cx="6276975" cy="1933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276975" cy="1933575"/>
                          </a:xfrm>
                          <a:prstGeom prst="rect">
                            <a:avLst/>
                          </a:prstGeom>
                          <a:noFill/>
                          <a:ln>
                            <a:noFill/>
                          </a:ln>
                        </pic:spPr>
                      </pic:pic>
                    </a:graphicData>
                  </a:graphic>
                </wp:inline>
              </w:drawing>
            </w:r>
          </w:p>
          <w:p w14:paraId="7B4631B8" w14:textId="77777777" w:rsidR="00EA45BA" w:rsidRPr="00854B0B" w:rsidRDefault="00EA45BA" w:rsidP="00A0704D">
            <w:pPr>
              <w:spacing w:line="276" w:lineRule="auto"/>
              <w:ind w:right="270" w:firstLine="0"/>
              <w:rPr>
                <w:rFonts w:eastAsia="GHEA Grapalat" w:cs="GHEA Grapalat"/>
                <w:sz w:val="16"/>
                <w:szCs w:val="16"/>
                <w:lang w:val="hy-AM"/>
              </w:rPr>
            </w:pPr>
            <w:r w:rsidRPr="00F330A0">
              <w:rPr>
                <w:rFonts w:cs="Sylfaen"/>
                <w:i/>
                <w:sz w:val="18"/>
                <w:szCs w:val="18"/>
                <w:lang w:val="hy-AM"/>
              </w:rPr>
              <w:t>Աղբյուր</w:t>
            </w:r>
            <w:r>
              <w:rPr>
                <w:rFonts w:cs="Sylfaen"/>
                <w:i/>
                <w:sz w:val="18"/>
                <w:szCs w:val="18"/>
                <w:lang w:val="hy-AM"/>
              </w:rPr>
              <w:t>ը</w:t>
            </w:r>
            <w:r w:rsidRPr="00F330A0">
              <w:rPr>
                <w:rFonts w:cs="Sylfaen"/>
                <w:i/>
                <w:sz w:val="18"/>
                <w:szCs w:val="18"/>
                <w:lang w:val="hy-AM"/>
              </w:rPr>
              <w:t>՝ ՀՀ ՖՆ</w:t>
            </w:r>
            <w:r>
              <w:rPr>
                <w:rFonts w:cs="Sylfaen"/>
                <w:i/>
                <w:sz w:val="18"/>
                <w:szCs w:val="18"/>
                <w:lang w:val="hy-AM"/>
              </w:rPr>
              <w:t xml:space="preserve"> գնահատումներ և</w:t>
            </w:r>
            <w:r w:rsidRPr="00F330A0">
              <w:rPr>
                <w:rFonts w:cs="Sylfaen"/>
                <w:i/>
                <w:sz w:val="18"/>
                <w:szCs w:val="18"/>
                <w:lang w:val="hy-AM"/>
              </w:rPr>
              <w:t xml:space="preserve"> </w:t>
            </w:r>
            <w:r>
              <w:rPr>
                <w:rFonts w:cs="Sylfaen"/>
                <w:i/>
                <w:sz w:val="18"/>
                <w:szCs w:val="18"/>
                <w:lang w:val="hy-AM"/>
              </w:rPr>
              <w:t>կանխատեսումներ</w:t>
            </w:r>
            <w:r w:rsidRPr="00F330A0">
              <w:rPr>
                <w:rFonts w:cs="Sylfaen"/>
                <w:i/>
                <w:sz w:val="18"/>
                <w:szCs w:val="18"/>
                <w:lang w:val="hy-AM"/>
              </w:rPr>
              <w:t xml:space="preserve">: Գծապատկերներում </w:t>
            </w:r>
            <w:r>
              <w:rPr>
                <w:rFonts w:cs="Sylfaen"/>
                <w:i/>
                <w:sz w:val="18"/>
                <w:szCs w:val="18"/>
                <w:lang w:val="hy-AM"/>
              </w:rPr>
              <w:t xml:space="preserve">ցուցանիշները ներկայացված են որպես իրենց </w:t>
            </w:r>
            <w:r w:rsidRPr="00F330A0">
              <w:rPr>
                <w:rFonts w:cs="Sylfaen"/>
                <w:i/>
                <w:sz w:val="18"/>
                <w:szCs w:val="18"/>
                <w:lang w:val="hy-AM"/>
              </w:rPr>
              <w:t>հավասարակշիռ մակարդակներից</w:t>
            </w:r>
            <w:r>
              <w:rPr>
                <w:rFonts w:cs="Sylfaen"/>
                <w:i/>
                <w:sz w:val="18"/>
                <w:szCs w:val="18"/>
                <w:lang w:val="hy-AM"/>
              </w:rPr>
              <w:t xml:space="preserve"> տոկոսային կետ շեղումներով</w:t>
            </w:r>
          </w:p>
          <w:p w14:paraId="4EEE5076" w14:textId="77777777" w:rsidR="00EA45BA" w:rsidRPr="00C26481" w:rsidRDefault="00EA45BA" w:rsidP="001C57FF">
            <w:pPr>
              <w:spacing w:line="276" w:lineRule="auto"/>
              <w:rPr>
                <w:rFonts w:eastAsia="GHEA Grapalat" w:cs="GHEA Grapalat"/>
                <w:sz w:val="16"/>
                <w:szCs w:val="16"/>
                <w:lang w:val="hy-AM"/>
              </w:rPr>
            </w:pPr>
          </w:p>
          <w:p w14:paraId="2791AFF0" w14:textId="77777777" w:rsidR="00EA45BA" w:rsidRPr="00772498" w:rsidRDefault="00EA45BA" w:rsidP="001C57FF">
            <w:pPr>
              <w:rPr>
                <w:color w:val="1F497D" w:themeColor="text2"/>
                <w:sz w:val="24"/>
                <w:szCs w:val="24"/>
                <w:lang w:val="hy-AM"/>
              </w:rPr>
            </w:pPr>
            <w:r w:rsidRPr="00772498">
              <w:rPr>
                <w:b/>
                <w:bCs/>
                <w:color w:val="1F497D" w:themeColor="text2"/>
                <w:lang w:val="hy-AM"/>
              </w:rPr>
              <w:t xml:space="preserve">1.5.1. </w:t>
            </w:r>
            <w:r w:rsidRPr="00772498">
              <w:rPr>
                <w:rFonts w:cs="Sylfaen"/>
                <w:b/>
                <w:bCs/>
                <w:color w:val="1F497D" w:themeColor="text2"/>
                <w:lang w:val="hy-AM"/>
              </w:rPr>
              <w:t>Ներքին</w:t>
            </w:r>
            <w:r w:rsidRPr="00772498">
              <w:rPr>
                <w:b/>
                <w:bCs/>
                <w:color w:val="1F497D" w:themeColor="text2"/>
                <w:lang w:val="hy-AM"/>
              </w:rPr>
              <w:t xml:space="preserve"> </w:t>
            </w:r>
            <w:r w:rsidRPr="00772498">
              <w:rPr>
                <w:rFonts w:cs="Sylfaen"/>
                <w:b/>
                <w:bCs/>
                <w:color w:val="1F497D" w:themeColor="text2"/>
                <w:lang w:val="hy-AM"/>
              </w:rPr>
              <w:t>շոկերի</w:t>
            </w:r>
            <w:r w:rsidRPr="00772498">
              <w:rPr>
                <w:b/>
                <w:bCs/>
                <w:color w:val="1F497D" w:themeColor="text2"/>
                <w:lang w:val="hy-AM"/>
              </w:rPr>
              <w:t xml:space="preserve"> </w:t>
            </w:r>
            <w:r w:rsidRPr="00772498">
              <w:rPr>
                <w:rFonts w:cs="Sylfaen"/>
                <w:b/>
                <w:bCs/>
                <w:color w:val="1F497D" w:themeColor="text2"/>
                <w:lang w:val="hy-AM"/>
              </w:rPr>
              <w:t>ազդեցությունը</w:t>
            </w:r>
          </w:p>
          <w:p w14:paraId="1B174156" w14:textId="77777777" w:rsidR="00EA45BA" w:rsidRDefault="00EA45BA" w:rsidP="00B62713">
            <w:pPr>
              <w:spacing w:after="120" w:line="276" w:lineRule="auto"/>
              <w:ind w:right="540" w:firstLine="720"/>
              <w:contextualSpacing/>
              <w:rPr>
                <w:rFonts w:eastAsia="GHEA Grapalat" w:cs="GHEA Grapalat"/>
                <w:sz w:val="24"/>
                <w:szCs w:val="24"/>
                <w:lang w:val="hy-AM"/>
              </w:rPr>
            </w:pPr>
            <w:r w:rsidRPr="00483E8D">
              <w:rPr>
                <w:rFonts w:eastAsia="GHEA Grapalat" w:cs="GHEA Grapalat"/>
                <w:lang w:val="hy-AM"/>
              </w:rPr>
              <w:t xml:space="preserve">Համաճարակի կանխարգելման նպատակով կիրառվող ներքին սահմանափակումների </w:t>
            </w:r>
            <w:r>
              <w:rPr>
                <w:rFonts w:eastAsia="GHEA Grapalat" w:cs="GHEA Grapalat"/>
                <w:lang w:val="hy-AM"/>
              </w:rPr>
              <w:t>հետևանքով</w:t>
            </w:r>
            <w:r w:rsidRPr="00483E8D">
              <w:rPr>
                <w:rFonts w:eastAsia="GHEA Grapalat" w:cs="GHEA Grapalat"/>
                <w:lang w:val="hy-AM"/>
              </w:rPr>
              <w:t xml:space="preserve"> տնտեսությունում ձևավորվում են </w:t>
            </w:r>
            <w:r>
              <w:rPr>
                <w:rFonts w:eastAsia="GHEA Grapalat" w:cs="GHEA Grapalat"/>
                <w:lang w:val="hy-AM"/>
              </w:rPr>
              <w:t xml:space="preserve">և՛ </w:t>
            </w:r>
            <w:r w:rsidRPr="00483E8D">
              <w:rPr>
                <w:rFonts w:eastAsia="GHEA Grapalat" w:cs="GHEA Grapalat"/>
                <w:lang w:val="hy-AM"/>
              </w:rPr>
              <w:t>առաջարկի</w:t>
            </w:r>
            <w:r>
              <w:rPr>
                <w:rFonts w:eastAsia="GHEA Grapalat" w:cs="GHEA Grapalat"/>
                <w:lang w:val="hy-AM"/>
              </w:rPr>
              <w:t>,</w:t>
            </w:r>
            <w:r w:rsidRPr="00483E8D">
              <w:rPr>
                <w:rFonts w:eastAsia="GHEA Grapalat" w:cs="GHEA Grapalat"/>
                <w:lang w:val="hy-AM"/>
              </w:rPr>
              <w:t xml:space="preserve"> և</w:t>
            </w:r>
            <w:r>
              <w:rPr>
                <w:rFonts w:eastAsia="GHEA Grapalat" w:cs="GHEA Grapalat"/>
                <w:lang w:val="hy-AM"/>
              </w:rPr>
              <w:t>՛</w:t>
            </w:r>
            <w:r w:rsidRPr="00483E8D">
              <w:rPr>
                <w:rFonts w:eastAsia="GHEA Grapalat" w:cs="GHEA Grapalat"/>
                <w:lang w:val="hy-AM"/>
              </w:rPr>
              <w:t xml:space="preserve"> պահանջարկի շոկեր</w:t>
            </w:r>
            <w:r>
              <w:rPr>
                <w:rFonts w:eastAsia="GHEA Grapalat" w:cs="GHEA Grapalat"/>
                <w:lang w:val="hy-AM"/>
              </w:rPr>
              <w:t>:</w:t>
            </w:r>
            <w:r w:rsidRPr="00483E8D">
              <w:rPr>
                <w:rFonts w:eastAsia="GHEA Grapalat" w:cs="GHEA Grapalat"/>
                <w:lang w:val="hy-AM"/>
              </w:rPr>
              <w:t xml:space="preserve"> </w:t>
            </w:r>
          </w:p>
          <w:p w14:paraId="66324E17" w14:textId="77777777" w:rsidR="00EA45BA" w:rsidRPr="007B23EF" w:rsidRDefault="00EA45BA" w:rsidP="00B62713">
            <w:pPr>
              <w:spacing w:after="120" w:line="276" w:lineRule="auto"/>
              <w:ind w:right="630" w:firstLine="720"/>
              <w:rPr>
                <w:lang w:val="hy-AM"/>
              </w:rPr>
            </w:pPr>
            <w:r>
              <w:rPr>
                <w:rFonts w:eastAsia="GHEA Grapalat" w:cs="GHEA Grapalat"/>
                <w:lang w:val="hy-AM"/>
              </w:rPr>
              <w:t xml:space="preserve">Շոկերը </w:t>
            </w:r>
            <w:r w:rsidRPr="00483E8D">
              <w:rPr>
                <w:rFonts w:eastAsia="GHEA Grapalat" w:cs="GHEA Grapalat"/>
                <w:lang w:val="hy-AM"/>
              </w:rPr>
              <w:t>կալիբրացվել են կիրառվող ներքին սահմանափակումների ազդեցութ</w:t>
            </w:r>
            <w:r>
              <w:rPr>
                <w:rFonts w:eastAsia="GHEA Grapalat" w:cs="GHEA Grapalat"/>
                <w:lang w:val="hy-AM"/>
              </w:rPr>
              <w:t>յունների</w:t>
            </w:r>
            <w:r w:rsidRPr="00483E8D">
              <w:rPr>
                <w:rFonts w:eastAsia="GHEA Grapalat" w:cs="GHEA Grapalat"/>
                <w:lang w:val="hy-AM"/>
              </w:rPr>
              <w:t xml:space="preserve"> վերաբերյալ կատարված առանձին ՀՀ ՖՆ գնահատումների հիման վրա (2020թ համար ՀՆԱ-ի շուրջ 2</w:t>
            </w:r>
            <w:r w:rsidRPr="007B23EF">
              <w:rPr>
                <w:rFonts w:eastAsia="GHEA Grapalat" w:cs="GHEA Grapalat"/>
                <w:lang w:val="hy-AM"/>
              </w:rPr>
              <w:t>%-ից</w:t>
            </w:r>
            <w:r w:rsidRPr="00483E8D">
              <w:rPr>
                <w:rFonts w:eastAsia="GHEA Grapalat" w:cs="GHEA Grapalat"/>
                <w:lang w:val="hy-AM"/>
              </w:rPr>
              <w:t xml:space="preserve"> 2.5% կորուստ)։ Այսպիսով, </w:t>
            </w:r>
            <w:r>
              <w:rPr>
                <w:rFonts w:eastAsia="GHEA Grapalat" w:cs="GHEA Grapalat"/>
                <w:lang w:val="hy-AM"/>
              </w:rPr>
              <w:t>կիրառվող սահմանափակումների հետևանքով</w:t>
            </w:r>
            <w:r w:rsidRPr="00483E8D">
              <w:rPr>
                <w:rFonts w:eastAsia="GHEA Grapalat" w:cs="GHEA Grapalat"/>
                <w:lang w:val="hy-AM"/>
              </w:rPr>
              <w:t xml:space="preserve"> </w:t>
            </w:r>
            <w:r>
              <w:rPr>
                <w:rFonts w:eastAsia="GHEA Grapalat" w:cs="GHEA Grapalat"/>
                <w:lang w:val="hy-AM"/>
              </w:rPr>
              <w:t xml:space="preserve">խաթարվում </w:t>
            </w:r>
            <w:r w:rsidRPr="00483E8D">
              <w:rPr>
                <w:rFonts w:eastAsia="GHEA Grapalat" w:cs="GHEA Grapalat"/>
                <w:lang w:val="hy-AM"/>
              </w:rPr>
              <w:t xml:space="preserve">է տնտեսությունում արտադրանքի թողարկման </w:t>
            </w:r>
            <w:r w:rsidRPr="004A24D5">
              <w:rPr>
                <w:rFonts w:eastAsia="GHEA Grapalat" w:cs="GHEA Grapalat"/>
                <w:lang w:val="hy-AM"/>
              </w:rPr>
              <w:t>գործընթացը</w:t>
            </w:r>
            <w:r w:rsidRPr="00483E8D">
              <w:rPr>
                <w:rFonts w:eastAsia="GHEA Grapalat" w:cs="GHEA Grapalat"/>
                <w:lang w:val="hy-AM"/>
              </w:rPr>
              <w:t>,</w:t>
            </w:r>
            <w:r>
              <w:rPr>
                <w:rFonts w:eastAsia="GHEA Grapalat" w:cs="GHEA Grapalat"/>
                <w:lang w:val="hy-AM"/>
              </w:rPr>
              <w:t xml:space="preserve"> բարձրանում են արտադրական ծախսերը,</w:t>
            </w:r>
            <w:r w:rsidRPr="00483E8D">
              <w:rPr>
                <w:rFonts w:eastAsia="GHEA Grapalat" w:cs="GHEA Grapalat"/>
                <w:lang w:val="hy-AM"/>
              </w:rPr>
              <w:t xml:space="preserve"> որ</w:t>
            </w:r>
            <w:r>
              <w:rPr>
                <w:rFonts w:eastAsia="GHEA Grapalat" w:cs="GHEA Grapalat"/>
                <w:lang w:val="hy-AM"/>
              </w:rPr>
              <w:t>ոնք</w:t>
            </w:r>
            <w:r w:rsidRPr="00483E8D">
              <w:rPr>
                <w:rFonts w:eastAsia="GHEA Grapalat" w:cs="GHEA Grapalat"/>
                <w:lang w:val="hy-AM"/>
              </w:rPr>
              <w:t xml:space="preserve"> հանգեցնում </w:t>
            </w:r>
            <w:r>
              <w:rPr>
                <w:rFonts w:eastAsia="GHEA Grapalat" w:cs="GHEA Grapalat"/>
                <w:lang w:val="hy-AM"/>
              </w:rPr>
              <w:t>են</w:t>
            </w:r>
            <w:r w:rsidRPr="00483E8D">
              <w:rPr>
                <w:rFonts w:eastAsia="GHEA Grapalat" w:cs="GHEA Grapalat"/>
                <w:lang w:val="hy-AM"/>
              </w:rPr>
              <w:t xml:space="preserve"> աշխատուժի և ներդրումների նկատմամբ պահանջարկի նվազման</w:t>
            </w:r>
            <w:r>
              <w:rPr>
                <w:rFonts w:eastAsia="GHEA Grapalat" w:cs="GHEA Grapalat"/>
                <w:lang w:val="hy-AM"/>
              </w:rPr>
              <w:t xml:space="preserve">, ինչն էլ իր հերթին առաջացնում է զբաղվածության կրճատում և աշխատավարձերի նվազում, արդյունքում տնտեսությունում կրճատվում է տնօրինվող եկամտի մակարդակը՝ առաջացնելով  նաև մասնավոր պահանջարկի անկում: </w:t>
            </w:r>
          </w:p>
          <w:p w14:paraId="32EABDFE" w14:textId="77777777" w:rsidR="00EA45BA" w:rsidRPr="00772498" w:rsidRDefault="00EA45BA" w:rsidP="001C57FF">
            <w:pPr>
              <w:rPr>
                <w:color w:val="1F497D" w:themeColor="text2"/>
                <w:sz w:val="24"/>
                <w:szCs w:val="24"/>
                <w:lang w:val="hy-AM"/>
              </w:rPr>
            </w:pPr>
            <w:r w:rsidRPr="00772498">
              <w:rPr>
                <w:b/>
                <w:bCs/>
                <w:color w:val="1F497D" w:themeColor="text2"/>
                <w:lang w:val="hy-AM"/>
              </w:rPr>
              <w:t xml:space="preserve">1.5.2. </w:t>
            </w:r>
            <w:r w:rsidRPr="00772498">
              <w:rPr>
                <w:rFonts w:cs="Sylfaen"/>
                <w:b/>
                <w:bCs/>
                <w:color w:val="1F497D" w:themeColor="text2"/>
                <w:lang w:val="hy-AM"/>
              </w:rPr>
              <w:t>Արտաքին</w:t>
            </w:r>
            <w:r w:rsidRPr="00772498">
              <w:rPr>
                <w:b/>
                <w:bCs/>
                <w:color w:val="1F497D" w:themeColor="text2"/>
                <w:lang w:val="hy-AM"/>
              </w:rPr>
              <w:t xml:space="preserve"> </w:t>
            </w:r>
            <w:r w:rsidRPr="00772498">
              <w:rPr>
                <w:rFonts w:cs="Sylfaen"/>
                <w:b/>
                <w:bCs/>
                <w:color w:val="1F497D" w:themeColor="text2"/>
                <w:lang w:val="hy-AM"/>
              </w:rPr>
              <w:t>շոկերի</w:t>
            </w:r>
            <w:r w:rsidRPr="00772498">
              <w:rPr>
                <w:b/>
                <w:bCs/>
                <w:color w:val="1F497D" w:themeColor="text2"/>
                <w:lang w:val="hy-AM"/>
              </w:rPr>
              <w:t xml:space="preserve"> </w:t>
            </w:r>
            <w:r w:rsidRPr="00772498">
              <w:rPr>
                <w:rFonts w:cs="Sylfaen"/>
                <w:b/>
                <w:bCs/>
                <w:color w:val="1F497D" w:themeColor="text2"/>
                <w:lang w:val="hy-AM"/>
              </w:rPr>
              <w:t>ազդեցությունը</w:t>
            </w:r>
          </w:p>
          <w:p w14:paraId="728799DA" w14:textId="77777777" w:rsidR="00EA45BA" w:rsidRPr="007B23EF" w:rsidRDefault="00EA45BA" w:rsidP="00A0704D">
            <w:pPr>
              <w:spacing w:after="120" w:line="276" w:lineRule="auto"/>
              <w:ind w:right="630" w:firstLine="284"/>
              <w:rPr>
                <w:rFonts w:eastAsia="GHEA Grapalat" w:cs="GHEA Grapalat"/>
                <w:lang w:val="hy-AM"/>
              </w:rPr>
            </w:pPr>
            <w:r w:rsidRPr="00CD0A33">
              <w:rPr>
                <w:rFonts w:eastAsia="GHEA Grapalat" w:cs="GHEA Grapalat"/>
                <w:lang w:val="hy-AM"/>
              </w:rPr>
              <w:t xml:space="preserve">    Համաճարակի հետևանքով առաջացած արտաքին տնտեսական շոկերի ազդեցությունները ՀՀ տնտեսության վրա գնահատելու համար դիտարկվել են արտաքին պահանջարկի նվազման, դրամական փոխանցումների կրճատման, առևտրային պայմանների վատթարացման և երկրի ռիսկ պրեմիայի բարձրացման շոկեր, որոնց </w:t>
            </w:r>
            <w:r w:rsidRPr="0010015F">
              <w:rPr>
                <w:rFonts w:eastAsia="GHEA Grapalat" w:cs="GHEA Grapalat"/>
                <w:lang w:val="hy-AM"/>
              </w:rPr>
              <w:t>կալիբրացման համար հիմք են հանդիսացել ԱՄՀ կանխատեսումները և ՀՀ ՖՆ գնահատումները։ Մասնավորապես, 2020թ</w:t>
            </w:r>
            <w:r w:rsidRPr="007B23EF">
              <w:rPr>
                <w:rFonts w:eastAsia="GHEA Grapalat" w:cs="GHEA Grapalat"/>
                <w:lang w:val="hy-AM"/>
              </w:rPr>
              <w:t>.</w:t>
            </w:r>
            <w:r w:rsidRPr="0010015F">
              <w:rPr>
                <w:rFonts w:eastAsia="GHEA Grapalat" w:cs="GHEA Grapalat"/>
                <w:lang w:val="hy-AM"/>
              </w:rPr>
              <w:t xml:space="preserve"> համար ենթադրվել է ՀՀ գործընկեր երկրներում տնտեսական աճերի միջինում 5.8</w:t>
            </w:r>
            <w:r w:rsidRPr="00216BEF">
              <w:rPr>
                <w:rFonts w:eastAsia="GHEA Grapalat" w:cs="GHEA Grapalat"/>
                <w:lang w:val="hy-AM"/>
              </w:rPr>
              <w:t xml:space="preserve"> տոկոսային</w:t>
            </w:r>
            <w:r w:rsidRPr="0010015F">
              <w:rPr>
                <w:rFonts w:eastAsia="GHEA Grapalat" w:cs="GHEA Grapalat"/>
                <w:lang w:val="hy-AM"/>
              </w:rPr>
              <w:t xml:space="preserve"> կետ դանդաղում, ամենամեծ անկումն ենթադրվել է 2020թ. երկրորդ եռամսյակում և վերականգնում՝ սկսած երրորդ եռամսյակից, դրամական փոխանցումների շուրջ 23% կրճատում, առևտրային պայմանների վատթարացում (1.3</w:t>
            </w:r>
            <w:r w:rsidRPr="00216BEF">
              <w:rPr>
                <w:rFonts w:eastAsia="GHEA Grapalat" w:cs="GHEA Grapalat"/>
                <w:lang w:val="hy-AM"/>
              </w:rPr>
              <w:t xml:space="preserve"> տոկոսային</w:t>
            </w:r>
            <w:r w:rsidRPr="0010015F">
              <w:rPr>
                <w:rFonts w:eastAsia="GHEA Grapalat" w:cs="GHEA Grapalat"/>
                <w:lang w:val="hy-AM"/>
              </w:rPr>
              <w:t xml:space="preserve"> կետ) և երկրի ռիսկ պրեմիայի (0.8</w:t>
            </w:r>
            <w:r w:rsidRPr="00216BEF">
              <w:rPr>
                <w:rFonts w:eastAsia="GHEA Grapalat" w:cs="GHEA Grapalat"/>
                <w:lang w:val="hy-AM"/>
              </w:rPr>
              <w:t xml:space="preserve"> տոկոսային</w:t>
            </w:r>
            <w:r w:rsidRPr="0010015F">
              <w:rPr>
                <w:rFonts w:eastAsia="GHEA Grapalat" w:cs="GHEA Grapalat"/>
                <w:lang w:val="hy-AM"/>
              </w:rPr>
              <w:t xml:space="preserve"> կետ)  բարձրացում:</w:t>
            </w:r>
            <w:r w:rsidRPr="00846A59">
              <w:rPr>
                <w:rFonts w:eastAsia="GHEA Grapalat" w:cs="GHEA Grapalat"/>
                <w:lang w:val="hy-AM"/>
              </w:rPr>
              <w:t xml:space="preserve"> </w:t>
            </w:r>
          </w:p>
          <w:p w14:paraId="57264591" w14:textId="77777777" w:rsidR="00EA45BA" w:rsidRPr="00846A59" w:rsidRDefault="00EA45BA" w:rsidP="00A0704D">
            <w:pPr>
              <w:spacing w:line="276" w:lineRule="auto"/>
              <w:ind w:right="630" w:firstLine="284"/>
              <w:contextualSpacing/>
              <w:rPr>
                <w:rFonts w:eastAsia="GHEA Grapalat" w:cs="GHEA Grapalat"/>
                <w:sz w:val="24"/>
                <w:szCs w:val="24"/>
                <w:lang w:val="hy-AM"/>
              </w:rPr>
            </w:pPr>
            <w:r w:rsidRPr="00846A59">
              <w:rPr>
                <w:rFonts w:eastAsia="GHEA Grapalat" w:cs="GHEA Grapalat"/>
                <w:lang w:val="hy-AM"/>
              </w:rPr>
              <w:t xml:space="preserve">Այսպիսով, արտաքին շոկերի ազդեցության արդյունքում նվազում է արտահանման պահանջարկը և կրճատվում դրամական փոխանցումների ներհոսքը: Արտահանման պահանջարկի նվազման հետևանքով կրճատվում են արտահանելի հատվածում արտադրության ծավալները և զբաղվածության </w:t>
            </w:r>
            <w:r w:rsidRPr="00846A59">
              <w:rPr>
                <w:rFonts w:eastAsia="GHEA Grapalat" w:cs="GHEA Grapalat"/>
                <w:lang w:val="hy-AM"/>
              </w:rPr>
              <w:lastRenderedPageBreak/>
              <w:t>մակարդակը՝ հանգեցնելով նաև ներքին պահանջարկի թուլացման: Դրամական փոխանցումների կրճատումը հանգեցնում է տնօրինվող եկամտի կրճատման, և հետևաբար՝ տնտեսությունում մասնավոր պահանջարկի նվազման: Ներքին և արտաքին պահանջարկի թուլացումը ստիպում է կրճատել ընդհանուր թողարկման ծավալները և ներդրումային ծախսերը: Արդյունքում տնտեսությունում առաջանում են միաժամանակ առաջարկի և պահանջարկի անկում, որն Էլ իր հերթին նվազեցնում է ինչպես ՀՆԱ փաստացի մակարդակը, այնպես էլ երկարաժամկետ ներուժային մակարդակը:</w:t>
            </w:r>
          </w:p>
          <w:p w14:paraId="7247B1CD" w14:textId="77777777" w:rsidR="00EA45BA" w:rsidRPr="00772498" w:rsidRDefault="00EA45BA" w:rsidP="00EA45BA">
            <w:pPr>
              <w:rPr>
                <w:rFonts w:cs="Sylfaen"/>
                <w:b/>
                <w:bCs/>
                <w:color w:val="1F497D" w:themeColor="text2"/>
                <w:lang w:val="hy-AM"/>
              </w:rPr>
            </w:pPr>
            <w:r w:rsidRPr="00772498">
              <w:rPr>
                <w:b/>
                <w:bCs/>
                <w:color w:val="1F497D" w:themeColor="text2"/>
                <w:lang w:val="hy-AM"/>
              </w:rPr>
              <w:t xml:space="preserve">1.5.3. </w:t>
            </w:r>
            <w:r w:rsidRPr="00772498">
              <w:rPr>
                <w:rFonts w:cs="Sylfaen"/>
                <w:b/>
                <w:bCs/>
                <w:color w:val="1F497D" w:themeColor="text2"/>
                <w:lang w:val="hy-AM"/>
              </w:rPr>
              <w:t>Հարկաբյուջետային</w:t>
            </w:r>
            <w:r w:rsidRPr="00772498">
              <w:rPr>
                <w:b/>
                <w:bCs/>
                <w:color w:val="1F497D" w:themeColor="text2"/>
                <w:lang w:val="hy-AM"/>
              </w:rPr>
              <w:t xml:space="preserve"> </w:t>
            </w:r>
            <w:r w:rsidRPr="00772498">
              <w:rPr>
                <w:rFonts w:cs="Sylfaen"/>
                <w:b/>
                <w:bCs/>
                <w:color w:val="1F497D" w:themeColor="text2"/>
                <w:lang w:val="hy-AM"/>
              </w:rPr>
              <w:t>շոկերի</w:t>
            </w:r>
            <w:r w:rsidRPr="00772498">
              <w:rPr>
                <w:b/>
                <w:bCs/>
                <w:color w:val="1F497D" w:themeColor="text2"/>
                <w:lang w:val="hy-AM"/>
              </w:rPr>
              <w:t xml:space="preserve"> </w:t>
            </w:r>
            <w:r w:rsidRPr="00772498">
              <w:rPr>
                <w:rFonts w:cs="Sylfaen"/>
                <w:b/>
                <w:bCs/>
                <w:color w:val="1F497D" w:themeColor="text2"/>
                <w:lang w:val="hy-AM"/>
              </w:rPr>
              <w:t>ազդեցությունը</w:t>
            </w:r>
          </w:p>
          <w:p w14:paraId="437CF56A" w14:textId="3397B2C8" w:rsidR="00EA45BA" w:rsidRPr="003A58A3" w:rsidRDefault="00EA45BA" w:rsidP="00A0704D">
            <w:pPr>
              <w:spacing w:line="276" w:lineRule="auto"/>
              <w:ind w:right="630" w:firstLine="720"/>
              <w:rPr>
                <w:rFonts w:eastAsia="GHEA Grapalat" w:cs="GHEA Grapalat"/>
                <w:lang w:val="hy-AM"/>
              </w:rPr>
            </w:pPr>
            <w:r w:rsidRPr="003A58A3">
              <w:rPr>
                <w:rFonts w:eastAsia="GHEA Grapalat" w:cs="GHEA Grapalat"/>
                <w:lang w:val="hy-AM"/>
              </w:rPr>
              <w:t>Կորոնավիրուսի ազդեցությունների մեղմ</w:t>
            </w:r>
            <w:r w:rsidR="007724F4">
              <w:rPr>
                <w:rFonts w:eastAsia="GHEA Grapalat" w:cs="GHEA Grapalat"/>
                <w:lang w:val="hy-AM"/>
              </w:rPr>
              <w:t>մ</w:t>
            </w:r>
            <w:r w:rsidRPr="003A58A3">
              <w:rPr>
                <w:rFonts w:eastAsia="GHEA Grapalat" w:cs="GHEA Grapalat"/>
                <w:lang w:val="hy-AM"/>
              </w:rPr>
              <w:t>անն ուղղված հարկաբյուջետային քաղաքականության (ՀՀ կառավարության աջակցության փաթեթներ) արձագանքը պարունակում է սոցիալական և տնտեսական աջակցության, ինչպես նաև մասնավոր ներդրումների խթանմանն ուղղված միջոցառումներ՝ 150 մլրդ դրամ ընդհանուր ծավալով</w:t>
            </w:r>
            <w:r w:rsidRPr="001A06BE">
              <w:rPr>
                <w:rFonts w:eastAsia="GHEA Grapalat" w:cs="GHEA Grapalat"/>
                <w:lang w:val="hy-AM"/>
              </w:rPr>
              <w:t>:</w:t>
            </w:r>
          </w:p>
          <w:p w14:paraId="2BDFCBBC" w14:textId="5DB272AE" w:rsidR="00EA45BA" w:rsidRDefault="00EA45BA" w:rsidP="00A0704D">
            <w:pPr>
              <w:spacing w:line="276" w:lineRule="auto"/>
              <w:ind w:right="630"/>
              <w:rPr>
                <w:rStyle w:val="IntenseEmphasis"/>
                <w:rFonts w:cs="Sylfaen"/>
                <w:b w:val="0"/>
                <w:color w:val="000000" w:themeColor="text1"/>
                <w:sz w:val="20"/>
                <w:szCs w:val="20"/>
                <w:lang w:val="hy-AM"/>
              </w:rPr>
            </w:pPr>
            <w:r w:rsidRPr="00F330A0">
              <w:rPr>
                <w:rStyle w:val="IntenseEmphasis"/>
                <w:rFonts w:cs="Sylfaen"/>
                <w:color w:val="000000" w:themeColor="text1"/>
                <w:lang w:val="hy-AM"/>
              </w:rPr>
              <w:t xml:space="preserve">Աղյուսակ 1.3. </w:t>
            </w:r>
            <w:r w:rsidRPr="00F330A0">
              <w:rPr>
                <w:rStyle w:val="IntenseEmphasis"/>
                <w:rFonts w:cs="Sylfaen"/>
                <w:b w:val="0"/>
                <w:color w:val="000000" w:themeColor="text1"/>
                <w:sz w:val="20"/>
                <w:szCs w:val="20"/>
                <w:lang w:val="hy-AM"/>
              </w:rPr>
              <w:t>Կորոնավիրուսի ազդեցությունների մեղմ</w:t>
            </w:r>
            <w:r w:rsidR="007724F4">
              <w:rPr>
                <w:rStyle w:val="IntenseEmphasis"/>
                <w:rFonts w:cs="Sylfaen"/>
                <w:b w:val="0"/>
                <w:color w:val="000000" w:themeColor="text1"/>
                <w:sz w:val="20"/>
                <w:szCs w:val="20"/>
                <w:lang w:val="hy-AM"/>
              </w:rPr>
              <w:t>մ</w:t>
            </w:r>
            <w:r w:rsidRPr="00F330A0">
              <w:rPr>
                <w:rStyle w:val="IntenseEmphasis"/>
                <w:rFonts w:cs="Sylfaen"/>
                <w:b w:val="0"/>
                <w:color w:val="000000" w:themeColor="text1"/>
                <w:sz w:val="20"/>
                <w:szCs w:val="20"/>
                <w:lang w:val="hy-AM"/>
              </w:rPr>
              <w:t>անն ուղղված միջոցառումների հիմնական ուղղությունները</w:t>
            </w:r>
          </w:p>
          <w:tbl>
            <w:tblPr>
              <w:tblStyle w:val="GridTable1Light-Accent51"/>
              <w:tblW w:w="0" w:type="auto"/>
              <w:tblLook w:val="04A0" w:firstRow="1" w:lastRow="0" w:firstColumn="1" w:lastColumn="0" w:noHBand="0" w:noVBand="1"/>
            </w:tblPr>
            <w:tblGrid>
              <w:gridCol w:w="1908"/>
              <w:gridCol w:w="3001"/>
              <w:gridCol w:w="11"/>
              <w:gridCol w:w="2842"/>
              <w:gridCol w:w="2570"/>
            </w:tblGrid>
            <w:tr w:rsidR="00EA45BA" w:rsidRPr="003A58A3" w14:paraId="1F6E3A35" w14:textId="77777777" w:rsidTr="001C57FF">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4920" w:type="dxa"/>
                  <w:gridSpan w:val="3"/>
                  <w:shd w:val="clear" w:color="auto" w:fill="4BACC6" w:themeFill="accent5"/>
                  <w:vAlign w:val="center"/>
                </w:tcPr>
                <w:p w14:paraId="4397B82C" w14:textId="77777777" w:rsidR="00EA45BA" w:rsidRPr="00A1468E" w:rsidRDefault="00EA45BA" w:rsidP="001C57FF">
                  <w:pPr>
                    <w:jc w:val="center"/>
                    <w:rPr>
                      <w:rFonts w:eastAsia="GHEA Grapalat" w:cs="GHEA Grapalat"/>
                      <w:color w:val="FFFFFF" w:themeColor="background1"/>
                      <w:sz w:val="18"/>
                      <w:szCs w:val="18"/>
                    </w:rPr>
                  </w:pPr>
                  <w:r w:rsidRPr="00A1468E">
                    <w:rPr>
                      <w:rFonts w:eastAsia="GHEA Grapalat" w:cs="GHEA Grapalat"/>
                      <w:color w:val="FFFFFF" w:themeColor="background1"/>
                      <w:sz w:val="18"/>
                      <w:szCs w:val="18"/>
                    </w:rPr>
                    <w:t>Օժանդակության ծրագրեր</w:t>
                  </w:r>
                </w:p>
              </w:tc>
              <w:tc>
                <w:tcPr>
                  <w:tcW w:w="2842" w:type="dxa"/>
                  <w:shd w:val="clear" w:color="auto" w:fill="4BACC6" w:themeFill="accent5"/>
                  <w:vAlign w:val="center"/>
                </w:tcPr>
                <w:p w14:paraId="2E8157C3" w14:textId="77777777" w:rsidR="00EA45BA" w:rsidRPr="00A1468E" w:rsidRDefault="00EA45BA" w:rsidP="001C57FF">
                  <w:pPr>
                    <w:jc w:val="center"/>
                    <w:cnfStyle w:val="100000000000" w:firstRow="1" w:lastRow="0" w:firstColumn="0" w:lastColumn="0" w:oddVBand="0" w:evenVBand="0" w:oddHBand="0" w:evenHBand="0" w:firstRowFirstColumn="0" w:firstRowLastColumn="0" w:lastRowFirstColumn="0" w:lastRowLastColumn="0"/>
                    <w:rPr>
                      <w:rFonts w:eastAsia="GHEA Grapalat" w:cs="GHEA Grapalat"/>
                      <w:color w:val="FFFFFF" w:themeColor="background1"/>
                      <w:sz w:val="18"/>
                      <w:szCs w:val="18"/>
                    </w:rPr>
                  </w:pPr>
                  <w:r w:rsidRPr="00A1468E">
                    <w:rPr>
                      <w:rFonts w:eastAsia="GHEA Grapalat" w:cs="GHEA Grapalat"/>
                      <w:color w:val="FFFFFF" w:themeColor="background1"/>
                      <w:sz w:val="18"/>
                      <w:szCs w:val="18"/>
                    </w:rPr>
                    <w:t>Հարկաբյուջետային ազդեցություններ</w:t>
                  </w:r>
                </w:p>
              </w:tc>
              <w:tc>
                <w:tcPr>
                  <w:tcW w:w="2570" w:type="dxa"/>
                  <w:shd w:val="clear" w:color="auto" w:fill="4BACC6" w:themeFill="accent5"/>
                  <w:vAlign w:val="center"/>
                </w:tcPr>
                <w:p w14:paraId="33109D45" w14:textId="77777777" w:rsidR="00EA45BA" w:rsidRPr="00A1468E" w:rsidRDefault="00EA45BA" w:rsidP="001C57FF">
                  <w:pPr>
                    <w:jc w:val="center"/>
                    <w:cnfStyle w:val="100000000000" w:firstRow="1" w:lastRow="0" w:firstColumn="0" w:lastColumn="0" w:oddVBand="0" w:evenVBand="0" w:oddHBand="0" w:evenHBand="0" w:firstRowFirstColumn="0" w:firstRowLastColumn="0" w:lastRowFirstColumn="0" w:lastRowLastColumn="0"/>
                    <w:rPr>
                      <w:rFonts w:eastAsia="GHEA Grapalat" w:cs="GHEA Grapalat"/>
                      <w:color w:val="FFFFFF" w:themeColor="background1"/>
                      <w:sz w:val="18"/>
                      <w:szCs w:val="18"/>
                    </w:rPr>
                  </w:pPr>
                  <w:r w:rsidRPr="00A1468E">
                    <w:rPr>
                      <w:rFonts w:eastAsia="GHEA Grapalat" w:cs="GHEA Grapalat"/>
                      <w:color w:val="FFFFFF" w:themeColor="background1"/>
                      <w:sz w:val="18"/>
                      <w:szCs w:val="18"/>
                    </w:rPr>
                    <w:t>Սպասվող արդյունքներ</w:t>
                  </w:r>
                </w:p>
              </w:tc>
            </w:tr>
            <w:tr w:rsidR="00EA45BA" w:rsidRPr="00A03AF2" w14:paraId="4E36FC69" w14:textId="77777777" w:rsidTr="001C57FF">
              <w:trPr>
                <w:trHeight w:val="458"/>
              </w:trPr>
              <w:tc>
                <w:tcPr>
                  <w:cnfStyle w:val="001000000000" w:firstRow="0" w:lastRow="0" w:firstColumn="1" w:lastColumn="0" w:oddVBand="0" w:evenVBand="0" w:oddHBand="0" w:evenHBand="0" w:firstRowFirstColumn="0" w:firstRowLastColumn="0" w:lastRowFirstColumn="0" w:lastRowLastColumn="0"/>
                  <w:tcW w:w="1908" w:type="dxa"/>
                  <w:vMerge w:val="restart"/>
                  <w:vAlign w:val="center"/>
                </w:tcPr>
                <w:p w14:paraId="62BBCA6F" w14:textId="77777777" w:rsidR="00EA45BA" w:rsidRPr="00A1468E" w:rsidRDefault="00EA45BA" w:rsidP="001C57FF">
                  <w:pPr>
                    <w:spacing w:line="240" w:lineRule="auto"/>
                    <w:rPr>
                      <w:rFonts w:eastAsia="GHEA Grapalat" w:cs="GHEA Grapalat"/>
                      <w:sz w:val="18"/>
                      <w:szCs w:val="18"/>
                    </w:rPr>
                  </w:pPr>
                  <w:r w:rsidRPr="008A0926">
                    <w:rPr>
                      <w:rFonts w:eastAsia="GHEA Grapalat" w:cs="GHEA Grapalat"/>
                      <w:sz w:val="18"/>
                      <w:szCs w:val="18"/>
                    </w:rPr>
                    <w:t>Տնտեսական աջակցության ծրագրեր</w:t>
                  </w:r>
                </w:p>
              </w:tc>
              <w:tc>
                <w:tcPr>
                  <w:tcW w:w="3001" w:type="dxa"/>
                  <w:vAlign w:val="center"/>
                </w:tcPr>
                <w:p w14:paraId="5951F397" w14:textId="77777777" w:rsidR="00EA45BA" w:rsidRPr="00A1468E" w:rsidRDefault="00EA45BA" w:rsidP="001C57FF">
                  <w:pPr>
                    <w:spacing w:line="240" w:lineRule="auto"/>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r w:rsidRPr="00A1468E">
                    <w:rPr>
                      <w:rFonts w:eastAsia="GHEA Grapalat" w:cs="GHEA Grapalat"/>
                      <w:sz w:val="18"/>
                      <w:szCs w:val="18"/>
                    </w:rPr>
                    <w:t>15 մլրդ դրամ ծավալով սուբսիդավորման ծրագրեր</w:t>
                  </w:r>
                </w:p>
              </w:tc>
              <w:tc>
                <w:tcPr>
                  <w:tcW w:w="2853" w:type="dxa"/>
                  <w:gridSpan w:val="2"/>
                  <w:vAlign w:val="center"/>
                </w:tcPr>
                <w:p w14:paraId="37FADDF1" w14:textId="77777777" w:rsidR="00EA45BA" w:rsidRPr="00A1468E" w:rsidRDefault="00EA45BA" w:rsidP="001C57F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r w:rsidRPr="00A1468E">
                    <w:rPr>
                      <w:rFonts w:eastAsia="GHEA Grapalat" w:cs="GHEA Grapalat"/>
                      <w:sz w:val="18"/>
                      <w:szCs w:val="18"/>
                    </w:rPr>
                    <w:t>Ընթացիկ ծախսերի աճ</w:t>
                  </w:r>
                </w:p>
              </w:tc>
              <w:tc>
                <w:tcPr>
                  <w:tcW w:w="2570" w:type="dxa"/>
                  <w:vMerge w:val="restart"/>
                  <w:vAlign w:val="center"/>
                </w:tcPr>
                <w:p w14:paraId="2E214A95" w14:textId="77777777" w:rsidR="00EA45BA" w:rsidRPr="00A1468E" w:rsidRDefault="00EA45BA" w:rsidP="001C57FF">
                  <w:pPr>
                    <w:spacing w:line="240" w:lineRule="auto"/>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r w:rsidRPr="00A1468E">
                    <w:rPr>
                      <w:rFonts w:eastAsia="GHEA Grapalat" w:cs="GHEA Grapalat"/>
                      <w:sz w:val="18"/>
                      <w:szCs w:val="18"/>
                    </w:rPr>
                    <w:t>Ամբողջական պահանջարկի խթանում և մասնավոր հատվածի իրացվելիության խնդիրների մեղմում</w:t>
                  </w:r>
                </w:p>
              </w:tc>
            </w:tr>
            <w:tr w:rsidR="00EA45BA" w:rsidRPr="00A03AF2" w14:paraId="385DA705" w14:textId="77777777" w:rsidTr="001C57FF">
              <w:trPr>
                <w:trHeight w:val="753"/>
              </w:trPr>
              <w:tc>
                <w:tcPr>
                  <w:cnfStyle w:val="001000000000" w:firstRow="0" w:lastRow="0" w:firstColumn="1" w:lastColumn="0" w:oddVBand="0" w:evenVBand="0" w:oddHBand="0" w:evenHBand="0" w:firstRowFirstColumn="0" w:firstRowLastColumn="0" w:lastRowFirstColumn="0" w:lastRowLastColumn="0"/>
                  <w:tcW w:w="1908" w:type="dxa"/>
                  <w:vMerge/>
                  <w:vAlign w:val="center"/>
                </w:tcPr>
                <w:p w14:paraId="2E7E3085" w14:textId="77777777" w:rsidR="00EA45BA" w:rsidRPr="00A1468E" w:rsidRDefault="00EA45BA" w:rsidP="001C57FF">
                  <w:pPr>
                    <w:spacing w:line="240" w:lineRule="auto"/>
                    <w:rPr>
                      <w:rFonts w:eastAsia="GHEA Grapalat" w:cs="GHEA Grapalat"/>
                      <w:sz w:val="18"/>
                      <w:szCs w:val="18"/>
                    </w:rPr>
                  </w:pPr>
                </w:p>
              </w:tc>
              <w:tc>
                <w:tcPr>
                  <w:tcW w:w="3001" w:type="dxa"/>
                  <w:vAlign w:val="center"/>
                </w:tcPr>
                <w:p w14:paraId="3A183921" w14:textId="77777777" w:rsidR="00EA45BA" w:rsidRPr="00A1468E" w:rsidRDefault="00EA45BA" w:rsidP="00AA1DD6">
                  <w:pPr>
                    <w:spacing w:line="240" w:lineRule="auto"/>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r w:rsidRPr="00A1468E">
                    <w:rPr>
                      <w:rFonts w:eastAsia="GHEA Grapalat" w:cs="GHEA Grapalat"/>
                      <w:sz w:val="18"/>
                      <w:szCs w:val="18"/>
                    </w:rPr>
                    <w:t>10 մլրդ դրամ ծավալով համաֆինանսավորման և վերաֆինանսավորման ծրագրեր</w:t>
                  </w:r>
                </w:p>
              </w:tc>
              <w:tc>
                <w:tcPr>
                  <w:tcW w:w="2853" w:type="dxa"/>
                  <w:gridSpan w:val="2"/>
                  <w:vAlign w:val="center"/>
                </w:tcPr>
                <w:p w14:paraId="4E548685" w14:textId="77777777" w:rsidR="00EA45BA" w:rsidRPr="00A1468E" w:rsidRDefault="00EA45BA" w:rsidP="001C57F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r w:rsidRPr="00A1468E">
                    <w:rPr>
                      <w:rFonts w:eastAsia="GHEA Grapalat" w:cs="GHEA Grapalat"/>
                      <w:sz w:val="18"/>
                      <w:szCs w:val="18"/>
                    </w:rPr>
                    <w:t>Պետական վարկավորման աճ (պակասուրդի գործառնություններ)</w:t>
                  </w:r>
                </w:p>
              </w:tc>
              <w:tc>
                <w:tcPr>
                  <w:tcW w:w="2570" w:type="dxa"/>
                  <w:vMerge/>
                </w:tcPr>
                <w:p w14:paraId="1BB98CDC" w14:textId="77777777" w:rsidR="00EA45BA" w:rsidRPr="00A1468E" w:rsidRDefault="00EA45BA" w:rsidP="001C57FF">
                  <w:pPr>
                    <w:spacing w:line="240" w:lineRule="auto"/>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p>
              </w:tc>
            </w:tr>
            <w:tr w:rsidR="00EA45BA" w:rsidRPr="003A58A3" w14:paraId="630FC8A2" w14:textId="77777777" w:rsidTr="001C57FF">
              <w:trPr>
                <w:trHeight w:val="182"/>
              </w:trPr>
              <w:tc>
                <w:tcPr>
                  <w:cnfStyle w:val="001000000000" w:firstRow="0" w:lastRow="0" w:firstColumn="1" w:lastColumn="0" w:oddVBand="0" w:evenVBand="0" w:oddHBand="0" w:evenHBand="0" w:firstRowFirstColumn="0" w:firstRowLastColumn="0" w:lastRowFirstColumn="0" w:lastRowLastColumn="0"/>
                  <w:tcW w:w="4920" w:type="dxa"/>
                  <w:gridSpan w:val="3"/>
                  <w:vAlign w:val="center"/>
                </w:tcPr>
                <w:p w14:paraId="7BDD2F26" w14:textId="77777777" w:rsidR="00EA45BA" w:rsidRPr="00A1468E" w:rsidRDefault="00EA45BA" w:rsidP="001C57FF">
                  <w:pPr>
                    <w:spacing w:line="240" w:lineRule="auto"/>
                    <w:rPr>
                      <w:rFonts w:eastAsia="GHEA Grapalat" w:cs="GHEA Grapalat"/>
                      <w:sz w:val="18"/>
                      <w:szCs w:val="18"/>
                    </w:rPr>
                  </w:pPr>
                  <w:r w:rsidRPr="00A1468E">
                    <w:rPr>
                      <w:rFonts w:eastAsia="GHEA Grapalat" w:cs="GHEA Grapalat"/>
                      <w:sz w:val="18"/>
                      <w:szCs w:val="18"/>
                    </w:rPr>
                    <w:t>25 մլրդ դրամ սոցիալական աջակցության ծրագրեր</w:t>
                  </w:r>
                </w:p>
              </w:tc>
              <w:tc>
                <w:tcPr>
                  <w:tcW w:w="2842" w:type="dxa"/>
                  <w:vAlign w:val="center"/>
                </w:tcPr>
                <w:p w14:paraId="6F66B7D1" w14:textId="77777777" w:rsidR="00EA45BA" w:rsidRPr="00A1468E" w:rsidRDefault="00EA45BA" w:rsidP="001C57F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r w:rsidRPr="00A1468E">
                    <w:rPr>
                      <w:rFonts w:eastAsia="GHEA Grapalat" w:cs="GHEA Grapalat"/>
                      <w:sz w:val="18"/>
                      <w:szCs w:val="18"/>
                    </w:rPr>
                    <w:t>Ընթացիկ ծախսերի աճ</w:t>
                  </w:r>
                </w:p>
              </w:tc>
              <w:tc>
                <w:tcPr>
                  <w:tcW w:w="2570" w:type="dxa"/>
                  <w:vMerge/>
                </w:tcPr>
                <w:p w14:paraId="52A6C63C" w14:textId="77777777" w:rsidR="00EA45BA" w:rsidRPr="00A1468E" w:rsidRDefault="00EA45BA" w:rsidP="001C57FF">
                  <w:pPr>
                    <w:spacing w:line="240" w:lineRule="auto"/>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p>
              </w:tc>
            </w:tr>
            <w:tr w:rsidR="00EA45BA" w:rsidRPr="003A58A3" w14:paraId="2FBDC467" w14:textId="77777777" w:rsidTr="001C57FF">
              <w:trPr>
                <w:trHeight w:val="374"/>
              </w:trPr>
              <w:tc>
                <w:tcPr>
                  <w:cnfStyle w:val="001000000000" w:firstRow="0" w:lastRow="0" w:firstColumn="1" w:lastColumn="0" w:oddVBand="0" w:evenVBand="0" w:oddHBand="0" w:evenHBand="0" w:firstRowFirstColumn="0" w:firstRowLastColumn="0" w:lastRowFirstColumn="0" w:lastRowLastColumn="0"/>
                  <w:tcW w:w="4920" w:type="dxa"/>
                  <w:gridSpan w:val="3"/>
                  <w:vAlign w:val="center"/>
                </w:tcPr>
                <w:p w14:paraId="6F90CAB6" w14:textId="77777777" w:rsidR="00EA45BA" w:rsidRPr="00A1468E" w:rsidRDefault="00EA45BA" w:rsidP="001C57FF">
                  <w:pPr>
                    <w:spacing w:line="240" w:lineRule="auto"/>
                    <w:rPr>
                      <w:rFonts w:eastAsia="GHEA Grapalat" w:cs="GHEA Grapalat"/>
                      <w:sz w:val="18"/>
                      <w:szCs w:val="18"/>
                    </w:rPr>
                  </w:pPr>
                  <w:r w:rsidRPr="00A1468E">
                    <w:rPr>
                      <w:rFonts w:eastAsia="GHEA Grapalat" w:cs="GHEA Grapalat"/>
                      <w:sz w:val="18"/>
                      <w:szCs w:val="18"/>
                    </w:rPr>
                    <w:t>20 մլրդ դրամ պահուստային գումարներ՝ հնարավոր վերաբաշխումների համար</w:t>
                  </w:r>
                </w:p>
              </w:tc>
              <w:tc>
                <w:tcPr>
                  <w:tcW w:w="2842" w:type="dxa"/>
                  <w:vAlign w:val="center"/>
                </w:tcPr>
                <w:p w14:paraId="20BD9C7C" w14:textId="77777777" w:rsidR="00EA45BA" w:rsidRPr="00A1468E" w:rsidRDefault="00EA45BA" w:rsidP="001C57F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r w:rsidRPr="00A1468E">
                    <w:rPr>
                      <w:rFonts w:eastAsia="GHEA Grapalat" w:cs="GHEA Grapalat"/>
                      <w:sz w:val="18"/>
                      <w:szCs w:val="18"/>
                    </w:rPr>
                    <w:t>Ընթացիկ ծախսերի աճ</w:t>
                  </w:r>
                </w:p>
              </w:tc>
              <w:tc>
                <w:tcPr>
                  <w:tcW w:w="2570" w:type="dxa"/>
                  <w:vMerge/>
                </w:tcPr>
                <w:p w14:paraId="2528F7F9" w14:textId="77777777" w:rsidR="00EA45BA" w:rsidRPr="00A1468E" w:rsidRDefault="00EA45BA" w:rsidP="001C57FF">
                  <w:pPr>
                    <w:spacing w:line="240" w:lineRule="auto"/>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p>
              </w:tc>
            </w:tr>
            <w:tr w:rsidR="00EA45BA" w:rsidRPr="00A03AF2" w14:paraId="134CC2D5" w14:textId="77777777" w:rsidTr="001C57FF">
              <w:trPr>
                <w:trHeight w:val="556"/>
              </w:trPr>
              <w:tc>
                <w:tcPr>
                  <w:cnfStyle w:val="001000000000" w:firstRow="0" w:lastRow="0" w:firstColumn="1" w:lastColumn="0" w:oddVBand="0" w:evenVBand="0" w:oddHBand="0" w:evenHBand="0" w:firstRowFirstColumn="0" w:firstRowLastColumn="0" w:lastRowFirstColumn="0" w:lastRowLastColumn="0"/>
                  <w:tcW w:w="4920" w:type="dxa"/>
                  <w:gridSpan w:val="3"/>
                  <w:vAlign w:val="center"/>
                </w:tcPr>
                <w:p w14:paraId="1E247F0F" w14:textId="77777777" w:rsidR="00EA45BA" w:rsidRPr="00A1468E" w:rsidRDefault="00EA45BA" w:rsidP="001C57FF">
                  <w:pPr>
                    <w:spacing w:line="240" w:lineRule="auto"/>
                    <w:rPr>
                      <w:rFonts w:eastAsia="GHEA Grapalat" w:cs="GHEA Grapalat"/>
                      <w:sz w:val="18"/>
                      <w:szCs w:val="18"/>
                    </w:rPr>
                  </w:pPr>
                  <w:r w:rsidRPr="00A1468E">
                    <w:rPr>
                      <w:rFonts w:eastAsia="GHEA Grapalat" w:cs="GHEA Grapalat"/>
                      <w:sz w:val="18"/>
                      <w:szCs w:val="18"/>
                    </w:rPr>
                    <w:t>80 մլրդ դրամ մասնավոր ներդրումների խթանման ծրագրեր</w:t>
                  </w:r>
                </w:p>
              </w:tc>
              <w:tc>
                <w:tcPr>
                  <w:tcW w:w="2842" w:type="dxa"/>
                  <w:vAlign w:val="center"/>
                </w:tcPr>
                <w:p w14:paraId="792B1B8B" w14:textId="77777777" w:rsidR="00EA45BA" w:rsidRPr="00A1468E" w:rsidRDefault="00EA45BA" w:rsidP="001C57F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r w:rsidRPr="00A1468E">
                    <w:rPr>
                      <w:rFonts w:eastAsia="GHEA Grapalat" w:cs="GHEA Grapalat"/>
                      <w:sz w:val="18"/>
                      <w:szCs w:val="18"/>
                    </w:rPr>
                    <w:t>Պետական վարկավորման աճ (պակասուրդի գործառնություններ)</w:t>
                  </w:r>
                </w:p>
              </w:tc>
              <w:tc>
                <w:tcPr>
                  <w:tcW w:w="2570" w:type="dxa"/>
                  <w:vAlign w:val="center"/>
                </w:tcPr>
                <w:p w14:paraId="05CC8D13" w14:textId="77777777" w:rsidR="00EA45BA" w:rsidRPr="00A1468E" w:rsidRDefault="00EA45BA" w:rsidP="001C57FF">
                  <w:pPr>
                    <w:spacing w:line="240" w:lineRule="auto"/>
                    <w:cnfStyle w:val="000000000000" w:firstRow="0" w:lastRow="0" w:firstColumn="0" w:lastColumn="0" w:oddVBand="0" w:evenVBand="0" w:oddHBand="0" w:evenHBand="0" w:firstRowFirstColumn="0" w:firstRowLastColumn="0" w:lastRowFirstColumn="0" w:lastRowLastColumn="0"/>
                    <w:rPr>
                      <w:rFonts w:eastAsia="GHEA Grapalat" w:cs="GHEA Grapalat"/>
                      <w:sz w:val="18"/>
                      <w:szCs w:val="18"/>
                    </w:rPr>
                  </w:pPr>
                  <w:r w:rsidRPr="00A1468E">
                    <w:rPr>
                      <w:rFonts w:eastAsia="GHEA Grapalat" w:cs="GHEA Grapalat"/>
                      <w:sz w:val="18"/>
                      <w:szCs w:val="18"/>
                    </w:rPr>
                    <w:t>Մասնավոր ներդրումների աճ</w:t>
                  </w:r>
                </w:p>
              </w:tc>
            </w:tr>
          </w:tbl>
          <w:p w14:paraId="02DB3050" w14:textId="77777777" w:rsidR="00EA45BA" w:rsidRPr="007B23EF" w:rsidRDefault="00EA45BA" w:rsidP="001C57FF">
            <w:pPr>
              <w:spacing w:line="276" w:lineRule="auto"/>
              <w:rPr>
                <w:rStyle w:val="IntenseEmphasis"/>
                <w:rFonts w:cs="Sylfaen"/>
                <w:lang w:val="hy-AM"/>
              </w:rPr>
            </w:pPr>
          </w:p>
          <w:p w14:paraId="2DD912C1" w14:textId="77777777" w:rsidR="00EA45BA" w:rsidRDefault="00EA45BA" w:rsidP="00A0704D">
            <w:pPr>
              <w:spacing w:line="276" w:lineRule="auto"/>
              <w:ind w:right="540" w:firstLine="284"/>
              <w:rPr>
                <w:rFonts w:eastAsia="GHEA Grapalat" w:cs="GHEA Grapalat"/>
                <w:lang w:val="hy-AM"/>
              </w:rPr>
            </w:pPr>
            <w:r w:rsidRPr="00C26481">
              <w:rPr>
                <w:rFonts w:eastAsia="GHEA Grapalat" w:cs="GHEA Grapalat"/>
                <w:lang w:val="hy-AM"/>
              </w:rPr>
              <w:t>Վերոնշյալ միջոցառումների իրականացումը նպաստ</w:t>
            </w:r>
            <w:r>
              <w:rPr>
                <w:rFonts w:eastAsia="GHEA Grapalat" w:cs="GHEA Grapalat"/>
                <w:lang w:val="hy-AM"/>
              </w:rPr>
              <w:t>ում է</w:t>
            </w:r>
            <w:r w:rsidRPr="00C26481">
              <w:rPr>
                <w:rFonts w:eastAsia="GHEA Grapalat" w:cs="GHEA Grapalat"/>
                <w:lang w:val="hy-AM"/>
              </w:rPr>
              <w:t xml:space="preserve"> մասնավոր սպառման և ներդրումների վերականգնմանը, ինչի արդյունքում զբաղվածության և իրական աշխատավարձի անկումը </w:t>
            </w:r>
            <w:r>
              <w:rPr>
                <w:rFonts w:eastAsia="GHEA Grapalat" w:cs="GHEA Grapalat"/>
                <w:lang w:val="hy-AM"/>
              </w:rPr>
              <w:t xml:space="preserve">լինում է </w:t>
            </w:r>
            <w:r w:rsidRPr="00C26481">
              <w:rPr>
                <w:rFonts w:eastAsia="GHEA Grapalat" w:cs="GHEA Grapalat"/>
                <w:lang w:val="hy-AM"/>
              </w:rPr>
              <w:t xml:space="preserve">ավելի փոքր, տնտեսական աճի անկումը </w:t>
            </w:r>
            <w:r>
              <w:rPr>
                <w:rFonts w:eastAsia="GHEA Grapalat" w:cs="GHEA Grapalat"/>
                <w:lang w:val="hy-AM"/>
              </w:rPr>
              <w:t>մեղմվում է</w:t>
            </w:r>
            <w:r w:rsidRPr="00C26481">
              <w:rPr>
                <w:rFonts w:eastAsia="GHEA Grapalat" w:cs="GHEA Grapalat"/>
                <w:lang w:val="hy-AM"/>
              </w:rPr>
              <w:t xml:space="preserve"> մոտ 2.6 տոկոսային կետով և տնտեսության վերականգնումը </w:t>
            </w:r>
            <w:r>
              <w:rPr>
                <w:rFonts w:eastAsia="GHEA Grapalat" w:cs="GHEA Grapalat"/>
                <w:lang w:val="hy-AM"/>
              </w:rPr>
              <w:t>տեղի է ունենում</w:t>
            </w:r>
            <w:r w:rsidRPr="00C26481">
              <w:rPr>
                <w:rFonts w:eastAsia="GHEA Grapalat" w:cs="GHEA Grapalat"/>
                <w:lang w:val="hy-AM"/>
              </w:rPr>
              <w:t xml:space="preserve"> ավելի արագ:</w:t>
            </w:r>
          </w:p>
          <w:p w14:paraId="7BB1379A" w14:textId="77777777" w:rsidR="003714CE" w:rsidRDefault="003714CE" w:rsidP="00A0704D">
            <w:pPr>
              <w:keepNext/>
              <w:keepLines/>
              <w:spacing w:before="0" w:after="120" w:line="240" w:lineRule="auto"/>
              <w:ind w:right="180"/>
              <w:jc w:val="left"/>
              <w:outlineLvl w:val="2"/>
              <w:rPr>
                <w:rFonts w:eastAsia="Times New Roman" w:cs="Times New Roman"/>
                <w:b/>
                <w:bCs/>
                <w:color w:val="4472C4"/>
                <w:sz w:val="28"/>
                <w:szCs w:val="28"/>
                <w:lang w:val="hy-AM"/>
              </w:rPr>
            </w:pPr>
            <w:bookmarkStart w:id="198" w:name="_Toc45705391"/>
            <w:bookmarkStart w:id="199" w:name="_Toc45810529"/>
            <w:bookmarkStart w:id="200" w:name="_Toc45838519"/>
          </w:p>
          <w:p w14:paraId="58AEF658" w14:textId="77777777" w:rsidR="00AE7D71" w:rsidRPr="00C17AB2" w:rsidRDefault="00772498" w:rsidP="00A0704D">
            <w:pPr>
              <w:pStyle w:val="Heading3"/>
              <w:numPr>
                <w:ilvl w:val="0"/>
                <w:numId w:val="0"/>
              </w:numPr>
              <w:ind w:right="180"/>
              <w:rPr>
                <w:rFonts w:eastAsia="Times New Roman" w:cs="Times New Roman"/>
                <w:caps w:val="0"/>
                <w:color w:val="1F497D" w:themeColor="text2"/>
                <w:sz w:val="28"/>
                <w:szCs w:val="28"/>
              </w:rPr>
            </w:pPr>
            <w:bookmarkStart w:id="201" w:name="_Toc46154348"/>
            <w:r w:rsidRPr="00C17AB2">
              <w:rPr>
                <w:rFonts w:eastAsia="Times New Roman" w:cs="Times New Roman"/>
                <w:caps w:val="0"/>
                <w:color w:val="1F497D" w:themeColor="text2"/>
                <w:sz w:val="28"/>
                <w:szCs w:val="28"/>
              </w:rPr>
              <w:t>1.6. ՄԱԿՐՈՏՆՏԵՍԱԿԱՆ ԿԱՆԽԱՏԵՍՈՒՄՆԵՐԻ ՌԻՍԿԵՐԸ</w:t>
            </w:r>
            <w:bookmarkEnd w:id="198"/>
            <w:bookmarkEnd w:id="199"/>
            <w:bookmarkEnd w:id="200"/>
            <w:bookmarkEnd w:id="201"/>
          </w:p>
          <w:p w14:paraId="4B2D8148" w14:textId="77777777" w:rsidR="00AE7D71" w:rsidRPr="00AE7D71" w:rsidRDefault="00AE7D71" w:rsidP="00A0704D">
            <w:pPr>
              <w:spacing w:before="0" w:after="120" w:line="276" w:lineRule="auto"/>
              <w:ind w:right="540" w:firstLine="360"/>
              <w:rPr>
                <w:rFonts w:eastAsia="Calibri" w:cs="Times New Roman"/>
                <w:lang w:val="hy-AM"/>
              </w:rPr>
            </w:pPr>
            <w:r w:rsidRPr="00AE7D71">
              <w:rPr>
                <w:rFonts w:eastAsia="Calibri" w:cs="Times New Roman"/>
                <w:lang w:val="es-ES"/>
              </w:rPr>
              <w:t>Կանխատեսման առկա ռիսկերը պայմանավորվում են ինչպես արտաքին, այնպես էլ ներքին տնտեսական գործոններով, որոնք կարող են հանգեցնել ինչպես տնտեսական աճի տեմպերի ավելացմանը, այնպես էլ նվազմանը՝ ներկայացված կենտրոնական</w:t>
            </w:r>
            <w:r w:rsidRPr="00AE7D71">
              <w:rPr>
                <w:rFonts w:eastAsia="Calibri" w:cs="Times New Roman"/>
                <w:lang w:val="hy-AM"/>
              </w:rPr>
              <w:t xml:space="preserve"> </w:t>
            </w:r>
            <w:r w:rsidRPr="00AE7D71">
              <w:rPr>
                <w:rFonts w:eastAsia="Calibri" w:cs="Times New Roman"/>
                <w:lang w:val="es-ES"/>
              </w:rPr>
              <w:t>կանխատեսումների համեմատ:</w:t>
            </w:r>
            <w:r w:rsidRPr="00AE7D71">
              <w:rPr>
                <w:rFonts w:eastAsia="Calibri" w:cs="Times New Roman"/>
                <w:lang w:val="hy-AM"/>
              </w:rPr>
              <w:t xml:space="preserve"> Ռիսկերի տեղի ունենալու դեպքում շեղումներ կարձանագրվեն սույն փաստաթղթի </w:t>
            </w:r>
            <w:r w:rsidRPr="00AE7D71">
              <w:rPr>
                <w:rFonts w:eastAsia="Calibri" w:cs="Times New Roman"/>
                <w:lang w:val="es-ES"/>
              </w:rPr>
              <w:t>1.4</w:t>
            </w:r>
            <w:r w:rsidRPr="00AE7D71">
              <w:rPr>
                <w:rFonts w:eastAsia="Calibri" w:cs="Times New Roman"/>
                <w:lang w:val="hy-AM"/>
              </w:rPr>
              <w:t xml:space="preserve"> բաժնում ներկայացված ենթադրություններից՝ հանգեցնելով մակրոտնտեսական </w:t>
            </w:r>
            <w:r w:rsidR="00595A2D" w:rsidRPr="0035033F">
              <w:rPr>
                <w:rFonts w:eastAsia="Calibri" w:cs="Times New Roman"/>
                <w:lang w:val="hy-AM"/>
              </w:rPr>
              <w:t xml:space="preserve">կանխատեսումներից </w:t>
            </w:r>
            <w:r w:rsidR="00595A2D" w:rsidRPr="0035033F">
              <w:rPr>
                <w:rFonts w:eastAsia="Calibri" w:cs="Times New Roman"/>
                <w:lang w:val="hy-AM"/>
              </w:rPr>
              <w:lastRenderedPageBreak/>
              <w:t>շեղումների և դրա</w:t>
            </w:r>
            <w:r w:rsidRPr="00AE7D71">
              <w:rPr>
                <w:rFonts w:eastAsia="Calibri"/>
                <w:lang w:val="hy-AM"/>
              </w:rPr>
              <w:t xml:space="preserve"> հետևանքով էլ հարկաբյուջետային շրջանակի ցուցանիշների շեղման այս ՄԺԾԾ շրջանակից։</w:t>
            </w:r>
          </w:p>
          <w:p w14:paraId="2BC595E7" w14:textId="77777777" w:rsidR="00AE7D71" w:rsidRPr="00AE7D71" w:rsidRDefault="00AE7D71" w:rsidP="00A0704D">
            <w:pPr>
              <w:spacing w:before="0" w:after="120" w:line="276" w:lineRule="auto"/>
              <w:ind w:right="540" w:firstLine="360"/>
              <w:rPr>
                <w:rFonts w:eastAsia="Calibri" w:cs="Sylfaen"/>
                <w:lang w:val="hy-AM"/>
              </w:rPr>
            </w:pPr>
            <w:r w:rsidRPr="00AE7D71">
              <w:rPr>
                <w:rFonts w:eastAsia="Calibri" w:cs="Times New Roman"/>
                <w:lang w:val="hy-AM"/>
              </w:rPr>
              <w:t>Պետք է նշել, որ համաշխարհային տնտեսության զարգացման ընթացքը մեծապես կախված է COVID-19 համավարակի հաղթահարմանն ուղղված առողջապահական միջոցառումներից։ Այս պայմաններում, անորոշության մեծ աստիճանից ելնելով՝ ինչպես աշխարհի և ՀՀ գործընկերների, այնպես էլ ՀՀ տնտեսական աճի կանխատեսումներում գերակշռում են դեպի ներքև ռիսկերը։</w:t>
            </w:r>
          </w:p>
          <w:p w14:paraId="5614843A" w14:textId="77777777" w:rsidR="00AE7D71" w:rsidRPr="00AE7D71" w:rsidRDefault="00AE7D71" w:rsidP="00A0704D">
            <w:pPr>
              <w:numPr>
                <w:ilvl w:val="0"/>
                <w:numId w:val="32"/>
              </w:numPr>
              <w:spacing w:before="0" w:after="120" w:line="276" w:lineRule="auto"/>
              <w:ind w:right="540"/>
              <w:contextualSpacing/>
              <w:jc w:val="left"/>
              <w:rPr>
                <w:rFonts w:ascii="Calibri" w:eastAsia="Calibri" w:hAnsi="Calibri" w:cs="Times New Roman"/>
                <w:sz w:val="24"/>
                <w:szCs w:val="24"/>
                <w:lang w:val="hy-AM"/>
              </w:rPr>
            </w:pPr>
            <w:r w:rsidRPr="00AE7D71">
              <w:rPr>
                <w:rFonts w:eastAsia="Calibri" w:cs="Sylfaen"/>
                <w:b/>
                <w:bCs/>
                <w:lang w:val="hy-AM"/>
              </w:rPr>
              <w:t>ՀՀ</w:t>
            </w:r>
            <w:r w:rsidRPr="00AE7D71">
              <w:rPr>
                <w:rFonts w:eastAsia="Calibri" w:cs="Times New Roman"/>
                <w:b/>
                <w:bCs/>
                <w:lang w:val="hy-AM"/>
              </w:rPr>
              <w:t xml:space="preserve"> </w:t>
            </w:r>
            <w:r w:rsidRPr="00AE7D71">
              <w:rPr>
                <w:rFonts w:eastAsia="Calibri" w:cs="Sylfaen"/>
                <w:b/>
                <w:bCs/>
                <w:lang w:val="hy-AM"/>
              </w:rPr>
              <w:t>տնտեսական</w:t>
            </w:r>
            <w:r w:rsidRPr="00AE7D71">
              <w:rPr>
                <w:rFonts w:eastAsia="Calibri" w:cs="Times New Roman"/>
                <w:b/>
                <w:bCs/>
                <w:lang w:val="hy-AM"/>
              </w:rPr>
              <w:t xml:space="preserve"> </w:t>
            </w:r>
            <w:r w:rsidRPr="00AE7D71">
              <w:rPr>
                <w:rFonts w:eastAsia="Calibri" w:cs="Sylfaen"/>
                <w:b/>
                <w:bCs/>
                <w:lang w:val="hy-AM"/>
              </w:rPr>
              <w:t>աճի</w:t>
            </w:r>
            <w:r w:rsidRPr="00AE7D71">
              <w:rPr>
                <w:rFonts w:eastAsia="Calibri" w:cs="Times New Roman"/>
                <w:b/>
                <w:bCs/>
                <w:lang w:val="hy-AM"/>
              </w:rPr>
              <w:t xml:space="preserve"> </w:t>
            </w:r>
            <w:r w:rsidRPr="00AE7D71">
              <w:rPr>
                <w:rFonts w:eastAsia="Calibri" w:cs="Sylfaen"/>
                <w:b/>
                <w:bCs/>
                <w:lang w:val="hy-AM"/>
              </w:rPr>
              <w:t>դեպի</w:t>
            </w:r>
            <w:r w:rsidRPr="00AE7D71">
              <w:rPr>
                <w:rFonts w:eastAsia="Calibri" w:cs="Times New Roman"/>
                <w:b/>
                <w:bCs/>
                <w:lang w:val="hy-AM"/>
              </w:rPr>
              <w:t xml:space="preserve"> </w:t>
            </w:r>
            <w:r w:rsidRPr="00AE7D71">
              <w:rPr>
                <w:rFonts w:eastAsia="Calibri" w:cs="Sylfaen"/>
                <w:b/>
                <w:bCs/>
                <w:lang w:val="hy-AM"/>
              </w:rPr>
              <w:t>ներքև</w:t>
            </w:r>
            <w:r w:rsidRPr="00AE7D71">
              <w:rPr>
                <w:rFonts w:eastAsia="Calibri" w:cs="Times New Roman"/>
                <w:b/>
                <w:bCs/>
                <w:lang w:val="hy-AM"/>
              </w:rPr>
              <w:t xml:space="preserve"> </w:t>
            </w:r>
            <w:r w:rsidRPr="00AE7D71">
              <w:rPr>
                <w:rFonts w:eastAsia="Calibri" w:cs="Sylfaen"/>
                <w:b/>
                <w:bCs/>
                <w:lang w:val="hy-AM"/>
              </w:rPr>
              <w:t>ուղղությամբ</w:t>
            </w:r>
            <w:r w:rsidRPr="00AE7D71">
              <w:rPr>
                <w:rFonts w:eastAsia="Calibri" w:cs="Times New Roman"/>
                <w:b/>
                <w:bCs/>
                <w:lang w:val="hy-AM"/>
              </w:rPr>
              <w:t xml:space="preserve"> </w:t>
            </w:r>
            <w:r w:rsidRPr="00AE7D71">
              <w:rPr>
                <w:rFonts w:eastAsia="Calibri" w:cs="Sylfaen"/>
                <w:b/>
                <w:bCs/>
                <w:lang w:val="hy-AM"/>
              </w:rPr>
              <w:t>ռիսկեր՝</w:t>
            </w:r>
          </w:p>
          <w:p w14:paraId="6C217F95" w14:textId="77777777" w:rsidR="00AE7D71" w:rsidRPr="00AE7D71" w:rsidRDefault="00AE7D71" w:rsidP="00A0704D">
            <w:pPr>
              <w:numPr>
                <w:ilvl w:val="0"/>
                <w:numId w:val="30"/>
              </w:numPr>
              <w:spacing w:before="0" w:after="120" w:line="276" w:lineRule="auto"/>
              <w:ind w:left="850" w:right="540" w:hanging="357"/>
              <w:contextualSpacing/>
              <w:rPr>
                <w:rFonts w:eastAsia="Calibri" w:cs="Sylfaen"/>
                <w:bCs/>
                <w:lang w:val="hy-AM"/>
              </w:rPr>
            </w:pPr>
            <w:r w:rsidRPr="00AE7D71">
              <w:rPr>
                <w:rFonts w:eastAsia="Calibri" w:cs="Sylfaen"/>
                <w:bCs/>
                <w:lang w:val="hy-AM"/>
              </w:rPr>
              <w:t>Արտաքին միջավայրից բխող դեպի ներքև ռիսկերը կապված են համաշխարհային տնտեսական ավելի խորը անկման և</w:t>
            </w:r>
            <w:r w:rsidRPr="00AE7D71">
              <w:rPr>
                <w:rFonts w:eastAsia="Calibri" w:cs="Sylfaen"/>
                <w:bCs/>
                <w:lang w:val="es-ES"/>
              </w:rPr>
              <w:t xml:space="preserve"> </w:t>
            </w:r>
            <w:r w:rsidRPr="00AE7D71">
              <w:rPr>
                <w:rFonts w:eastAsia="Calibri" w:cs="Sylfaen"/>
                <w:bCs/>
                <w:lang w:val="hy-AM"/>
              </w:rPr>
              <w:t>կորոնավիրուսի համավարակի երկրորդ ալիքի տարածման ու նոր հնարավոր սահմանափակումների կիրառման հետևանքով տնտեսական կորուստների, երկրների սահմանների բացման և փոխադրումների սահմանափակումների վերացման ընթացքի անորոշությունների, ինչպես</w:t>
            </w:r>
            <w:r w:rsidRPr="00AE7D71">
              <w:rPr>
                <w:rFonts w:eastAsia="Calibri" w:cs="Sylfaen"/>
                <w:bCs/>
                <w:lang w:val="es-ES"/>
              </w:rPr>
              <w:t xml:space="preserve"> </w:t>
            </w:r>
            <w:r w:rsidRPr="00AE7D71">
              <w:rPr>
                <w:rFonts w:eastAsia="Calibri" w:cs="Sylfaen"/>
                <w:bCs/>
                <w:lang w:val="hy-AM"/>
              </w:rPr>
              <w:t>նաև</w:t>
            </w:r>
            <w:r w:rsidRPr="00AE7D71">
              <w:rPr>
                <w:rFonts w:eastAsia="Calibri" w:cs="Sylfaen"/>
                <w:bCs/>
                <w:lang w:val="es-ES"/>
              </w:rPr>
              <w:t xml:space="preserve"> </w:t>
            </w:r>
            <w:r w:rsidRPr="00AE7D71">
              <w:rPr>
                <w:rFonts w:eastAsia="Calibri" w:cs="Sylfaen"/>
                <w:bCs/>
                <w:lang w:val="hy-AM"/>
              </w:rPr>
              <w:t xml:space="preserve">հումքային ապրանքների գների ավելի խորը անկման հետ։ Ընդ որում, ԱՄՀ արդեն հունիսի՝ այս փաստաթղթում նկարագրված համաշխարհային տնտեսական զարգացումների կանխատեսումները զգալիորեն վերանայվել են դեպի ներքև: </w:t>
            </w:r>
          </w:p>
          <w:p w14:paraId="5C286127" w14:textId="21E656C1" w:rsidR="00AE7D71" w:rsidRPr="00AE7D71" w:rsidRDefault="00AE7D71" w:rsidP="00A0704D">
            <w:pPr>
              <w:numPr>
                <w:ilvl w:val="0"/>
                <w:numId w:val="30"/>
              </w:numPr>
              <w:spacing w:before="0" w:after="120" w:line="276" w:lineRule="auto"/>
              <w:ind w:left="850" w:right="540" w:hanging="357"/>
              <w:rPr>
                <w:rFonts w:ascii="Calibri" w:eastAsia="Calibri" w:hAnsi="Calibri" w:cs="Sylfaen"/>
                <w:sz w:val="24"/>
                <w:szCs w:val="24"/>
                <w:lang w:val="it-IT"/>
              </w:rPr>
            </w:pPr>
            <w:r w:rsidRPr="00AE7D71">
              <w:rPr>
                <w:rFonts w:eastAsia="Calibri" w:cs="Sylfaen"/>
                <w:lang w:val="hy-AM"/>
              </w:rPr>
              <w:t>Ներքին միջավայրից բխող դեպի ներքև ռիսկերը կապված են ՀՀ-ում</w:t>
            </w:r>
            <w:r w:rsidRPr="00AE7D71">
              <w:rPr>
                <w:rFonts w:eastAsia="Calibri" w:cs="Sylfaen"/>
                <w:b/>
                <w:i/>
                <w:lang w:val="hy-AM"/>
              </w:rPr>
              <w:t xml:space="preserve"> </w:t>
            </w:r>
            <w:r w:rsidRPr="00AE7D71">
              <w:rPr>
                <w:rFonts w:eastAsia="Calibri" w:cs="Sylfaen"/>
                <w:lang w:val="hy-AM"/>
              </w:rPr>
              <w:t>կորոնավիրուսի համավարակի տարածման անորոշությունների, երկրորդ ալիքի հավանական ի հայտ գալու և նոր սահմանափակումների կիրառման հետևանքով հետագա տնտեսական կորուստների, ՀՀ կառավարության աջակցության փաթեթների (մասնավորապես ներդրումների խթանմանն ուղղված՝ 80</w:t>
            </w:r>
            <w:r w:rsidR="007724F4">
              <w:rPr>
                <w:rFonts w:eastAsia="Calibri" w:cs="Sylfaen"/>
                <w:lang w:val="hy-AM"/>
              </w:rPr>
              <w:t xml:space="preserve"> </w:t>
            </w:r>
            <w:r w:rsidRPr="00AE7D71">
              <w:rPr>
                <w:rFonts w:eastAsia="Calibri" w:cs="Sylfaen"/>
                <w:lang w:val="hy-AM"/>
              </w:rPr>
              <w:t>մլրդ դրամ ամենամեծ փաթեթի) ազդեցության ավելի դանդաղ դրսևորման, ՀՀ</w:t>
            </w:r>
            <w:r w:rsidRPr="00AE7D71">
              <w:rPr>
                <w:rFonts w:eastAsia="Calibri" w:cs="Sylfaen"/>
                <w:lang w:val="it-IT"/>
              </w:rPr>
              <w:t xml:space="preserve"> </w:t>
            </w:r>
            <w:r w:rsidRPr="00AE7D71">
              <w:rPr>
                <w:rFonts w:eastAsia="Calibri" w:cs="Sylfaen"/>
                <w:lang w:val="hy-AM"/>
              </w:rPr>
              <w:t>կառավարության կառուցվածքային</w:t>
            </w:r>
            <w:r w:rsidRPr="00AE7D71">
              <w:rPr>
                <w:rFonts w:eastAsia="Calibri" w:cs="Sylfaen"/>
                <w:lang w:val="it-IT"/>
              </w:rPr>
              <w:t xml:space="preserve"> </w:t>
            </w:r>
            <w:r w:rsidRPr="00AE7D71">
              <w:rPr>
                <w:rFonts w:eastAsia="Calibri" w:cs="Sylfaen"/>
                <w:lang w:val="hy-AM"/>
              </w:rPr>
              <w:t xml:space="preserve">բարեփոխումների և ներդրումների խթանման քաղաքականության ակնկալվող արդյունքների սպասվածից ավելի ուշ արտահայտման </w:t>
            </w:r>
            <w:r w:rsidRPr="00AE7D71">
              <w:rPr>
                <w:rFonts w:eastAsia="Calibri" w:cs="Sylfaen"/>
                <w:lang w:val="it-IT"/>
              </w:rPr>
              <w:t>հետ:</w:t>
            </w:r>
          </w:p>
          <w:p w14:paraId="1423EFE9" w14:textId="77777777" w:rsidR="00AE7D71" w:rsidRPr="00AE7D71" w:rsidRDefault="00AE7D71" w:rsidP="001C57FF">
            <w:pPr>
              <w:numPr>
                <w:ilvl w:val="0"/>
                <w:numId w:val="32"/>
              </w:numPr>
              <w:spacing w:before="0" w:after="120" w:line="276" w:lineRule="auto"/>
              <w:contextualSpacing/>
              <w:rPr>
                <w:rFonts w:ascii="Calibri" w:eastAsia="Calibri" w:hAnsi="Calibri" w:cs="Times New Roman"/>
                <w:sz w:val="24"/>
                <w:szCs w:val="24"/>
                <w:lang w:val="it-IT"/>
              </w:rPr>
            </w:pPr>
            <w:r w:rsidRPr="00AE7D71">
              <w:rPr>
                <w:rFonts w:eastAsia="Calibri" w:cs="Sylfaen"/>
                <w:b/>
                <w:bCs/>
                <w:lang w:val="hy-AM"/>
              </w:rPr>
              <w:t>Տնտեսական</w:t>
            </w:r>
            <w:r w:rsidRPr="00AE7D71">
              <w:rPr>
                <w:rFonts w:eastAsia="Calibri" w:cs="Times New Roman"/>
                <w:b/>
                <w:bCs/>
                <w:lang w:val="hy-AM"/>
              </w:rPr>
              <w:t xml:space="preserve"> </w:t>
            </w:r>
            <w:r w:rsidRPr="00AE7D71">
              <w:rPr>
                <w:rFonts w:eastAsia="Calibri" w:cs="Sylfaen"/>
                <w:b/>
                <w:bCs/>
                <w:lang w:val="hy-AM"/>
              </w:rPr>
              <w:t>աճի</w:t>
            </w:r>
            <w:r w:rsidRPr="00AE7D71">
              <w:rPr>
                <w:rFonts w:eastAsia="Calibri" w:cs="Times New Roman"/>
                <w:b/>
                <w:bCs/>
                <w:lang w:val="hy-AM"/>
              </w:rPr>
              <w:t xml:space="preserve"> </w:t>
            </w:r>
            <w:r w:rsidRPr="00AE7D71">
              <w:rPr>
                <w:rFonts w:eastAsia="Calibri" w:cs="Sylfaen"/>
                <w:b/>
                <w:bCs/>
                <w:lang w:val="hy-AM"/>
              </w:rPr>
              <w:t>դեպի</w:t>
            </w:r>
            <w:r w:rsidRPr="00AE7D71">
              <w:rPr>
                <w:rFonts w:eastAsia="Calibri" w:cs="Times New Roman"/>
                <w:b/>
                <w:bCs/>
                <w:lang w:val="hy-AM"/>
              </w:rPr>
              <w:t xml:space="preserve"> </w:t>
            </w:r>
            <w:r w:rsidRPr="00AE7D71">
              <w:rPr>
                <w:rFonts w:eastAsia="Calibri" w:cs="Sylfaen"/>
                <w:b/>
                <w:bCs/>
                <w:lang w:val="hy-AM"/>
              </w:rPr>
              <w:t>վերև</w:t>
            </w:r>
            <w:r w:rsidRPr="00AE7D71">
              <w:rPr>
                <w:rFonts w:eastAsia="Calibri" w:cs="Times New Roman"/>
                <w:b/>
                <w:bCs/>
                <w:lang w:val="it-IT"/>
              </w:rPr>
              <w:t xml:space="preserve"> </w:t>
            </w:r>
            <w:r w:rsidRPr="00AE7D71">
              <w:rPr>
                <w:rFonts w:eastAsia="Calibri" w:cs="Sylfaen"/>
                <w:b/>
                <w:bCs/>
              </w:rPr>
              <w:t>ուղղությամբ</w:t>
            </w:r>
            <w:r w:rsidRPr="00AE7D71">
              <w:rPr>
                <w:rFonts w:eastAsia="Calibri" w:cs="Times New Roman"/>
                <w:b/>
                <w:bCs/>
                <w:lang w:val="it-IT"/>
              </w:rPr>
              <w:t xml:space="preserve"> </w:t>
            </w:r>
            <w:r w:rsidRPr="00AE7D71">
              <w:rPr>
                <w:rFonts w:eastAsia="Calibri" w:cs="Sylfaen"/>
                <w:b/>
                <w:bCs/>
              </w:rPr>
              <w:t>ռիսկեր</w:t>
            </w:r>
            <w:r w:rsidRPr="00AE7D71">
              <w:rPr>
                <w:rFonts w:eastAsia="Calibri" w:cs="Sylfaen"/>
                <w:b/>
                <w:bCs/>
                <w:lang w:val="hy-AM"/>
              </w:rPr>
              <w:t>՝</w:t>
            </w:r>
            <w:r w:rsidRPr="00AE7D71">
              <w:rPr>
                <w:rFonts w:eastAsia="Calibri" w:cs="Times New Roman"/>
                <w:b/>
                <w:bCs/>
                <w:lang w:val="it-IT"/>
              </w:rPr>
              <w:t xml:space="preserve"> </w:t>
            </w:r>
          </w:p>
          <w:p w14:paraId="41B76FD9" w14:textId="77777777" w:rsidR="00AE7D71" w:rsidRPr="00AE7D71" w:rsidRDefault="00AE7D71" w:rsidP="00A0704D">
            <w:pPr>
              <w:numPr>
                <w:ilvl w:val="0"/>
                <w:numId w:val="31"/>
              </w:numPr>
              <w:spacing w:before="0" w:after="120" w:line="276" w:lineRule="auto"/>
              <w:ind w:left="851" w:right="540"/>
              <w:contextualSpacing/>
              <w:rPr>
                <w:rFonts w:eastAsia="Calibri" w:cs="Sylfaen"/>
                <w:lang w:val="hy-AM"/>
              </w:rPr>
            </w:pPr>
            <w:r w:rsidRPr="00AE7D71">
              <w:rPr>
                <w:rFonts w:eastAsia="Calibri" w:cs="Sylfaen"/>
                <w:lang w:val="hy-AM"/>
              </w:rPr>
              <w:t xml:space="preserve">Ներքին միջավայրից բխող դեպի վերև ռիսկերը կապված են տնտեսության վերականգման ուղղված ՀՀ կառավարության հնարավոր միջոցառումների հետ, մասնավորապես՝ արտահանման և ներդրումների խթանման ուղղությամբ։ </w:t>
            </w:r>
          </w:p>
          <w:p w14:paraId="354AA622" w14:textId="77777777" w:rsidR="00AE7D71" w:rsidRPr="00A0704D" w:rsidRDefault="00AE7D71" w:rsidP="00A0704D">
            <w:pPr>
              <w:numPr>
                <w:ilvl w:val="0"/>
                <w:numId w:val="31"/>
              </w:numPr>
              <w:spacing w:before="0" w:after="0" w:line="276" w:lineRule="auto"/>
              <w:ind w:left="851" w:right="540" w:hanging="326"/>
              <w:contextualSpacing/>
              <w:rPr>
                <w:rFonts w:eastAsia="Calibri" w:cs="Sylfaen"/>
                <w:bCs/>
                <w:lang w:val="hy-AM"/>
              </w:rPr>
            </w:pPr>
            <w:r w:rsidRPr="00A0704D">
              <w:rPr>
                <w:rFonts w:eastAsia="Calibri" w:cs="Sylfaen"/>
                <w:lang w:val="hy-AM"/>
              </w:rPr>
              <w:t xml:space="preserve"> </w:t>
            </w:r>
            <w:r w:rsidRPr="00A0704D">
              <w:rPr>
                <w:rFonts w:eastAsia="Calibri" w:cs="Sylfaen"/>
                <w:bCs/>
                <w:lang w:val="hy-AM"/>
              </w:rPr>
              <w:t>Տնտեսական աճի դեպի ներքև ուղղությամբ գերակշռող ռիսկերը ներկայացված են ներքոնշյալ Գծապատկեր 1.29.-ում և Աղյուսակ 1.4.-ում:</w:t>
            </w:r>
          </w:p>
          <w:p w14:paraId="0BD43913" w14:textId="77777777" w:rsidR="00AE7D71" w:rsidRDefault="00AE7D71" w:rsidP="001C57FF">
            <w:pPr>
              <w:spacing w:before="0" w:after="0" w:line="276" w:lineRule="auto"/>
              <w:ind w:firstLine="720"/>
              <w:rPr>
                <w:rFonts w:eastAsia="Calibri" w:cs="Sylfaen"/>
                <w:b/>
                <w:bCs/>
                <w:lang w:val="hy-AM"/>
              </w:rPr>
            </w:pPr>
          </w:p>
          <w:p w14:paraId="679E55C2" w14:textId="77777777" w:rsidR="00D369E6" w:rsidRDefault="00D369E6" w:rsidP="001C57FF">
            <w:pPr>
              <w:spacing w:before="0" w:after="0" w:line="276" w:lineRule="auto"/>
              <w:ind w:firstLine="720"/>
              <w:rPr>
                <w:rFonts w:eastAsia="Calibri" w:cs="Sylfaen"/>
                <w:b/>
                <w:bCs/>
                <w:lang w:val="hy-AM"/>
              </w:rPr>
            </w:pPr>
          </w:p>
          <w:p w14:paraId="404CD4BC" w14:textId="77777777" w:rsidR="00D369E6" w:rsidRDefault="00D369E6" w:rsidP="00A0704D">
            <w:pPr>
              <w:spacing w:before="0" w:after="0" w:line="276" w:lineRule="auto"/>
              <w:ind w:right="360" w:firstLine="720"/>
              <w:rPr>
                <w:rFonts w:eastAsia="Calibri" w:cs="Sylfaen"/>
                <w:b/>
                <w:bCs/>
                <w:lang w:val="hy-AM"/>
              </w:rPr>
            </w:pPr>
          </w:p>
          <w:p w14:paraId="5E8A014B" w14:textId="77777777" w:rsidR="00D369E6" w:rsidRDefault="00D369E6" w:rsidP="001C57FF">
            <w:pPr>
              <w:spacing w:before="0" w:after="0" w:line="276" w:lineRule="auto"/>
              <w:ind w:firstLine="720"/>
              <w:rPr>
                <w:rFonts w:eastAsia="Calibri" w:cs="Sylfaen"/>
                <w:b/>
                <w:bCs/>
                <w:lang w:val="hy-AM"/>
              </w:rPr>
            </w:pPr>
          </w:p>
          <w:p w14:paraId="6F6081A5" w14:textId="77777777" w:rsidR="00D369E6" w:rsidRDefault="00D369E6" w:rsidP="001C57FF">
            <w:pPr>
              <w:spacing w:before="0" w:after="0" w:line="276" w:lineRule="auto"/>
              <w:ind w:firstLine="720"/>
              <w:rPr>
                <w:rFonts w:eastAsia="Calibri" w:cs="Sylfaen"/>
                <w:b/>
                <w:bCs/>
                <w:lang w:val="hy-AM"/>
              </w:rPr>
            </w:pPr>
          </w:p>
          <w:p w14:paraId="645A8A41" w14:textId="77777777" w:rsidR="00D369E6" w:rsidRDefault="00D369E6" w:rsidP="001C57FF">
            <w:pPr>
              <w:spacing w:before="0" w:after="0" w:line="276" w:lineRule="auto"/>
              <w:ind w:firstLine="720"/>
              <w:rPr>
                <w:rFonts w:eastAsia="Calibri" w:cs="Sylfaen"/>
                <w:b/>
                <w:bCs/>
                <w:lang w:val="hy-AM"/>
              </w:rPr>
            </w:pPr>
          </w:p>
          <w:p w14:paraId="0076CE70" w14:textId="77777777" w:rsidR="00D369E6" w:rsidRDefault="00D369E6" w:rsidP="001C57FF">
            <w:pPr>
              <w:spacing w:before="0" w:after="0" w:line="276" w:lineRule="auto"/>
              <w:ind w:firstLine="720"/>
              <w:rPr>
                <w:rFonts w:eastAsia="Calibri" w:cs="Sylfaen"/>
                <w:b/>
                <w:bCs/>
                <w:lang w:val="hy-AM"/>
              </w:rPr>
            </w:pPr>
          </w:p>
          <w:p w14:paraId="68DA4499" w14:textId="77777777" w:rsidR="00D369E6" w:rsidRDefault="00D369E6" w:rsidP="001C57FF">
            <w:pPr>
              <w:spacing w:before="0" w:after="0" w:line="276" w:lineRule="auto"/>
              <w:ind w:firstLine="720"/>
              <w:rPr>
                <w:rFonts w:eastAsia="Calibri" w:cs="Sylfaen"/>
                <w:b/>
                <w:bCs/>
                <w:lang w:val="hy-AM"/>
              </w:rPr>
            </w:pPr>
          </w:p>
          <w:p w14:paraId="18869E57" w14:textId="77777777" w:rsidR="00D369E6" w:rsidRDefault="00D369E6" w:rsidP="001C57FF">
            <w:pPr>
              <w:spacing w:before="0" w:after="0" w:line="276" w:lineRule="auto"/>
              <w:ind w:firstLine="720"/>
              <w:rPr>
                <w:rFonts w:eastAsia="Calibri" w:cs="Sylfaen"/>
                <w:b/>
                <w:bCs/>
                <w:lang w:val="hy-AM"/>
              </w:rPr>
            </w:pPr>
          </w:p>
          <w:p w14:paraId="7F753F1A" w14:textId="77777777" w:rsidR="00D369E6" w:rsidRDefault="00D369E6" w:rsidP="001C57FF">
            <w:pPr>
              <w:spacing w:before="0" w:after="0" w:line="276" w:lineRule="auto"/>
              <w:ind w:firstLine="720"/>
              <w:rPr>
                <w:rFonts w:eastAsia="Calibri" w:cs="Sylfaen"/>
                <w:b/>
                <w:bCs/>
                <w:lang w:val="hy-AM"/>
              </w:rPr>
            </w:pPr>
          </w:p>
          <w:p w14:paraId="5002BDEF" w14:textId="77777777" w:rsidR="00D369E6" w:rsidRDefault="00D369E6" w:rsidP="001C57FF">
            <w:pPr>
              <w:spacing w:before="0" w:after="0" w:line="276" w:lineRule="auto"/>
              <w:ind w:firstLine="720"/>
              <w:rPr>
                <w:rFonts w:eastAsia="Calibri" w:cs="Sylfaen"/>
                <w:b/>
                <w:bCs/>
                <w:lang w:val="hy-AM"/>
              </w:rPr>
            </w:pPr>
          </w:p>
          <w:p w14:paraId="143D4C79" w14:textId="77777777" w:rsidR="00D369E6" w:rsidRPr="00AE7D71" w:rsidRDefault="00D369E6" w:rsidP="001C57FF">
            <w:pPr>
              <w:spacing w:before="0" w:after="0" w:line="276" w:lineRule="auto"/>
              <w:ind w:firstLine="720"/>
              <w:rPr>
                <w:rFonts w:eastAsia="Calibri" w:cs="Sylfaen"/>
                <w:b/>
                <w:bCs/>
                <w:lang w:val="hy-AM"/>
              </w:rPr>
            </w:pPr>
          </w:p>
          <w:p w14:paraId="0EAB7ED9" w14:textId="77777777" w:rsidR="00AE7D71" w:rsidRPr="00AE7D71" w:rsidRDefault="00AE7D71" w:rsidP="00AE7D71">
            <w:pPr>
              <w:spacing w:before="0" w:after="0" w:line="276" w:lineRule="auto"/>
              <w:ind w:firstLine="0"/>
              <w:jc w:val="left"/>
              <w:rPr>
                <w:rFonts w:eastAsia="Calibri" w:cs="Times New Roman"/>
                <w:i/>
                <w:sz w:val="20"/>
                <w:szCs w:val="20"/>
                <w:u w:val="single"/>
                <w:lang w:val="hy-AM" w:eastAsia="en-GB"/>
              </w:rPr>
            </w:pPr>
            <w:r w:rsidRPr="00AE7D71">
              <w:rPr>
                <w:rFonts w:eastAsia="Calibri" w:cs="Sylfaen"/>
                <w:b/>
                <w:bCs/>
                <w:i/>
                <w:iCs/>
                <w:color w:val="000000"/>
                <w:lang w:val="hy-AM"/>
              </w:rPr>
              <w:lastRenderedPageBreak/>
              <w:t>Գծապատկեր 1.29</w:t>
            </w:r>
            <w:r w:rsidRPr="00AE7D71">
              <w:rPr>
                <w:rFonts w:eastAsia="Calibri" w:cs="Sylfaen"/>
                <w:b/>
                <w:bCs/>
                <w:i/>
                <w:iCs/>
                <w:color w:val="000000"/>
                <w:sz w:val="20"/>
                <w:szCs w:val="20"/>
                <w:lang w:val="hy-AM"/>
              </w:rPr>
              <w:t xml:space="preserve">. </w:t>
            </w:r>
            <w:r w:rsidRPr="00AE7D71">
              <w:rPr>
                <w:rFonts w:eastAsia="Calibri" w:cs="Sylfaen"/>
                <w:bCs/>
                <w:i/>
                <w:iCs/>
                <w:color w:val="000000"/>
                <w:sz w:val="20"/>
                <w:szCs w:val="20"/>
                <w:lang w:val="hy-AM"/>
              </w:rPr>
              <w:t>Իրական ՀՆԱ-ի աճի կանխատեսման հավանականությունների բաշխումը (Fan Chart)</w:t>
            </w:r>
          </w:p>
          <w:p w14:paraId="642E09D8" w14:textId="77777777" w:rsidR="00AE7D71" w:rsidRPr="00AE7D71" w:rsidRDefault="00AE7D71" w:rsidP="00AE7D71">
            <w:pPr>
              <w:spacing w:before="0" w:after="0" w:line="240" w:lineRule="auto"/>
              <w:ind w:firstLine="0"/>
              <w:jc w:val="center"/>
              <w:rPr>
                <w:rFonts w:ascii="Sylfaen" w:eastAsia="Calibri" w:hAnsi="Sylfaen" w:cs="Sylfaen"/>
                <w:b/>
                <w:bCs/>
                <w:i/>
                <w:iCs/>
                <w:color w:val="4F81BD"/>
              </w:rPr>
            </w:pPr>
            <w:r w:rsidRPr="00AE7D71">
              <w:rPr>
                <w:rFonts w:eastAsia="Calibri" w:cs="Times New Roman"/>
                <w:noProof/>
                <w:sz w:val="24"/>
                <w:szCs w:val="24"/>
              </w:rPr>
              <w:drawing>
                <wp:inline distT="0" distB="0" distL="0" distR="0" wp14:anchorId="5AD0961B" wp14:editId="0F1B7E53">
                  <wp:extent cx="6007100" cy="2387600"/>
                  <wp:effectExtent l="0" t="0" r="12700" b="12700"/>
                  <wp:docPr id="103" name="Chart 103">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53C9A74" w14:textId="77777777" w:rsidR="00AE7D71" w:rsidRPr="00AE7D71" w:rsidRDefault="00AE7D71" w:rsidP="00AE7D71">
            <w:pPr>
              <w:spacing w:before="0" w:after="0" w:line="240" w:lineRule="auto"/>
              <w:ind w:firstLine="0"/>
              <w:jc w:val="left"/>
              <w:rPr>
                <w:rFonts w:eastAsia="Calibri" w:cs="Times New Roman"/>
                <w:sz w:val="18"/>
                <w:szCs w:val="18"/>
                <w:lang w:val="hy-AM"/>
              </w:rPr>
            </w:pPr>
            <w:r w:rsidRPr="00AE7D71">
              <w:rPr>
                <w:rFonts w:eastAsia="Calibri" w:cs="Times New Roman"/>
                <w:sz w:val="18"/>
                <w:szCs w:val="18"/>
              </w:rPr>
              <w:t>Աղբյուրը՝ ՀՀ ՖՆ գնահատումներ</w:t>
            </w:r>
            <w:r w:rsidRPr="00AE7D71">
              <w:rPr>
                <w:rFonts w:eastAsia="Calibri" w:cs="Times New Roman"/>
                <w:sz w:val="18"/>
                <w:szCs w:val="18"/>
                <w:lang w:val="hy-AM"/>
              </w:rPr>
              <w:t xml:space="preserve"> և կանխատեսումներ</w:t>
            </w:r>
          </w:p>
          <w:p w14:paraId="10FE3F11" w14:textId="77777777" w:rsidR="00AE7D71" w:rsidRPr="00AE7D71" w:rsidRDefault="00AE7D71" w:rsidP="00AE7D71">
            <w:pPr>
              <w:spacing w:before="0" w:after="0" w:line="240" w:lineRule="auto"/>
              <w:ind w:firstLine="0"/>
              <w:jc w:val="left"/>
              <w:rPr>
                <w:rFonts w:eastAsia="Calibri" w:cs="Times New Roman"/>
                <w:sz w:val="18"/>
                <w:szCs w:val="18"/>
                <w:lang w:val="hy-AM"/>
              </w:rPr>
            </w:pPr>
          </w:p>
          <w:p w14:paraId="04C62A60" w14:textId="77777777" w:rsidR="00AE7D71" w:rsidRPr="00AE7D71" w:rsidRDefault="00AE7D71" w:rsidP="00AE7D71">
            <w:pPr>
              <w:spacing w:before="0" w:after="0" w:line="240" w:lineRule="auto"/>
              <w:ind w:firstLine="0"/>
              <w:jc w:val="left"/>
              <w:rPr>
                <w:rFonts w:eastAsia="Calibri" w:cs="Times New Roman"/>
                <w:i/>
                <w:sz w:val="20"/>
                <w:szCs w:val="20"/>
                <w:u w:val="single"/>
                <w:lang w:val="hy-AM"/>
              </w:rPr>
            </w:pPr>
            <w:r w:rsidRPr="00AE7D71">
              <w:rPr>
                <w:rFonts w:eastAsia="Calibri" w:cs="Sylfaen"/>
                <w:b/>
                <w:bCs/>
                <w:i/>
                <w:iCs/>
                <w:color w:val="000000"/>
                <w:lang w:val="hy-AM"/>
              </w:rPr>
              <w:t>Աղյուսակ</w:t>
            </w:r>
            <w:r w:rsidRPr="00AE7D71">
              <w:rPr>
                <w:rFonts w:eastAsia="Calibri" w:cs="Times New Roman"/>
                <w:b/>
                <w:bCs/>
                <w:i/>
                <w:iCs/>
                <w:color w:val="000000"/>
                <w:lang w:val="hy-AM"/>
              </w:rPr>
              <w:t xml:space="preserve"> 1.4.</w:t>
            </w:r>
            <w:r w:rsidRPr="00AE7D71">
              <w:rPr>
                <w:rFonts w:eastAsia="Calibri" w:cs="Times New Roman"/>
                <w:b/>
                <w:bCs/>
                <w:i/>
                <w:iCs/>
                <w:color w:val="000000"/>
                <w:sz w:val="20"/>
                <w:szCs w:val="20"/>
                <w:lang w:val="hy-AM"/>
              </w:rPr>
              <w:t xml:space="preserve"> </w:t>
            </w:r>
            <w:r w:rsidRPr="00AE7D71">
              <w:rPr>
                <w:rFonts w:eastAsia="Calibri" w:cs="Sylfaen"/>
                <w:bCs/>
                <w:i/>
                <w:iCs/>
                <w:color w:val="000000"/>
                <w:sz w:val="20"/>
                <w:szCs w:val="20"/>
                <w:lang w:val="hy-AM"/>
              </w:rPr>
              <w:t>Իրական</w:t>
            </w:r>
            <w:r w:rsidRPr="00AE7D71">
              <w:rPr>
                <w:rFonts w:eastAsia="Calibri" w:cs="Times New Roman"/>
                <w:bCs/>
                <w:i/>
                <w:iCs/>
                <w:color w:val="000000"/>
                <w:sz w:val="20"/>
                <w:szCs w:val="20"/>
                <w:lang w:val="hy-AM"/>
              </w:rPr>
              <w:t xml:space="preserve"> </w:t>
            </w:r>
            <w:r w:rsidRPr="00AE7D71">
              <w:rPr>
                <w:rFonts w:eastAsia="Calibri" w:cs="Sylfaen"/>
                <w:bCs/>
                <w:i/>
                <w:iCs/>
                <w:color w:val="000000"/>
                <w:sz w:val="20"/>
                <w:szCs w:val="20"/>
                <w:lang w:val="hy-AM"/>
              </w:rPr>
              <w:t>ՀՆԱ-ի աճի կանխատեսման</w:t>
            </w:r>
            <w:r w:rsidRPr="00AE7D71">
              <w:rPr>
                <w:rFonts w:eastAsia="Calibri" w:cs="Times New Roman"/>
                <w:bCs/>
                <w:i/>
                <w:iCs/>
                <w:color w:val="000000"/>
                <w:sz w:val="20"/>
                <w:szCs w:val="20"/>
                <w:lang w:val="hy-AM"/>
              </w:rPr>
              <w:t xml:space="preserve"> </w:t>
            </w:r>
            <w:r w:rsidRPr="00AE7D71">
              <w:rPr>
                <w:rFonts w:eastAsia="Calibri" w:cs="Sylfaen"/>
                <w:bCs/>
                <w:i/>
                <w:iCs/>
                <w:color w:val="000000"/>
                <w:sz w:val="20"/>
                <w:szCs w:val="20"/>
                <w:lang w:val="hy-AM"/>
              </w:rPr>
              <w:t>հավանականությունների</w:t>
            </w:r>
            <w:r w:rsidRPr="00AE7D71">
              <w:rPr>
                <w:rFonts w:eastAsia="Calibri" w:cs="Times New Roman"/>
                <w:bCs/>
                <w:i/>
                <w:iCs/>
                <w:color w:val="000000"/>
                <w:sz w:val="20"/>
                <w:szCs w:val="20"/>
                <w:lang w:val="hy-AM"/>
              </w:rPr>
              <w:t xml:space="preserve"> </w:t>
            </w:r>
            <w:r w:rsidRPr="00AE7D71">
              <w:rPr>
                <w:rFonts w:eastAsia="Calibri" w:cs="Sylfaen"/>
                <w:bCs/>
                <w:i/>
                <w:iCs/>
                <w:color w:val="000000"/>
                <w:sz w:val="20"/>
                <w:szCs w:val="20"/>
                <w:lang w:val="hy-AM"/>
              </w:rPr>
              <w:t>բաշխումը</w:t>
            </w:r>
            <w:r w:rsidRPr="00AE7D71">
              <w:rPr>
                <w:rFonts w:eastAsia="Calibri" w:cs="Times New Roman"/>
                <w:vertAlign w:val="superscript"/>
                <w:lang w:val="hy-AM"/>
              </w:rPr>
              <w:footnoteReference w:id="6"/>
            </w:r>
          </w:p>
          <w:tbl>
            <w:tblPr>
              <w:tblW w:w="7392" w:type="dxa"/>
              <w:tblInd w:w="107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552"/>
              <w:gridCol w:w="1330"/>
              <w:gridCol w:w="1440"/>
              <w:gridCol w:w="1350"/>
              <w:gridCol w:w="1720"/>
            </w:tblGrid>
            <w:tr w:rsidR="00AE7D71" w:rsidRPr="00A03AF2" w14:paraId="7077A5BF" w14:textId="77777777" w:rsidTr="00AE7D71">
              <w:trPr>
                <w:trHeight w:val="459"/>
              </w:trPr>
              <w:tc>
                <w:tcPr>
                  <w:tcW w:w="1552" w:type="dxa"/>
                  <w:vMerge w:val="restart"/>
                  <w:shd w:val="clear" w:color="auto" w:fill="auto"/>
                  <w:vAlign w:val="center"/>
                  <w:hideMark/>
                </w:tcPr>
                <w:p w14:paraId="41544505" w14:textId="77777777" w:rsidR="00AE7D71" w:rsidRPr="0035033F" w:rsidRDefault="00AE7D71" w:rsidP="00AE7D71">
                  <w:pPr>
                    <w:spacing w:before="0" w:after="0" w:line="240" w:lineRule="auto"/>
                    <w:ind w:firstLine="152"/>
                    <w:jc w:val="center"/>
                    <w:rPr>
                      <w:rFonts w:eastAsia="Calibri" w:cs="Calibri"/>
                      <w:color w:val="000000"/>
                      <w:sz w:val="18"/>
                      <w:szCs w:val="18"/>
                      <w:lang w:val="hy-AM"/>
                    </w:rPr>
                  </w:pPr>
                  <w:r w:rsidRPr="00AE7D71">
                    <w:rPr>
                      <w:rFonts w:eastAsia="Calibri" w:cs="Calibri"/>
                      <w:color w:val="000000"/>
                      <w:sz w:val="18"/>
                      <w:szCs w:val="18"/>
                    </w:rPr>
                    <w:t>Տնտեսական աճի միջակայքը</w:t>
                  </w:r>
                  <w:r w:rsidRPr="00AE7D71">
                    <w:rPr>
                      <w:rFonts w:eastAsia="Calibri" w:cs="Calibri"/>
                      <w:color w:val="000000"/>
                      <w:sz w:val="18"/>
                      <w:szCs w:val="18"/>
                      <w:lang w:val="hy-AM"/>
                    </w:rPr>
                    <w:t xml:space="preserve">, </w:t>
                  </w:r>
                  <w:r w:rsidRPr="00AE7D71">
                    <w:rPr>
                      <w:rFonts w:eastAsia="Calibri" w:cs="Calibri"/>
                      <w:color w:val="000000"/>
                      <w:sz w:val="18"/>
                      <w:szCs w:val="18"/>
                    </w:rPr>
                    <w:t>%</w:t>
                  </w:r>
                </w:p>
              </w:tc>
              <w:tc>
                <w:tcPr>
                  <w:tcW w:w="5840" w:type="dxa"/>
                  <w:gridSpan w:val="4"/>
                  <w:shd w:val="clear" w:color="auto" w:fill="auto"/>
                  <w:vAlign w:val="center"/>
                  <w:hideMark/>
                </w:tcPr>
                <w:p w14:paraId="58E8A7BB" w14:textId="77777777" w:rsidR="00AE7D71" w:rsidRPr="0035033F" w:rsidRDefault="00595A2D" w:rsidP="00AE7D71">
                  <w:pPr>
                    <w:spacing w:before="0" w:after="0" w:line="240" w:lineRule="auto"/>
                    <w:ind w:firstLine="0"/>
                    <w:jc w:val="center"/>
                    <w:rPr>
                      <w:rFonts w:eastAsia="Calibri" w:cs="Calibri"/>
                      <w:color w:val="000000"/>
                      <w:sz w:val="18"/>
                      <w:szCs w:val="18"/>
                      <w:lang w:val="hy-AM"/>
                    </w:rPr>
                  </w:pPr>
                  <w:r w:rsidRPr="0035033F">
                    <w:rPr>
                      <w:rFonts w:eastAsia="Calibri" w:cs="Calibri"/>
                      <w:color w:val="000000"/>
                      <w:sz w:val="18"/>
                      <w:szCs w:val="18"/>
                      <w:lang w:val="hy-AM"/>
                    </w:rPr>
                    <w:t>Տնտեսական աճի` տվյալ միջակայքում ձևավորվելու հավանականությունը, %</w:t>
                  </w:r>
                </w:p>
              </w:tc>
            </w:tr>
            <w:tr w:rsidR="00AE7D71" w:rsidRPr="00A03AF2" w14:paraId="4B8E5BEC" w14:textId="77777777" w:rsidTr="00AE7D71">
              <w:trPr>
                <w:trHeight w:val="201"/>
              </w:trPr>
              <w:tc>
                <w:tcPr>
                  <w:tcW w:w="1552" w:type="dxa"/>
                  <w:vMerge/>
                  <w:vAlign w:val="center"/>
                  <w:hideMark/>
                </w:tcPr>
                <w:p w14:paraId="391E710C" w14:textId="77777777" w:rsidR="00AE7D71" w:rsidRPr="0035033F" w:rsidRDefault="00AE7D71" w:rsidP="00AE7D71">
                  <w:pPr>
                    <w:spacing w:before="0" w:after="0" w:line="240" w:lineRule="auto"/>
                    <w:ind w:firstLine="0"/>
                    <w:jc w:val="left"/>
                    <w:rPr>
                      <w:rFonts w:eastAsia="Calibri" w:cs="Calibri"/>
                      <w:color w:val="000000"/>
                      <w:sz w:val="18"/>
                      <w:szCs w:val="18"/>
                      <w:lang w:val="hy-AM"/>
                    </w:rPr>
                  </w:pPr>
                </w:p>
              </w:tc>
              <w:tc>
                <w:tcPr>
                  <w:tcW w:w="1330" w:type="dxa"/>
                  <w:shd w:val="clear" w:color="auto" w:fill="auto"/>
                  <w:noWrap/>
                  <w:vAlign w:val="center"/>
                  <w:hideMark/>
                </w:tcPr>
                <w:p w14:paraId="5FE3991F"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2020</w:t>
                  </w:r>
                </w:p>
              </w:tc>
              <w:tc>
                <w:tcPr>
                  <w:tcW w:w="1440" w:type="dxa"/>
                  <w:shd w:val="clear" w:color="auto" w:fill="auto"/>
                  <w:vAlign w:val="center"/>
                  <w:hideMark/>
                </w:tcPr>
                <w:p w14:paraId="39762A35"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2021</w:t>
                  </w:r>
                </w:p>
              </w:tc>
              <w:tc>
                <w:tcPr>
                  <w:tcW w:w="1350" w:type="dxa"/>
                  <w:shd w:val="clear" w:color="auto" w:fill="auto"/>
                  <w:noWrap/>
                  <w:vAlign w:val="center"/>
                  <w:hideMark/>
                </w:tcPr>
                <w:p w14:paraId="053DF4F8"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2022</w:t>
                  </w:r>
                </w:p>
              </w:tc>
              <w:tc>
                <w:tcPr>
                  <w:tcW w:w="1720" w:type="dxa"/>
                  <w:shd w:val="clear" w:color="auto" w:fill="auto"/>
                  <w:vAlign w:val="center"/>
                  <w:hideMark/>
                </w:tcPr>
                <w:p w14:paraId="34EB8D09"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2023</w:t>
                  </w:r>
                </w:p>
              </w:tc>
            </w:tr>
            <w:tr w:rsidR="00AE7D71" w:rsidRPr="00A03AF2" w14:paraId="659C359E" w14:textId="77777777" w:rsidTr="00AE7D71">
              <w:trPr>
                <w:trHeight w:val="257"/>
              </w:trPr>
              <w:tc>
                <w:tcPr>
                  <w:tcW w:w="1552" w:type="dxa"/>
                  <w:shd w:val="clear" w:color="auto" w:fill="auto"/>
                  <w:noWrap/>
                  <w:vAlign w:val="center"/>
                  <w:hideMark/>
                </w:tcPr>
                <w:p w14:paraId="2F695BC8"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(-8) - (4)</w:t>
                  </w:r>
                </w:p>
              </w:tc>
              <w:tc>
                <w:tcPr>
                  <w:tcW w:w="1330" w:type="dxa"/>
                  <w:shd w:val="clear" w:color="auto" w:fill="auto"/>
                  <w:noWrap/>
                  <w:vAlign w:val="bottom"/>
                  <w:hideMark/>
                </w:tcPr>
                <w:p w14:paraId="77F2C279"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37.8</w:t>
                  </w:r>
                </w:p>
              </w:tc>
              <w:tc>
                <w:tcPr>
                  <w:tcW w:w="1440" w:type="dxa"/>
                  <w:shd w:val="clear" w:color="auto" w:fill="auto"/>
                  <w:noWrap/>
                  <w:vAlign w:val="bottom"/>
                  <w:hideMark/>
                </w:tcPr>
                <w:p w14:paraId="371B8C5A"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p>
              </w:tc>
              <w:tc>
                <w:tcPr>
                  <w:tcW w:w="1350" w:type="dxa"/>
                  <w:shd w:val="clear" w:color="auto" w:fill="auto"/>
                  <w:noWrap/>
                  <w:vAlign w:val="bottom"/>
                  <w:hideMark/>
                </w:tcPr>
                <w:p w14:paraId="36E41DDB"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p>
              </w:tc>
              <w:tc>
                <w:tcPr>
                  <w:tcW w:w="1720" w:type="dxa"/>
                  <w:shd w:val="clear" w:color="auto" w:fill="auto"/>
                  <w:noWrap/>
                  <w:vAlign w:val="bottom"/>
                  <w:hideMark/>
                </w:tcPr>
                <w:p w14:paraId="685A2722"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p>
              </w:tc>
            </w:tr>
            <w:tr w:rsidR="00AE7D71" w:rsidRPr="00A03AF2" w14:paraId="62AB6462" w14:textId="77777777" w:rsidTr="00AE7D71">
              <w:trPr>
                <w:trHeight w:val="275"/>
              </w:trPr>
              <w:tc>
                <w:tcPr>
                  <w:tcW w:w="1552" w:type="dxa"/>
                  <w:shd w:val="clear" w:color="auto" w:fill="auto"/>
                  <w:noWrap/>
                  <w:vAlign w:val="center"/>
                  <w:hideMark/>
                </w:tcPr>
                <w:p w14:paraId="34C1C850"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 xml:space="preserve">(-4)  - 0 </w:t>
                  </w:r>
                </w:p>
              </w:tc>
              <w:tc>
                <w:tcPr>
                  <w:tcW w:w="1330" w:type="dxa"/>
                  <w:shd w:val="clear" w:color="auto" w:fill="auto"/>
                  <w:noWrap/>
                  <w:vAlign w:val="bottom"/>
                  <w:hideMark/>
                </w:tcPr>
                <w:p w14:paraId="092E7DB5"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43.9</w:t>
                  </w:r>
                </w:p>
              </w:tc>
              <w:tc>
                <w:tcPr>
                  <w:tcW w:w="1440" w:type="dxa"/>
                  <w:shd w:val="clear" w:color="auto" w:fill="auto"/>
                  <w:noWrap/>
                  <w:vAlign w:val="bottom"/>
                  <w:hideMark/>
                </w:tcPr>
                <w:p w14:paraId="579937A8"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7.7</w:t>
                  </w:r>
                </w:p>
              </w:tc>
              <w:tc>
                <w:tcPr>
                  <w:tcW w:w="1350" w:type="dxa"/>
                  <w:shd w:val="clear" w:color="auto" w:fill="auto"/>
                  <w:noWrap/>
                  <w:vAlign w:val="bottom"/>
                  <w:hideMark/>
                </w:tcPr>
                <w:p w14:paraId="2BF91CFF"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9.9</w:t>
                  </w:r>
                </w:p>
              </w:tc>
              <w:tc>
                <w:tcPr>
                  <w:tcW w:w="1720" w:type="dxa"/>
                  <w:shd w:val="clear" w:color="auto" w:fill="auto"/>
                  <w:noWrap/>
                  <w:vAlign w:val="bottom"/>
                  <w:hideMark/>
                </w:tcPr>
                <w:p w14:paraId="0EDA2ADF"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15.1</w:t>
                  </w:r>
                </w:p>
              </w:tc>
            </w:tr>
            <w:tr w:rsidR="00AE7D71" w:rsidRPr="00A03AF2" w14:paraId="4A1D0C7C" w14:textId="77777777" w:rsidTr="00AE7D71">
              <w:trPr>
                <w:trHeight w:val="279"/>
              </w:trPr>
              <w:tc>
                <w:tcPr>
                  <w:tcW w:w="1552" w:type="dxa"/>
                  <w:shd w:val="clear" w:color="auto" w:fill="auto"/>
                  <w:noWrap/>
                  <w:vAlign w:val="center"/>
                  <w:hideMark/>
                </w:tcPr>
                <w:p w14:paraId="6436E65B"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 xml:space="preserve">0-4 </w:t>
                  </w:r>
                </w:p>
              </w:tc>
              <w:tc>
                <w:tcPr>
                  <w:tcW w:w="1330" w:type="dxa"/>
                  <w:shd w:val="clear" w:color="auto" w:fill="auto"/>
                  <w:noWrap/>
                  <w:vAlign w:val="bottom"/>
                  <w:hideMark/>
                </w:tcPr>
                <w:p w14:paraId="29301A56"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4.2</w:t>
                  </w:r>
                </w:p>
              </w:tc>
              <w:tc>
                <w:tcPr>
                  <w:tcW w:w="1440" w:type="dxa"/>
                  <w:shd w:val="clear" w:color="auto" w:fill="auto"/>
                  <w:noWrap/>
                  <w:vAlign w:val="bottom"/>
                  <w:hideMark/>
                </w:tcPr>
                <w:p w14:paraId="356F1096"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27.3</w:t>
                  </w:r>
                </w:p>
              </w:tc>
              <w:tc>
                <w:tcPr>
                  <w:tcW w:w="1350" w:type="dxa"/>
                  <w:shd w:val="clear" w:color="auto" w:fill="auto"/>
                  <w:noWrap/>
                  <w:vAlign w:val="bottom"/>
                  <w:hideMark/>
                </w:tcPr>
                <w:p w14:paraId="00DC1EF1"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30.8</w:t>
                  </w:r>
                </w:p>
              </w:tc>
              <w:tc>
                <w:tcPr>
                  <w:tcW w:w="1720" w:type="dxa"/>
                  <w:shd w:val="clear" w:color="auto" w:fill="auto"/>
                  <w:noWrap/>
                  <w:vAlign w:val="bottom"/>
                  <w:hideMark/>
                </w:tcPr>
                <w:p w14:paraId="179BABDD"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37.5</w:t>
                  </w:r>
                </w:p>
              </w:tc>
            </w:tr>
            <w:tr w:rsidR="00AE7D71" w:rsidRPr="00A03AF2" w14:paraId="2F9266E5" w14:textId="77777777" w:rsidTr="00AE7D71">
              <w:trPr>
                <w:trHeight w:val="283"/>
              </w:trPr>
              <w:tc>
                <w:tcPr>
                  <w:tcW w:w="1552" w:type="dxa"/>
                  <w:shd w:val="clear" w:color="auto" w:fill="auto"/>
                  <w:noWrap/>
                  <w:vAlign w:val="center"/>
                  <w:hideMark/>
                </w:tcPr>
                <w:p w14:paraId="5774D629" w14:textId="77777777" w:rsidR="00AE7D71" w:rsidRPr="00AE7D71" w:rsidRDefault="00AE7D71" w:rsidP="00AE7D71">
                  <w:pPr>
                    <w:spacing w:before="0" w:after="0" w:line="240" w:lineRule="auto"/>
                    <w:ind w:firstLine="0"/>
                    <w:jc w:val="center"/>
                    <w:rPr>
                      <w:rFonts w:eastAsia="Calibri" w:cs="Calibri"/>
                      <w:b/>
                      <w:bCs/>
                      <w:color w:val="000000"/>
                      <w:sz w:val="18"/>
                      <w:szCs w:val="18"/>
                      <w:lang w:val="hy-AM"/>
                    </w:rPr>
                  </w:pPr>
                  <w:r w:rsidRPr="00AE7D71">
                    <w:rPr>
                      <w:rFonts w:eastAsia="Calibri" w:cs="Calibri"/>
                      <w:b/>
                      <w:bCs/>
                      <w:color w:val="000000"/>
                      <w:sz w:val="18"/>
                      <w:szCs w:val="18"/>
                      <w:lang w:val="hy-AM"/>
                    </w:rPr>
                    <w:t xml:space="preserve">4  - 8 </w:t>
                  </w:r>
                </w:p>
              </w:tc>
              <w:tc>
                <w:tcPr>
                  <w:tcW w:w="1330" w:type="dxa"/>
                  <w:shd w:val="clear" w:color="auto" w:fill="auto"/>
                  <w:noWrap/>
                  <w:vAlign w:val="bottom"/>
                  <w:hideMark/>
                </w:tcPr>
                <w:p w14:paraId="3848D4A3" w14:textId="77777777" w:rsidR="00AE7D71" w:rsidRPr="00AE7D71" w:rsidRDefault="00AE7D71" w:rsidP="00AE7D71">
                  <w:pPr>
                    <w:spacing w:before="0" w:after="0" w:line="240" w:lineRule="auto"/>
                    <w:ind w:firstLine="0"/>
                    <w:jc w:val="center"/>
                    <w:rPr>
                      <w:rFonts w:eastAsia="Calibri" w:cs="Calibri"/>
                      <w:b/>
                      <w:bCs/>
                      <w:color w:val="000000"/>
                      <w:sz w:val="18"/>
                      <w:szCs w:val="18"/>
                      <w:lang w:val="hy-AM"/>
                    </w:rPr>
                  </w:pPr>
                </w:p>
              </w:tc>
              <w:tc>
                <w:tcPr>
                  <w:tcW w:w="1440" w:type="dxa"/>
                  <w:shd w:val="clear" w:color="auto" w:fill="auto"/>
                  <w:noWrap/>
                  <w:vAlign w:val="bottom"/>
                  <w:hideMark/>
                </w:tcPr>
                <w:p w14:paraId="5D1240B6" w14:textId="77777777" w:rsidR="00AE7D71" w:rsidRPr="00AE7D71" w:rsidRDefault="00AE7D71" w:rsidP="00AE7D71">
                  <w:pPr>
                    <w:spacing w:before="0" w:after="0" w:line="240" w:lineRule="auto"/>
                    <w:ind w:firstLine="0"/>
                    <w:jc w:val="center"/>
                    <w:rPr>
                      <w:rFonts w:eastAsia="Calibri" w:cs="Calibri"/>
                      <w:b/>
                      <w:bCs/>
                      <w:color w:val="000000"/>
                      <w:sz w:val="18"/>
                      <w:szCs w:val="18"/>
                      <w:lang w:val="hy-AM"/>
                    </w:rPr>
                  </w:pPr>
                  <w:r w:rsidRPr="00AE7D71">
                    <w:rPr>
                      <w:rFonts w:eastAsia="Calibri" w:cs="Calibri"/>
                      <w:b/>
                      <w:bCs/>
                      <w:color w:val="000000"/>
                      <w:sz w:val="18"/>
                      <w:szCs w:val="18"/>
                      <w:lang w:val="hy-AM"/>
                    </w:rPr>
                    <w:t>45.8</w:t>
                  </w:r>
                </w:p>
              </w:tc>
              <w:tc>
                <w:tcPr>
                  <w:tcW w:w="1350" w:type="dxa"/>
                  <w:shd w:val="clear" w:color="auto" w:fill="auto"/>
                  <w:noWrap/>
                  <w:vAlign w:val="bottom"/>
                  <w:hideMark/>
                </w:tcPr>
                <w:p w14:paraId="20497B9B" w14:textId="77777777" w:rsidR="00AE7D71" w:rsidRPr="00AE7D71" w:rsidRDefault="00AE7D71" w:rsidP="00AE7D71">
                  <w:pPr>
                    <w:spacing w:before="0" w:after="0" w:line="240" w:lineRule="auto"/>
                    <w:ind w:firstLine="0"/>
                    <w:jc w:val="center"/>
                    <w:rPr>
                      <w:rFonts w:eastAsia="Calibri" w:cs="Calibri"/>
                      <w:b/>
                      <w:bCs/>
                      <w:color w:val="000000"/>
                      <w:sz w:val="18"/>
                      <w:szCs w:val="18"/>
                      <w:lang w:val="hy-AM"/>
                    </w:rPr>
                  </w:pPr>
                  <w:r w:rsidRPr="00AE7D71">
                    <w:rPr>
                      <w:rFonts w:eastAsia="Calibri" w:cs="Calibri"/>
                      <w:b/>
                      <w:bCs/>
                      <w:color w:val="000000"/>
                      <w:sz w:val="18"/>
                      <w:szCs w:val="18"/>
                      <w:lang w:val="hy-AM"/>
                    </w:rPr>
                    <w:t>44.8</w:t>
                  </w:r>
                </w:p>
              </w:tc>
              <w:tc>
                <w:tcPr>
                  <w:tcW w:w="1720" w:type="dxa"/>
                  <w:shd w:val="clear" w:color="auto" w:fill="auto"/>
                  <w:noWrap/>
                  <w:vAlign w:val="bottom"/>
                  <w:hideMark/>
                </w:tcPr>
                <w:p w14:paraId="3E17BBF4" w14:textId="77777777" w:rsidR="00AE7D71" w:rsidRPr="00AE7D71" w:rsidRDefault="00AE7D71" w:rsidP="00AE7D71">
                  <w:pPr>
                    <w:spacing w:before="0" w:after="0" w:line="240" w:lineRule="auto"/>
                    <w:ind w:firstLine="0"/>
                    <w:jc w:val="center"/>
                    <w:rPr>
                      <w:rFonts w:eastAsia="Calibri" w:cs="Calibri"/>
                      <w:b/>
                      <w:bCs/>
                      <w:color w:val="000000"/>
                      <w:sz w:val="18"/>
                      <w:szCs w:val="18"/>
                      <w:lang w:val="hy-AM"/>
                    </w:rPr>
                  </w:pPr>
                  <w:r w:rsidRPr="00AE7D71">
                    <w:rPr>
                      <w:rFonts w:eastAsia="Calibri" w:cs="Calibri"/>
                      <w:b/>
                      <w:bCs/>
                      <w:color w:val="000000"/>
                      <w:sz w:val="18"/>
                      <w:szCs w:val="18"/>
                      <w:lang w:val="hy-AM"/>
                    </w:rPr>
                    <w:t>39.2</w:t>
                  </w:r>
                </w:p>
              </w:tc>
            </w:tr>
            <w:tr w:rsidR="00AE7D71" w:rsidRPr="00A03AF2" w14:paraId="4BF5BD10" w14:textId="77777777" w:rsidTr="00AE7D71">
              <w:trPr>
                <w:trHeight w:val="345"/>
              </w:trPr>
              <w:tc>
                <w:tcPr>
                  <w:tcW w:w="1552" w:type="dxa"/>
                  <w:shd w:val="clear" w:color="auto" w:fill="auto"/>
                  <w:noWrap/>
                  <w:vAlign w:val="center"/>
                  <w:hideMark/>
                </w:tcPr>
                <w:p w14:paraId="1E821E35"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 xml:space="preserve">8  - 12 </w:t>
                  </w:r>
                </w:p>
              </w:tc>
              <w:tc>
                <w:tcPr>
                  <w:tcW w:w="1330" w:type="dxa"/>
                  <w:shd w:val="clear" w:color="auto" w:fill="auto"/>
                  <w:noWrap/>
                  <w:vAlign w:val="bottom"/>
                  <w:hideMark/>
                </w:tcPr>
                <w:p w14:paraId="00CDA7E2"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p>
              </w:tc>
              <w:tc>
                <w:tcPr>
                  <w:tcW w:w="1440" w:type="dxa"/>
                  <w:shd w:val="clear" w:color="auto" w:fill="auto"/>
                  <w:noWrap/>
                  <w:vAlign w:val="bottom"/>
                  <w:hideMark/>
                </w:tcPr>
                <w:p w14:paraId="6CAE274C"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17.7</w:t>
                  </w:r>
                </w:p>
              </w:tc>
              <w:tc>
                <w:tcPr>
                  <w:tcW w:w="1350" w:type="dxa"/>
                  <w:shd w:val="clear" w:color="auto" w:fill="auto"/>
                  <w:noWrap/>
                  <w:vAlign w:val="bottom"/>
                  <w:hideMark/>
                </w:tcPr>
                <w:p w14:paraId="7026702A"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12.6</w:t>
                  </w:r>
                </w:p>
              </w:tc>
              <w:tc>
                <w:tcPr>
                  <w:tcW w:w="1720" w:type="dxa"/>
                  <w:shd w:val="clear" w:color="auto" w:fill="auto"/>
                  <w:noWrap/>
                  <w:vAlign w:val="bottom"/>
                  <w:hideMark/>
                </w:tcPr>
                <w:p w14:paraId="0DA9F3AC" w14:textId="77777777" w:rsidR="00AE7D71" w:rsidRPr="00AE7D71" w:rsidRDefault="00AE7D71" w:rsidP="00AE7D71">
                  <w:pPr>
                    <w:spacing w:before="0" w:after="0" w:line="240" w:lineRule="auto"/>
                    <w:ind w:firstLine="0"/>
                    <w:jc w:val="center"/>
                    <w:rPr>
                      <w:rFonts w:eastAsia="Calibri" w:cs="Calibri"/>
                      <w:color w:val="000000"/>
                      <w:sz w:val="18"/>
                      <w:szCs w:val="18"/>
                      <w:lang w:val="hy-AM"/>
                    </w:rPr>
                  </w:pPr>
                  <w:r w:rsidRPr="00AE7D71">
                    <w:rPr>
                      <w:rFonts w:eastAsia="Calibri" w:cs="Calibri"/>
                      <w:color w:val="000000"/>
                      <w:sz w:val="18"/>
                      <w:szCs w:val="18"/>
                      <w:lang w:val="hy-AM"/>
                    </w:rPr>
                    <w:t>5.1</w:t>
                  </w:r>
                </w:p>
              </w:tc>
            </w:tr>
          </w:tbl>
          <w:p w14:paraId="2D62F5C4" w14:textId="77777777" w:rsidR="00AE7D71" w:rsidRPr="00AE7D71" w:rsidRDefault="00AE7D71" w:rsidP="00AE7D71">
            <w:pPr>
              <w:spacing w:before="0" w:after="0" w:line="360" w:lineRule="auto"/>
              <w:rPr>
                <w:rFonts w:eastAsia="Calibri" w:cs="Sylfaen"/>
                <w:sz w:val="2"/>
                <w:szCs w:val="2"/>
                <w:lang w:val="hy-AM"/>
              </w:rPr>
            </w:pPr>
          </w:p>
          <w:p w14:paraId="487B29B5" w14:textId="77777777" w:rsidR="00AE7D71" w:rsidRPr="00AE7D71" w:rsidRDefault="00AE7D71" w:rsidP="00AE7D71">
            <w:pPr>
              <w:spacing w:before="0" w:after="0" w:line="360" w:lineRule="auto"/>
              <w:rPr>
                <w:rFonts w:eastAsia="Calibri" w:cs="Sylfaen"/>
                <w:sz w:val="6"/>
                <w:szCs w:val="6"/>
                <w:lang w:val="hy-AM"/>
              </w:rPr>
            </w:pPr>
          </w:p>
          <w:p w14:paraId="37FBE5DD" w14:textId="77777777" w:rsidR="00AE7D71" w:rsidRDefault="00AE7D71" w:rsidP="00A0704D">
            <w:pPr>
              <w:spacing w:before="0" w:after="0" w:line="276" w:lineRule="auto"/>
              <w:ind w:right="540"/>
              <w:rPr>
                <w:rFonts w:eastAsia="Calibri" w:cs="Sylfaen"/>
                <w:lang w:val="hy-AM"/>
              </w:rPr>
            </w:pPr>
            <w:r w:rsidRPr="00AE7D71">
              <w:rPr>
                <w:rFonts w:eastAsia="Calibri" w:cs="Sylfaen"/>
                <w:lang w:val="hy-AM"/>
              </w:rPr>
              <w:t>Ինչպես</w:t>
            </w:r>
            <w:r w:rsidRPr="00AE7D71">
              <w:rPr>
                <w:rFonts w:eastAsia="Calibri" w:cs="Sylfaen"/>
                <w:lang w:val="it-IT"/>
              </w:rPr>
              <w:t xml:space="preserve"> </w:t>
            </w:r>
            <w:r w:rsidRPr="00AE7D71">
              <w:rPr>
                <w:rFonts w:eastAsia="Calibri" w:cs="Sylfaen"/>
                <w:lang w:val="hy-AM"/>
              </w:rPr>
              <w:t>երևում</w:t>
            </w:r>
            <w:r w:rsidRPr="00AE7D71">
              <w:rPr>
                <w:rFonts w:eastAsia="Calibri" w:cs="Sylfaen"/>
                <w:lang w:val="it-IT"/>
              </w:rPr>
              <w:t xml:space="preserve"> </w:t>
            </w:r>
            <w:r w:rsidRPr="00AE7D71">
              <w:rPr>
                <w:rFonts w:eastAsia="Calibri" w:cs="Sylfaen"/>
                <w:lang w:val="hy-AM"/>
              </w:rPr>
              <w:t>է</w:t>
            </w:r>
            <w:r w:rsidRPr="00AE7D71">
              <w:rPr>
                <w:rFonts w:eastAsia="Calibri" w:cs="Sylfaen"/>
                <w:lang w:val="it-IT"/>
              </w:rPr>
              <w:t xml:space="preserve"> </w:t>
            </w:r>
            <w:r w:rsidRPr="00AE7D71">
              <w:rPr>
                <w:rFonts w:eastAsia="Calibri" w:cs="Sylfaen"/>
                <w:lang w:val="hy-AM"/>
              </w:rPr>
              <w:t>Գծապատկեր</w:t>
            </w:r>
            <w:r w:rsidRPr="00AE7D71">
              <w:rPr>
                <w:rFonts w:eastAsia="Calibri" w:cs="Sylfaen"/>
                <w:lang w:val="it-IT"/>
              </w:rPr>
              <w:t xml:space="preserve"> </w:t>
            </w:r>
            <w:r w:rsidRPr="00AE7D71">
              <w:rPr>
                <w:rFonts w:eastAsia="Calibri" w:cs="Sylfaen"/>
                <w:lang w:val="hy-AM"/>
              </w:rPr>
              <w:t>1.29-ից, իրական ՀՆԱ-ի տարեկան աճի կենտրոնական կանխատեսումներից շեղման ռիսկերը դեպի ներքև են: 2021-2023թթ.</w:t>
            </w:r>
            <w:r w:rsidRPr="00AE7D71" w:rsidDel="00301E27">
              <w:rPr>
                <w:rFonts w:eastAsia="Calibri" w:cs="Sylfaen"/>
                <w:lang w:val="hy-AM"/>
              </w:rPr>
              <w:t xml:space="preserve"> </w:t>
            </w:r>
            <w:r w:rsidRPr="00AE7D71">
              <w:rPr>
                <w:rFonts w:eastAsia="Calibri" w:cs="Sylfaen"/>
                <w:lang w:val="hy-AM"/>
              </w:rPr>
              <w:t xml:space="preserve">տնտեսական աճի ձևավորման ամենաբարձր հավանականությունը գտնվում է կենտրոնական կանխատեսումները պարունակող համապատասխան միջակայքում (Գծապատկեր 1.29-ում այն մուգ կարմիր է, իսկ Աղյուսակ 1.4-ում՝ հոծ նշումով), իսկ դեպի ներքև ռիսկերն ավելի մեծ են։ </w:t>
            </w:r>
          </w:p>
          <w:p w14:paraId="55AE1258" w14:textId="77777777" w:rsidR="004062B3" w:rsidRPr="00AE7D71" w:rsidRDefault="004062B3" w:rsidP="00AE7D71">
            <w:pPr>
              <w:spacing w:before="0" w:after="0" w:line="276" w:lineRule="auto"/>
              <w:rPr>
                <w:rFonts w:eastAsia="Calibri" w:cs="Sylfaen"/>
                <w:highlight w:val="yellow"/>
                <w:lang w:val="hy-AM"/>
              </w:rPr>
            </w:pPr>
          </w:p>
          <w:p w14:paraId="1202A99D" w14:textId="77777777" w:rsidR="00AE7D71" w:rsidRPr="00C17AB2" w:rsidRDefault="00772498" w:rsidP="00C17AB2">
            <w:pPr>
              <w:pStyle w:val="Heading3"/>
              <w:numPr>
                <w:ilvl w:val="0"/>
                <w:numId w:val="0"/>
              </w:numPr>
              <w:rPr>
                <w:rFonts w:eastAsia="Times New Roman" w:cs="Times New Roman"/>
                <w:caps w:val="0"/>
                <w:color w:val="1F497D" w:themeColor="text2"/>
                <w:sz w:val="28"/>
                <w:szCs w:val="28"/>
              </w:rPr>
            </w:pPr>
            <w:bookmarkStart w:id="202" w:name="_Toc45838520"/>
            <w:bookmarkStart w:id="203" w:name="_Toc46154349"/>
            <w:r w:rsidRPr="00C17AB2">
              <w:rPr>
                <w:rFonts w:eastAsia="Times New Roman" w:cs="Times New Roman"/>
                <w:caps w:val="0"/>
                <w:color w:val="1F497D" w:themeColor="text2"/>
                <w:sz w:val="28"/>
                <w:szCs w:val="28"/>
              </w:rPr>
              <w:t>1.7. ՀԱՄԵՄԱՏՈՒԹՅՈՒՆ ՆԱԽՈՐԴ ԿԱՆԽԱՏԵՍՈՒՄՆԵՐԻ ՀԵՏ</w:t>
            </w:r>
            <w:bookmarkEnd w:id="202"/>
            <w:bookmarkEnd w:id="203"/>
          </w:p>
          <w:p w14:paraId="0B31B83E" w14:textId="77777777" w:rsidR="00AE7D71" w:rsidRPr="00AE7D71" w:rsidRDefault="00AE7D71" w:rsidP="00AE7D71">
            <w:pPr>
              <w:spacing w:before="0" w:after="0" w:line="276" w:lineRule="auto"/>
              <w:ind w:firstLine="0"/>
              <w:rPr>
                <w:rFonts w:eastAsia="Calibri" w:cs="Sylfaen"/>
                <w:b/>
                <w:bCs/>
                <w:i/>
                <w:iCs/>
                <w:color w:val="4F81BD"/>
                <w:lang w:val="hy-AM"/>
              </w:rPr>
            </w:pPr>
            <w:r w:rsidRPr="00AE7D71">
              <w:rPr>
                <w:rFonts w:eastAsia="Calibri" w:cs="Sylfaen"/>
                <w:b/>
                <w:bCs/>
                <w:i/>
                <w:iCs/>
                <w:color w:val="000000"/>
                <w:lang w:val="hy-AM"/>
              </w:rPr>
              <w:t xml:space="preserve">Աղյուսակ 1.5. </w:t>
            </w:r>
            <w:r w:rsidRPr="00AE7D71">
              <w:rPr>
                <w:rFonts w:eastAsia="Calibri" w:cs="Sylfaen"/>
                <w:bCs/>
                <w:i/>
                <w:iCs/>
                <w:color w:val="000000"/>
                <w:sz w:val="20"/>
                <w:szCs w:val="20"/>
                <w:lang w:val="hy-AM"/>
              </w:rPr>
              <w:t>ՀՆԱ-ի կանխատեսումները միջնաժամկետ ծախսային ծրագրերով և 2020թ. պետական բյուջեով</w:t>
            </w:r>
          </w:p>
          <w:tbl>
            <w:tblPr>
              <w:tblW w:w="9636"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867"/>
              <w:gridCol w:w="2118"/>
              <w:gridCol w:w="1450"/>
              <w:gridCol w:w="1024"/>
              <w:gridCol w:w="965"/>
              <w:gridCol w:w="1098"/>
              <w:gridCol w:w="1114"/>
            </w:tblGrid>
            <w:tr w:rsidR="00AE7D71" w:rsidRPr="00AE7D71" w14:paraId="1D6385D6" w14:textId="77777777" w:rsidTr="00AE7D71">
              <w:trPr>
                <w:trHeight w:val="316"/>
              </w:trPr>
              <w:tc>
                <w:tcPr>
                  <w:tcW w:w="1867" w:type="dxa"/>
                  <w:vMerge w:val="restart"/>
                  <w:shd w:val="clear" w:color="auto" w:fill="9CC2E5"/>
                  <w:noWrap/>
                  <w:vAlign w:val="center"/>
                  <w:hideMark/>
                </w:tcPr>
                <w:p w14:paraId="0D75CB96"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Ցուցանիշներ</w:t>
                  </w:r>
                </w:p>
              </w:tc>
              <w:tc>
                <w:tcPr>
                  <w:tcW w:w="2487" w:type="dxa"/>
                  <w:vMerge w:val="restart"/>
                  <w:shd w:val="clear" w:color="auto" w:fill="9CC2E5"/>
                  <w:vAlign w:val="center"/>
                  <w:hideMark/>
                </w:tcPr>
                <w:p w14:paraId="7B1001A5"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Ծրագիր</w:t>
                  </w:r>
                </w:p>
              </w:tc>
              <w:tc>
                <w:tcPr>
                  <w:tcW w:w="1023" w:type="dxa"/>
                  <w:shd w:val="clear" w:color="auto" w:fill="9CC2E5"/>
                  <w:vAlign w:val="center"/>
                </w:tcPr>
                <w:p w14:paraId="301C1413"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20</w:t>
                  </w:r>
                  <w:r w:rsidRPr="00AE7D71">
                    <w:rPr>
                      <w:rFonts w:eastAsia="Times New Roman" w:cs="Calibri"/>
                      <w:b/>
                      <w:bCs/>
                      <w:color w:val="000000"/>
                      <w:sz w:val="18"/>
                      <w:szCs w:val="18"/>
                    </w:rPr>
                    <w:t>19</w:t>
                  </w:r>
                </w:p>
              </w:tc>
              <w:tc>
                <w:tcPr>
                  <w:tcW w:w="1024" w:type="dxa"/>
                  <w:shd w:val="clear" w:color="auto" w:fill="9CC2E5"/>
                  <w:vAlign w:val="center"/>
                  <w:hideMark/>
                </w:tcPr>
                <w:p w14:paraId="403ADD91"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2020</w:t>
                  </w:r>
                </w:p>
              </w:tc>
              <w:tc>
                <w:tcPr>
                  <w:tcW w:w="1023" w:type="dxa"/>
                  <w:shd w:val="clear" w:color="auto" w:fill="9CC2E5"/>
                  <w:vAlign w:val="center"/>
                  <w:hideMark/>
                </w:tcPr>
                <w:p w14:paraId="2D52D426"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2021</w:t>
                  </w:r>
                </w:p>
              </w:tc>
              <w:tc>
                <w:tcPr>
                  <w:tcW w:w="1098" w:type="dxa"/>
                  <w:shd w:val="clear" w:color="auto" w:fill="9CC2E5"/>
                  <w:vAlign w:val="center"/>
                  <w:hideMark/>
                </w:tcPr>
                <w:p w14:paraId="5DA192CA"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2022</w:t>
                  </w:r>
                </w:p>
              </w:tc>
              <w:tc>
                <w:tcPr>
                  <w:tcW w:w="1114" w:type="dxa"/>
                  <w:shd w:val="clear" w:color="auto" w:fill="9CC2E5"/>
                  <w:vAlign w:val="center"/>
                  <w:hideMark/>
                </w:tcPr>
                <w:p w14:paraId="1A89392F"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2023</w:t>
                  </w:r>
                </w:p>
              </w:tc>
            </w:tr>
            <w:tr w:rsidR="00AE7D71" w:rsidRPr="00AE7D71" w14:paraId="4AA84EA4" w14:textId="77777777" w:rsidTr="00AE7D71">
              <w:trPr>
                <w:trHeight w:val="316"/>
              </w:trPr>
              <w:tc>
                <w:tcPr>
                  <w:tcW w:w="1867" w:type="dxa"/>
                  <w:vMerge/>
                  <w:vAlign w:val="center"/>
                  <w:hideMark/>
                </w:tcPr>
                <w:p w14:paraId="0E121A58"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487" w:type="dxa"/>
                  <w:vMerge/>
                  <w:vAlign w:val="center"/>
                  <w:hideMark/>
                </w:tcPr>
                <w:p w14:paraId="67894CE7"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1023" w:type="dxa"/>
                  <w:shd w:val="clear" w:color="auto" w:fill="9CC2E5"/>
                  <w:vAlign w:val="center"/>
                </w:tcPr>
                <w:p w14:paraId="195816D5" w14:textId="77777777" w:rsidR="00AE7D71" w:rsidRPr="00AE7D71" w:rsidRDefault="00AE7D71" w:rsidP="00AE7D71">
                  <w:pPr>
                    <w:spacing w:before="0" w:after="0" w:line="240" w:lineRule="auto"/>
                    <w:ind w:firstLine="0"/>
                    <w:jc w:val="center"/>
                    <w:rPr>
                      <w:rFonts w:eastAsia="Times New Roman" w:cs="Calibri"/>
                      <w:i/>
                      <w:iCs/>
                      <w:color w:val="000000"/>
                      <w:sz w:val="18"/>
                      <w:szCs w:val="18"/>
                      <w:lang w:val="hy-AM"/>
                    </w:rPr>
                  </w:pPr>
                  <w:r w:rsidRPr="00AE7D71">
                    <w:rPr>
                      <w:rFonts w:eastAsia="Times New Roman" w:cs="Calibri"/>
                      <w:i/>
                      <w:iCs/>
                      <w:color w:val="000000"/>
                      <w:sz w:val="18"/>
                      <w:szCs w:val="18"/>
                      <w:lang w:val="hy-AM"/>
                    </w:rPr>
                    <w:t>փաստ</w:t>
                  </w:r>
                  <w:r w:rsidRPr="00AE7D71">
                    <w:rPr>
                      <w:rFonts w:eastAsia="Times New Roman" w:cs="Calibri"/>
                      <w:i/>
                      <w:iCs/>
                      <w:color w:val="000000"/>
                      <w:sz w:val="18"/>
                      <w:szCs w:val="18"/>
                    </w:rPr>
                    <w:t>*</w:t>
                  </w:r>
                  <w:r w:rsidRPr="00AE7D71">
                    <w:rPr>
                      <w:rFonts w:eastAsia="Times New Roman" w:cs="Calibri"/>
                      <w:i/>
                      <w:iCs/>
                      <w:color w:val="000000"/>
                      <w:sz w:val="18"/>
                      <w:szCs w:val="18"/>
                      <w:lang w:val="hy-AM"/>
                    </w:rPr>
                    <w:t>/կանխ.</w:t>
                  </w:r>
                </w:p>
              </w:tc>
              <w:tc>
                <w:tcPr>
                  <w:tcW w:w="1024" w:type="dxa"/>
                  <w:shd w:val="clear" w:color="auto" w:fill="9CC2E5"/>
                  <w:vAlign w:val="center"/>
                  <w:hideMark/>
                </w:tcPr>
                <w:p w14:paraId="6370A5D8" w14:textId="77777777" w:rsidR="00AE7D71" w:rsidRPr="00AE7D71" w:rsidRDefault="00AE7D71" w:rsidP="00AE7D71">
                  <w:pPr>
                    <w:spacing w:before="0" w:after="0" w:line="240" w:lineRule="auto"/>
                    <w:ind w:firstLine="0"/>
                    <w:jc w:val="center"/>
                    <w:rPr>
                      <w:rFonts w:eastAsia="Times New Roman" w:cs="Calibri"/>
                      <w:i/>
                      <w:iCs/>
                      <w:color w:val="000000"/>
                      <w:sz w:val="18"/>
                      <w:szCs w:val="18"/>
                    </w:rPr>
                  </w:pPr>
                  <w:r w:rsidRPr="00AE7D71">
                    <w:rPr>
                      <w:rFonts w:eastAsia="Times New Roman" w:cs="Calibri"/>
                      <w:i/>
                      <w:iCs/>
                      <w:color w:val="000000"/>
                      <w:sz w:val="18"/>
                      <w:szCs w:val="18"/>
                      <w:lang w:val="hy-AM"/>
                    </w:rPr>
                    <w:t>կանխ.</w:t>
                  </w:r>
                </w:p>
              </w:tc>
              <w:tc>
                <w:tcPr>
                  <w:tcW w:w="1023" w:type="dxa"/>
                  <w:shd w:val="clear" w:color="auto" w:fill="9CC2E5"/>
                  <w:vAlign w:val="center"/>
                  <w:hideMark/>
                </w:tcPr>
                <w:p w14:paraId="73973FB5" w14:textId="77777777" w:rsidR="00AE7D71" w:rsidRPr="00AE7D71" w:rsidRDefault="00AE7D71" w:rsidP="00AE7D71">
                  <w:pPr>
                    <w:spacing w:before="0" w:after="0" w:line="240" w:lineRule="auto"/>
                    <w:ind w:firstLine="0"/>
                    <w:jc w:val="center"/>
                    <w:rPr>
                      <w:rFonts w:eastAsia="Times New Roman" w:cs="Calibri"/>
                      <w:i/>
                      <w:iCs/>
                      <w:color w:val="000000"/>
                      <w:sz w:val="18"/>
                      <w:szCs w:val="18"/>
                    </w:rPr>
                  </w:pPr>
                  <w:r w:rsidRPr="00AE7D71">
                    <w:rPr>
                      <w:rFonts w:eastAsia="Times New Roman" w:cs="Calibri"/>
                      <w:i/>
                      <w:iCs/>
                      <w:color w:val="000000"/>
                      <w:sz w:val="18"/>
                      <w:szCs w:val="18"/>
                      <w:lang w:val="hy-AM"/>
                    </w:rPr>
                    <w:t>կանխ.</w:t>
                  </w:r>
                </w:p>
              </w:tc>
              <w:tc>
                <w:tcPr>
                  <w:tcW w:w="1098" w:type="dxa"/>
                  <w:shd w:val="clear" w:color="auto" w:fill="9CC2E5"/>
                  <w:vAlign w:val="center"/>
                  <w:hideMark/>
                </w:tcPr>
                <w:p w14:paraId="0C7406B5" w14:textId="77777777" w:rsidR="00AE7D71" w:rsidRPr="00AE7D71" w:rsidRDefault="00AE7D71" w:rsidP="00AE7D71">
                  <w:pPr>
                    <w:spacing w:before="0" w:after="0" w:line="240" w:lineRule="auto"/>
                    <w:ind w:firstLine="0"/>
                    <w:jc w:val="center"/>
                    <w:rPr>
                      <w:rFonts w:eastAsia="Times New Roman" w:cs="Calibri"/>
                      <w:i/>
                      <w:iCs/>
                      <w:color w:val="000000"/>
                      <w:sz w:val="18"/>
                      <w:szCs w:val="18"/>
                    </w:rPr>
                  </w:pPr>
                  <w:r w:rsidRPr="00AE7D71">
                    <w:rPr>
                      <w:rFonts w:eastAsia="Times New Roman" w:cs="Calibri"/>
                      <w:i/>
                      <w:iCs/>
                      <w:color w:val="000000"/>
                      <w:sz w:val="18"/>
                      <w:szCs w:val="18"/>
                      <w:lang w:val="hy-AM"/>
                    </w:rPr>
                    <w:t>կանխ.</w:t>
                  </w:r>
                </w:p>
              </w:tc>
              <w:tc>
                <w:tcPr>
                  <w:tcW w:w="1114" w:type="dxa"/>
                  <w:shd w:val="clear" w:color="auto" w:fill="9CC2E5"/>
                  <w:vAlign w:val="center"/>
                  <w:hideMark/>
                </w:tcPr>
                <w:p w14:paraId="5A31FC48" w14:textId="77777777" w:rsidR="00AE7D71" w:rsidRPr="00AE7D71" w:rsidRDefault="00AE7D71" w:rsidP="00AE7D71">
                  <w:pPr>
                    <w:spacing w:before="0" w:after="0" w:line="240" w:lineRule="auto"/>
                    <w:ind w:firstLine="0"/>
                    <w:jc w:val="center"/>
                    <w:rPr>
                      <w:rFonts w:eastAsia="Times New Roman" w:cs="Calibri"/>
                      <w:i/>
                      <w:iCs/>
                      <w:color w:val="000000"/>
                      <w:sz w:val="18"/>
                      <w:szCs w:val="18"/>
                    </w:rPr>
                  </w:pPr>
                  <w:r w:rsidRPr="00AE7D71">
                    <w:rPr>
                      <w:rFonts w:eastAsia="Times New Roman" w:cs="Calibri"/>
                      <w:i/>
                      <w:iCs/>
                      <w:color w:val="000000"/>
                      <w:sz w:val="18"/>
                      <w:szCs w:val="18"/>
                      <w:lang w:val="hy-AM"/>
                    </w:rPr>
                    <w:t>կանխ.</w:t>
                  </w:r>
                </w:p>
              </w:tc>
            </w:tr>
            <w:tr w:rsidR="00AE7D71" w:rsidRPr="00AE7D71" w14:paraId="47623F1B" w14:textId="77777777" w:rsidTr="00AE7D71">
              <w:trPr>
                <w:trHeight w:val="316"/>
              </w:trPr>
              <w:tc>
                <w:tcPr>
                  <w:tcW w:w="1867" w:type="dxa"/>
                  <w:vMerge w:val="restart"/>
                  <w:shd w:val="clear" w:color="auto" w:fill="auto"/>
                  <w:vAlign w:val="center"/>
                  <w:hideMark/>
                </w:tcPr>
                <w:p w14:paraId="35DDC66A"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r w:rsidRPr="00AE7D71">
                    <w:rPr>
                      <w:rFonts w:eastAsia="Times New Roman" w:cs="Calibri"/>
                      <w:b/>
                      <w:bCs/>
                      <w:color w:val="000000"/>
                      <w:sz w:val="18"/>
                      <w:szCs w:val="18"/>
                    </w:rPr>
                    <w:t>Անվանական ՀՆԱ, մլրդ դրամ</w:t>
                  </w:r>
                </w:p>
              </w:tc>
              <w:tc>
                <w:tcPr>
                  <w:tcW w:w="2487" w:type="dxa"/>
                  <w:shd w:val="clear" w:color="auto" w:fill="auto"/>
                  <w:vAlign w:val="center"/>
                  <w:hideMark/>
                </w:tcPr>
                <w:p w14:paraId="1811AC5F"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2021-2023 ՄԺԾԾ</w:t>
                  </w:r>
                </w:p>
              </w:tc>
              <w:tc>
                <w:tcPr>
                  <w:tcW w:w="1023" w:type="dxa"/>
                </w:tcPr>
                <w:p w14:paraId="790E8682"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6569.0</w:t>
                  </w:r>
                </w:p>
              </w:tc>
              <w:tc>
                <w:tcPr>
                  <w:tcW w:w="1024" w:type="dxa"/>
                  <w:shd w:val="clear" w:color="auto" w:fill="auto"/>
                  <w:noWrap/>
                  <w:vAlign w:val="center"/>
                  <w:hideMark/>
                </w:tcPr>
                <w:p w14:paraId="3D4B2CCD"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6,505.1</w:t>
                  </w:r>
                </w:p>
              </w:tc>
              <w:tc>
                <w:tcPr>
                  <w:tcW w:w="1023" w:type="dxa"/>
                  <w:shd w:val="clear" w:color="auto" w:fill="auto"/>
                  <w:vAlign w:val="center"/>
                  <w:hideMark/>
                </w:tcPr>
                <w:p w14:paraId="08028CD1"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7,143.0</w:t>
                  </w:r>
                </w:p>
              </w:tc>
              <w:tc>
                <w:tcPr>
                  <w:tcW w:w="1098" w:type="dxa"/>
                  <w:shd w:val="clear" w:color="auto" w:fill="auto"/>
                  <w:noWrap/>
                  <w:vAlign w:val="center"/>
                  <w:hideMark/>
                </w:tcPr>
                <w:p w14:paraId="64E0E752"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7,853.5</w:t>
                  </w:r>
                </w:p>
              </w:tc>
              <w:tc>
                <w:tcPr>
                  <w:tcW w:w="1114" w:type="dxa"/>
                  <w:shd w:val="clear" w:color="auto" w:fill="auto"/>
                  <w:noWrap/>
                  <w:vAlign w:val="center"/>
                  <w:hideMark/>
                </w:tcPr>
                <w:p w14:paraId="231713E0"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8,582.5</w:t>
                  </w:r>
                </w:p>
              </w:tc>
            </w:tr>
            <w:tr w:rsidR="00AE7D71" w:rsidRPr="00AE7D71" w14:paraId="41D4FAA5" w14:textId="77777777" w:rsidTr="00AE7D71">
              <w:trPr>
                <w:trHeight w:val="316"/>
              </w:trPr>
              <w:tc>
                <w:tcPr>
                  <w:tcW w:w="1867" w:type="dxa"/>
                  <w:vMerge/>
                  <w:vAlign w:val="center"/>
                  <w:hideMark/>
                </w:tcPr>
                <w:p w14:paraId="1F1BDAA2"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487" w:type="dxa"/>
                  <w:shd w:val="clear" w:color="auto" w:fill="auto"/>
                  <w:vAlign w:val="center"/>
                  <w:hideMark/>
                </w:tcPr>
                <w:p w14:paraId="0A9F3AF1"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2020 Պետական բյուջե</w:t>
                  </w:r>
                </w:p>
              </w:tc>
              <w:tc>
                <w:tcPr>
                  <w:tcW w:w="1023" w:type="dxa"/>
                  <w:vAlign w:val="center"/>
                </w:tcPr>
                <w:p w14:paraId="19A4EAF9"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6,566.5</w:t>
                  </w:r>
                </w:p>
              </w:tc>
              <w:tc>
                <w:tcPr>
                  <w:tcW w:w="1024" w:type="dxa"/>
                  <w:shd w:val="clear" w:color="auto" w:fill="auto"/>
                  <w:noWrap/>
                  <w:vAlign w:val="center"/>
                  <w:hideMark/>
                </w:tcPr>
                <w:p w14:paraId="66D70781"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7,095.1</w:t>
                  </w:r>
                </w:p>
              </w:tc>
              <w:tc>
                <w:tcPr>
                  <w:tcW w:w="1023" w:type="dxa"/>
                  <w:shd w:val="clear" w:color="auto" w:fill="auto"/>
                  <w:vAlign w:val="center"/>
                  <w:hideMark/>
                </w:tcPr>
                <w:p w14:paraId="6247D0C7"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c>
                <w:tcPr>
                  <w:tcW w:w="1098" w:type="dxa"/>
                  <w:shd w:val="clear" w:color="auto" w:fill="auto"/>
                  <w:noWrap/>
                  <w:vAlign w:val="center"/>
                  <w:hideMark/>
                </w:tcPr>
                <w:p w14:paraId="7821583A"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c>
                <w:tcPr>
                  <w:tcW w:w="1114" w:type="dxa"/>
                  <w:shd w:val="clear" w:color="auto" w:fill="auto"/>
                  <w:noWrap/>
                  <w:vAlign w:val="center"/>
                  <w:hideMark/>
                </w:tcPr>
                <w:p w14:paraId="3242A587"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r>
            <w:tr w:rsidR="00AE7D71" w:rsidRPr="00AE7D71" w14:paraId="425F309F" w14:textId="77777777" w:rsidTr="00AE7D71">
              <w:trPr>
                <w:trHeight w:val="316"/>
              </w:trPr>
              <w:tc>
                <w:tcPr>
                  <w:tcW w:w="1867" w:type="dxa"/>
                  <w:vMerge/>
                  <w:vAlign w:val="center"/>
                  <w:hideMark/>
                </w:tcPr>
                <w:p w14:paraId="22A0542D"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487" w:type="dxa"/>
                  <w:shd w:val="clear" w:color="auto" w:fill="auto"/>
                  <w:vAlign w:val="center"/>
                  <w:hideMark/>
                </w:tcPr>
                <w:p w14:paraId="7BC9F9B7"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2020-2022 ՄԺԾԾ</w:t>
                  </w:r>
                </w:p>
              </w:tc>
              <w:tc>
                <w:tcPr>
                  <w:tcW w:w="1023" w:type="dxa"/>
                </w:tcPr>
                <w:p w14:paraId="0E7DEA9A"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6,455.3</w:t>
                  </w:r>
                </w:p>
              </w:tc>
              <w:tc>
                <w:tcPr>
                  <w:tcW w:w="1024" w:type="dxa"/>
                  <w:shd w:val="clear" w:color="auto" w:fill="auto"/>
                  <w:noWrap/>
                  <w:vAlign w:val="center"/>
                  <w:hideMark/>
                </w:tcPr>
                <w:p w14:paraId="0F9DD902"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6,975.4</w:t>
                  </w:r>
                </w:p>
              </w:tc>
              <w:tc>
                <w:tcPr>
                  <w:tcW w:w="1023" w:type="dxa"/>
                  <w:shd w:val="clear" w:color="auto" w:fill="auto"/>
                  <w:vAlign w:val="center"/>
                  <w:hideMark/>
                </w:tcPr>
                <w:p w14:paraId="359AEB02"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7,615.7</w:t>
                  </w:r>
                </w:p>
              </w:tc>
              <w:tc>
                <w:tcPr>
                  <w:tcW w:w="1098" w:type="dxa"/>
                  <w:shd w:val="clear" w:color="auto" w:fill="auto"/>
                  <w:noWrap/>
                  <w:vAlign w:val="center"/>
                  <w:hideMark/>
                </w:tcPr>
                <w:p w14:paraId="133677EF"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8,320.6</w:t>
                  </w:r>
                </w:p>
              </w:tc>
              <w:tc>
                <w:tcPr>
                  <w:tcW w:w="1114" w:type="dxa"/>
                  <w:shd w:val="clear" w:color="auto" w:fill="auto"/>
                  <w:noWrap/>
                  <w:vAlign w:val="center"/>
                  <w:hideMark/>
                </w:tcPr>
                <w:p w14:paraId="2BA3B4E3"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r>
            <w:tr w:rsidR="00AE7D71" w:rsidRPr="00AE7D71" w14:paraId="155F6F32" w14:textId="77777777" w:rsidTr="00AE7D71">
              <w:trPr>
                <w:trHeight w:val="316"/>
              </w:trPr>
              <w:tc>
                <w:tcPr>
                  <w:tcW w:w="1867" w:type="dxa"/>
                  <w:vMerge w:val="restart"/>
                  <w:shd w:val="clear" w:color="auto" w:fill="auto"/>
                  <w:vAlign w:val="center"/>
                  <w:hideMark/>
                </w:tcPr>
                <w:p w14:paraId="58D91A87"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r w:rsidRPr="00AE7D71">
                    <w:rPr>
                      <w:rFonts w:eastAsia="Times New Roman" w:cs="Calibri"/>
                      <w:b/>
                      <w:bCs/>
                      <w:color w:val="000000"/>
                      <w:sz w:val="18"/>
                      <w:szCs w:val="18"/>
                      <w:lang w:val="hy-AM"/>
                    </w:rPr>
                    <w:lastRenderedPageBreak/>
                    <w:t>Տնտեսական</w:t>
                  </w:r>
                  <w:r w:rsidRPr="00AE7D71">
                    <w:rPr>
                      <w:rFonts w:eastAsia="Times New Roman" w:cs="Calibri"/>
                      <w:b/>
                      <w:bCs/>
                      <w:color w:val="000000"/>
                      <w:sz w:val="18"/>
                      <w:szCs w:val="18"/>
                    </w:rPr>
                    <w:t xml:space="preserve"> (</w:t>
                  </w:r>
                  <w:r w:rsidRPr="00AE7D71">
                    <w:rPr>
                      <w:rFonts w:eastAsia="Times New Roman" w:cs="Calibri"/>
                      <w:b/>
                      <w:bCs/>
                      <w:color w:val="000000"/>
                      <w:sz w:val="18"/>
                      <w:szCs w:val="18"/>
                      <w:lang w:val="hy-AM"/>
                    </w:rPr>
                    <w:t>իրական ՀՆԱ-ի</w:t>
                  </w:r>
                  <w:r w:rsidRPr="00AE7D71">
                    <w:rPr>
                      <w:rFonts w:eastAsia="Times New Roman" w:cs="Calibri"/>
                      <w:b/>
                      <w:bCs/>
                      <w:color w:val="000000"/>
                      <w:sz w:val="18"/>
                      <w:szCs w:val="18"/>
                    </w:rPr>
                    <w:t>)</w:t>
                  </w:r>
                  <w:r w:rsidRPr="00AE7D71">
                    <w:rPr>
                      <w:rFonts w:eastAsia="Times New Roman" w:cs="Calibri"/>
                      <w:b/>
                      <w:bCs/>
                      <w:color w:val="000000"/>
                      <w:sz w:val="18"/>
                      <w:szCs w:val="18"/>
                      <w:lang w:val="hy-AM"/>
                    </w:rPr>
                    <w:t xml:space="preserve"> աճ, </w:t>
                  </w:r>
                  <w:r w:rsidRPr="00AE7D71">
                    <w:rPr>
                      <w:rFonts w:eastAsia="Times New Roman" w:cs="Calibri"/>
                      <w:b/>
                      <w:bCs/>
                      <w:color w:val="000000"/>
                      <w:sz w:val="18"/>
                      <w:szCs w:val="18"/>
                    </w:rPr>
                    <w:t>%</w:t>
                  </w:r>
                </w:p>
              </w:tc>
              <w:tc>
                <w:tcPr>
                  <w:tcW w:w="2487" w:type="dxa"/>
                  <w:shd w:val="clear" w:color="auto" w:fill="auto"/>
                  <w:vAlign w:val="center"/>
                  <w:hideMark/>
                </w:tcPr>
                <w:p w14:paraId="1BDB93EC"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2021-2023 ՄԺԾԾ</w:t>
                  </w:r>
                </w:p>
              </w:tc>
              <w:tc>
                <w:tcPr>
                  <w:tcW w:w="1023" w:type="dxa"/>
                </w:tcPr>
                <w:p w14:paraId="51C68745"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7.6</w:t>
                  </w:r>
                </w:p>
              </w:tc>
              <w:tc>
                <w:tcPr>
                  <w:tcW w:w="1024" w:type="dxa"/>
                  <w:shd w:val="clear" w:color="auto" w:fill="auto"/>
                  <w:noWrap/>
                  <w:vAlign w:val="center"/>
                  <w:hideMark/>
                </w:tcPr>
                <w:p w14:paraId="4840474B"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-2.6</w:t>
                  </w:r>
                </w:p>
              </w:tc>
              <w:tc>
                <w:tcPr>
                  <w:tcW w:w="1023" w:type="dxa"/>
                  <w:shd w:val="clear" w:color="auto" w:fill="auto"/>
                  <w:vAlign w:val="center"/>
                  <w:hideMark/>
                </w:tcPr>
                <w:p w14:paraId="64FBF14B"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7.0</w:t>
                  </w:r>
                </w:p>
              </w:tc>
              <w:tc>
                <w:tcPr>
                  <w:tcW w:w="1098" w:type="dxa"/>
                  <w:shd w:val="clear" w:color="auto" w:fill="auto"/>
                  <w:noWrap/>
                  <w:vAlign w:val="center"/>
                  <w:hideMark/>
                </w:tcPr>
                <w:p w14:paraId="3064BD6A"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6.4</w:t>
                  </w:r>
                </w:p>
              </w:tc>
              <w:tc>
                <w:tcPr>
                  <w:tcW w:w="1114" w:type="dxa"/>
                  <w:shd w:val="clear" w:color="auto" w:fill="auto"/>
                  <w:noWrap/>
                  <w:vAlign w:val="center"/>
                  <w:hideMark/>
                </w:tcPr>
                <w:p w14:paraId="23C345F4"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5.1</w:t>
                  </w:r>
                </w:p>
              </w:tc>
            </w:tr>
            <w:tr w:rsidR="00AE7D71" w:rsidRPr="00AE7D71" w14:paraId="0313D1B9" w14:textId="77777777" w:rsidTr="00AE7D71">
              <w:trPr>
                <w:trHeight w:val="316"/>
              </w:trPr>
              <w:tc>
                <w:tcPr>
                  <w:tcW w:w="1867" w:type="dxa"/>
                  <w:vMerge/>
                  <w:vAlign w:val="center"/>
                  <w:hideMark/>
                </w:tcPr>
                <w:p w14:paraId="09398492"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487" w:type="dxa"/>
                  <w:shd w:val="clear" w:color="auto" w:fill="auto"/>
                  <w:vAlign w:val="center"/>
                  <w:hideMark/>
                </w:tcPr>
                <w:p w14:paraId="7E9F7960"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2020 Պետական բյուջե</w:t>
                  </w:r>
                </w:p>
              </w:tc>
              <w:tc>
                <w:tcPr>
                  <w:tcW w:w="1023" w:type="dxa"/>
                  <w:vAlign w:val="center"/>
                </w:tcPr>
                <w:p w14:paraId="47005BC0"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6.3</w:t>
                  </w:r>
                </w:p>
              </w:tc>
              <w:tc>
                <w:tcPr>
                  <w:tcW w:w="1024" w:type="dxa"/>
                  <w:shd w:val="clear" w:color="auto" w:fill="auto"/>
                  <w:noWrap/>
                  <w:vAlign w:val="center"/>
                  <w:hideMark/>
                </w:tcPr>
                <w:p w14:paraId="73CCA299"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4.9</w:t>
                  </w:r>
                </w:p>
              </w:tc>
              <w:tc>
                <w:tcPr>
                  <w:tcW w:w="1023" w:type="dxa"/>
                  <w:shd w:val="clear" w:color="auto" w:fill="auto"/>
                  <w:vAlign w:val="center"/>
                  <w:hideMark/>
                </w:tcPr>
                <w:p w14:paraId="0C86BD39"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c>
                <w:tcPr>
                  <w:tcW w:w="1098" w:type="dxa"/>
                  <w:shd w:val="clear" w:color="auto" w:fill="auto"/>
                  <w:noWrap/>
                  <w:vAlign w:val="center"/>
                  <w:hideMark/>
                </w:tcPr>
                <w:p w14:paraId="2815EE14"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c>
                <w:tcPr>
                  <w:tcW w:w="1114" w:type="dxa"/>
                  <w:shd w:val="clear" w:color="auto" w:fill="auto"/>
                  <w:noWrap/>
                  <w:vAlign w:val="center"/>
                  <w:hideMark/>
                </w:tcPr>
                <w:p w14:paraId="6C5B3BD8"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r>
            <w:tr w:rsidR="00AE7D71" w:rsidRPr="00AE7D71" w14:paraId="36604E9E" w14:textId="77777777" w:rsidTr="00AE7D71">
              <w:trPr>
                <w:trHeight w:val="316"/>
              </w:trPr>
              <w:tc>
                <w:tcPr>
                  <w:tcW w:w="1867" w:type="dxa"/>
                  <w:vMerge/>
                  <w:vAlign w:val="center"/>
                  <w:hideMark/>
                </w:tcPr>
                <w:p w14:paraId="2A614A40"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487" w:type="dxa"/>
                  <w:shd w:val="clear" w:color="auto" w:fill="auto"/>
                  <w:vAlign w:val="center"/>
                  <w:hideMark/>
                </w:tcPr>
                <w:p w14:paraId="716A3AE3"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2020-2022 ՄԺԾԾ</w:t>
                  </w:r>
                </w:p>
              </w:tc>
              <w:tc>
                <w:tcPr>
                  <w:tcW w:w="1023" w:type="dxa"/>
                </w:tcPr>
                <w:p w14:paraId="13620BCE"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5.4</w:t>
                  </w:r>
                </w:p>
              </w:tc>
              <w:tc>
                <w:tcPr>
                  <w:tcW w:w="1024" w:type="dxa"/>
                  <w:shd w:val="clear" w:color="auto" w:fill="auto"/>
                  <w:noWrap/>
                  <w:vAlign w:val="center"/>
                  <w:hideMark/>
                </w:tcPr>
                <w:p w14:paraId="336BA2B2"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4.9</w:t>
                  </w:r>
                </w:p>
              </w:tc>
              <w:tc>
                <w:tcPr>
                  <w:tcW w:w="1023" w:type="dxa"/>
                  <w:shd w:val="clear" w:color="auto" w:fill="auto"/>
                  <w:vAlign w:val="center"/>
                  <w:hideMark/>
                </w:tcPr>
                <w:p w14:paraId="434D5DBB"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5.0</w:t>
                  </w:r>
                </w:p>
              </w:tc>
              <w:tc>
                <w:tcPr>
                  <w:tcW w:w="1098" w:type="dxa"/>
                  <w:shd w:val="clear" w:color="auto" w:fill="auto"/>
                  <w:noWrap/>
                  <w:vAlign w:val="center"/>
                  <w:hideMark/>
                </w:tcPr>
                <w:p w14:paraId="0A11AB53"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5.1</w:t>
                  </w:r>
                </w:p>
              </w:tc>
              <w:tc>
                <w:tcPr>
                  <w:tcW w:w="1114" w:type="dxa"/>
                  <w:shd w:val="clear" w:color="auto" w:fill="auto"/>
                  <w:noWrap/>
                  <w:vAlign w:val="center"/>
                  <w:hideMark/>
                </w:tcPr>
                <w:p w14:paraId="62E64134"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r>
            <w:tr w:rsidR="00AE7D71" w:rsidRPr="00AE7D71" w14:paraId="35774842" w14:textId="77777777" w:rsidTr="00AE7D71">
              <w:trPr>
                <w:trHeight w:val="316"/>
              </w:trPr>
              <w:tc>
                <w:tcPr>
                  <w:tcW w:w="1867" w:type="dxa"/>
                  <w:vMerge w:val="restart"/>
                  <w:shd w:val="clear" w:color="auto" w:fill="auto"/>
                  <w:vAlign w:val="center"/>
                  <w:hideMark/>
                </w:tcPr>
                <w:p w14:paraId="27B4DE5D" w14:textId="77777777" w:rsidR="00AE7D71" w:rsidRPr="00AE7D71" w:rsidRDefault="00AE7D71" w:rsidP="00AE7D71">
                  <w:pPr>
                    <w:spacing w:before="0" w:after="0" w:line="240" w:lineRule="auto"/>
                    <w:ind w:firstLine="0"/>
                    <w:jc w:val="left"/>
                    <w:rPr>
                      <w:rFonts w:eastAsia="Times New Roman" w:cs="Calibri"/>
                      <w:b/>
                      <w:bCs/>
                      <w:color w:val="000000"/>
                      <w:sz w:val="18"/>
                      <w:szCs w:val="18"/>
                      <w:lang w:val="hy-AM"/>
                    </w:rPr>
                  </w:pPr>
                  <w:r w:rsidRPr="00AE7D71">
                    <w:rPr>
                      <w:rFonts w:eastAsia="Times New Roman" w:cs="Calibri"/>
                      <w:b/>
                      <w:bCs/>
                      <w:color w:val="000000"/>
                      <w:sz w:val="18"/>
                      <w:szCs w:val="18"/>
                    </w:rPr>
                    <w:t>ՀՆԱ-ի դեֆլյատոր</w:t>
                  </w:r>
                  <w:r w:rsidRPr="00AE7D71">
                    <w:rPr>
                      <w:rFonts w:eastAsia="Times New Roman" w:cs="Calibri"/>
                      <w:b/>
                      <w:bCs/>
                      <w:color w:val="000000"/>
                      <w:sz w:val="18"/>
                      <w:szCs w:val="18"/>
                      <w:lang w:val="hy-AM"/>
                    </w:rPr>
                    <w:t xml:space="preserve">ի աճ, </w:t>
                  </w:r>
                  <w:r w:rsidRPr="00AE7D71">
                    <w:rPr>
                      <w:rFonts w:eastAsia="Times New Roman" w:cs="Calibri"/>
                      <w:b/>
                      <w:bCs/>
                      <w:color w:val="000000"/>
                      <w:sz w:val="18"/>
                      <w:szCs w:val="18"/>
                    </w:rPr>
                    <w:t>%</w:t>
                  </w:r>
                </w:p>
              </w:tc>
              <w:tc>
                <w:tcPr>
                  <w:tcW w:w="2487" w:type="dxa"/>
                  <w:shd w:val="clear" w:color="auto" w:fill="auto"/>
                  <w:vAlign w:val="center"/>
                  <w:hideMark/>
                </w:tcPr>
                <w:p w14:paraId="60C35CE4"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2021-2023 ՄԺԾԾ</w:t>
                  </w:r>
                </w:p>
              </w:tc>
              <w:tc>
                <w:tcPr>
                  <w:tcW w:w="1023" w:type="dxa"/>
                </w:tcPr>
                <w:p w14:paraId="41CF7F21"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1.5</w:t>
                  </w:r>
                </w:p>
              </w:tc>
              <w:tc>
                <w:tcPr>
                  <w:tcW w:w="1024" w:type="dxa"/>
                  <w:shd w:val="clear" w:color="auto" w:fill="auto"/>
                  <w:noWrap/>
                  <w:vAlign w:val="center"/>
                  <w:hideMark/>
                </w:tcPr>
                <w:p w14:paraId="504CE8D5"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1.7</w:t>
                  </w:r>
                </w:p>
              </w:tc>
              <w:tc>
                <w:tcPr>
                  <w:tcW w:w="1023" w:type="dxa"/>
                  <w:shd w:val="clear" w:color="auto" w:fill="auto"/>
                  <w:vAlign w:val="center"/>
                  <w:hideMark/>
                </w:tcPr>
                <w:p w14:paraId="318D1709"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2.7</w:t>
                  </w:r>
                </w:p>
              </w:tc>
              <w:tc>
                <w:tcPr>
                  <w:tcW w:w="1098" w:type="dxa"/>
                  <w:shd w:val="clear" w:color="auto" w:fill="auto"/>
                  <w:noWrap/>
                  <w:vAlign w:val="center"/>
                  <w:hideMark/>
                </w:tcPr>
                <w:p w14:paraId="0CB97E14"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3.4</w:t>
                  </w:r>
                </w:p>
              </w:tc>
              <w:tc>
                <w:tcPr>
                  <w:tcW w:w="1114" w:type="dxa"/>
                  <w:tcBorders>
                    <w:bottom w:val="single" w:sz="4" w:space="0" w:color="4472C4"/>
                  </w:tcBorders>
                  <w:shd w:val="clear" w:color="auto" w:fill="auto"/>
                  <w:noWrap/>
                  <w:vAlign w:val="center"/>
                  <w:hideMark/>
                </w:tcPr>
                <w:p w14:paraId="43267585"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4.0</w:t>
                  </w:r>
                </w:p>
              </w:tc>
            </w:tr>
            <w:tr w:rsidR="00AE7D71" w:rsidRPr="00AE7D71" w14:paraId="32E674BC" w14:textId="77777777" w:rsidTr="00AE7D71">
              <w:trPr>
                <w:trHeight w:val="316"/>
              </w:trPr>
              <w:tc>
                <w:tcPr>
                  <w:tcW w:w="1867" w:type="dxa"/>
                  <w:vMerge/>
                  <w:vAlign w:val="center"/>
                  <w:hideMark/>
                </w:tcPr>
                <w:p w14:paraId="3C1BD6C1"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487" w:type="dxa"/>
                  <w:shd w:val="clear" w:color="auto" w:fill="auto"/>
                  <w:vAlign w:val="center"/>
                  <w:hideMark/>
                </w:tcPr>
                <w:p w14:paraId="130A8E98"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2020 Պետական բյուջե</w:t>
                  </w:r>
                </w:p>
              </w:tc>
              <w:tc>
                <w:tcPr>
                  <w:tcW w:w="1023" w:type="dxa"/>
                  <w:vAlign w:val="center"/>
                </w:tcPr>
                <w:p w14:paraId="170D26F3"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2.9</w:t>
                  </w:r>
                </w:p>
              </w:tc>
              <w:tc>
                <w:tcPr>
                  <w:tcW w:w="1024" w:type="dxa"/>
                  <w:shd w:val="clear" w:color="auto" w:fill="auto"/>
                  <w:noWrap/>
                  <w:vAlign w:val="center"/>
                  <w:hideMark/>
                </w:tcPr>
                <w:p w14:paraId="6E9C07EC"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3.0</w:t>
                  </w:r>
                </w:p>
              </w:tc>
              <w:tc>
                <w:tcPr>
                  <w:tcW w:w="1023" w:type="dxa"/>
                  <w:shd w:val="clear" w:color="auto" w:fill="auto"/>
                  <w:vAlign w:val="center"/>
                  <w:hideMark/>
                </w:tcPr>
                <w:p w14:paraId="72E8EC28"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c>
                <w:tcPr>
                  <w:tcW w:w="1098" w:type="dxa"/>
                  <w:shd w:val="clear" w:color="auto" w:fill="auto"/>
                  <w:noWrap/>
                  <w:vAlign w:val="center"/>
                  <w:hideMark/>
                </w:tcPr>
                <w:p w14:paraId="6CB8AB72"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c>
                <w:tcPr>
                  <w:tcW w:w="1114" w:type="dxa"/>
                  <w:tcBorders>
                    <w:top w:val="single" w:sz="4" w:space="0" w:color="4472C4"/>
                  </w:tcBorders>
                  <w:shd w:val="clear" w:color="auto" w:fill="auto"/>
                  <w:noWrap/>
                  <w:vAlign w:val="center"/>
                  <w:hideMark/>
                </w:tcPr>
                <w:p w14:paraId="03962A6E"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r>
            <w:tr w:rsidR="00AE7D71" w:rsidRPr="00AE7D71" w14:paraId="6D22EEBF" w14:textId="77777777" w:rsidTr="00AE7D71">
              <w:trPr>
                <w:trHeight w:val="316"/>
              </w:trPr>
              <w:tc>
                <w:tcPr>
                  <w:tcW w:w="1867" w:type="dxa"/>
                  <w:vMerge/>
                  <w:vAlign w:val="center"/>
                  <w:hideMark/>
                </w:tcPr>
                <w:p w14:paraId="4E1921AB"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487" w:type="dxa"/>
                  <w:shd w:val="clear" w:color="auto" w:fill="auto"/>
                  <w:vAlign w:val="center"/>
                  <w:hideMark/>
                </w:tcPr>
                <w:p w14:paraId="352D8100"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2020-2022 ՄԺԾԾ</w:t>
                  </w:r>
                </w:p>
              </w:tc>
              <w:tc>
                <w:tcPr>
                  <w:tcW w:w="1023" w:type="dxa"/>
                </w:tcPr>
                <w:p w14:paraId="2DBABBB6"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2.0</w:t>
                  </w:r>
                </w:p>
              </w:tc>
              <w:tc>
                <w:tcPr>
                  <w:tcW w:w="1024" w:type="dxa"/>
                  <w:shd w:val="clear" w:color="auto" w:fill="auto"/>
                  <w:noWrap/>
                  <w:vAlign w:val="center"/>
                  <w:hideMark/>
                </w:tcPr>
                <w:p w14:paraId="6FBFFF5E"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3.0</w:t>
                  </w:r>
                </w:p>
              </w:tc>
              <w:tc>
                <w:tcPr>
                  <w:tcW w:w="1023" w:type="dxa"/>
                  <w:shd w:val="clear" w:color="auto" w:fill="auto"/>
                  <w:vAlign w:val="center"/>
                  <w:hideMark/>
                </w:tcPr>
                <w:p w14:paraId="33B4B994"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4.0</w:t>
                  </w:r>
                </w:p>
              </w:tc>
              <w:tc>
                <w:tcPr>
                  <w:tcW w:w="1098" w:type="dxa"/>
                  <w:shd w:val="clear" w:color="auto" w:fill="auto"/>
                  <w:noWrap/>
                  <w:vAlign w:val="center"/>
                  <w:hideMark/>
                </w:tcPr>
                <w:p w14:paraId="37402321"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4.0</w:t>
                  </w:r>
                </w:p>
              </w:tc>
              <w:tc>
                <w:tcPr>
                  <w:tcW w:w="1114" w:type="dxa"/>
                  <w:shd w:val="clear" w:color="auto" w:fill="auto"/>
                  <w:noWrap/>
                  <w:vAlign w:val="center"/>
                  <w:hideMark/>
                </w:tcPr>
                <w:p w14:paraId="329083F4"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r>
          </w:tbl>
          <w:p w14:paraId="702DFDAF" w14:textId="77777777" w:rsidR="00AE7D71" w:rsidRPr="00AE7D71" w:rsidRDefault="00AE7D71" w:rsidP="00AE7D71">
            <w:pPr>
              <w:spacing w:before="0" w:after="0" w:line="276" w:lineRule="auto"/>
              <w:ind w:firstLine="0"/>
              <w:rPr>
                <w:rFonts w:eastAsia="Calibri" w:cs="Times New Roman"/>
                <w:sz w:val="18"/>
                <w:szCs w:val="18"/>
                <w:lang w:val="hy-AM"/>
              </w:rPr>
            </w:pPr>
            <w:r w:rsidRPr="00AE7D71">
              <w:rPr>
                <w:rFonts w:eastAsia="Calibri" w:cs="Times New Roman"/>
                <w:sz w:val="18"/>
                <w:szCs w:val="18"/>
              </w:rPr>
              <w:t xml:space="preserve">* </w:t>
            </w:r>
            <w:r w:rsidRPr="00AE7D71">
              <w:rPr>
                <w:rFonts w:eastAsia="Times New Roman" w:cs="Calibri"/>
                <w:i/>
                <w:iCs/>
                <w:color w:val="000000"/>
                <w:sz w:val="18"/>
                <w:szCs w:val="18"/>
              </w:rPr>
              <w:t xml:space="preserve">2021-2023 ՄԺԾԾ </w:t>
            </w:r>
            <w:r w:rsidRPr="00AE7D71">
              <w:rPr>
                <w:rFonts w:eastAsia="Times New Roman" w:cs="Calibri"/>
                <w:i/>
                <w:iCs/>
                <w:color w:val="000000"/>
                <w:sz w:val="18"/>
                <w:szCs w:val="18"/>
                <w:lang w:val="hy-AM"/>
              </w:rPr>
              <w:t xml:space="preserve">համար </w:t>
            </w:r>
            <w:r w:rsidRPr="00AE7D71">
              <w:rPr>
                <w:rFonts w:eastAsia="Times New Roman" w:cs="Calibri"/>
                <w:i/>
                <w:iCs/>
                <w:color w:val="000000"/>
                <w:sz w:val="18"/>
                <w:szCs w:val="18"/>
              </w:rPr>
              <w:t>2019</w:t>
            </w:r>
            <w:r w:rsidRPr="00AE7D71">
              <w:rPr>
                <w:rFonts w:eastAsia="Times New Roman" w:cs="Calibri"/>
                <w:i/>
                <w:iCs/>
                <w:color w:val="000000"/>
                <w:sz w:val="18"/>
                <w:szCs w:val="18"/>
                <w:lang w:val="hy-AM"/>
              </w:rPr>
              <w:t xml:space="preserve">թ. ցուցանիշները փաստացի են </w:t>
            </w:r>
          </w:p>
          <w:p w14:paraId="2F6A1CC9" w14:textId="77777777" w:rsidR="00AE7D71" w:rsidRPr="00AE7D71" w:rsidRDefault="00AE7D71" w:rsidP="00AE7D71">
            <w:pPr>
              <w:spacing w:before="0" w:after="0" w:line="276" w:lineRule="auto"/>
              <w:ind w:firstLine="0"/>
              <w:rPr>
                <w:rFonts w:eastAsia="Calibri" w:cs="Sylfaen"/>
                <w:b/>
                <w:bCs/>
                <w:i/>
                <w:iCs/>
                <w:color w:val="4F81BD"/>
                <w:lang w:val="hy-AM"/>
              </w:rPr>
            </w:pPr>
            <w:r w:rsidRPr="00AE7D71">
              <w:rPr>
                <w:rFonts w:eastAsia="Calibri" w:cs="Times New Roman"/>
                <w:sz w:val="18"/>
                <w:szCs w:val="18"/>
                <w:lang w:val="hy-AM"/>
              </w:rPr>
              <w:t>Աղբյուրը ՝ ՀՀ ՖՆ կանխատեսումներ</w:t>
            </w:r>
          </w:p>
          <w:p w14:paraId="14DF0864" w14:textId="77777777" w:rsidR="00AE7D71" w:rsidRPr="00AE7D71" w:rsidRDefault="00AE7D71" w:rsidP="00AE7D71">
            <w:pPr>
              <w:spacing w:before="0" w:after="0" w:line="276" w:lineRule="auto"/>
              <w:ind w:firstLine="0"/>
              <w:rPr>
                <w:rFonts w:eastAsia="Calibri" w:cs="Sylfaen"/>
                <w:b/>
                <w:bCs/>
                <w:i/>
                <w:iCs/>
                <w:color w:val="4F81BD"/>
                <w:lang w:val="hy-AM"/>
              </w:rPr>
            </w:pPr>
          </w:p>
          <w:p w14:paraId="4B518EBD" w14:textId="77777777" w:rsidR="00AE7D71" w:rsidRPr="00AE7D71" w:rsidRDefault="00AE7D71" w:rsidP="00A0704D">
            <w:pPr>
              <w:spacing w:before="0" w:after="0" w:line="276" w:lineRule="auto"/>
              <w:ind w:right="720" w:firstLine="0"/>
              <w:rPr>
                <w:rFonts w:eastAsia="Calibri" w:cs="Times New Roman"/>
                <w:lang w:val="hy-AM"/>
              </w:rPr>
            </w:pPr>
            <w:r w:rsidRPr="00AE7D71">
              <w:rPr>
                <w:rFonts w:eastAsia="Calibri" w:cs="Sylfaen"/>
                <w:b/>
                <w:bCs/>
                <w:i/>
                <w:iCs/>
                <w:color w:val="000000"/>
                <w:lang w:val="hy-AM"/>
              </w:rPr>
              <w:t>Աղյուսակ</w:t>
            </w:r>
            <w:r w:rsidRPr="00AE7D71">
              <w:rPr>
                <w:rFonts w:eastAsia="Calibri" w:cs="Times New Roman"/>
                <w:b/>
                <w:bCs/>
                <w:i/>
                <w:iCs/>
                <w:color w:val="000000"/>
                <w:lang w:val="hy-AM"/>
              </w:rPr>
              <w:t xml:space="preserve"> 1.6.</w:t>
            </w:r>
            <w:r w:rsidRPr="00AE7D71">
              <w:rPr>
                <w:rFonts w:eastAsia="Calibri" w:cs="Times New Roman"/>
                <w:bCs/>
                <w:i/>
                <w:iCs/>
                <w:color w:val="000000"/>
                <w:sz w:val="20"/>
                <w:szCs w:val="20"/>
                <w:lang w:val="hy-AM"/>
              </w:rPr>
              <w:t xml:space="preserve"> </w:t>
            </w:r>
            <w:r w:rsidRPr="00AE7D71">
              <w:rPr>
                <w:rFonts w:eastAsia="Calibri" w:cs="Sylfaen"/>
                <w:bCs/>
                <w:i/>
                <w:iCs/>
                <w:color w:val="000000"/>
                <w:sz w:val="20"/>
                <w:szCs w:val="20"/>
                <w:lang w:val="hy-AM"/>
              </w:rPr>
              <w:t>Ընթացիկ</w:t>
            </w:r>
            <w:r w:rsidRPr="00AE7D71">
              <w:rPr>
                <w:rFonts w:eastAsia="Calibri" w:cs="Times New Roman"/>
                <w:bCs/>
                <w:i/>
                <w:iCs/>
                <w:color w:val="000000"/>
                <w:sz w:val="20"/>
                <w:szCs w:val="20"/>
                <w:lang w:val="hy-AM"/>
              </w:rPr>
              <w:t xml:space="preserve"> </w:t>
            </w:r>
            <w:r w:rsidRPr="00AE7D71">
              <w:rPr>
                <w:rFonts w:eastAsia="Calibri" w:cs="Sylfaen"/>
                <w:bCs/>
                <w:i/>
                <w:iCs/>
                <w:color w:val="000000"/>
                <w:sz w:val="20"/>
                <w:szCs w:val="20"/>
                <w:lang w:val="hy-AM"/>
              </w:rPr>
              <w:t>հաշվի</w:t>
            </w:r>
            <w:r w:rsidRPr="00AE7D71">
              <w:rPr>
                <w:rFonts w:eastAsia="Calibri" w:cs="Times New Roman"/>
                <w:bCs/>
                <w:i/>
                <w:iCs/>
                <w:color w:val="000000"/>
                <w:sz w:val="20"/>
                <w:szCs w:val="20"/>
                <w:lang w:val="hy-AM"/>
              </w:rPr>
              <w:t xml:space="preserve"> </w:t>
            </w:r>
            <w:r w:rsidRPr="00AE7D71">
              <w:rPr>
                <w:rFonts w:eastAsia="Calibri" w:cs="Sylfaen"/>
                <w:bCs/>
                <w:i/>
                <w:iCs/>
                <w:color w:val="000000"/>
                <w:sz w:val="20"/>
                <w:szCs w:val="20"/>
                <w:lang w:val="hy-AM"/>
              </w:rPr>
              <w:t>կանխատեսումները</w:t>
            </w:r>
            <w:r w:rsidRPr="00AE7D71">
              <w:rPr>
                <w:rFonts w:eastAsia="Calibri" w:cs="Times New Roman"/>
                <w:bCs/>
                <w:i/>
                <w:iCs/>
                <w:color w:val="000000"/>
                <w:sz w:val="20"/>
                <w:szCs w:val="20"/>
                <w:lang w:val="hy-AM"/>
              </w:rPr>
              <w:t xml:space="preserve"> </w:t>
            </w:r>
            <w:r w:rsidRPr="00AE7D71">
              <w:rPr>
                <w:rFonts w:eastAsia="Calibri" w:cs="Sylfaen"/>
                <w:bCs/>
                <w:i/>
                <w:iCs/>
                <w:color w:val="000000"/>
                <w:sz w:val="20"/>
                <w:szCs w:val="20"/>
                <w:lang w:val="hy-AM"/>
              </w:rPr>
              <w:t>միջնաժամկետ</w:t>
            </w:r>
            <w:r w:rsidRPr="00AE7D71">
              <w:rPr>
                <w:rFonts w:eastAsia="Calibri" w:cs="Times New Roman"/>
                <w:bCs/>
                <w:i/>
                <w:iCs/>
                <w:color w:val="000000"/>
                <w:sz w:val="20"/>
                <w:szCs w:val="20"/>
                <w:lang w:val="hy-AM"/>
              </w:rPr>
              <w:t xml:space="preserve"> </w:t>
            </w:r>
            <w:r w:rsidRPr="00AE7D71">
              <w:rPr>
                <w:rFonts w:eastAsia="Calibri" w:cs="Sylfaen"/>
                <w:bCs/>
                <w:i/>
                <w:iCs/>
                <w:color w:val="000000"/>
                <w:sz w:val="20"/>
                <w:szCs w:val="20"/>
                <w:lang w:val="hy-AM"/>
              </w:rPr>
              <w:t>ծախսային</w:t>
            </w:r>
            <w:r w:rsidRPr="00AE7D71">
              <w:rPr>
                <w:rFonts w:eastAsia="Calibri" w:cs="Times New Roman"/>
                <w:bCs/>
                <w:i/>
                <w:iCs/>
                <w:color w:val="000000"/>
                <w:sz w:val="20"/>
                <w:szCs w:val="20"/>
                <w:lang w:val="hy-AM"/>
              </w:rPr>
              <w:t xml:space="preserve"> </w:t>
            </w:r>
            <w:r w:rsidRPr="00AE7D71">
              <w:rPr>
                <w:rFonts w:eastAsia="Calibri" w:cs="Sylfaen"/>
                <w:bCs/>
                <w:i/>
                <w:iCs/>
                <w:color w:val="000000"/>
                <w:sz w:val="20"/>
                <w:szCs w:val="20"/>
                <w:lang w:val="hy-AM"/>
              </w:rPr>
              <w:t>ծրագրերով և 2020թ. պետական բյուջեով</w:t>
            </w:r>
          </w:p>
          <w:tbl>
            <w:tblPr>
              <w:tblW w:w="9936"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925"/>
              <w:gridCol w:w="2223"/>
              <w:gridCol w:w="1450"/>
              <w:gridCol w:w="1056"/>
              <w:gridCol w:w="1001"/>
              <w:gridCol w:w="1132"/>
              <w:gridCol w:w="1149"/>
            </w:tblGrid>
            <w:tr w:rsidR="00AE7D71" w:rsidRPr="00AE7D71" w14:paraId="5ADE3BA7" w14:textId="77777777" w:rsidTr="00AE7D71">
              <w:trPr>
                <w:trHeight w:val="309"/>
              </w:trPr>
              <w:tc>
                <w:tcPr>
                  <w:tcW w:w="1925" w:type="dxa"/>
                  <w:vMerge w:val="restart"/>
                  <w:shd w:val="clear" w:color="auto" w:fill="9CC2E5"/>
                  <w:noWrap/>
                  <w:vAlign w:val="center"/>
                  <w:hideMark/>
                </w:tcPr>
                <w:p w14:paraId="12DDBB29"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Ցուցանիշներ</w:t>
                  </w:r>
                </w:p>
              </w:tc>
              <w:tc>
                <w:tcPr>
                  <w:tcW w:w="2564" w:type="dxa"/>
                  <w:vMerge w:val="restart"/>
                  <w:shd w:val="clear" w:color="auto" w:fill="9CC2E5"/>
                  <w:vAlign w:val="center"/>
                  <w:hideMark/>
                </w:tcPr>
                <w:p w14:paraId="5F61C6D8"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Ծրագիր</w:t>
                  </w:r>
                </w:p>
              </w:tc>
              <w:tc>
                <w:tcPr>
                  <w:tcW w:w="1055" w:type="dxa"/>
                  <w:shd w:val="clear" w:color="auto" w:fill="9CC2E5"/>
                  <w:vAlign w:val="center"/>
                </w:tcPr>
                <w:p w14:paraId="45163A17"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20</w:t>
                  </w:r>
                  <w:r w:rsidRPr="00AE7D71">
                    <w:rPr>
                      <w:rFonts w:eastAsia="Times New Roman" w:cs="Calibri"/>
                      <w:b/>
                      <w:bCs/>
                      <w:color w:val="000000"/>
                      <w:sz w:val="18"/>
                      <w:szCs w:val="18"/>
                    </w:rPr>
                    <w:t>19</w:t>
                  </w:r>
                </w:p>
              </w:tc>
              <w:tc>
                <w:tcPr>
                  <w:tcW w:w="1056" w:type="dxa"/>
                  <w:shd w:val="clear" w:color="auto" w:fill="9CC2E5"/>
                  <w:vAlign w:val="center"/>
                  <w:hideMark/>
                </w:tcPr>
                <w:p w14:paraId="00BF543C"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2020</w:t>
                  </w:r>
                </w:p>
              </w:tc>
              <w:tc>
                <w:tcPr>
                  <w:tcW w:w="1055" w:type="dxa"/>
                  <w:shd w:val="clear" w:color="auto" w:fill="9CC2E5"/>
                  <w:vAlign w:val="center"/>
                  <w:hideMark/>
                </w:tcPr>
                <w:p w14:paraId="470F2709"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2021</w:t>
                  </w:r>
                </w:p>
              </w:tc>
              <w:tc>
                <w:tcPr>
                  <w:tcW w:w="1132" w:type="dxa"/>
                  <w:shd w:val="clear" w:color="auto" w:fill="9CC2E5"/>
                  <w:vAlign w:val="center"/>
                  <w:hideMark/>
                </w:tcPr>
                <w:p w14:paraId="2B5968AD"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2022</w:t>
                  </w:r>
                </w:p>
              </w:tc>
              <w:tc>
                <w:tcPr>
                  <w:tcW w:w="1149" w:type="dxa"/>
                  <w:shd w:val="clear" w:color="auto" w:fill="9CC2E5"/>
                  <w:vAlign w:val="center"/>
                  <w:hideMark/>
                </w:tcPr>
                <w:p w14:paraId="20118313" w14:textId="77777777" w:rsidR="00AE7D71" w:rsidRPr="00AE7D71" w:rsidRDefault="00AE7D71" w:rsidP="00AE7D71">
                  <w:pPr>
                    <w:spacing w:before="0" w:after="0" w:line="240" w:lineRule="auto"/>
                    <w:ind w:firstLine="0"/>
                    <w:jc w:val="center"/>
                    <w:rPr>
                      <w:rFonts w:eastAsia="Times New Roman" w:cs="Calibri"/>
                      <w:b/>
                      <w:bCs/>
                      <w:color w:val="000000"/>
                      <w:sz w:val="18"/>
                      <w:szCs w:val="18"/>
                    </w:rPr>
                  </w:pPr>
                  <w:r w:rsidRPr="00AE7D71">
                    <w:rPr>
                      <w:rFonts w:eastAsia="Times New Roman" w:cs="Calibri"/>
                      <w:b/>
                      <w:bCs/>
                      <w:color w:val="000000"/>
                      <w:sz w:val="18"/>
                      <w:szCs w:val="18"/>
                      <w:lang w:val="hy-AM"/>
                    </w:rPr>
                    <w:t>2023</w:t>
                  </w:r>
                </w:p>
              </w:tc>
            </w:tr>
            <w:tr w:rsidR="00AE7D71" w:rsidRPr="00AE7D71" w14:paraId="62E792DE" w14:textId="77777777" w:rsidTr="00AE7D71">
              <w:trPr>
                <w:trHeight w:val="309"/>
              </w:trPr>
              <w:tc>
                <w:tcPr>
                  <w:tcW w:w="1925" w:type="dxa"/>
                  <w:vMerge/>
                  <w:shd w:val="clear" w:color="auto" w:fill="9CC2E5"/>
                  <w:vAlign w:val="center"/>
                  <w:hideMark/>
                </w:tcPr>
                <w:p w14:paraId="1AA36803"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564" w:type="dxa"/>
                  <w:vMerge/>
                  <w:shd w:val="clear" w:color="auto" w:fill="9CC2E5"/>
                  <w:vAlign w:val="center"/>
                  <w:hideMark/>
                </w:tcPr>
                <w:p w14:paraId="09D9F59D"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1055" w:type="dxa"/>
                  <w:shd w:val="clear" w:color="auto" w:fill="9CC2E5"/>
                  <w:vAlign w:val="center"/>
                </w:tcPr>
                <w:p w14:paraId="09B03632" w14:textId="77777777" w:rsidR="00AE7D71" w:rsidRPr="00AE7D71" w:rsidRDefault="00AE7D71" w:rsidP="00AE7D71">
                  <w:pPr>
                    <w:spacing w:before="0" w:after="0" w:line="240" w:lineRule="auto"/>
                    <w:ind w:firstLine="0"/>
                    <w:jc w:val="center"/>
                    <w:rPr>
                      <w:rFonts w:eastAsia="Times New Roman" w:cs="Calibri"/>
                      <w:i/>
                      <w:iCs/>
                      <w:color w:val="000000"/>
                      <w:sz w:val="18"/>
                      <w:szCs w:val="18"/>
                      <w:lang w:val="hy-AM"/>
                    </w:rPr>
                  </w:pPr>
                  <w:r w:rsidRPr="00AE7D71">
                    <w:rPr>
                      <w:rFonts w:eastAsia="Times New Roman" w:cs="Calibri"/>
                      <w:i/>
                      <w:iCs/>
                      <w:color w:val="000000"/>
                      <w:sz w:val="18"/>
                      <w:szCs w:val="18"/>
                      <w:lang w:val="hy-AM"/>
                    </w:rPr>
                    <w:t>փաստ</w:t>
                  </w:r>
                  <w:r w:rsidRPr="00AE7D71">
                    <w:rPr>
                      <w:rFonts w:eastAsia="Times New Roman" w:cs="Calibri"/>
                      <w:i/>
                      <w:iCs/>
                      <w:color w:val="000000"/>
                      <w:sz w:val="18"/>
                      <w:szCs w:val="18"/>
                    </w:rPr>
                    <w:t>*</w:t>
                  </w:r>
                  <w:r w:rsidRPr="00AE7D71">
                    <w:rPr>
                      <w:rFonts w:eastAsia="Times New Roman" w:cs="Calibri"/>
                      <w:i/>
                      <w:iCs/>
                      <w:color w:val="000000"/>
                      <w:sz w:val="18"/>
                      <w:szCs w:val="18"/>
                      <w:lang w:val="hy-AM"/>
                    </w:rPr>
                    <w:t>/կանխ.</w:t>
                  </w:r>
                </w:p>
              </w:tc>
              <w:tc>
                <w:tcPr>
                  <w:tcW w:w="1056" w:type="dxa"/>
                  <w:shd w:val="clear" w:color="auto" w:fill="9CC2E5"/>
                  <w:vAlign w:val="center"/>
                  <w:hideMark/>
                </w:tcPr>
                <w:p w14:paraId="481BCB72" w14:textId="77777777" w:rsidR="00AE7D71" w:rsidRPr="00AE7D71" w:rsidRDefault="00AE7D71" w:rsidP="00AE7D71">
                  <w:pPr>
                    <w:spacing w:before="0" w:after="0" w:line="240" w:lineRule="auto"/>
                    <w:ind w:firstLine="0"/>
                    <w:jc w:val="center"/>
                    <w:rPr>
                      <w:rFonts w:eastAsia="Times New Roman" w:cs="Calibri"/>
                      <w:i/>
                      <w:iCs/>
                      <w:color w:val="000000"/>
                      <w:sz w:val="18"/>
                      <w:szCs w:val="18"/>
                    </w:rPr>
                  </w:pPr>
                  <w:r w:rsidRPr="00AE7D71">
                    <w:rPr>
                      <w:rFonts w:eastAsia="Times New Roman" w:cs="Calibri"/>
                      <w:i/>
                      <w:iCs/>
                      <w:color w:val="000000"/>
                      <w:sz w:val="18"/>
                      <w:szCs w:val="18"/>
                      <w:lang w:val="hy-AM"/>
                    </w:rPr>
                    <w:t>կանխ.</w:t>
                  </w:r>
                </w:p>
              </w:tc>
              <w:tc>
                <w:tcPr>
                  <w:tcW w:w="1055" w:type="dxa"/>
                  <w:shd w:val="clear" w:color="auto" w:fill="9CC2E5"/>
                  <w:vAlign w:val="center"/>
                  <w:hideMark/>
                </w:tcPr>
                <w:p w14:paraId="6D589F7D" w14:textId="77777777" w:rsidR="00AE7D71" w:rsidRPr="00AE7D71" w:rsidRDefault="00AE7D71" w:rsidP="00AE7D71">
                  <w:pPr>
                    <w:spacing w:before="0" w:after="0" w:line="240" w:lineRule="auto"/>
                    <w:ind w:firstLine="0"/>
                    <w:jc w:val="center"/>
                    <w:rPr>
                      <w:rFonts w:eastAsia="Times New Roman" w:cs="Calibri"/>
                      <w:i/>
                      <w:iCs/>
                      <w:color w:val="000000"/>
                      <w:sz w:val="18"/>
                      <w:szCs w:val="18"/>
                    </w:rPr>
                  </w:pPr>
                  <w:r w:rsidRPr="00AE7D71">
                    <w:rPr>
                      <w:rFonts w:eastAsia="Times New Roman" w:cs="Calibri"/>
                      <w:i/>
                      <w:iCs/>
                      <w:color w:val="000000"/>
                      <w:sz w:val="18"/>
                      <w:szCs w:val="18"/>
                      <w:lang w:val="hy-AM"/>
                    </w:rPr>
                    <w:t>կանխ.</w:t>
                  </w:r>
                </w:p>
              </w:tc>
              <w:tc>
                <w:tcPr>
                  <w:tcW w:w="1132" w:type="dxa"/>
                  <w:shd w:val="clear" w:color="auto" w:fill="9CC2E5"/>
                  <w:vAlign w:val="center"/>
                  <w:hideMark/>
                </w:tcPr>
                <w:p w14:paraId="7BEB7EC2" w14:textId="77777777" w:rsidR="00AE7D71" w:rsidRPr="00AE7D71" w:rsidRDefault="00AE7D71" w:rsidP="00AE7D71">
                  <w:pPr>
                    <w:spacing w:before="0" w:after="0" w:line="240" w:lineRule="auto"/>
                    <w:ind w:firstLine="0"/>
                    <w:jc w:val="center"/>
                    <w:rPr>
                      <w:rFonts w:eastAsia="Times New Roman" w:cs="Calibri"/>
                      <w:i/>
                      <w:iCs/>
                      <w:color w:val="000000"/>
                      <w:sz w:val="18"/>
                      <w:szCs w:val="18"/>
                    </w:rPr>
                  </w:pPr>
                  <w:r w:rsidRPr="00AE7D71">
                    <w:rPr>
                      <w:rFonts w:eastAsia="Times New Roman" w:cs="Calibri"/>
                      <w:i/>
                      <w:iCs/>
                      <w:color w:val="000000"/>
                      <w:sz w:val="18"/>
                      <w:szCs w:val="18"/>
                      <w:lang w:val="hy-AM"/>
                    </w:rPr>
                    <w:t>կանխ.</w:t>
                  </w:r>
                </w:p>
              </w:tc>
              <w:tc>
                <w:tcPr>
                  <w:tcW w:w="1149" w:type="dxa"/>
                  <w:shd w:val="clear" w:color="auto" w:fill="9CC2E5"/>
                  <w:vAlign w:val="center"/>
                  <w:hideMark/>
                </w:tcPr>
                <w:p w14:paraId="146ADE87" w14:textId="77777777" w:rsidR="00AE7D71" w:rsidRPr="00AE7D71" w:rsidRDefault="00AE7D71" w:rsidP="00AE7D71">
                  <w:pPr>
                    <w:spacing w:before="0" w:after="0" w:line="240" w:lineRule="auto"/>
                    <w:ind w:firstLine="0"/>
                    <w:jc w:val="center"/>
                    <w:rPr>
                      <w:rFonts w:eastAsia="Times New Roman" w:cs="Calibri"/>
                      <w:i/>
                      <w:iCs/>
                      <w:color w:val="000000"/>
                      <w:sz w:val="18"/>
                      <w:szCs w:val="18"/>
                    </w:rPr>
                  </w:pPr>
                  <w:r w:rsidRPr="00AE7D71">
                    <w:rPr>
                      <w:rFonts w:eastAsia="Times New Roman" w:cs="Calibri"/>
                      <w:i/>
                      <w:iCs/>
                      <w:color w:val="000000"/>
                      <w:sz w:val="18"/>
                      <w:szCs w:val="18"/>
                      <w:lang w:val="hy-AM"/>
                    </w:rPr>
                    <w:t>կանխ.</w:t>
                  </w:r>
                </w:p>
              </w:tc>
            </w:tr>
            <w:tr w:rsidR="00AE7D71" w:rsidRPr="00AE7D71" w14:paraId="2C438464" w14:textId="77777777" w:rsidTr="00AE7D71">
              <w:trPr>
                <w:trHeight w:val="309"/>
              </w:trPr>
              <w:tc>
                <w:tcPr>
                  <w:tcW w:w="1925" w:type="dxa"/>
                  <w:vMerge w:val="restart"/>
                  <w:shd w:val="clear" w:color="auto" w:fill="auto"/>
                  <w:vAlign w:val="center"/>
                  <w:hideMark/>
                </w:tcPr>
                <w:p w14:paraId="68FA46D5"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r w:rsidRPr="00AE7D71">
                    <w:rPr>
                      <w:rFonts w:eastAsia="Times New Roman" w:cs="Calibri"/>
                      <w:b/>
                      <w:bCs/>
                      <w:color w:val="000000"/>
                      <w:sz w:val="18"/>
                      <w:szCs w:val="18"/>
                    </w:rPr>
                    <w:t>Ընթացիկ հաշիվ, մլն ԱՄՆ դոլար</w:t>
                  </w:r>
                </w:p>
              </w:tc>
              <w:tc>
                <w:tcPr>
                  <w:tcW w:w="2564" w:type="dxa"/>
                  <w:shd w:val="clear" w:color="auto" w:fill="auto"/>
                  <w:vAlign w:val="center"/>
                  <w:hideMark/>
                </w:tcPr>
                <w:p w14:paraId="647C40B4"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2021-2023 ՄԺԾԾ</w:t>
                  </w:r>
                </w:p>
              </w:tc>
              <w:tc>
                <w:tcPr>
                  <w:tcW w:w="1055" w:type="dxa"/>
                </w:tcPr>
                <w:p w14:paraId="0DCB25BE"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-987.5</w:t>
                  </w:r>
                </w:p>
              </w:tc>
              <w:tc>
                <w:tcPr>
                  <w:tcW w:w="1056" w:type="dxa"/>
                  <w:shd w:val="clear" w:color="auto" w:fill="auto"/>
                  <w:noWrap/>
                  <w:hideMark/>
                </w:tcPr>
                <w:p w14:paraId="45739029"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-1,247.3</w:t>
                  </w:r>
                </w:p>
              </w:tc>
              <w:tc>
                <w:tcPr>
                  <w:tcW w:w="1055" w:type="dxa"/>
                  <w:shd w:val="clear" w:color="auto" w:fill="auto"/>
                  <w:hideMark/>
                </w:tcPr>
                <w:p w14:paraId="7D6E6030"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-1,020.0</w:t>
                  </w:r>
                </w:p>
              </w:tc>
              <w:tc>
                <w:tcPr>
                  <w:tcW w:w="1132" w:type="dxa"/>
                  <w:shd w:val="clear" w:color="auto" w:fill="auto"/>
                  <w:noWrap/>
                  <w:hideMark/>
                </w:tcPr>
                <w:p w14:paraId="0E6D15D7"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-953.1</w:t>
                  </w:r>
                </w:p>
              </w:tc>
              <w:tc>
                <w:tcPr>
                  <w:tcW w:w="1149" w:type="dxa"/>
                  <w:shd w:val="clear" w:color="auto" w:fill="auto"/>
                  <w:noWrap/>
                  <w:hideMark/>
                </w:tcPr>
                <w:p w14:paraId="09EB8B16"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-917.7</w:t>
                  </w:r>
                </w:p>
              </w:tc>
            </w:tr>
            <w:tr w:rsidR="00AE7D71" w:rsidRPr="00AE7D71" w14:paraId="3B9577EC" w14:textId="77777777" w:rsidTr="00AE7D71">
              <w:trPr>
                <w:trHeight w:val="309"/>
              </w:trPr>
              <w:tc>
                <w:tcPr>
                  <w:tcW w:w="1925" w:type="dxa"/>
                  <w:vMerge/>
                  <w:vAlign w:val="center"/>
                  <w:hideMark/>
                </w:tcPr>
                <w:p w14:paraId="353AA90D"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564" w:type="dxa"/>
                  <w:shd w:val="clear" w:color="auto" w:fill="auto"/>
                  <w:vAlign w:val="center"/>
                  <w:hideMark/>
                </w:tcPr>
                <w:p w14:paraId="26741E75"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2020 Պետական բյուջե</w:t>
                  </w:r>
                </w:p>
              </w:tc>
              <w:tc>
                <w:tcPr>
                  <w:tcW w:w="1055" w:type="dxa"/>
                </w:tcPr>
                <w:p w14:paraId="4FC133F6"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-943.9</w:t>
                  </w:r>
                </w:p>
              </w:tc>
              <w:tc>
                <w:tcPr>
                  <w:tcW w:w="1056" w:type="dxa"/>
                  <w:shd w:val="clear" w:color="auto" w:fill="auto"/>
                  <w:noWrap/>
                  <w:hideMark/>
                </w:tcPr>
                <w:p w14:paraId="41F34CD1"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-862.5</w:t>
                  </w:r>
                </w:p>
              </w:tc>
              <w:tc>
                <w:tcPr>
                  <w:tcW w:w="1055" w:type="dxa"/>
                  <w:shd w:val="clear" w:color="auto" w:fill="auto"/>
                  <w:vAlign w:val="center"/>
                  <w:hideMark/>
                </w:tcPr>
                <w:p w14:paraId="2DD6CFB5"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c>
                <w:tcPr>
                  <w:tcW w:w="1132" w:type="dxa"/>
                  <w:shd w:val="clear" w:color="auto" w:fill="auto"/>
                  <w:noWrap/>
                  <w:vAlign w:val="center"/>
                  <w:hideMark/>
                </w:tcPr>
                <w:p w14:paraId="24EB2E2B"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c>
                <w:tcPr>
                  <w:tcW w:w="1149" w:type="dxa"/>
                  <w:shd w:val="clear" w:color="auto" w:fill="auto"/>
                  <w:noWrap/>
                  <w:vAlign w:val="center"/>
                  <w:hideMark/>
                </w:tcPr>
                <w:p w14:paraId="6D56F22C"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r>
            <w:tr w:rsidR="00AE7D71" w:rsidRPr="00AE7D71" w14:paraId="4367AA60" w14:textId="77777777" w:rsidTr="00AE7D71">
              <w:trPr>
                <w:trHeight w:val="309"/>
              </w:trPr>
              <w:tc>
                <w:tcPr>
                  <w:tcW w:w="1925" w:type="dxa"/>
                  <w:vMerge/>
                  <w:vAlign w:val="center"/>
                  <w:hideMark/>
                </w:tcPr>
                <w:p w14:paraId="70266EF9"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564" w:type="dxa"/>
                  <w:shd w:val="clear" w:color="auto" w:fill="auto"/>
                  <w:vAlign w:val="center"/>
                  <w:hideMark/>
                </w:tcPr>
                <w:p w14:paraId="0D7C4949"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2020-2022 ՄԺԾԾ</w:t>
                  </w:r>
                </w:p>
              </w:tc>
              <w:tc>
                <w:tcPr>
                  <w:tcW w:w="1055" w:type="dxa"/>
                </w:tcPr>
                <w:p w14:paraId="74142EB0"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-915.4</w:t>
                  </w:r>
                </w:p>
              </w:tc>
              <w:tc>
                <w:tcPr>
                  <w:tcW w:w="1056" w:type="dxa"/>
                  <w:shd w:val="clear" w:color="auto" w:fill="auto"/>
                  <w:noWrap/>
                  <w:hideMark/>
                </w:tcPr>
                <w:p w14:paraId="4550067B"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-911.1</w:t>
                  </w:r>
                </w:p>
              </w:tc>
              <w:tc>
                <w:tcPr>
                  <w:tcW w:w="1055" w:type="dxa"/>
                  <w:shd w:val="clear" w:color="auto" w:fill="auto"/>
                  <w:hideMark/>
                </w:tcPr>
                <w:p w14:paraId="2A156FEE"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-843.6</w:t>
                  </w:r>
                </w:p>
              </w:tc>
              <w:tc>
                <w:tcPr>
                  <w:tcW w:w="1132" w:type="dxa"/>
                  <w:shd w:val="clear" w:color="auto" w:fill="auto"/>
                  <w:noWrap/>
                  <w:hideMark/>
                </w:tcPr>
                <w:p w14:paraId="1373CFBC"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-730.4</w:t>
                  </w:r>
                </w:p>
              </w:tc>
              <w:tc>
                <w:tcPr>
                  <w:tcW w:w="1149" w:type="dxa"/>
                  <w:shd w:val="clear" w:color="auto" w:fill="auto"/>
                  <w:noWrap/>
                  <w:vAlign w:val="center"/>
                  <w:hideMark/>
                </w:tcPr>
                <w:p w14:paraId="5CF523B4"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r>
            <w:tr w:rsidR="00AE7D71" w:rsidRPr="00AE7D71" w14:paraId="46C718B0" w14:textId="77777777" w:rsidTr="00AE7D71">
              <w:trPr>
                <w:trHeight w:val="309"/>
              </w:trPr>
              <w:tc>
                <w:tcPr>
                  <w:tcW w:w="1925" w:type="dxa"/>
                  <w:vMerge w:val="restart"/>
                  <w:shd w:val="clear" w:color="auto" w:fill="auto"/>
                  <w:vAlign w:val="center"/>
                  <w:hideMark/>
                </w:tcPr>
                <w:p w14:paraId="7AFFF39F"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r w:rsidRPr="00AE7D71">
                    <w:rPr>
                      <w:rFonts w:eastAsia="Times New Roman" w:cs="Calibri"/>
                      <w:b/>
                      <w:bCs/>
                      <w:color w:val="000000"/>
                      <w:sz w:val="18"/>
                      <w:szCs w:val="18"/>
                    </w:rPr>
                    <w:t>Ընթացիկ հաշիվ, %-ով՝ ՀՆԱ-ի նկատմամբ</w:t>
                  </w:r>
                </w:p>
              </w:tc>
              <w:tc>
                <w:tcPr>
                  <w:tcW w:w="2564" w:type="dxa"/>
                  <w:shd w:val="clear" w:color="auto" w:fill="auto"/>
                  <w:vAlign w:val="center"/>
                  <w:hideMark/>
                </w:tcPr>
                <w:p w14:paraId="4832174B"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2021-2023 ՄԺԾԾ</w:t>
                  </w:r>
                </w:p>
              </w:tc>
              <w:tc>
                <w:tcPr>
                  <w:tcW w:w="1055" w:type="dxa"/>
                </w:tcPr>
                <w:p w14:paraId="44B46DE4"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-7.2</w:t>
                  </w:r>
                </w:p>
              </w:tc>
              <w:tc>
                <w:tcPr>
                  <w:tcW w:w="1056" w:type="dxa"/>
                  <w:shd w:val="clear" w:color="auto" w:fill="auto"/>
                  <w:noWrap/>
                  <w:hideMark/>
                </w:tcPr>
                <w:p w14:paraId="58E88EE8"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-9.7</w:t>
                  </w:r>
                </w:p>
              </w:tc>
              <w:tc>
                <w:tcPr>
                  <w:tcW w:w="1055" w:type="dxa"/>
                  <w:shd w:val="clear" w:color="auto" w:fill="auto"/>
                  <w:hideMark/>
                </w:tcPr>
                <w:p w14:paraId="6CBF3445"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-7.3</w:t>
                  </w:r>
                </w:p>
              </w:tc>
              <w:tc>
                <w:tcPr>
                  <w:tcW w:w="1132" w:type="dxa"/>
                  <w:shd w:val="clear" w:color="auto" w:fill="auto"/>
                  <w:noWrap/>
                  <w:hideMark/>
                </w:tcPr>
                <w:p w14:paraId="7E451AAC"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-6.3</w:t>
                  </w:r>
                </w:p>
              </w:tc>
              <w:tc>
                <w:tcPr>
                  <w:tcW w:w="1149" w:type="dxa"/>
                  <w:shd w:val="clear" w:color="auto" w:fill="auto"/>
                  <w:noWrap/>
                  <w:hideMark/>
                </w:tcPr>
                <w:p w14:paraId="3C1D2FFF"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-5.6</w:t>
                  </w:r>
                </w:p>
              </w:tc>
            </w:tr>
            <w:tr w:rsidR="00AE7D71" w:rsidRPr="00AE7D71" w14:paraId="5E62A122" w14:textId="77777777" w:rsidTr="00AE7D71">
              <w:trPr>
                <w:trHeight w:val="309"/>
              </w:trPr>
              <w:tc>
                <w:tcPr>
                  <w:tcW w:w="1925" w:type="dxa"/>
                  <w:vMerge/>
                  <w:vAlign w:val="center"/>
                  <w:hideMark/>
                </w:tcPr>
                <w:p w14:paraId="5F0AE39D"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564" w:type="dxa"/>
                  <w:shd w:val="clear" w:color="auto" w:fill="auto"/>
                  <w:vAlign w:val="center"/>
                  <w:hideMark/>
                </w:tcPr>
                <w:p w14:paraId="3FCAE968"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2020 Պետական բյուջե</w:t>
                  </w:r>
                </w:p>
              </w:tc>
              <w:tc>
                <w:tcPr>
                  <w:tcW w:w="1055" w:type="dxa"/>
                </w:tcPr>
                <w:p w14:paraId="66691FC8"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-7.0</w:t>
                  </w:r>
                </w:p>
              </w:tc>
              <w:tc>
                <w:tcPr>
                  <w:tcW w:w="1056" w:type="dxa"/>
                  <w:shd w:val="clear" w:color="auto" w:fill="auto"/>
                  <w:noWrap/>
                  <w:hideMark/>
                </w:tcPr>
                <w:p w14:paraId="69F53629"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-6.0</w:t>
                  </w:r>
                </w:p>
              </w:tc>
              <w:tc>
                <w:tcPr>
                  <w:tcW w:w="1055" w:type="dxa"/>
                  <w:shd w:val="clear" w:color="auto" w:fill="auto"/>
                  <w:vAlign w:val="center"/>
                  <w:hideMark/>
                </w:tcPr>
                <w:p w14:paraId="7F2BC26B"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c>
                <w:tcPr>
                  <w:tcW w:w="1132" w:type="dxa"/>
                  <w:shd w:val="clear" w:color="auto" w:fill="auto"/>
                  <w:noWrap/>
                  <w:vAlign w:val="center"/>
                  <w:hideMark/>
                </w:tcPr>
                <w:p w14:paraId="4CCE88EB"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c>
                <w:tcPr>
                  <w:tcW w:w="1149" w:type="dxa"/>
                  <w:shd w:val="clear" w:color="auto" w:fill="auto"/>
                  <w:noWrap/>
                  <w:vAlign w:val="center"/>
                  <w:hideMark/>
                </w:tcPr>
                <w:p w14:paraId="2A677790"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r>
            <w:tr w:rsidR="00AE7D71" w:rsidRPr="00AE7D71" w14:paraId="4FD16B79" w14:textId="77777777" w:rsidTr="00AE7D71">
              <w:trPr>
                <w:trHeight w:val="309"/>
              </w:trPr>
              <w:tc>
                <w:tcPr>
                  <w:tcW w:w="1925" w:type="dxa"/>
                  <w:vMerge/>
                  <w:vAlign w:val="center"/>
                  <w:hideMark/>
                </w:tcPr>
                <w:p w14:paraId="08CC7CAE" w14:textId="77777777" w:rsidR="00AE7D71" w:rsidRPr="00AE7D71" w:rsidRDefault="00AE7D71" w:rsidP="00AE7D71">
                  <w:pPr>
                    <w:spacing w:before="0" w:after="0" w:line="240" w:lineRule="auto"/>
                    <w:ind w:firstLine="0"/>
                    <w:jc w:val="left"/>
                    <w:rPr>
                      <w:rFonts w:eastAsia="Times New Roman" w:cs="Calibri"/>
                      <w:b/>
                      <w:bCs/>
                      <w:color w:val="000000"/>
                      <w:sz w:val="18"/>
                      <w:szCs w:val="18"/>
                    </w:rPr>
                  </w:pPr>
                </w:p>
              </w:tc>
              <w:tc>
                <w:tcPr>
                  <w:tcW w:w="2564" w:type="dxa"/>
                  <w:shd w:val="clear" w:color="auto" w:fill="auto"/>
                  <w:vAlign w:val="center"/>
                  <w:hideMark/>
                </w:tcPr>
                <w:p w14:paraId="27D7E532" w14:textId="77777777" w:rsidR="00AE7D71" w:rsidRPr="00AE7D71" w:rsidRDefault="00AE7D71" w:rsidP="00AE7D71">
                  <w:pPr>
                    <w:spacing w:before="0" w:after="0" w:line="240" w:lineRule="auto"/>
                    <w:ind w:firstLine="0"/>
                    <w:jc w:val="left"/>
                    <w:rPr>
                      <w:rFonts w:eastAsia="Times New Roman" w:cs="Calibri"/>
                      <w:i/>
                      <w:iCs/>
                      <w:color w:val="000000"/>
                      <w:sz w:val="18"/>
                      <w:szCs w:val="18"/>
                    </w:rPr>
                  </w:pPr>
                  <w:r w:rsidRPr="00AE7D71">
                    <w:rPr>
                      <w:rFonts w:eastAsia="Times New Roman" w:cs="Calibri"/>
                      <w:i/>
                      <w:iCs/>
                      <w:color w:val="000000"/>
                      <w:sz w:val="18"/>
                      <w:szCs w:val="18"/>
                    </w:rPr>
                    <w:t>2020-2022 ՄԺԾԾ</w:t>
                  </w:r>
                </w:p>
              </w:tc>
              <w:tc>
                <w:tcPr>
                  <w:tcW w:w="1055" w:type="dxa"/>
                </w:tcPr>
                <w:p w14:paraId="20807BAB"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-7.0</w:t>
                  </w:r>
                </w:p>
              </w:tc>
              <w:tc>
                <w:tcPr>
                  <w:tcW w:w="1056" w:type="dxa"/>
                  <w:shd w:val="clear" w:color="auto" w:fill="auto"/>
                  <w:noWrap/>
                  <w:hideMark/>
                </w:tcPr>
                <w:p w14:paraId="7C15140D"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-6.6</w:t>
                  </w:r>
                </w:p>
              </w:tc>
              <w:tc>
                <w:tcPr>
                  <w:tcW w:w="1055" w:type="dxa"/>
                  <w:shd w:val="clear" w:color="auto" w:fill="auto"/>
                  <w:hideMark/>
                </w:tcPr>
                <w:p w14:paraId="4FAF3B1F"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-5.7</w:t>
                  </w:r>
                </w:p>
              </w:tc>
              <w:tc>
                <w:tcPr>
                  <w:tcW w:w="1132" w:type="dxa"/>
                  <w:shd w:val="clear" w:color="auto" w:fill="auto"/>
                  <w:noWrap/>
                  <w:hideMark/>
                </w:tcPr>
                <w:p w14:paraId="107BEC9B"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-4.6</w:t>
                  </w:r>
                </w:p>
              </w:tc>
              <w:tc>
                <w:tcPr>
                  <w:tcW w:w="1149" w:type="dxa"/>
                  <w:shd w:val="clear" w:color="auto" w:fill="auto"/>
                  <w:noWrap/>
                  <w:vAlign w:val="center"/>
                  <w:hideMark/>
                </w:tcPr>
                <w:p w14:paraId="7D30AFB3" w14:textId="77777777" w:rsidR="00AE7D71" w:rsidRPr="00AE7D71" w:rsidRDefault="00AE7D71" w:rsidP="00AE7D71">
                  <w:pPr>
                    <w:spacing w:before="0" w:after="0" w:line="240" w:lineRule="auto"/>
                    <w:ind w:firstLine="0"/>
                    <w:jc w:val="center"/>
                    <w:rPr>
                      <w:rFonts w:eastAsia="Times New Roman" w:cs="Calibri"/>
                      <w:color w:val="000000"/>
                      <w:sz w:val="18"/>
                      <w:szCs w:val="18"/>
                    </w:rPr>
                  </w:pPr>
                  <w:r w:rsidRPr="00AE7D71">
                    <w:rPr>
                      <w:rFonts w:eastAsia="Times New Roman" w:cs="Calibri"/>
                      <w:color w:val="000000"/>
                      <w:sz w:val="18"/>
                      <w:szCs w:val="18"/>
                    </w:rPr>
                    <w:t>-</w:t>
                  </w:r>
                </w:p>
              </w:tc>
            </w:tr>
          </w:tbl>
          <w:p w14:paraId="3014EE21" w14:textId="77777777" w:rsidR="00AE7D71" w:rsidRPr="00AE7D71" w:rsidRDefault="00AE7D71" w:rsidP="00AE7D71">
            <w:pPr>
              <w:spacing w:before="0" w:after="0" w:line="276" w:lineRule="auto"/>
              <w:ind w:firstLine="0"/>
              <w:rPr>
                <w:rFonts w:eastAsia="Calibri" w:cs="Times New Roman"/>
                <w:sz w:val="18"/>
                <w:szCs w:val="18"/>
                <w:lang w:val="hy-AM"/>
              </w:rPr>
            </w:pPr>
            <w:r w:rsidRPr="00AE7D71">
              <w:rPr>
                <w:rFonts w:eastAsia="Calibri" w:cs="Times New Roman"/>
                <w:sz w:val="18"/>
                <w:szCs w:val="18"/>
              </w:rPr>
              <w:t xml:space="preserve">* </w:t>
            </w:r>
            <w:r w:rsidRPr="00AE7D71">
              <w:rPr>
                <w:rFonts w:eastAsia="Times New Roman" w:cs="Calibri"/>
                <w:i/>
                <w:iCs/>
                <w:color w:val="000000"/>
                <w:sz w:val="18"/>
                <w:szCs w:val="18"/>
              </w:rPr>
              <w:t xml:space="preserve">2021-2023 ՄԺԾԾ </w:t>
            </w:r>
            <w:r w:rsidRPr="00AE7D71">
              <w:rPr>
                <w:rFonts w:eastAsia="Times New Roman" w:cs="Calibri"/>
                <w:i/>
                <w:iCs/>
                <w:color w:val="000000"/>
                <w:sz w:val="18"/>
                <w:szCs w:val="18"/>
                <w:lang w:val="hy-AM"/>
              </w:rPr>
              <w:t xml:space="preserve">համար </w:t>
            </w:r>
            <w:r w:rsidRPr="00AE7D71">
              <w:rPr>
                <w:rFonts w:eastAsia="Times New Roman" w:cs="Calibri"/>
                <w:i/>
                <w:iCs/>
                <w:color w:val="000000"/>
                <w:sz w:val="18"/>
                <w:szCs w:val="18"/>
              </w:rPr>
              <w:t>2019</w:t>
            </w:r>
            <w:r w:rsidRPr="00AE7D71">
              <w:rPr>
                <w:rFonts w:eastAsia="Times New Roman" w:cs="Calibri"/>
                <w:i/>
                <w:iCs/>
                <w:color w:val="000000"/>
                <w:sz w:val="18"/>
                <w:szCs w:val="18"/>
                <w:lang w:val="hy-AM"/>
              </w:rPr>
              <w:t xml:space="preserve">թ. ցուցանիշները փաստացի են </w:t>
            </w:r>
            <w:r w:rsidRPr="00AE7D71">
              <w:rPr>
                <w:rFonts w:eastAsia="Calibri" w:cs="Times New Roman"/>
                <w:lang w:val="hy-AM"/>
              </w:rPr>
              <w:t xml:space="preserve">  </w:t>
            </w:r>
          </w:p>
          <w:p w14:paraId="2E00346B" w14:textId="77777777" w:rsidR="00AE7D71" w:rsidRPr="00AE7D71" w:rsidRDefault="00AE7D71" w:rsidP="00AE7D71">
            <w:pPr>
              <w:spacing w:before="0" w:after="0" w:line="276" w:lineRule="auto"/>
              <w:ind w:firstLine="0"/>
              <w:rPr>
                <w:rFonts w:eastAsia="Calibri" w:cs="Times New Roman"/>
                <w:sz w:val="18"/>
                <w:szCs w:val="18"/>
                <w:lang w:val="hy-AM"/>
              </w:rPr>
            </w:pPr>
            <w:r w:rsidRPr="00AE7D71">
              <w:rPr>
                <w:rFonts w:eastAsia="Calibri" w:cs="Times New Roman"/>
                <w:sz w:val="18"/>
                <w:szCs w:val="18"/>
                <w:lang w:val="hy-AM"/>
              </w:rPr>
              <w:t>Աղբյուրը ՝ ՀՀ ՖՆ կանխատեսումներ</w:t>
            </w:r>
          </w:p>
          <w:p w14:paraId="58E7AAD6" w14:textId="77777777" w:rsidR="00AE7D71" w:rsidRPr="00AE7D71" w:rsidRDefault="00AE7D71" w:rsidP="00AE7D71">
            <w:pPr>
              <w:spacing w:before="0" w:after="0" w:line="276" w:lineRule="auto"/>
              <w:ind w:firstLine="0"/>
              <w:rPr>
                <w:rFonts w:eastAsia="Calibri" w:cs="Times New Roman"/>
                <w:sz w:val="18"/>
                <w:szCs w:val="18"/>
                <w:lang w:val="hy-AM"/>
              </w:rPr>
            </w:pPr>
          </w:p>
          <w:p w14:paraId="1CBAE628" w14:textId="77777777" w:rsidR="00772498" w:rsidRPr="00D3283A" w:rsidRDefault="00772498" w:rsidP="00772498">
            <w:pPr>
              <w:rPr>
                <w:sz w:val="20"/>
                <w:szCs w:val="20"/>
              </w:rPr>
            </w:pPr>
          </w:p>
          <w:p w14:paraId="491C434E" w14:textId="77777777" w:rsidR="00772498" w:rsidRPr="00B45D8B" w:rsidRDefault="00772498" w:rsidP="00772498">
            <w:pPr>
              <w:pStyle w:val="StyleHeading1SectionSectionHeadingText11Chapterhead3"/>
              <w:rPr>
                <w:lang w:val="hy-AM"/>
              </w:rPr>
            </w:pPr>
          </w:p>
          <w:p w14:paraId="5C4ED8B5" w14:textId="77777777" w:rsidR="00772498" w:rsidRPr="00B45D8B" w:rsidRDefault="00772498" w:rsidP="00772498">
            <w:pPr>
              <w:pStyle w:val="StyleHeading1SectionSectionHeadingText11Chapterhead3"/>
              <w:rPr>
                <w:lang w:val="hy-AM"/>
              </w:rPr>
            </w:pPr>
          </w:p>
          <w:p w14:paraId="57DC7BA2" w14:textId="77777777" w:rsidR="00772498" w:rsidRPr="00B45D8B" w:rsidRDefault="00772498" w:rsidP="00772498">
            <w:pPr>
              <w:pStyle w:val="StyleHeading1SectionSectionHeadingText11Chapterhead3"/>
              <w:rPr>
                <w:lang w:val="hy-AM"/>
              </w:rPr>
            </w:pPr>
          </w:p>
          <w:p w14:paraId="407FD490" w14:textId="77777777" w:rsidR="00772498" w:rsidRPr="00B45D8B" w:rsidRDefault="00772498" w:rsidP="00772498">
            <w:pPr>
              <w:pStyle w:val="StyleHeading1SectionSectionHeadingText11Chapterhead3"/>
              <w:rPr>
                <w:lang w:val="hy-AM"/>
              </w:rPr>
            </w:pPr>
          </w:p>
          <w:p w14:paraId="030A6292" w14:textId="77777777" w:rsidR="00772498" w:rsidRPr="00B45D8B" w:rsidRDefault="00772498" w:rsidP="00772498">
            <w:pPr>
              <w:pStyle w:val="StyleHeading1SectionSectionHeadingText11Chapterhead3"/>
              <w:rPr>
                <w:lang w:val="hy-AM"/>
              </w:rPr>
            </w:pPr>
          </w:p>
          <w:p w14:paraId="40742EBD" w14:textId="77777777" w:rsidR="00772498" w:rsidRPr="00B45D8B" w:rsidRDefault="00772498" w:rsidP="00772498">
            <w:pPr>
              <w:pStyle w:val="StyleHeading1SectionSectionHeadingText11Chapterhead3"/>
              <w:rPr>
                <w:lang w:val="hy-AM"/>
              </w:rPr>
            </w:pPr>
          </w:p>
          <w:p w14:paraId="4431EF3D" w14:textId="77777777" w:rsidR="00772498" w:rsidRPr="00B45D8B" w:rsidRDefault="00772498" w:rsidP="00772498">
            <w:pPr>
              <w:pStyle w:val="StyleHeading1SectionSectionHeadingText11Chapterhead3"/>
              <w:rPr>
                <w:lang w:val="hy-AM"/>
              </w:rPr>
            </w:pPr>
          </w:p>
          <w:p w14:paraId="4AB3DB30" w14:textId="77777777" w:rsidR="00AE7D71" w:rsidRPr="00A1468E" w:rsidRDefault="00AE7D71" w:rsidP="001C57FF">
            <w:pPr>
              <w:spacing w:line="276" w:lineRule="auto"/>
              <w:ind w:firstLine="284"/>
              <w:rPr>
                <w:rFonts w:eastAsia="GHEA Grapalat" w:cs="GHEA Grapalat"/>
                <w:lang w:val="hy-AM"/>
              </w:rPr>
            </w:pPr>
          </w:p>
        </w:tc>
      </w:tr>
    </w:tbl>
    <w:p w14:paraId="42B8E701" w14:textId="77777777" w:rsidR="00EA45BA" w:rsidRPr="00EA45BA" w:rsidRDefault="00EA45BA" w:rsidP="00EA45BA">
      <w:pPr>
        <w:rPr>
          <w:lang w:val="hy-AM"/>
        </w:rPr>
      </w:pPr>
    </w:p>
    <w:p w14:paraId="4A82EC40" w14:textId="77777777" w:rsidR="00C7695C" w:rsidRPr="003605CD" w:rsidRDefault="00566B79" w:rsidP="00FC7D72">
      <w:pPr>
        <w:pStyle w:val="Heading2"/>
        <w:ind w:left="450"/>
        <w:rPr>
          <w:sz w:val="28"/>
          <w:szCs w:val="28"/>
        </w:rPr>
      </w:pPr>
      <w:bookmarkStart w:id="204" w:name="_Toc45797396"/>
      <w:bookmarkStart w:id="205" w:name="_Toc45797983"/>
      <w:bookmarkStart w:id="206" w:name="_Toc45798052"/>
      <w:bookmarkStart w:id="207" w:name="_Toc45798122"/>
      <w:bookmarkStart w:id="208" w:name="_Toc45838521"/>
      <w:bookmarkStart w:id="209" w:name="_Toc296702350"/>
      <w:bookmarkStart w:id="210" w:name="_Toc181691889"/>
      <w:bookmarkStart w:id="211" w:name="_Toc519513613"/>
      <w:bookmarkStart w:id="212" w:name="_Toc13837267"/>
      <w:bookmarkStart w:id="213" w:name="_Toc296702351"/>
      <w:bookmarkEnd w:id="0"/>
      <w:bookmarkEnd w:id="192"/>
      <w:bookmarkEnd w:id="204"/>
      <w:bookmarkEnd w:id="205"/>
      <w:bookmarkEnd w:id="206"/>
      <w:bookmarkEnd w:id="207"/>
      <w:r>
        <w:rPr>
          <w:sz w:val="28"/>
          <w:szCs w:val="28"/>
          <w:lang w:val="hy-AM"/>
        </w:rPr>
        <w:lastRenderedPageBreak/>
        <w:t xml:space="preserve"> </w:t>
      </w:r>
      <w:bookmarkStart w:id="214" w:name="_Toc46154350"/>
      <w:r w:rsidR="00C7695C" w:rsidRPr="003605CD">
        <w:rPr>
          <w:sz w:val="28"/>
          <w:szCs w:val="28"/>
        </w:rPr>
        <w:t>ՀԱՐԿԱԲՅՈՒՋԵՏԱՅԻՆ ՔԱՂԱՔԱԿԱՆՈՒԹՅԱՆ ՀԻՄՆԱԿԱՆ ՈՒՂՂՈՒԹՅՈՒՆՆԵՐԸ</w:t>
      </w:r>
      <w:r w:rsidR="00C7695C" w:rsidRPr="003034BC">
        <w:rPr>
          <w:sz w:val="28"/>
          <w:szCs w:val="28"/>
        </w:rPr>
        <w:t xml:space="preserve"> </w:t>
      </w:r>
      <w:r w:rsidR="00C7695C" w:rsidRPr="003605CD">
        <w:rPr>
          <w:sz w:val="28"/>
          <w:szCs w:val="28"/>
        </w:rPr>
        <w:t>ԵՎ ԿԱՆԽԱՏԵՍՈՒՄՆԵՐԸ</w:t>
      </w:r>
      <w:bookmarkEnd w:id="208"/>
      <w:bookmarkEnd w:id="214"/>
    </w:p>
    <w:p w14:paraId="1BAE39C1" w14:textId="77777777" w:rsidR="00C7695C" w:rsidRPr="003605CD" w:rsidRDefault="00002DCC" w:rsidP="003605CD">
      <w:pPr>
        <w:pStyle w:val="Heading3"/>
        <w:numPr>
          <w:ilvl w:val="0"/>
          <w:numId w:val="0"/>
        </w:numPr>
        <w:rPr>
          <w:rFonts w:eastAsia="Times New Roman" w:cs="Times New Roman"/>
          <w:caps w:val="0"/>
          <w:color w:val="1F497D" w:themeColor="text2"/>
          <w:sz w:val="28"/>
          <w:szCs w:val="28"/>
        </w:rPr>
      </w:pPr>
      <w:bookmarkStart w:id="215" w:name="_Toc46154351"/>
      <w:r w:rsidRPr="00EB1197">
        <w:rPr>
          <w:rFonts w:eastAsia="Times New Roman" w:cs="Times New Roman"/>
          <w:caps w:val="0"/>
          <w:color w:val="1F497D" w:themeColor="text2"/>
          <w:sz w:val="28"/>
          <w:szCs w:val="28"/>
          <w:lang w:val="es-ES"/>
        </w:rPr>
        <w:t xml:space="preserve">2.1. </w:t>
      </w:r>
      <w:bookmarkStart w:id="216" w:name="_Toc45838522"/>
      <w:r w:rsidRPr="003605CD">
        <w:rPr>
          <w:rFonts w:eastAsia="Times New Roman" w:cs="Times New Roman"/>
          <w:caps w:val="0"/>
          <w:color w:val="1F497D" w:themeColor="text2"/>
          <w:sz w:val="28"/>
          <w:szCs w:val="28"/>
        </w:rPr>
        <w:t>ՀԱՐԿԱԲՅՈՒՋԵՏԱՅԻՆ ԸՆԴՀԱՆՈՒՐ ԱԿՆԱՐԿ ԵՎ ՀԱՐԿԱԲՅՈՒՋԵՏԱՅԻՆ ՇՐՋԱՆԱԿ</w:t>
      </w:r>
      <w:bookmarkEnd w:id="215"/>
      <w:bookmarkEnd w:id="216"/>
    </w:p>
    <w:p w14:paraId="05EA672D" w14:textId="77777777" w:rsidR="00C7695C" w:rsidRPr="008E48A5" w:rsidRDefault="00C7695C" w:rsidP="00C7695C">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851" w:hanging="284"/>
        <w:contextualSpacing w:val="0"/>
        <w:rPr>
          <w:rFonts w:cs="Arial"/>
          <w:lang w:val="hy-AM"/>
        </w:rPr>
      </w:pPr>
      <w:r w:rsidRPr="00C56EB8">
        <w:rPr>
          <w:rFonts w:cs="Arial"/>
          <w:lang w:val="hy-AM"/>
        </w:rPr>
        <w:t xml:space="preserve">Վերջին </w:t>
      </w:r>
      <w:r w:rsidRPr="00895DEC">
        <w:rPr>
          <w:rFonts w:cs="Arial"/>
          <w:lang w:val="hy-AM"/>
        </w:rPr>
        <w:t xml:space="preserve">տարիների </w:t>
      </w:r>
      <w:r w:rsidRPr="00835A2D">
        <w:rPr>
          <w:rFonts w:cs="Arial"/>
          <w:lang w:val="hy-AM"/>
        </w:rPr>
        <w:t xml:space="preserve">բարձր </w:t>
      </w:r>
      <w:r w:rsidRPr="009270F3">
        <w:rPr>
          <w:rFonts w:cs="Arial"/>
          <w:lang w:val="hy-AM"/>
        </w:rPr>
        <w:t>տնտեսական աճի պայմաններում</w:t>
      </w:r>
      <w:r w:rsidRPr="008E48A5">
        <w:rPr>
          <w:rFonts w:cs="Arial"/>
          <w:lang w:val="hy-AM"/>
        </w:rPr>
        <w:t xml:space="preserve"> իրականացված հարկաբյուջետային քաղաքականությունը միտված է եղել ՀՀ կառավարության պարտքի կայունության </w:t>
      </w:r>
      <w:r w:rsidRPr="000B2813">
        <w:rPr>
          <w:rFonts w:cs="Arial"/>
          <w:lang w:val="hy-AM"/>
        </w:rPr>
        <w:t>ապահովմանը, ինչի</w:t>
      </w:r>
      <w:r w:rsidRPr="008E48A5">
        <w:rPr>
          <w:rFonts w:cs="Arial"/>
          <w:lang w:val="hy-AM"/>
        </w:rPr>
        <w:t xml:space="preserve"> արդյունքում 2019թ.</w:t>
      </w:r>
      <w:r w:rsidR="00595A2D" w:rsidRPr="0035033F">
        <w:rPr>
          <w:rFonts w:cs="Arial"/>
          <w:lang w:val="hy-AM"/>
        </w:rPr>
        <w:t xml:space="preserve"> արձանագրվել է</w:t>
      </w:r>
      <w:r w:rsidRPr="008E48A5">
        <w:rPr>
          <w:rFonts w:cs="Arial"/>
          <w:lang w:val="hy-AM"/>
        </w:rPr>
        <w:t xml:space="preserve"> կառավարության պարտք/ՀՆԱ հարաբերակցությ</w:t>
      </w:r>
      <w:r w:rsidR="00595A2D" w:rsidRPr="0035033F">
        <w:rPr>
          <w:rFonts w:cs="Arial"/>
          <w:lang w:val="hy-AM"/>
        </w:rPr>
        <w:t>ա</w:t>
      </w:r>
      <w:r w:rsidRPr="008E48A5">
        <w:rPr>
          <w:rFonts w:cs="Arial"/>
          <w:lang w:val="hy-AM"/>
        </w:rPr>
        <w:t>ն 50%</w:t>
      </w:r>
      <w:r w:rsidR="00595A2D" w:rsidRPr="0035033F">
        <w:rPr>
          <w:rFonts w:cs="Arial"/>
          <w:lang w:val="hy-AM"/>
        </w:rPr>
        <w:t>-ից ցածր մակարդակ</w:t>
      </w:r>
      <w:r w:rsidRPr="008E48A5">
        <w:rPr>
          <w:rFonts w:cs="Arial"/>
          <w:lang w:val="hy-AM"/>
        </w:rPr>
        <w:t>:</w:t>
      </w:r>
    </w:p>
    <w:p w14:paraId="0C84D675" w14:textId="77777777" w:rsidR="00C7695C" w:rsidRPr="008E48A5" w:rsidRDefault="00C7695C" w:rsidP="00C7695C">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851" w:hanging="284"/>
        <w:contextualSpacing w:val="0"/>
        <w:rPr>
          <w:rFonts w:cs="Arial"/>
          <w:lang w:val="hy-AM"/>
        </w:rPr>
      </w:pPr>
      <w:r w:rsidRPr="008E48A5">
        <w:rPr>
          <w:rFonts w:cs="Sylfaen"/>
          <w:lang w:val="hy-AM"/>
        </w:rPr>
        <w:t>ՀՀ կառավարության կողմից իրականացվող ստվերի դեմ պայքարով, հարկային վարչարարության բարելավմամբ և</w:t>
      </w:r>
      <w:r w:rsidR="00595A2D" w:rsidRPr="0035033F">
        <w:rPr>
          <w:rFonts w:cs="Sylfaen"/>
          <w:lang w:val="hy-AM"/>
        </w:rPr>
        <w:t xml:space="preserve"> 2019թ</w:t>
      </w:r>
      <w:r w:rsidRPr="00D5574B">
        <w:rPr>
          <w:rFonts w:cs="Sylfaen"/>
          <w:lang w:val="hy-AM"/>
        </w:rPr>
        <w:t>.</w:t>
      </w:r>
      <w:r w:rsidR="00595A2D" w:rsidRPr="0035033F">
        <w:rPr>
          <w:rFonts w:cs="Sylfaen"/>
          <w:lang w:val="hy-AM"/>
        </w:rPr>
        <w:t xml:space="preserve"> համար նշանակալի՝</w:t>
      </w:r>
      <w:r w:rsidRPr="008E48A5">
        <w:rPr>
          <w:rFonts w:cs="Sylfaen"/>
          <w:lang w:val="hy-AM"/>
        </w:rPr>
        <w:t xml:space="preserve"> ավտոմեքենաների ներմուծման ծավալների աճով պայմանավորված արձանագրվել է հարկեր/ՀՆԱ ցուցանիշի աննախադեպ բարելավվում՝ որը հասել է 22.3%-ի:</w:t>
      </w:r>
    </w:p>
    <w:p w14:paraId="5F240751" w14:textId="77777777" w:rsidR="00C7695C" w:rsidRPr="008E48A5" w:rsidRDefault="00C7695C" w:rsidP="00C7695C">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851" w:hanging="284"/>
        <w:contextualSpacing w:val="0"/>
        <w:rPr>
          <w:rFonts w:cs="Arial"/>
          <w:lang w:val="hy-AM"/>
        </w:rPr>
      </w:pPr>
      <w:r w:rsidRPr="008E48A5">
        <w:rPr>
          <w:rFonts w:cs="Arial"/>
          <w:lang w:val="hy-AM"/>
        </w:rPr>
        <w:t>2020 թվականի պետական բյուջեի ընթացիկ զարգացումների վրա զգալի ազդեցություն են ունեցել COVID-19 համավարակի (կորոնավիրուսի) արագ տարածումը, դրա կանխման նպատակով կիրառված ինչպես ներքին, այնպես էլ արտաքին աշխարհի տնտեսական և աշխարհագրական սահմանափակումները, ինչպես նաև ՀՀ կառավարության հակաճգնաժամային գործողությունները՝ հանգեցնելով հարկային եկամուտների նվազմանը և ընթացիկ ծախսերի աճին:</w:t>
      </w:r>
    </w:p>
    <w:p w14:paraId="04398CD7" w14:textId="77777777" w:rsidR="00C7695C" w:rsidRPr="008E48A5" w:rsidRDefault="00C7695C" w:rsidP="00C7695C">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851" w:hanging="284"/>
        <w:contextualSpacing w:val="0"/>
        <w:rPr>
          <w:rFonts w:cs="Arial"/>
          <w:lang w:val="hy-AM"/>
        </w:rPr>
      </w:pPr>
      <w:r w:rsidRPr="008E48A5">
        <w:rPr>
          <w:rFonts w:cs="Arial"/>
          <w:lang w:val="hy-AM"/>
        </w:rPr>
        <w:t>COVID-19 համավարակի հետևանքով առաջացած իրավիճակը հարկաբյուջետային կանոններով սահմանված կարգով դիտարկվել է որպես բացառիկ դեպք, ինչի կապակցությամբ ՀՀ կառավարությունն ընդունել է համապատասխան որոշում, իսկ ՀՀ ԱԺ-ն՝ «2020թ. պետական բյուջեի մասին օրենքում փոփոխություններ կատարելու մասին» օրենք</w:t>
      </w:r>
      <w:r>
        <w:rPr>
          <w:rFonts w:cs="Arial"/>
          <w:lang w:val="hy-AM"/>
        </w:rPr>
        <w:t>ը</w:t>
      </w:r>
      <w:r w:rsidRPr="008E48A5">
        <w:rPr>
          <w:rFonts w:cs="Arial"/>
          <w:lang w:val="hy-AM"/>
        </w:rPr>
        <w:t>:</w:t>
      </w:r>
    </w:p>
    <w:p w14:paraId="2EDCC27D" w14:textId="4234D60B" w:rsidR="00C7695C" w:rsidRPr="008E48A5" w:rsidRDefault="00C7695C" w:rsidP="00C7695C">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851" w:hanging="284"/>
        <w:contextualSpacing w:val="0"/>
        <w:rPr>
          <w:rFonts w:cs="Arial"/>
          <w:lang w:val="hy-AM"/>
        </w:rPr>
      </w:pPr>
      <w:r w:rsidRPr="008E48A5">
        <w:rPr>
          <w:rFonts w:cs="Arial"/>
          <w:lang w:val="hy-AM"/>
        </w:rPr>
        <w:t>Կորոն</w:t>
      </w:r>
      <w:r w:rsidR="007724F4">
        <w:rPr>
          <w:rFonts w:cs="Arial"/>
          <w:lang w:val="hy-AM"/>
        </w:rPr>
        <w:t>ա</w:t>
      </w:r>
      <w:r w:rsidRPr="008E48A5">
        <w:rPr>
          <w:rFonts w:cs="Arial"/>
          <w:lang w:val="hy-AM"/>
        </w:rPr>
        <w:t>վիրուսի հետևանքների մեղմ</w:t>
      </w:r>
      <w:r w:rsidR="007724F4">
        <w:rPr>
          <w:rFonts w:cs="Arial"/>
          <w:lang w:val="hy-AM"/>
        </w:rPr>
        <w:t>մ</w:t>
      </w:r>
      <w:r w:rsidRPr="008E48A5">
        <w:rPr>
          <w:rFonts w:cs="Arial"/>
          <w:lang w:val="hy-AM"/>
        </w:rPr>
        <w:t>ան նպատակով կառավարությունը մշակել է հակաճգնաժամային միջոցառումների փաթեթ՝ մոտ 150 մլրդ դրամ ընդհանուր գումարի չափով, որը պարունակում է սոցիալական և տնտեսական աջակցության, ինչպես նաև մասնավոր ներդրումների խթանմանն ուղղված միջոցառումներ:</w:t>
      </w:r>
    </w:p>
    <w:p w14:paraId="661DF998" w14:textId="77777777" w:rsidR="00C7695C" w:rsidRPr="00304821" w:rsidRDefault="00C7695C" w:rsidP="00C7695C">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851" w:hanging="284"/>
        <w:contextualSpacing w:val="0"/>
        <w:rPr>
          <w:rFonts w:cs="Arial"/>
          <w:lang w:val="hy-AM"/>
        </w:rPr>
      </w:pPr>
      <w:r w:rsidRPr="008E48A5">
        <w:rPr>
          <w:rFonts w:cs="Arial"/>
          <w:lang w:val="hy-AM"/>
        </w:rPr>
        <w:t xml:space="preserve">Կառավարության արձագանքով պայմանավորված 2020թ.-ին սպասվում է ընթացիկ ծախսերի </w:t>
      </w:r>
      <w:r w:rsidRPr="00304821">
        <w:rPr>
          <w:rFonts w:cs="Arial"/>
          <w:lang w:val="hy-AM"/>
        </w:rPr>
        <w:t>կտրուկ աճ՝ հանգեցնելով պետական բյուջեի պակասուրդի և կառավարության պարտքի աճին:</w:t>
      </w:r>
    </w:p>
    <w:p w14:paraId="26FD214D" w14:textId="77777777" w:rsidR="00C7695C" w:rsidRDefault="00C7695C" w:rsidP="00C7695C">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851" w:hanging="284"/>
        <w:contextualSpacing w:val="0"/>
        <w:rPr>
          <w:rFonts w:cs="Arial"/>
          <w:lang w:val="hy-AM"/>
        </w:rPr>
      </w:pPr>
      <w:r w:rsidRPr="00304821">
        <w:rPr>
          <w:rFonts w:cs="Arial"/>
          <w:lang w:val="hy-AM"/>
        </w:rPr>
        <w:t>Միջնաժամկետում՝ տնտեսության վերականգնմանը զուգահեռ հարկաբյուջետային քաղաքականությունն ուղղված է լինելու պարտքի կայունություն պահպանման</w:t>
      </w:r>
      <w:r w:rsidRPr="00D00869">
        <w:rPr>
          <w:rFonts w:cs="Arial"/>
          <w:lang w:val="hy-AM"/>
        </w:rPr>
        <w:t>ը</w:t>
      </w:r>
      <w:r w:rsidRPr="00304821">
        <w:rPr>
          <w:rFonts w:cs="Arial"/>
          <w:lang w:val="hy-AM"/>
        </w:rPr>
        <w:t xml:space="preserve"> և երկարաժամկետ տնտեսական աճի խթանման</w:t>
      </w:r>
      <w:r w:rsidRPr="00D00869">
        <w:rPr>
          <w:rFonts w:cs="Arial"/>
          <w:lang w:val="hy-AM"/>
        </w:rPr>
        <w:t>ը</w:t>
      </w:r>
      <w:r w:rsidRPr="00304821">
        <w:rPr>
          <w:rFonts w:cs="Arial"/>
          <w:lang w:val="hy-AM"/>
        </w:rPr>
        <w:t>՝ շեշտադրվելով պետական ներդրումների մասնաբաժնի մեծացումը և ծախսերի իրականացման արդյունավետության բարձրացումը:</w:t>
      </w:r>
    </w:p>
    <w:p w14:paraId="57F33BB9" w14:textId="77777777" w:rsidR="00C7695C" w:rsidRPr="00304821" w:rsidRDefault="00C7695C" w:rsidP="00C7695C">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851" w:hanging="284"/>
        <w:contextualSpacing w:val="0"/>
        <w:rPr>
          <w:rFonts w:cs="Arial"/>
          <w:lang w:val="hy-AM"/>
        </w:rPr>
      </w:pPr>
      <w:r w:rsidRPr="008E48A5">
        <w:rPr>
          <w:lang w:val="hy-AM"/>
        </w:rPr>
        <w:t>Միջնաժամկետ հորիզոնում</w:t>
      </w:r>
      <w:r w:rsidRPr="000B3F16">
        <w:rPr>
          <w:lang w:val="hy-AM"/>
        </w:rPr>
        <w:t xml:space="preserve"> կանխատեսվող տնտեսական </w:t>
      </w:r>
      <w:r>
        <w:rPr>
          <w:lang w:val="hy-AM"/>
        </w:rPr>
        <w:t>վերականգնման</w:t>
      </w:r>
      <w:r w:rsidRPr="000B3F16">
        <w:rPr>
          <w:lang w:val="hy-AM"/>
        </w:rPr>
        <w:t xml:space="preserve">, հարկային </w:t>
      </w:r>
      <w:r w:rsidRPr="00C56EB8">
        <w:rPr>
          <w:lang w:val="hy-AM"/>
        </w:rPr>
        <w:t>վարչարարության</w:t>
      </w:r>
      <w:r>
        <w:rPr>
          <w:lang w:val="hy-AM"/>
        </w:rPr>
        <w:t xml:space="preserve"> բարելավման</w:t>
      </w:r>
      <w:r w:rsidRPr="00C56EB8">
        <w:rPr>
          <w:lang w:val="hy-AM"/>
        </w:rPr>
        <w:t xml:space="preserve"> </w:t>
      </w:r>
      <w:r w:rsidRPr="00895DEC">
        <w:rPr>
          <w:lang w:val="hy-AM"/>
        </w:rPr>
        <w:t xml:space="preserve">և ստվերի դեմ </w:t>
      </w:r>
      <w:r w:rsidRPr="00835A2D">
        <w:rPr>
          <w:lang w:val="hy-AM"/>
        </w:rPr>
        <w:t xml:space="preserve">պայքարի </w:t>
      </w:r>
      <w:r w:rsidRPr="009270F3">
        <w:rPr>
          <w:lang w:val="hy-AM"/>
        </w:rPr>
        <w:t xml:space="preserve">արդյունքում ակնկալվում է </w:t>
      </w:r>
      <w:r w:rsidRPr="008E48A5">
        <w:rPr>
          <w:lang w:val="hy-AM"/>
        </w:rPr>
        <w:t>հարկեր/</w:t>
      </w:r>
      <w:r w:rsidRPr="008E48A5">
        <w:rPr>
          <w:rFonts w:cs="Sylfaen"/>
          <w:lang w:val="hy-AM"/>
        </w:rPr>
        <w:t>ՀՆԱ-ի բարելավում՝ միջինը տարեկան շուրջ 0.7 տոկոսային կետով:</w:t>
      </w:r>
    </w:p>
    <w:p w14:paraId="2946FD41" w14:textId="77777777" w:rsidR="00C7695C" w:rsidRPr="00304821" w:rsidRDefault="00C7695C" w:rsidP="00C7695C">
      <w:pPr>
        <w:pStyle w:val="ListParagraph"/>
        <w:numPr>
          <w:ilvl w:val="0"/>
          <w:numId w:val="33"/>
        </w:numPr>
        <w:spacing w:before="0" w:after="120" w:line="276" w:lineRule="auto"/>
        <w:ind w:left="851" w:hanging="284"/>
        <w:contextualSpacing w:val="0"/>
        <w:rPr>
          <w:rStyle w:val="tlid-translation"/>
          <w:lang w:val="hy-AM"/>
        </w:rPr>
      </w:pPr>
      <w:r w:rsidRPr="00304821">
        <w:rPr>
          <w:rStyle w:val="tlid-translation"/>
          <w:lang w:val="hy-AM"/>
        </w:rPr>
        <w:lastRenderedPageBreak/>
        <w:t>Կորոնավիրուսի տարածման հետ կապված բացասական իրադարձությունները և անորոշությունները տնտեսության վրա կարող են ունենալ կանխատեսվածից ավելի մեծ բացասական ազդեցություն (գերակշռում են տնտեսական աճի դեպի ներքև ռիսկերը), ինչի արդյունքում առկա են պետական բյուջեի հարկային եկամուտների և ընթացիկ ծախսերի  դեպի ներքև ճշգրտման ռիսկեր:</w:t>
      </w:r>
    </w:p>
    <w:p w14:paraId="236E604F" w14:textId="77777777" w:rsidR="00C7695C" w:rsidRPr="008F525B" w:rsidRDefault="00C7695C" w:rsidP="008F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76" w:lineRule="auto"/>
        <w:ind w:right="216" w:firstLine="709"/>
        <w:rPr>
          <w:rFonts w:cs="Arial"/>
          <w:bCs/>
          <w:i/>
          <w:iCs/>
          <w:sz w:val="20"/>
          <w:szCs w:val="20"/>
          <w:lang w:val="hy-AM"/>
        </w:rPr>
      </w:pPr>
      <w:r w:rsidRPr="008F525B">
        <w:rPr>
          <w:rFonts w:cs="Arial"/>
          <w:b/>
          <w:i/>
          <w:iCs/>
          <w:sz w:val="20"/>
          <w:szCs w:val="20"/>
          <w:lang w:val="hy-AM"/>
        </w:rPr>
        <w:t xml:space="preserve">Աղյուսակ 2.1։ </w:t>
      </w:r>
      <w:r w:rsidRPr="008F525B">
        <w:rPr>
          <w:rFonts w:cs="Arial"/>
          <w:bCs/>
          <w:i/>
          <w:iCs/>
          <w:sz w:val="20"/>
          <w:szCs w:val="20"/>
          <w:lang w:val="hy-AM"/>
        </w:rPr>
        <w:t>2021-2023թթ. ՄԺԾԾ (ներառյալ 2021թ. պետական բյուջեի) հարկաբյուջետային շրջանակ</w:t>
      </w:r>
    </w:p>
    <w:tbl>
      <w:tblPr>
        <w:tblW w:w="9859" w:type="dxa"/>
        <w:tblInd w:w="108" w:type="dxa"/>
        <w:tblLook w:val="04A0" w:firstRow="1" w:lastRow="0" w:firstColumn="1" w:lastColumn="0" w:noHBand="0" w:noVBand="1"/>
      </w:tblPr>
      <w:tblGrid>
        <w:gridCol w:w="4221"/>
        <w:gridCol w:w="1289"/>
        <w:gridCol w:w="1395"/>
        <w:gridCol w:w="974"/>
        <w:gridCol w:w="994"/>
        <w:gridCol w:w="994"/>
      </w:tblGrid>
      <w:tr w:rsidR="00C7695C" w:rsidRPr="008F525B" w14:paraId="605FBAE9" w14:textId="77777777" w:rsidTr="008F525B">
        <w:trPr>
          <w:trHeight w:val="471"/>
          <w:tblHeader/>
        </w:trPr>
        <w:tc>
          <w:tcPr>
            <w:tcW w:w="4221" w:type="dxa"/>
            <w:tcBorders>
              <w:top w:val="single" w:sz="12" w:space="0" w:color="5B9BD5"/>
              <w:left w:val="single" w:sz="12" w:space="0" w:color="5B9BD5"/>
              <w:bottom w:val="single" w:sz="8" w:space="0" w:color="5B9BD5"/>
              <w:right w:val="single" w:sz="8" w:space="0" w:color="5B9BD5"/>
            </w:tcBorders>
            <w:shd w:val="clear" w:color="auto" w:fill="4BACC6" w:themeFill="accent5"/>
            <w:noWrap/>
            <w:vAlign w:val="center"/>
            <w:hideMark/>
          </w:tcPr>
          <w:p w14:paraId="5C718B4B" w14:textId="77777777" w:rsidR="00C7695C" w:rsidRPr="008F525B" w:rsidRDefault="00595A2D" w:rsidP="00C7695C">
            <w:pPr>
              <w:spacing w:after="0" w:line="240" w:lineRule="auto"/>
              <w:rPr>
                <w:rFonts w:ascii="Calibri" w:eastAsia="Times New Roman" w:hAnsi="Calibri" w:cs="Calibri"/>
                <w:b/>
                <w:bCs/>
                <w:color w:val="FFFFFF" w:themeColor="background1"/>
                <w:sz w:val="20"/>
                <w:szCs w:val="20"/>
                <w:lang w:val="hy-AM"/>
              </w:rPr>
            </w:pPr>
            <w:r w:rsidRPr="008F525B">
              <w:rPr>
                <w:rFonts w:ascii="Calibri" w:eastAsia="Times New Roman" w:hAnsi="Calibri" w:cs="Calibri"/>
                <w:b/>
                <w:bCs/>
                <w:color w:val="FFFFFF" w:themeColor="background1"/>
                <w:sz w:val="20"/>
                <w:szCs w:val="20"/>
                <w:lang w:val="hy-AM"/>
              </w:rPr>
              <w:t> </w:t>
            </w:r>
          </w:p>
        </w:tc>
        <w:tc>
          <w:tcPr>
            <w:tcW w:w="1281" w:type="dxa"/>
            <w:tcBorders>
              <w:top w:val="single" w:sz="12" w:space="0" w:color="5B9BD5"/>
              <w:left w:val="nil"/>
              <w:bottom w:val="single" w:sz="8" w:space="0" w:color="5B9BD5"/>
              <w:right w:val="single" w:sz="8" w:space="0" w:color="5B9BD5"/>
            </w:tcBorders>
            <w:shd w:val="clear" w:color="auto" w:fill="4BACC6" w:themeFill="accent5"/>
            <w:noWrap/>
            <w:vAlign w:val="center"/>
            <w:hideMark/>
          </w:tcPr>
          <w:p w14:paraId="0AF998DC" w14:textId="77777777" w:rsidR="00C7695C" w:rsidRPr="008F525B" w:rsidRDefault="00595A2D" w:rsidP="00C7695C">
            <w:pPr>
              <w:spacing w:after="0" w:line="240" w:lineRule="auto"/>
              <w:ind w:firstLine="31"/>
              <w:jc w:val="center"/>
              <w:rPr>
                <w:rFonts w:eastAsia="Times New Roman" w:cs="Calibri"/>
                <w:b/>
                <w:bCs/>
                <w:color w:val="FFFFFF" w:themeColor="background1"/>
                <w:sz w:val="20"/>
                <w:szCs w:val="20"/>
              </w:rPr>
            </w:pPr>
            <w:r w:rsidRPr="008F525B">
              <w:rPr>
                <w:rFonts w:eastAsia="Times New Roman" w:cs="Calibri"/>
                <w:b/>
                <w:bCs/>
                <w:color w:val="FFFFFF" w:themeColor="background1"/>
                <w:sz w:val="20"/>
                <w:szCs w:val="20"/>
              </w:rPr>
              <w:t>2019</w:t>
            </w:r>
          </w:p>
        </w:tc>
        <w:tc>
          <w:tcPr>
            <w:tcW w:w="1395" w:type="dxa"/>
            <w:tcBorders>
              <w:top w:val="single" w:sz="12" w:space="0" w:color="5B9BD5"/>
              <w:left w:val="nil"/>
              <w:bottom w:val="single" w:sz="8" w:space="0" w:color="5B9BD5"/>
              <w:right w:val="single" w:sz="8" w:space="0" w:color="5B9BD5"/>
            </w:tcBorders>
            <w:shd w:val="clear" w:color="auto" w:fill="4BACC6" w:themeFill="accent5"/>
            <w:noWrap/>
            <w:vAlign w:val="center"/>
            <w:hideMark/>
          </w:tcPr>
          <w:p w14:paraId="2469F6E2" w14:textId="77777777" w:rsidR="00C7695C" w:rsidRPr="008F525B" w:rsidRDefault="00595A2D" w:rsidP="00C7695C">
            <w:pPr>
              <w:spacing w:after="0" w:line="240" w:lineRule="auto"/>
              <w:ind w:firstLine="31"/>
              <w:jc w:val="center"/>
              <w:rPr>
                <w:rFonts w:eastAsia="Times New Roman" w:cs="Calibri"/>
                <w:b/>
                <w:bCs/>
                <w:color w:val="FFFFFF" w:themeColor="background1"/>
                <w:sz w:val="20"/>
                <w:szCs w:val="20"/>
              </w:rPr>
            </w:pPr>
            <w:r w:rsidRPr="008F525B">
              <w:rPr>
                <w:rFonts w:eastAsia="Times New Roman" w:cs="Calibri"/>
                <w:b/>
                <w:bCs/>
                <w:color w:val="FFFFFF" w:themeColor="background1"/>
                <w:sz w:val="20"/>
                <w:szCs w:val="20"/>
              </w:rPr>
              <w:t>2020</w:t>
            </w:r>
          </w:p>
        </w:tc>
        <w:tc>
          <w:tcPr>
            <w:tcW w:w="974" w:type="dxa"/>
            <w:tcBorders>
              <w:top w:val="single" w:sz="12" w:space="0" w:color="5B9BD5"/>
              <w:left w:val="nil"/>
              <w:bottom w:val="single" w:sz="8" w:space="0" w:color="5B9BD5"/>
              <w:right w:val="single" w:sz="8" w:space="0" w:color="5B9BD5"/>
            </w:tcBorders>
            <w:shd w:val="clear" w:color="auto" w:fill="4BACC6" w:themeFill="accent5"/>
            <w:noWrap/>
            <w:vAlign w:val="center"/>
            <w:hideMark/>
          </w:tcPr>
          <w:p w14:paraId="1030F01B" w14:textId="77777777" w:rsidR="00C7695C" w:rsidRPr="008F525B" w:rsidRDefault="00595A2D" w:rsidP="00C7695C">
            <w:pPr>
              <w:spacing w:after="0" w:line="240" w:lineRule="auto"/>
              <w:ind w:firstLine="31"/>
              <w:jc w:val="center"/>
              <w:rPr>
                <w:rFonts w:eastAsia="Times New Roman" w:cs="Calibri"/>
                <w:b/>
                <w:bCs/>
                <w:color w:val="FFFFFF" w:themeColor="background1"/>
                <w:sz w:val="20"/>
                <w:szCs w:val="20"/>
              </w:rPr>
            </w:pPr>
            <w:r w:rsidRPr="008F525B">
              <w:rPr>
                <w:rFonts w:eastAsia="Times New Roman" w:cs="Calibri"/>
                <w:b/>
                <w:bCs/>
                <w:color w:val="FFFFFF" w:themeColor="background1"/>
                <w:sz w:val="20"/>
                <w:szCs w:val="20"/>
              </w:rPr>
              <w:t>2021</w:t>
            </w:r>
          </w:p>
        </w:tc>
        <w:tc>
          <w:tcPr>
            <w:tcW w:w="994" w:type="dxa"/>
            <w:tcBorders>
              <w:top w:val="single" w:sz="12" w:space="0" w:color="5B9BD5"/>
              <w:left w:val="nil"/>
              <w:bottom w:val="single" w:sz="8" w:space="0" w:color="5B9BD5"/>
              <w:right w:val="single" w:sz="8" w:space="0" w:color="5B9BD5"/>
            </w:tcBorders>
            <w:shd w:val="clear" w:color="auto" w:fill="4BACC6" w:themeFill="accent5"/>
            <w:noWrap/>
            <w:vAlign w:val="center"/>
            <w:hideMark/>
          </w:tcPr>
          <w:p w14:paraId="4077F188" w14:textId="77777777" w:rsidR="00C7695C" w:rsidRPr="008F525B" w:rsidRDefault="00595A2D" w:rsidP="00C7695C">
            <w:pPr>
              <w:spacing w:after="0" w:line="240" w:lineRule="auto"/>
              <w:ind w:firstLine="31"/>
              <w:jc w:val="center"/>
              <w:rPr>
                <w:rFonts w:eastAsia="Times New Roman" w:cs="Calibri"/>
                <w:b/>
                <w:bCs/>
                <w:color w:val="FFFFFF" w:themeColor="background1"/>
                <w:sz w:val="20"/>
                <w:szCs w:val="20"/>
              </w:rPr>
            </w:pPr>
            <w:r w:rsidRPr="008F525B">
              <w:rPr>
                <w:rFonts w:eastAsia="Times New Roman" w:cs="Calibri"/>
                <w:b/>
                <w:bCs/>
                <w:color w:val="FFFFFF" w:themeColor="background1"/>
                <w:sz w:val="20"/>
                <w:szCs w:val="20"/>
              </w:rPr>
              <w:t>2022</w:t>
            </w:r>
          </w:p>
        </w:tc>
        <w:tc>
          <w:tcPr>
            <w:tcW w:w="994" w:type="dxa"/>
            <w:tcBorders>
              <w:top w:val="single" w:sz="12" w:space="0" w:color="5B9BD5"/>
              <w:left w:val="nil"/>
              <w:bottom w:val="single" w:sz="8" w:space="0" w:color="5B9BD5"/>
              <w:right w:val="single" w:sz="12" w:space="0" w:color="5B9BD5"/>
            </w:tcBorders>
            <w:shd w:val="clear" w:color="auto" w:fill="4BACC6" w:themeFill="accent5"/>
            <w:noWrap/>
            <w:vAlign w:val="center"/>
            <w:hideMark/>
          </w:tcPr>
          <w:p w14:paraId="5479D150" w14:textId="77777777" w:rsidR="00C7695C" w:rsidRPr="008F525B" w:rsidRDefault="00595A2D" w:rsidP="00C7695C">
            <w:pPr>
              <w:spacing w:after="0" w:line="240" w:lineRule="auto"/>
              <w:ind w:firstLine="0"/>
              <w:jc w:val="center"/>
              <w:rPr>
                <w:rFonts w:eastAsia="Times New Roman" w:cs="Calibri"/>
                <w:b/>
                <w:bCs/>
                <w:color w:val="FFFFFF" w:themeColor="background1"/>
                <w:sz w:val="20"/>
                <w:szCs w:val="20"/>
              </w:rPr>
            </w:pPr>
            <w:r w:rsidRPr="008F525B">
              <w:rPr>
                <w:rFonts w:eastAsia="Times New Roman" w:cs="Calibri"/>
                <w:b/>
                <w:bCs/>
                <w:color w:val="FFFFFF" w:themeColor="background1"/>
                <w:sz w:val="20"/>
                <w:szCs w:val="20"/>
              </w:rPr>
              <w:t>2023</w:t>
            </w:r>
          </w:p>
        </w:tc>
      </w:tr>
      <w:tr w:rsidR="00C7695C" w:rsidRPr="008F525B" w14:paraId="0DA1C746" w14:textId="77777777" w:rsidTr="008F525B">
        <w:trPr>
          <w:trHeight w:val="345"/>
          <w:tblHeader/>
        </w:trPr>
        <w:tc>
          <w:tcPr>
            <w:tcW w:w="4221" w:type="dxa"/>
            <w:tcBorders>
              <w:top w:val="nil"/>
              <w:left w:val="single" w:sz="12" w:space="0" w:color="5B9BD5"/>
              <w:bottom w:val="single" w:sz="8" w:space="0" w:color="5B9BD5"/>
              <w:right w:val="single" w:sz="8" w:space="0" w:color="5B9BD5"/>
            </w:tcBorders>
            <w:shd w:val="clear" w:color="auto" w:fill="4BACC6" w:themeFill="accent5"/>
            <w:noWrap/>
            <w:vAlign w:val="center"/>
            <w:hideMark/>
          </w:tcPr>
          <w:p w14:paraId="5392561C" w14:textId="77777777" w:rsidR="00C7695C" w:rsidRPr="008F525B" w:rsidRDefault="00595A2D" w:rsidP="00C7695C">
            <w:pPr>
              <w:spacing w:after="0" w:line="240" w:lineRule="auto"/>
              <w:jc w:val="center"/>
              <w:rPr>
                <w:rFonts w:eastAsia="Times New Roman" w:cs="Calibri"/>
                <w:b/>
                <w:bCs/>
                <w:color w:val="FFFFFF" w:themeColor="background1"/>
                <w:sz w:val="20"/>
                <w:szCs w:val="20"/>
              </w:rPr>
            </w:pPr>
            <w:r w:rsidRPr="008F525B">
              <w:rPr>
                <w:rFonts w:eastAsia="Times New Roman" w:cs="Calibri"/>
                <w:b/>
                <w:bCs/>
                <w:color w:val="FFFFFF" w:themeColor="background1"/>
                <w:sz w:val="20"/>
                <w:szCs w:val="20"/>
              </w:rPr>
              <w:t>մլրդ դրամ</w:t>
            </w:r>
          </w:p>
        </w:tc>
        <w:tc>
          <w:tcPr>
            <w:tcW w:w="1281" w:type="dxa"/>
            <w:tcBorders>
              <w:top w:val="nil"/>
              <w:left w:val="nil"/>
              <w:bottom w:val="single" w:sz="8" w:space="0" w:color="5B9BD5"/>
              <w:right w:val="single" w:sz="8" w:space="0" w:color="5B9BD5"/>
            </w:tcBorders>
            <w:shd w:val="clear" w:color="auto" w:fill="4BACC6" w:themeFill="accent5"/>
            <w:noWrap/>
            <w:vAlign w:val="center"/>
            <w:hideMark/>
          </w:tcPr>
          <w:p w14:paraId="2FFE455E" w14:textId="77777777" w:rsidR="00C7695C" w:rsidRPr="008F525B" w:rsidRDefault="00595A2D" w:rsidP="00C7695C">
            <w:pPr>
              <w:spacing w:after="0" w:line="240" w:lineRule="auto"/>
              <w:ind w:firstLine="31"/>
              <w:jc w:val="center"/>
              <w:rPr>
                <w:rFonts w:eastAsia="Times New Roman" w:cs="Calibri"/>
                <w:b/>
                <w:bCs/>
                <w:color w:val="FFFFFF" w:themeColor="background1"/>
                <w:sz w:val="20"/>
                <w:szCs w:val="20"/>
              </w:rPr>
            </w:pPr>
            <w:r w:rsidRPr="008F525B">
              <w:rPr>
                <w:rFonts w:eastAsia="Times New Roman" w:cs="Calibri"/>
                <w:b/>
                <w:bCs/>
                <w:color w:val="FFFFFF" w:themeColor="background1"/>
                <w:sz w:val="20"/>
                <w:szCs w:val="20"/>
              </w:rPr>
              <w:t>Փաստացի</w:t>
            </w:r>
          </w:p>
        </w:tc>
        <w:tc>
          <w:tcPr>
            <w:tcW w:w="1395" w:type="dxa"/>
            <w:tcBorders>
              <w:top w:val="nil"/>
              <w:left w:val="nil"/>
              <w:bottom w:val="single" w:sz="8" w:space="0" w:color="5B9BD5"/>
              <w:right w:val="single" w:sz="8" w:space="0" w:color="5B9BD5"/>
            </w:tcBorders>
            <w:shd w:val="clear" w:color="auto" w:fill="4BACC6" w:themeFill="accent5"/>
            <w:noWrap/>
            <w:vAlign w:val="center"/>
            <w:hideMark/>
          </w:tcPr>
          <w:p w14:paraId="48B7EEC8" w14:textId="77777777" w:rsidR="00C7695C" w:rsidRPr="008F525B" w:rsidRDefault="00595A2D" w:rsidP="00C7695C">
            <w:pPr>
              <w:spacing w:after="0" w:line="240" w:lineRule="auto"/>
              <w:ind w:firstLine="31"/>
              <w:jc w:val="center"/>
              <w:rPr>
                <w:rFonts w:eastAsia="Times New Roman" w:cs="Calibri"/>
                <w:b/>
                <w:bCs/>
                <w:color w:val="FFFFFF" w:themeColor="background1"/>
                <w:sz w:val="20"/>
                <w:szCs w:val="20"/>
              </w:rPr>
            </w:pPr>
            <w:r w:rsidRPr="008F525B">
              <w:rPr>
                <w:rFonts w:eastAsia="Times New Roman" w:cs="Calibri"/>
                <w:b/>
                <w:bCs/>
                <w:color w:val="FFFFFF" w:themeColor="background1"/>
                <w:sz w:val="20"/>
                <w:szCs w:val="20"/>
              </w:rPr>
              <w:t>Սպասում</w:t>
            </w:r>
          </w:p>
        </w:tc>
        <w:tc>
          <w:tcPr>
            <w:tcW w:w="974" w:type="dxa"/>
            <w:tcBorders>
              <w:top w:val="nil"/>
              <w:left w:val="nil"/>
              <w:bottom w:val="single" w:sz="8" w:space="0" w:color="5B9BD5"/>
              <w:right w:val="single" w:sz="8" w:space="0" w:color="5B9BD5"/>
            </w:tcBorders>
            <w:shd w:val="clear" w:color="auto" w:fill="4BACC6" w:themeFill="accent5"/>
            <w:noWrap/>
            <w:vAlign w:val="center"/>
            <w:hideMark/>
          </w:tcPr>
          <w:p w14:paraId="53503B02" w14:textId="77777777" w:rsidR="00C7695C" w:rsidRPr="008F525B" w:rsidRDefault="00595A2D" w:rsidP="00C7695C">
            <w:pPr>
              <w:spacing w:after="0" w:line="240" w:lineRule="auto"/>
              <w:ind w:firstLine="31"/>
              <w:jc w:val="center"/>
              <w:rPr>
                <w:rFonts w:eastAsia="Times New Roman" w:cs="Calibri"/>
                <w:b/>
                <w:bCs/>
                <w:color w:val="FFFFFF" w:themeColor="background1"/>
                <w:sz w:val="20"/>
                <w:szCs w:val="20"/>
              </w:rPr>
            </w:pPr>
            <w:r w:rsidRPr="008F525B">
              <w:rPr>
                <w:rFonts w:eastAsia="Times New Roman" w:cs="Calibri"/>
                <w:b/>
                <w:bCs/>
                <w:color w:val="FFFFFF" w:themeColor="background1"/>
                <w:sz w:val="20"/>
                <w:szCs w:val="20"/>
              </w:rPr>
              <w:t>Բյուջե</w:t>
            </w:r>
          </w:p>
        </w:tc>
        <w:tc>
          <w:tcPr>
            <w:tcW w:w="1988" w:type="dxa"/>
            <w:gridSpan w:val="2"/>
            <w:tcBorders>
              <w:top w:val="single" w:sz="8" w:space="0" w:color="5B9BD5"/>
              <w:left w:val="nil"/>
              <w:bottom w:val="single" w:sz="8" w:space="0" w:color="5B9BD5"/>
              <w:right w:val="single" w:sz="12" w:space="0" w:color="5B9BD5"/>
            </w:tcBorders>
            <w:shd w:val="clear" w:color="auto" w:fill="4BACC6" w:themeFill="accent5"/>
            <w:noWrap/>
            <w:vAlign w:val="center"/>
            <w:hideMark/>
          </w:tcPr>
          <w:p w14:paraId="47F49916" w14:textId="77777777" w:rsidR="00C7695C" w:rsidRPr="008F525B" w:rsidRDefault="00595A2D" w:rsidP="00C7695C">
            <w:pPr>
              <w:spacing w:after="0" w:line="240" w:lineRule="auto"/>
              <w:ind w:firstLine="31"/>
              <w:jc w:val="center"/>
              <w:rPr>
                <w:rFonts w:eastAsia="Times New Roman" w:cs="Calibri"/>
                <w:b/>
                <w:bCs/>
                <w:color w:val="FFFFFF" w:themeColor="background1"/>
                <w:sz w:val="20"/>
                <w:szCs w:val="20"/>
              </w:rPr>
            </w:pPr>
            <w:r w:rsidRPr="008F525B">
              <w:rPr>
                <w:rFonts w:eastAsia="Times New Roman" w:cs="Calibri"/>
                <w:b/>
                <w:bCs/>
                <w:color w:val="FFFFFF" w:themeColor="background1"/>
                <w:sz w:val="20"/>
                <w:szCs w:val="20"/>
              </w:rPr>
              <w:t>ՄԺԾԾ 2021-2023</w:t>
            </w:r>
          </w:p>
        </w:tc>
      </w:tr>
      <w:tr w:rsidR="00C7695C" w:rsidRPr="008F525B" w14:paraId="2DC4E59E" w14:textId="77777777" w:rsidTr="008F525B">
        <w:trPr>
          <w:trHeight w:val="67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12667996" w14:textId="77777777" w:rsidR="00C7695C" w:rsidRPr="008F525B" w:rsidRDefault="00C7695C" w:rsidP="00C7695C">
            <w:pPr>
              <w:spacing w:after="0" w:line="240" w:lineRule="auto"/>
              <w:rPr>
                <w:rFonts w:eastAsia="Times New Roman" w:cs="Calibri"/>
                <w:b/>
                <w:bCs/>
                <w:color w:val="000000"/>
                <w:sz w:val="20"/>
                <w:szCs w:val="20"/>
              </w:rPr>
            </w:pPr>
            <w:r w:rsidRPr="008F525B">
              <w:rPr>
                <w:rFonts w:eastAsia="Times New Roman" w:cs="Calibri"/>
                <w:b/>
                <w:bCs/>
                <w:color w:val="000000"/>
                <w:sz w:val="20"/>
                <w:szCs w:val="20"/>
              </w:rPr>
              <w:t>Պետական բյուջեի եկամուտներ և պաշտոնական տրանսֆերտներ</w:t>
            </w:r>
          </w:p>
        </w:tc>
        <w:tc>
          <w:tcPr>
            <w:tcW w:w="1281" w:type="dxa"/>
            <w:tcBorders>
              <w:top w:val="nil"/>
              <w:left w:val="nil"/>
              <w:bottom w:val="single" w:sz="8" w:space="0" w:color="5B9BD5"/>
              <w:right w:val="single" w:sz="8" w:space="0" w:color="5B9BD5"/>
            </w:tcBorders>
            <w:shd w:val="clear" w:color="auto" w:fill="auto"/>
            <w:noWrap/>
            <w:vAlign w:val="center"/>
            <w:hideMark/>
          </w:tcPr>
          <w:p w14:paraId="005328F7"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1565.5</w:t>
            </w:r>
          </w:p>
        </w:tc>
        <w:tc>
          <w:tcPr>
            <w:tcW w:w="1395" w:type="dxa"/>
            <w:tcBorders>
              <w:top w:val="nil"/>
              <w:left w:val="nil"/>
              <w:bottom w:val="single" w:sz="8" w:space="0" w:color="5B9BD5"/>
              <w:right w:val="single" w:sz="8" w:space="0" w:color="5B9BD5"/>
            </w:tcBorders>
            <w:shd w:val="clear" w:color="000000" w:fill="DEEAF6"/>
            <w:noWrap/>
            <w:vAlign w:val="center"/>
            <w:hideMark/>
          </w:tcPr>
          <w:p w14:paraId="11574B6C"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1488.7</w:t>
            </w:r>
          </w:p>
        </w:tc>
        <w:tc>
          <w:tcPr>
            <w:tcW w:w="974" w:type="dxa"/>
            <w:tcBorders>
              <w:top w:val="nil"/>
              <w:left w:val="nil"/>
              <w:bottom w:val="single" w:sz="8" w:space="0" w:color="5B9BD5"/>
              <w:right w:val="single" w:sz="8" w:space="0" w:color="5B9BD5"/>
            </w:tcBorders>
            <w:shd w:val="clear" w:color="000000" w:fill="DEEAF6"/>
            <w:noWrap/>
            <w:vAlign w:val="center"/>
            <w:hideMark/>
          </w:tcPr>
          <w:p w14:paraId="5CF530D8"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1669.9</w:t>
            </w:r>
          </w:p>
        </w:tc>
        <w:tc>
          <w:tcPr>
            <w:tcW w:w="994" w:type="dxa"/>
            <w:tcBorders>
              <w:top w:val="nil"/>
              <w:left w:val="nil"/>
              <w:bottom w:val="single" w:sz="8" w:space="0" w:color="5B9BD5"/>
              <w:right w:val="single" w:sz="8" w:space="0" w:color="5B9BD5"/>
            </w:tcBorders>
            <w:shd w:val="clear" w:color="000000" w:fill="DEEAF6"/>
            <w:noWrap/>
            <w:vAlign w:val="center"/>
            <w:hideMark/>
          </w:tcPr>
          <w:p w14:paraId="455FC908"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1885.9</w:t>
            </w:r>
          </w:p>
        </w:tc>
        <w:tc>
          <w:tcPr>
            <w:tcW w:w="994" w:type="dxa"/>
            <w:tcBorders>
              <w:top w:val="nil"/>
              <w:left w:val="nil"/>
              <w:bottom w:val="single" w:sz="8" w:space="0" w:color="5B9BD5"/>
              <w:right w:val="single" w:sz="12" w:space="0" w:color="5B9BD5"/>
            </w:tcBorders>
            <w:shd w:val="clear" w:color="000000" w:fill="DEEAF6"/>
            <w:noWrap/>
            <w:vAlign w:val="center"/>
            <w:hideMark/>
          </w:tcPr>
          <w:p w14:paraId="06B01FE9"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2082.9</w:t>
            </w:r>
          </w:p>
        </w:tc>
      </w:tr>
      <w:tr w:rsidR="00C7695C" w:rsidRPr="008F525B" w14:paraId="015C94B5" w14:textId="77777777" w:rsidTr="008F525B">
        <w:trPr>
          <w:trHeight w:val="34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75A9AC2C" w14:textId="77777777" w:rsidR="00C7695C" w:rsidRPr="008F525B" w:rsidRDefault="00C7695C" w:rsidP="00C7695C">
            <w:pPr>
              <w:spacing w:after="0" w:line="240" w:lineRule="auto"/>
              <w:ind w:firstLineChars="200" w:firstLine="400"/>
              <w:rPr>
                <w:rFonts w:eastAsia="Times New Roman" w:cs="Calibri"/>
                <w:color w:val="000000"/>
                <w:sz w:val="20"/>
                <w:szCs w:val="20"/>
              </w:rPr>
            </w:pPr>
            <w:r w:rsidRPr="008F525B">
              <w:rPr>
                <w:rFonts w:eastAsia="Times New Roman" w:cs="Calibri"/>
                <w:color w:val="000000"/>
                <w:sz w:val="20"/>
                <w:szCs w:val="20"/>
              </w:rPr>
              <w:t>Հարկային եկամուտներ և տուրքեր</w:t>
            </w:r>
          </w:p>
        </w:tc>
        <w:tc>
          <w:tcPr>
            <w:tcW w:w="1281" w:type="dxa"/>
            <w:tcBorders>
              <w:top w:val="nil"/>
              <w:left w:val="nil"/>
              <w:bottom w:val="single" w:sz="8" w:space="0" w:color="5B9BD5"/>
              <w:right w:val="single" w:sz="8" w:space="0" w:color="5B9BD5"/>
            </w:tcBorders>
            <w:shd w:val="clear" w:color="auto" w:fill="auto"/>
            <w:noWrap/>
            <w:vAlign w:val="center"/>
            <w:hideMark/>
          </w:tcPr>
          <w:p w14:paraId="093F02A8"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1464.3</w:t>
            </w:r>
          </w:p>
        </w:tc>
        <w:tc>
          <w:tcPr>
            <w:tcW w:w="1395" w:type="dxa"/>
            <w:tcBorders>
              <w:top w:val="nil"/>
              <w:left w:val="nil"/>
              <w:bottom w:val="single" w:sz="8" w:space="0" w:color="5B9BD5"/>
              <w:right w:val="single" w:sz="8" w:space="0" w:color="5B9BD5"/>
            </w:tcBorders>
            <w:shd w:val="clear" w:color="000000" w:fill="DEEAF6"/>
            <w:noWrap/>
            <w:vAlign w:val="center"/>
            <w:hideMark/>
          </w:tcPr>
          <w:p w14:paraId="5155A572"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1395.9</w:t>
            </w:r>
          </w:p>
        </w:tc>
        <w:tc>
          <w:tcPr>
            <w:tcW w:w="974" w:type="dxa"/>
            <w:tcBorders>
              <w:top w:val="nil"/>
              <w:left w:val="nil"/>
              <w:bottom w:val="single" w:sz="8" w:space="0" w:color="5B9BD5"/>
              <w:right w:val="single" w:sz="8" w:space="0" w:color="5B9BD5"/>
            </w:tcBorders>
            <w:shd w:val="clear" w:color="000000" w:fill="DEEAF6"/>
            <w:noWrap/>
            <w:vAlign w:val="center"/>
            <w:hideMark/>
          </w:tcPr>
          <w:p w14:paraId="5DB8EC04"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1600.3</w:t>
            </w:r>
          </w:p>
        </w:tc>
        <w:tc>
          <w:tcPr>
            <w:tcW w:w="994" w:type="dxa"/>
            <w:tcBorders>
              <w:top w:val="nil"/>
              <w:left w:val="nil"/>
              <w:bottom w:val="single" w:sz="8" w:space="0" w:color="5B9BD5"/>
              <w:right w:val="single" w:sz="8" w:space="0" w:color="5B9BD5"/>
            </w:tcBorders>
            <w:shd w:val="clear" w:color="000000" w:fill="DEEAF6"/>
            <w:noWrap/>
            <w:vAlign w:val="center"/>
            <w:hideMark/>
          </w:tcPr>
          <w:p w14:paraId="1A433AFC"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1819.7</w:t>
            </w:r>
          </w:p>
        </w:tc>
        <w:tc>
          <w:tcPr>
            <w:tcW w:w="994" w:type="dxa"/>
            <w:tcBorders>
              <w:top w:val="nil"/>
              <w:left w:val="nil"/>
              <w:bottom w:val="single" w:sz="8" w:space="0" w:color="5B9BD5"/>
              <w:right w:val="single" w:sz="12" w:space="0" w:color="5B9BD5"/>
            </w:tcBorders>
            <w:shd w:val="clear" w:color="000000" w:fill="DEEAF6"/>
            <w:noWrap/>
            <w:vAlign w:val="center"/>
            <w:hideMark/>
          </w:tcPr>
          <w:p w14:paraId="203A8DBF"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2027.1</w:t>
            </w:r>
          </w:p>
        </w:tc>
      </w:tr>
      <w:tr w:rsidR="00C7695C" w:rsidRPr="008F525B" w14:paraId="688B45EA" w14:textId="77777777" w:rsidTr="008F525B">
        <w:trPr>
          <w:trHeight w:val="34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57C19FB2" w14:textId="77777777" w:rsidR="00C7695C" w:rsidRPr="008F525B" w:rsidRDefault="00C7695C" w:rsidP="00C7695C">
            <w:pPr>
              <w:spacing w:after="0" w:line="240" w:lineRule="auto"/>
              <w:rPr>
                <w:rFonts w:eastAsia="Times New Roman" w:cs="Calibri"/>
                <w:b/>
                <w:bCs/>
                <w:color w:val="000000"/>
                <w:sz w:val="20"/>
                <w:szCs w:val="20"/>
              </w:rPr>
            </w:pPr>
            <w:r w:rsidRPr="008F525B">
              <w:rPr>
                <w:rFonts w:eastAsia="Times New Roman" w:cs="Calibri"/>
                <w:b/>
                <w:bCs/>
                <w:color w:val="000000"/>
                <w:sz w:val="20"/>
                <w:szCs w:val="20"/>
              </w:rPr>
              <w:t>Պետական բյուջեի ծախսեր</w:t>
            </w:r>
          </w:p>
        </w:tc>
        <w:tc>
          <w:tcPr>
            <w:tcW w:w="1281" w:type="dxa"/>
            <w:tcBorders>
              <w:top w:val="nil"/>
              <w:left w:val="nil"/>
              <w:bottom w:val="single" w:sz="8" w:space="0" w:color="5B9BD5"/>
              <w:right w:val="single" w:sz="8" w:space="0" w:color="5B9BD5"/>
            </w:tcBorders>
            <w:shd w:val="clear" w:color="auto" w:fill="auto"/>
            <w:noWrap/>
            <w:vAlign w:val="center"/>
            <w:hideMark/>
          </w:tcPr>
          <w:p w14:paraId="3A18557E"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1629.4</w:t>
            </w:r>
          </w:p>
        </w:tc>
        <w:tc>
          <w:tcPr>
            <w:tcW w:w="1395" w:type="dxa"/>
            <w:tcBorders>
              <w:top w:val="nil"/>
              <w:left w:val="nil"/>
              <w:bottom w:val="single" w:sz="8" w:space="0" w:color="5B9BD5"/>
              <w:right w:val="single" w:sz="8" w:space="0" w:color="5B9BD5"/>
            </w:tcBorders>
            <w:shd w:val="clear" w:color="000000" w:fill="DEEAF6"/>
            <w:noWrap/>
            <w:vAlign w:val="center"/>
            <w:hideMark/>
          </w:tcPr>
          <w:p w14:paraId="5294A24E"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1850.2</w:t>
            </w:r>
          </w:p>
        </w:tc>
        <w:tc>
          <w:tcPr>
            <w:tcW w:w="974" w:type="dxa"/>
            <w:tcBorders>
              <w:top w:val="nil"/>
              <w:left w:val="nil"/>
              <w:bottom w:val="single" w:sz="8" w:space="0" w:color="5B9BD5"/>
              <w:right w:val="single" w:sz="8" w:space="0" w:color="5B9BD5"/>
            </w:tcBorders>
            <w:shd w:val="clear" w:color="000000" w:fill="DEEAF6"/>
            <w:noWrap/>
            <w:vAlign w:val="center"/>
            <w:hideMark/>
          </w:tcPr>
          <w:p w14:paraId="2B237AE1"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1879.0</w:t>
            </w:r>
          </w:p>
        </w:tc>
        <w:tc>
          <w:tcPr>
            <w:tcW w:w="994" w:type="dxa"/>
            <w:tcBorders>
              <w:top w:val="nil"/>
              <w:left w:val="nil"/>
              <w:bottom w:val="single" w:sz="8" w:space="0" w:color="5B9BD5"/>
              <w:right w:val="single" w:sz="8" w:space="0" w:color="5B9BD5"/>
            </w:tcBorders>
            <w:shd w:val="clear" w:color="000000" w:fill="DEEAF6"/>
            <w:noWrap/>
            <w:vAlign w:val="center"/>
            <w:hideMark/>
          </w:tcPr>
          <w:p w14:paraId="0B2DDCD6"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2026.1</w:t>
            </w:r>
          </w:p>
        </w:tc>
        <w:tc>
          <w:tcPr>
            <w:tcW w:w="994" w:type="dxa"/>
            <w:tcBorders>
              <w:top w:val="nil"/>
              <w:left w:val="nil"/>
              <w:bottom w:val="single" w:sz="8" w:space="0" w:color="5B9BD5"/>
              <w:right w:val="single" w:sz="12" w:space="0" w:color="5B9BD5"/>
            </w:tcBorders>
            <w:shd w:val="clear" w:color="000000" w:fill="DEEAF6"/>
            <w:noWrap/>
            <w:vAlign w:val="center"/>
            <w:hideMark/>
          </w:tcPr>
          <w:p w14:paraId="797DC213"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2241.4</w:t>
            </w:r>
          </w:p>
        </w:tc>
      </w:tr>
      <w:tr w:rsidR="00C7695C" w:rsidRPr="008F525B" w14:paraId="301D8183" w14:textId="77777777" w:rsidTr="008F525B">
        <w:trPr>
          <w:trHeight w:val="34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42061B51" w14:textId="77777777" w:rsidR="00C7695C" w:rsidRPr="008F525B" w:rsidRDefault="00C7695C" w:rsidP="00C7695C">
            <w:pPr>
              <w:spacing w:after="0" w:line="240" w:lineRule="auto"/>
              <w:ind w:firstLineChars="200" w:firstLine="400"/>
              <w:rPr>
                <w:rFonts w:eastAsia="Times New Roman" w:cs="Calibri"/>
                <w:color w:val="000000"/>
                <w:sz w:val="20"/>
                <w:szCs w:val="20"/>
              </w:rPr>
            </w:pPr>
            <w:r w:rsidRPr="008F525B">
              <w:rPr>
                <w:rFonts w:eastAsia="Times New Roman" w:cs="Calibri"/>
                <w:color w:val="000000"/>
                <w:sz w:val="20"/>
                <w:szCs w:val="20"/>
              </w:rPr>
              <w:t>Ընթացիկ ծախսեր</w:t>
            </w:r>
          </w:p>
        </w:tc>
        <w:tc>
          <w:tcPr>
            <w:tcW w:w="1281" w:type="dxa"/>
            <w:tcBorders>
              <w:top w:val="nil"/>
              <w:left w:val="nil"/>
              <w:bottom w:val="single" w:sz="8" w:space="0" w:color="5B9BD5"/>
              <w:right w:val="single" w:sz="8" w:space="0" w:color="5B9BD5"/>
            </w:tcBorders>
            <w:shd w:val="clear" w:color="auto" w:fill="auto"/>
            <w:noWrap/>
            <w:vAlign w:val="center"/>
            <w:hideMark/>
          </w:tcPr>
          <w:p w14:paraId="7F52CF2F"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1437.1</w:t>
            </w:r>
          </w:p>
        </w:tc>
        <w:tc>
          <w:tcPr>
            <w:tcW w:w="1395" w:type="dxa"/>
            <w:tcBorders>
              <w:top w:val="nil"/>
              <w:left w:val="nil"/>
              <w:bottom w:val="single" w:sz="8" w:space="0" w:color="5B9BD5"/>
              <w:right w:val="single" w:sz="8" w:space="0" w:color="5B9BD5"/>
            </w:tcBorders>
            <w:shd w:val="clear" w:color="000000" w:fill="DEEAF6"/>
            <w:noWrap/>
            <w:vAlign w:val="center"/>
            <w:hideMark/>
          </w:tcPr>
          <w:p w14:paraId="26E33955"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1628.0</w:t>
            </w:r>
          </w:p>
        </w:tc>
        <w:tc>
          <w:tcPr>
            <w:tcW w:w="974" w:type="dxa"/>
            <w:tcBorders>
              <w:top w:val="nil"/>
              <w:left w:val="nil"/>
              <w:bottom w:val="single" w:sz="8" w:space="0" w:color="5B9BD5"/>
              <w:right w:val="single" w:sz="8" w:space="0" w:color="5B9BD5"/>
            </w:tcBorders>
            <w:shd w:val="clear" w:color="000000" w:fill="DEEAF6"/>
            <w:noWrap/>
            <w:vAlign w:val="center"/>
            <w:hideMark/>
          </w:tcPr>
          <w:p w14:paraId="761B4413"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1629.0</w:t>
            </w:r>
          </w:p>
        </w:tc>
        <w:tc>
          <w:tcPr>
            <w:tcW w:w="994" w:type="dxa"/>
            <w:tcBorders>
              <w:top w:val="nil"/>
              <w:left w:val="nil"/>
              <w:bottom w:val="single" w:sz="8" w:space="0" w:color="5B9BD5"/>
              <w:right w:val="single" w:sz="8" w:space="0" w:color="5B9BD5"/>
            </w:tcBorders>
            <w:shd w:val="clear" w:color="000000" w:fill="DEEAF6"/>
            <w:noWrap/>
            <w:vAlign w:val="center"/>
            <w:hideMark/>
          </w:tcPr>
          <w:p w14:paraId="0F0F70B6"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1699.9</w:t>
            </w:r>
          </w:p>
        </w:tc>
        <w:tc>
          <w:tcPr>
            <w:tcW w:w="994" w:type="dxa"/>
            <w:tcBorders>
              <w:top w:val="nil"/>
              <w:left w:val="nil"/>
              <w:bottom w:val="single" w:sz="8" w:space="0" w:color="5B9BD5"/>
              <w:right w:val="single" w:sz="12" w:space="0" w:color="5B9BD5"/>
            </w:tcBorders>
            <w:shd w:val="clear" w:color="000000" w:fill="DEEAF6"/>
            <w:noWrap/>
            <w:vAlign w:val="center"/>
            <w:hideMark/>
          </w:tcPr>
          <w:p w14:paraId="5E63A77E"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1836.7</w:t>
            </w:r>
          </w:p>
        </w:tc>
      </w:tr>
      <w:tr w:rsidR="00C7695C" w:rsidRPr="008F525B" w14:paraId="157F8AAF" w14:textId="77777777" w:rsidTr="008F525B">
        <w:trPr>
          <w:trHeight w:val="67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76FE5847" w14:textId="77777777" w:rsidR="00C7695C" w:rsidRPr="008F525B" w:rsidRDefault="00C7695C" w:rsidP="00C7695C">
            <w:pPr>
              <w:spacing w:after="0" w:line="240" w:lineRule="auto"/>
              <w:ind w:firstLineChars="200" w:firstLine="400"/>
              <w:rPr>
                <w:rFonts w:eastAsia="Times New Roman" w:cs="Calibri"/>
                <w:color w:val="000000"/>
                <w:sz w:val="20"/>
                <w:szCs w:val="20"/>
              </w:rPr>
            </w:pPr>
            <w:r w:rsidRPr="008F525B">
              <w:rPr>
                <w:rFonts w:eastAsia="Times New Roman" w:cs="Calibri"/>
                <w:color w:val="000000"/>
                <w:sz w:val="20"/>
                <w:szCs w:val="20"/>
              </w:rPr>
              <w:t>Ոչ ֆինանսական ակտիվների հետ գործառնություններ</w:t>
            </w:r>
          </w:p>
        </w:tc>
        <w:tc>
          <w:tcPr>
            <w:tcW w:w="1281" w:type="dxa"/>
            <w:tcBorders>
              <w:top w:val="nil"/>
              <w:left w:val="nil"/>
              <w:bottom w:val="single" w:sz="8" w:space="0" w:color="5B9BD5"/>
              <w:right w:val="single" w:sz="8" w:space="0" w:color="5B9BD5"/>
            </w:tcBorders>
            <w:shd w:val="clear" w:color="auto" w:fill="auto"/>
            <w:noWrap/>
            <w:vAlign w:val="center"/>
            <w:hideMark/>
          </w:tcPr>
          <w:p w14:paraId="168D85E5"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192.3</w:t>
            </w:r>
          </w:p>
        </w:tc>
        <w:tc>
          <w:tcPr>
            <w:tcW w:w="1395" w:type="dxa"/>
            <w:tcBorders>
              <w:top w:val="nil"/>
              <w:left w:val="nil"/>
              <w:bottom w:val="single" w:sz="8" w:space="0" w:color="5B9BD5"/>
              <w:right w:val="single" w:sz="8" w:space="0" w:color="5B9BD5"/>
            </w:tcBorders>
            <w:shd w:val="clear" w:color="000000" w:fill="DEEAF6"/>
            <w:noWrap/>
            <w:vAlign w:val="center"/>
            <w:hideMark/>
          </w:tcPr>
          <w:p w14:paraId="4E565D76"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222.2</w:t>
            </w:r>
          </w:p>
        </w:tc>
        <w:tc>
          <w:tcPr>
            <w:tcW w:w="974" w:type="dxa"/>
            <w:tcBorders>
              <w:top w:val="nil"/>
              <w:left w:val="nil"/>
              <w:bottom w:val="single" w:sz="8" w:space="0" w:color="5B9BD5"/>
              <w:right w:val="single" w:sz="8" w:space="0" w:color="5B9BD5"/>
            </w:tcBorders>
            <w:shd w:val="clear" w:color="000000" w:fill="DEEAF6"/>
            <w:noWrap/>
            <w:vAlign w:val="center"/>
            <w:hideMark/>
          </w:tcPr>
          <w:p w14:paraId="624C4557"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250.0</w:t>
            </w:r>
          </w:p>
        </w:tc>
        <w:tc>
          <w:tcPr>
            <w:tcW w:w="994" w:type="dxa"/>
            <w:tcBorders>
              <w:top w:val="nil"/>
              <w:left w:val="nil"/>
              <w:bottom w:val="single" w:sz="8" w:space="0" w:color="5B9BD5"/>
              <w:right w:val="single" w:sz="8" w:space="0" w:color="5B9BD5"/>
            </w:tcBorders>
            <w:shd w:val="clear" w:color="000000" w:fill="DEEAF6"/>
            <w:noWrap/>
            <w:vAlign w:val="center"/>
            <w:hideMark/>
          </w:tcPr>
          <w:p w14:paraId="230D13C4"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326.2</w:t>
            </w:r>
          </w:p>
        </w:tc>
        <w:tc>
          <w:tcPr>
            <w:tcW w:w="994" w:type="dxa"/>
            <w:tcBorders>
              <w:top w:val="nil"/>
              <w:left w:val="nil"/>
              <w:bottom w:val="single" w:sz="8" w:space="0" w:color="5B9BD5"/>
              <w:right w:val="single" w:sz="12" w:space="0" w:color="5B9BD5"/>
            </w:tcBorders>
            <w:shd w:val="clear" w:color="000000" w:fill="DEEAF6"/>
            <w:noWrap/>
            <w:vAlign w:val="center"/>
            <w:hideMark/>
          </w:tcPr>
          <w:p w14:paraId="47BC1507"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404.8</w:t>
            </w:r>
          </w:p>
        </w:tc>
      </w:tr>
      <w:tr w:rsidR="00C7695C" w:rsidRPr="008F525B" w14:paraId="41E4FECE" w14:textId="77777777" w:rsidTr="008F525B">
        <w:trPr>
          <w:trHeight w:val="67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58F80695" w14:textId="77777777" w:rsidR="00C7695C" w:rsidRPr="008F525B" w:rsidRDefault="00C7695C" w:rsidP="00C7695C">
            <w:pPr>
              <w:spacing w:after="0" w:line="240" w:lineRule="auto"/>
              <w:rPr>
                <w:rFonts w:eastAsia="Times New Roman" w:cs="Calibri"/>
                <w:b/>
                <w:bCs/>
                <w:color w:val="000000"/>
                <w:sz w:val="20"/>
                <w:szCs w:val="20"/>
              </w:rPr>
            </w:pPr>
            <w:r w:rsidRPr="008F525B">
              <w:rPr>
                <w:rFonts w:eastAsia="Times New Roman" w:cs="Calibri"/>
                <w:b/>
                <w:bCs/>
                <w:color w:val="000000"/>
                <w:sz w:val="20"/>
                <w:szCs w:val="20"/>
              </w:rPr>
              <w:t>Պետական բյուջեի դեֆիցիտ (-) / պրոֆիցիտ (+)</w:t>
            </w:r>
          </w:p>
        </w:tc>
        <w:tc>
          <w:tcPr>
            <w:tcW w:w="1281" w:type="dxa"/>
            <w:tcBorders>
              <w:top w:val="nil"/>
              <w:left w:val="nil"/>
              <w:bottom w:val="single" w:sz="8" w:space="0" w:color="5B9BD5"/>
              <w:right w:val="single" w:sz="8" w:space="0" w:color="5B9BD5"/>
            </w:tcBorders>
            <w:shd w:val="clear" w:color="auto" w:fill="auto"/>
            <w:noWrap/>
            <w:vAlign w:val="center"/>
            <w:hideMark/>
          </w:tcPr>
          <w:p w14:paraId="3E216602"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-63.9</w:t>
            </w:r>
          </w:p>
        </w:tc>
        <w:tc>
          <w:tcPr>
            <w:tcW w:w="1395" w:type="dxa"/>
            <w:tcBorders>
              <w:top w:val="nil"/>
              <w:left w:val="nil"/>
              <w:bottom w:val="single" w:sz="8" w:space="0" w:color="5B9BD5"/>
              <w:right w:val="single" w:sz="8" w:space="0" w:color="5B9BD5"/>
            </w:tcBorders>
            <w:shd w:val="clear" w:color="000000" w:fill="DEEAF6"/>
            <w:noWrap/>
            <w:vAlign w:val="center"/>
            <w:hideMark/>
          </w:tcPr>
          <w:p w14:paraId="22533970"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-361.5</w:t>
            </w:r>
          </w:p>
        </w:tc>
        <w:tc>
          <w:tcPr>
            <w:tcW w:w="974" w:type="dxa"/>
            <w:tcBorders>
              <w:top w:val="nil"/>
              <w:left w:val="nil"/>
              <w:bottom w:val="single" w:sz="8" w:space="0" w:color="5B9BD5"/>
              <w:right w:val="single" w:sz="8" w:space="0" w:color="5B9BD5"/>
            </w:tcBorders>
            <w:shd w:val="clear" w:color="000000" w:fill="DEEAF6"/>
            <w:noWrap/>
            <w:vAlign w:val="center"/>
            <w:hideMark/>
          </w:tcPr>
          <w:p w14:paraId="6DCF47F0"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-209.1</w:t>
            </w:r>
          </w:p>
        </w:tc>
        <w:tc>
          <w:tcPr>
            <w:tcW w:w="994" w:type="dxa"/>
            <w:tcBorders>
              <w:top w:val="nil"/>
              <w:left w:val="nil"/>
              <w:bottom w:val="single" w:sz="8" w:space="0" w:color="5B9BD5"/>
              <w:right w:val="single" w:sz="8" w:space="0" w:color="5B9BD5"/>
            </w:tcBorders>
            <w:shd w:val="clear" w:color="000000" w:fill="DEEAF6"/>
            <w:noWrap/>
            <w:vAlign w:val="center"/>
            <w:hideMark/>
          </w:tcPr>
          <w:p w14:paraId="4407C29D"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-140.2</w:t>
            </w:r>
          </w:p>
        </w:tc>
        <w:tc>
          <w:tcPr>
            <w:tcW w:w="994" w:type="dxa"/>
            <w:tcBorders>
              <w:top w:val="nil"/>
              <w:left w:val="nil"/>
              <w:bottom w:val="single" w:sz="8" w:space="0" w:color="5B9BD5"/>
              <w:right w:val="single" w:sz="12" w:space="0" w:color="5B9BD5"/>
            </w:tcBorders>
            <w:shd w:val="clear" w:color="000000" w:fill="DEEAF6"/>
            <w:noWrap/>
            <w:vAlign w:val="center"/>
            <w:hideMark/>
          </w:tcPr>
          <w:p w14:paraId="78C1E7C2"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-158.6</w:t>
            </w:r>
          </w:p>
        </w:tc>
      </w:tr>
      <w:tr w:rsidR="00C7695C" w:rsidRPr="008F525B" w14:paraId="7D1650FB" w14:textId="77777777" w:rsidTr="008F525B">
        <w:trPr>
          <w:trHeight w:val="345"/>
        </w:trPr>
        <w:tc>
          <w:tcPr>
            <w:tcW w:w="4221" w:type="dxa"/>
            <w:tcBorders>
              <w:top w:val="nil"/>
              <w:left w:val="single" w:sz="12" w:space="0" w:color="5B9BD5"/>
              <w:bottom w:val="single" w:sz="8" w:space="0" w:color="5B9BD5"/>
              <w:right w:val="single" w:sz="8" w:space="0" w:color="5B9BD5"/>
            </w:tcBorders>
            <w:shd w:val="clear" w:color="auto" w:fill="auto"/>
            <w:noWrap/>
            <w:vAlign w:val="center"/>
            <w:hideMark/>
          </w:tcPr>
          <w:p w14:paraId="090FEC19" w14:textId="77777777" w:rsidR="00C7695C" w:rsidRPr="008F525B" w:rsidRDefault="00C7695C" w:rsidP="00C7695C">
            <w:pPr>
              <w:spacing w:after="0" w:line="240" w:lineRule="auto"/>
              <w:jc w:val="center"/>
              <w:rPr>
                <w:rFonts w:eastAsia="Times New Roman" w:cs="Calibri"/>
                <w:b/>
                <w:bCs/>
                <w:color w:val="000000"/>
                <w:sz w:val="20"/>
                <w:szCs w:val="20"/>
              </w:rPr>
            </w:pPr>
            <w:r w:rsidRPr="008F525B">
              <w:rPr>
                <w:rFonts w:eastAsia="Times New Roman" w:cs="Calibri"/>
                <w:b/>
                <w:bCs/>
                <w:color w:val="000000"/>
                <w:sz w:val="20"/>
                <w:szCs w:val="20"/>
              </w:rPr>
              <w:t>կշիռը ՀՆԱ-ում, %</w:t>
            </w:r>
          </w:p>
        </w:tc>
        <w:tc>
          <w:tcPr>
            <w:tcW w:w="1281" w:type="dxa"/>
            <w:tcBorders>
              <w:top w:val="nil"/>
              <w:left w:val="nil"/>
              <w:bottom w:val="single" w:sz="8" w:space="0" w:color="5B9BD5"/>
              <w:right w:val="single" w:sz="8" w:space="0" w:color="5B9BD5"/>
            </w:tcBorders>
            <w:shd w:val="clear" w:color="auto" w:fill="auto"/>
            <w:noWrap/>
            <w:vAlign w:val="center"/>
            <w:hideMark/>
          </w:tcPr>
          <w:p w14:paraId="42E12498" w14:textId="77777777" w:rsidR="00C7695C" w:rsidRPr="008F525B" w:rsidRDefault="00C7695C" w:rsidP="00C7695C">
            <w:pPr>
              <w:spacing w:after="0" w:line="240" w:lineRule="auto"/>
              <w:ind w:firstLine="31"/>
              <w:jc w:val="right"/>
              <w:rPr>
                <w:rFonts w:ascii="Calibri" w:eastAsia="Times New Roman" w:hAnsi="Calibri" w:cs="Calibri"/>
                <w:color w:val="000000"/>
                <w:sz w:val="20"/>
                <w:szCs w:val="20"/>
              </w:rPr>
            </w:pPr>
            <w:r w:rsidRPr="008F525B">
              <w:rPr>
                <w:rFonts w:ascii="Calibri" w:eastAsia="Times New Roman" w:hAnsi="Calibri" w:cs="Calibri"/>
                <w:color w:val="000000"/>
                <w:sz w:val="20"/>
                <w:szCs w:val="20"/>
              </w:rPr>
              <w:t> </w:t>
            </w:r>
          </w:p>
        </w:tc>
        <w:tc>
          <w:tcPr>
            <w:tcW w:w="1395" w:type="dxa"/>
            <w:tcBorders>
              <w:top w:val="nil"/>
              <w:left w:val="nil"/>
              <w:bottom w:val="single" w:sz="8" w:space="0" w:color="5B9BD5"/>
              <w:right w:val="single" w:sz="8" w:space="0" w:color="5B9BD5"/>
            </w:tcBorders>
            <w:shd w:val="clear" w:color="000000" w:fill="DEEAF6"/>
            <w:noWrap/>
            <w:vAlign w:val="center"/>
            <w:hideMark/>
          </w:tcPr>
          <w:p w14:paraId="5245A6D2" w14:textId="77777777" w:rsidR="00C7695C" w:rsidRPr="008F525B" w:rsidRDefault="00C7695C" w:rsidP="00C7695C">
            <w:pPr>
              <w:spacing w:after="0" w:line="240" w:lineRule="auto"/>
              <w:ind w:firstLine="31"/>
              <w:jc w:val="right"/>
              <w:rPr>
                <w:rFonts w:ascii="Calibri" w:eastAsia="Times New Roman" w:hAnsi="Calibri" w:cs="Calibri"/>
                <w:color w:val="000000"/>
                <w:sz w:val="20"/>
                <w:szCs w:val="20"/>
              </w:rPr>
            </w:pPr>
            <w:r w:rsidRPr="008F525B">
              <w:rPr>
                <w:rFonts w:ascii="Calibri" w:eastAsia="Times New Roman" w:hAnsi="Calibri" w:cs="Calibri"/>
                <w:color w:val="000000"/>
                <w:sz w:val="20"/>
                <w:szCs w:val="20"/>
              </w:rPr>
              <w:t> </w:t>
            </w:r>
          </w:p>
        </w:tc>
        <w:tc>
          <w:tcPr>
            <w:tcW w:w="974" w:type="dxa"/>
            <w:tcBorders>
              <w:top w:val="nil"/>
              <w:left w:val="nil"/>
              <w:bottom w:val="single" w:sz="8" w:space="0" w:color="5B9BD5"/>
              <w:right w:val="single" w:sz="8" w:space="0" w:color="5B9BD5"/>
            </w:tcBorders>
            <w:shd w:val="clear" w:color="000000" w:fill="DEEAF6"/>
            <w:noWrap/>
            <w:vAlign w:val="center"/>
            <w:hideMark/>
          </w:tcPr>
          <w:p w14:paraId="551DAAB1" w14:textId="77777777" w:rsidR="00C7695C" w:rsidRPr="008F525B" w:rsidRDefault="00C7695C" w:rsidP="00C7695C">
            <w:pPr>
              <w:spacing w:after="0" w:line="240" w:lineRule="auto"/>
              <w:ind w:firstLine="31"/>
              <w:jc w:val="right"/>
              <w:rPr>
                <w:rFonts w:ascii="Calibri" w:eastAsia="Times New Roman" w:hAnsi="Calibri" w:cs="Calibri"/>
                <w:color w:val="000000"/>
                <w:sz w:val="20"/>
                <w:szCs w:val="20"/>
              </w:rPr>
            </w:pPr>
            <w:r w:rsidRPr="008F525B">
              <w:rPr>
                <w:rFonts w:ascii="Calibri" w:eastAsia="Times New Roman" w:hAnsi="Calibri" w:cs="Calibri"/>
                <w:color w:val="000000"/>
                <w:sz w:val="20"/>
                <w:szCs w:val="20"/>
              </w:rPr>
              <w:t> </w:t>
            </w:r>
          </w:p>
        </w:tc>
        <w:tc>
          <w:tcPr>
            <w:tcW w:w="994" w:type="dxa"/>
            <w:tcBorders>
              <w:top w:val="nil"/>
              <w:left w:val="nil"/>
              <w:bottom w:val="single" w:sz="8" w:space="0" w:color="5B9BD5"/>
              <w:right w:val="single" w:sz="8" w:space="0" w:color="5B9BD5"/>
            </w:tcBorders>
            <w:shd w:val="clear" w:color="000000" w:fill="DEEAF6"/>
            <w:noWrap/>
            <w:vAlign w:val="center"/>
            <w:hideMark/>
          </w:tcPr>
          <w:p w14:paraId="6E2A316C" w14:textId="77777777" w:rsidR="00C7695C" w:rsidRPr="008F525B" w:rsidRDefault="00C7695C" w:rsidP="00C7695C">
            <w:pPr>
              <w:spacing w:after="0" w:line="240" w:lineRule="auto"/>
              <w:ind w:firstLine="31"/>
              <w:jc w:val="right"/>
              <w:rPr>
                <w:rFonts w:ascii="Calibri" w:eastAsia="Times New Roman" w:hAnsi="Calibri" w:cs="Calibri"/>
                <w:color w:val="000000"/>
                <w:sz w:val="20"/>
                <w:szCs w:val="20"/>
              </w:rPr>
            </w:pPr>
            <w:r w:rsidRPr="008F525B">
              <w:rPr>
                <w:rFonts w:ascii="Calibri" w:eastAsia="Times New Roman" w:hAnsi="Calibri" w:cs="Calibri"/>
                <w:color w:val="000000"/>
                <w:sz w:val="20"/>
                <w:szCs w:val="20"/>
              </w:rPr>
              <w:t> </w:t>
            </w:r>
          </w:p>
        </w:tc>
        <w:tc>
          <w:tcPr>
            <w:tcW w:w="994" w:type="dxa"/>
            <w:tcBorders>
              <w:top w:val="nil"/>
              <w:left w:val="nil"/>
              <w:bottom w:val="single" w:sz="8" w:space="0" w:color="5B9BD5"/>
              <w:right w:val="single" w:sz="12" w:space="0" w:color="5B9BD5"/>
            </w:tcBorders>
            <w:shd w:val="clear" w:color="000000" w:fill="DEEAF6"/>
            <w:noWrap/>
            <w:vAlign w:val="center"/>
            <w:hideMark/>
          </w:tcPr>
          <w:p w14:paraId="63B6F65E" w14:textId="77777777" w:rsidR="00C7695C" w:rsidRPr="008F525B" w:rsidRDefault="00C7695C" w:rsidP="00C7695C">
            <w:pPr>
              <w:spacing w:after="0" w:line="240" w:lineRule="auto"/>
              <w:ind w:firstLine="31"/>
              <w:jc w:val="right"/>
              <w:rPr>
                <w:rFonts w:ascii="Calibri" w:eastAsia="Times New Roman" w:hAnsi="Calibri" w:cs="Calibri"/>
                <w:color w:val="000000"/>
                <w:sz w:val="20"/>
                <w:szCs w:val="20"/>
              </w:rPr>
            </w:pPr>
            <w:r w:rsidRPr="008F525B">
              <w:rPr>
                <w:rFonts w:ascii="Calibri" w:eastAsia="Times New Roman" w:hAnsi="Calibri" w:cs="Calibri"/>
                <w:color w:val="000000"/>
                <w:sz w:val="20"/>
                <w:szCs w:val="20"/>
              </w:rPr>
              <w:t> </w:t>
            </w:r>
          </w:p>
        </w:tc>
      </w:tr>
      <w:tr w:rsidR="00C7695C" w:rsidRPr="008F525B" w14:paraId="4D9530E5" w14:textId="77777777" w:rsidTr="008F525B">
        <w:trPr>
          <w:trHeight w:val="67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5C2DAF68" w14:textId="77777777" w:rsidR="00C7695C" w:rsidRPr="008F525B" w:rsidRDefault="00C7695C" w:rsidP="00C7695C">
            <w:pPr>
              <w:spacing w:after="0" w:line="240" w:lineRule="auto"/>
              <w:rPr>
                <w:rFonts w:eastAsia="Times New Roman" w:cs="Calibri"/>
                <w:b/>
                <w:bCs/>
                <w:color w:val="000000"/>
                <w:sz w:val="20"/>
                <w:szCs w:val="20"/>
              </w:rPr>
            </w:pPr>
            <w:r w:rsidRPr="008F525B">
              <w:rPr>
                <w:rFonts w:eastAsia="Times New Roman" w:cs="Calibri"/>
                <w:b/>
                <w:bCs/>
                <w:color w:val="000000"/>
                <w:sz w:val="20"/>
                <w:szCs w:val="20"/>
              </w:rPr>
              <w:t>Պետական բյուջեի եկամուտներ և պաշտոնական տրանսֆերտներ</w:t>
            </w:r>
          </w:p>
        </w:tc>
        <w:tc>
          <w:tcPr>
            <w:tcW w:w="1281" w:type="dxa"/>
            <w:tcBorders>
              <w:top w:val="nil"/>
              <w:left w:val="nil"/>
              <w:bottom w:val="single" w:sz="8" w:space="0" w:color="5B9BD5"/>
              <w:right w:val="single" w:sz="8" w:space="0" w:color="5B9BD5"/>
            </w:tcBorders>
            <w:shd w:val="clear" w:color="auto" w:fill="auto"/>
            <w:noWrap/>
            <w:vAlign w:val="center"/>
            <w:hideMark/>
          </w:tcPr>
          <w:p w14:paraId="5FAF1D4B"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23.8</w:t>
            </w:r>
          </w:p>
        </w:tc>
        <w:tc>
          <w:tcPr>
            <w:tcW w:w="1395" w:type="dxa"/>
            <w:tcBorders>
              <w:top w:val="nil"/>
              <w:left w:val="nil"/>
              <w:bottom w:val="single" w:sz="8" w:space="0" w:color="5B9BD5"/>
              <w:right w:val="single" w:sz="8" w:space="0" w:color="5B9BD5"/>
            </w:tcBorders>
            <w:shd w:val="clear" w:color="000000" w:fill="DEEAF6"/>
            <w:noWrap/>
            <w:vAlign w:val="center"/>
            <w:hideMark/>
          </w:tcPr>
          <w:p w14:paraId="5C03B164"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22.9</w:t>
            </w:r>
          </w:p>
        </w:tc>
        <w:tc>
          <w:tcPr>
            <w:tcW w:w="974" w:type="dxa"/>
            <w:tcBorders>
              <w:top w:val="nil"/>
              <w:left w:val="nil"/>
              <w:bottom w:val="single" w:sz="8" w:space="0" w:color="5B9BD5"/>
              <w:right w:val="single" w:sz="8" w:space="0" w:color="5B9BD5"/>
            </w:tcBorders>
            <w:shd w:val="clear" w:color="000000" w:fill="DEEAF6"/>
            <w:noWrap/>
            <w:vAlign w:val="center"/>
            <w:hideMark/>
          </w:tcPr>
          <w:p w14:paraId="14B93FCB"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23.4</w:t>
            </w:r>
          </w:p>
        </w:tc>
        <w:tc>
          <w:tcPr>
            <w:tcW w:w="994" w:type="dxa"/>
            <w:tcBorders>
              <w:top w:val="nil"/>
              <w:left w:val="nil"/>
              <w:bottom w:val="single" w:sz="8" w:space="0" w:color="5B9BD5"/>
              <w:right w:val="single" w:sz="8" w:space="0" w:color="5B9BD5"/>
            </w:tcBorders>
            <w:shd w:val="clear" w:color="000000" w:fill="DEEAF6"/>
            <w:noWrap/>
            <w:vAlign w:val="center"/>
            <w:hideMark/>
          </w:tcPr>
          <w:p w14:paraId="21D108E5"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24.0</w:t>
            </w:r>
          </w:p>
        </w:tc>
        <w:tc>
          <w:tcPr>
            <w:tcW w:w="994" w:type="dxa"/>
            <w:tcBorders>
              <w:top w:val="nil"/>
              <w:left w:val="nil"/>
              <w:bottom w:val="single" w:sz="8" w:space="0" w:color="5B9BD5"/>
              <w:right w:val="single" w:sz="12" w:space="0" w:color="5B9BD5"/>
            </w:tcBorders>
            <w:shd w:val="clear" w:color="000000" w:fill="DEEAF6"/>
            <w:noWrap/>
            <w:vAlign w:val="center"/>
            <w:hideMark/>
          </w:tcPr>
          <w:p w14:paraId="6B4EEADE"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24.3</w:t>
            </w:r>
          </w:p>
        </w:tc>
      </w:tr>
      <w:tr w:rsidR="00C7695C" w:rsidRPr="008F525B" w14:paraId="398687DE" w14:textId="77777777" w:rsidTr="008F525B">
        <w:trPr>
          <w:trHeight w:val="34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6F81B0E8" w14:textId="77777777" w:rsidR="00C7695C" w:rsidRPr="008F525B" w:rsidRDefault="00C7695C" w:rsidP="00C7695C">
            <w:pPr>
              <w:spacing w:after="0" w:line="240" w:lineRule="auto"/>
              <w:ind w:firstLineChars="200" w:firstLine="400"/>
              <w:rPr>
                <w:rFonts w:eastAsia="Times New Roman" w:cs="Calibri"/>
                <w:color w:val="000000"/>
                <w:sz w:val="20"/>
                <w:szCs w:val="20"/>
              </w:rPr>
            </w:pPr>
            <w:r w:rsidRPr="008F525B">
              <w:rPr>
                <w:rFonts w:eastAsia="Times New Roman" w:cs="Calibri"/>
                <w:color w:val="000000"/>
                <w:sz w:val="20"/>
                <w:szCs w:val="20"/>
              </w:rPr>
              <w:t>Հարկային եկամուտներ և տուրքեր</w:t>
            </w:r>
          </w:p>
        </w:tc>
        <w:tc>
          <w:tcPr>
            <w:tcW w:w="1281" w:type="dxa"/>
            <w:tcBorders>
              <w:top w:val="nil"/>
              <w:left w:val="nil"/>
              <w:bottom w:val="single" w:sz="8" w:space="0" w:color="5B9BD5"/>
              <w:right w:val="single" w:sz="8" w:space="0" w:color="5B9BD5"/>
            </w:tcBorders>
            <w:shd w:val="clear" w:color="auto" w:fill="auto"/>
            <w:noWrap/>
            <w:vAlign w:val="center"/>
            <w:hideMark/>
          </w:tcPr>
          <w:p w14:paraId="5D6CADD0"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22.3</w:t>
            </w:r>
          </w:p>
        </w:tc>
        <w:tc>
          <w:tcPr>
            <w:tcW w:w="1395" w:type="dxa"/>
            <w:tcBorders>
              <w:top w:val="nil"/>
              <w:left w:val="nil"/>
              <w:bottom w:val="single" w:sz="8" w:space="0" w:color="5B9BD5"/>
              <w:right w:val="single" w:sz="8" w:space="0" w:color="5B9BD5"/>
            </w:tcBorders>
            <w:shd w:val="clear" w:color="000000" w:fill="DEEAF6"/>
            <w:noWrap/>
            <w:vAlign w:val="center"/>
            <w:hideMark/>
          </w:tcPr>
          <w:p w14:paraId="2D54F661"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21.5</w:t>
            </w:r>
          </w:p>
        </w:tc>
        <w:tc>
          <w:tcPr>
            <w:tcW w:w="974" w:type="dxa"/>
            <w:tcBorders>
              <w:top w:val="nil"/>
              <w:left w:val="nil"/>
              <w:bottom w:val="single" w:sz="8" w:space="0" w:color="5B9BD5"/>
              <w:right w:val="single" w:sz="8" w:space="0" w:color="5B9BD5"/>
            </w:tcBorders>
            <w:shd w:val="clear" w:color="000000" w:fill="DEEAF6"/>
            <w:noWrap/>
            <w:vAlign w:val="center"/>
            <w:hideMark/>
          </w:tcPr>
          <w:p w14:paraId="2F7CBDB5"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22.4</w:t>
            </w:r>
          </w:p>
        </w:tc>
        <w:tc>
          <w:tcPr>
            <w:tcW w:w="994" w:type="dxa"/>
            <w:tcBorders>
              <w:top w:val="nil"/>
              <w:left w:val="nil"/>
              <w:bottom w:val="single" w:sz="8" w:space="0" w:color="5B9BD5"/>
              <w:right w:val="single" w:sz="8" w:space="0" w:color="5B9BD5"/>
            </w:tcBorders>
            <w:shd w:val="clear" w:color="000000" w:fill="DEEAF6"/>
            <w:noWrap/>
            <w:vAlign w:val="center"/>
            <w:hideMark/>
          </w:tcPr>
          <w:p w14:paraId="5F8693C1"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23.2</w:t>
            </w:r>
          </w:p>
        </w:tc>
        <w:tc>
          <w:tcPr>
            <w:tcW w:w="994" w:type="dxa"/>
            <w:tcBorders>
              <w:top w:val="nil"/>
              <w:left w:val="nil"/>
              <w:bottom w:val="single" w:sz="8" w:space="0" w:color="5B9BD5"/>
              <w:right w:val="single" w:sz="12" w:space="0" w:color="5B9BD5"/>
            </w:tcBorders>
            <w:shd w:val="clear" w:color="000000" w:fill="DEEAF6"/>
            <w:noWrap/>
            <w:vAlign w:val="center"/>
            <w:hideMark/>
          </w:tcPr>
          <w:p w14:paraId="48DF4C7F"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23.6</w:t>
            </w:r>
          </w:p>
        </w:tc>
      </w:tr>
      <w:tr w:rsidR="00C7695C" w:rsidRPr="008F525B" w14:paraId="548EAA22" w14:textId="77777777" w:rsidTr="008F525B">
        <w:trPr>
          <w:trHeight w:val="34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7917206B" w14:textId="77777777" w:rsidR="00C7695C" w:rsidRPr="008F525B" w:rsidRDefault="00C7695C" w:rsidP="00C7695C">
            <w:pPr>
              <w:spacing w:after="0" w:line="240" w:lineRule="auto"/>
              <w:rPr>
                <w:rFonts w:eastAsia="Times New Roman" w:cs="Calibri"/>
                <w:b/>
                <w:bCs/>
                <w:color w:val="000000"/>
                <w:sz w:val="20"/>
                <w:szCs w:val="20"/>
              </w:rPr>
            </w:pPr>
            <w:r w:rsidRPr="008F525B">
              <w:rPr>
                <w:rFonts w:eastAsia="Times New Roman" w:cs="Calibri"/>
                <w:b/>
                <w:bCs/>
                <w:color w:val="000000"/>
                <w:sz w:val="20"/>
                <w:szCs w:val="20"/>
              </w:rPr>
              <w:t>Պետական բյուջեի ծախսեր</w:t>
            </w:r>
          </w:p>
        </w:tc>
        <w:tc>
          <w:tcPr>
            <w:tcW w:w="1281" w:type="dxa"/>
            <w:tcBorders>
              <w:top w:val="nil"/>
              <w:left w:val="nil"/>
              <w:bottom w:val="single" w:sz="8" w:space="0" w:color="5B9BD5"/>
              <w:right w:val="single" w:sz="8" w:space="0" w:color="5B9BD5"/>
            </w:tcBorders>
            <w:shd w:val="clear" w:color="auto" w:fill="auto"/>
            <w:noWrap/>
            <w:vAlign w:val="center"/>
            <w:hideMark/>
          </w:tcPr>
          <w:p w14:paraId="0743A1BC"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24.8</w:t>
            </w:r>
          </w:p>
        </w:tc>
        <w:tc>
          <w:tcPr>
            <w:tcW w:w="1395" w:type="dxa"/>
            <w:tcBorders>
              <w:top w:val="nil"/>
              <w:left w:val="nil"/>
              <w:bottom w:val="single" w:sz="8" w:space="0" w:color="5B9BD5"/>
              <w:right w:val="single" w:sz="8" w:space="0" w:color="5B9BD5"/>
            </w:tcBorders>
            <w:shd w:val="clear" w:color="000000" w:fill="DEEAF6"/>
            <w:noWrap/>
            <w:vAlign w:val="center"/>
            <w:hideMark/>
          </w:tcPr>
          <w:p w14:paraId="48A05C53"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28.4</w:t>
            </w:r>
          </w:p>
        </w:tc>
        <w:tc>
          <w:tcPr>
            <w:tcW w:w="974" w:type="dxa"/>
            <w:tcBorders>
              <w:top w:val="nil"/>
              <w:left w:val="nil"/>
              <w:bottom w:val="single" w:sz="8" w:space="0" w:color="5B9BD5"/>
              <w:right w:val="single" w:sz="8" w:space="0" w:color="5B9BD5"/>
            </w:tcBorders>
            <w:shd w:val="clear" w:color="000000" w:fill="DEEAF6"/>
            <w:noWrap/>
            <w:vAlign w:val="center"/>
            <w:hideMark/>
          </w:tcPr>
          <w:p w14:paraId="4B02AA61"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26.3</w:t>
            </w:r>
          </w:p>
        </w:tc>
        <w:tc>
          <w:tcPr>
            <w:tcW w:w="994" w:type="dxa"/>
            <w:tcBorders>
              <w:top w:val="nil"/>
              <w:left w:val="nil"/>
              <w:bottom w:val="single" w:sz="8" w:space="0" w:color="5B9BD5"/>
              <w:right w:val="single" w:sz="8" w:space="0" w:color="5B9BD5"/>
            </w:tcBorders>
            <w:shd w:val="clear" w:color="000000" w:fill="DEEAF6"/>
            <w:noWrap/>
            <w:vAlign w:val="center"/>
            <w:hideMark/>
          </w:tcPr>
          <w:p w14:paraId="404F16FE"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25.8</w:t>
            </w:r>
          </w:p>
        </w:tc>
        <w:tc>
          <w:tcPr>
            <w:tcW w:w="994" w:type="dxa"/>
            <w:tcBorders>
              <w:top w:val="nil"/>
              <w:left w:val="nil"/>
              <w:bottom w:val="single" w:sz="8" w:space="0" w:color="5B9BD5"/>
              <w:right w:val="single" w:sz="12" w:space="0" w:color="5B9BD5"/>
            </w:tcBorders>
            <w:shd w:val="clear" w:color="000000" w:fill="DEEAF6"/>
            <w:noWrap/>
            <w:vAlign w:val="center"/>
            <w:hideMark/>
          </w:tcPr>
          <w:p w14:paraId="3531DA40"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26.1</w:t>
            </w:r>
          </w:p>
        </w:tc>
      </w:tr>
      <w:tr w:rsidR="00C7695C" w:rsidRPr="008F525B" w14:paraId="11754D00" w14:textId="77777777" w:rsidTr="008F525B">
        <w:trPr>
          <w:trHeight w:val="34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0021AEE0" w14:textId="77777777" w:rsidR="00C7695C" w:rsidRPr="008F525B" w:rsidRDefault="00C7695C" w:rsidP="00C7695C">
            <w:pPr>
              <w:spacing w:after="0" w:line="240" w:lineRule="auto"/>
              <w:ind w:firstLineChars="200" w:firstLine="400"/>
              <w:rPr>
                <w:rFonts w:eastAsia="Times New Roman" w:cs="Calibri"/>
                <w:color w:val="000000"/>
                <w:sz w:val="20"/>
                <w:szCs w:val="20"/>
              </w:rPr>
            </w:pPr>
            <w:r w:rsidRPr="008F525B">
              <w:rPr>
                <w:rFonts w:eastAsia="Times New Roman" w:cs="Calibri"/>
                <w:color w:val="000000"/>
                <w:sz w:val="20"/>
                <w:szCs w:val="20"/>
              </w:rPr>
              <w:t>Ընթացիկ ծախսեր</w:t>
            </w:r>
          </w:p>
        </w:tc>
        <w:tc>
          <w:tcPr>
            <w:tcW w:w="1281" w:type="dxa"/>
            <w:tcBorders>
              <w:top w:val="nil"/>
              <w:left w:val="nil"/>
              <w:bottom w:val="single" w:sz="8" w:space="0" w:color="5B9BD5"/>
              <w:right w:val="single" w:sz="8" w:space="0" w:color="5B9BD5"/>
            </w:tcBorders>
            <w:shd w:val="clear" w:color="auto" w:fill="auto"/>
            <w:noWrap/>
            <w:vAlign w:val="center"/>
            <w:hideMark/>
          </w:tcPr>
          <w:p w14:paraId="273E76A8"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21.9</w:t>
            </w:r>
          </w:p>
        </w:tc>
        <w:tc>
          <w:tcPr>
            <w:tcW w:w="1395" w:type="dxa"/>
            <w:tcBorders>
              <w:top w:val="nil"/>
              <w:left w:val="nil"/>
              <w:bottom w:val="single" w:sz="8" w:space="0" w:color="5B9BD5"/>
              <w:right w:val="single" w:sz="8" w:space="0" w:color="5B9BD5"/>
            </w:tcBorders>
            <w:shd w:val="clear" w:color="000000" w:fill="DEEAF6"/>
            <w:noWrap/>
            <w:vAlign w:val="center"/>
            <w:hideMark/>
          </w:tcPr>
          <w:p w14:paraId="225AD61D"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25.0</w:t>
            </w:r>
          </w:p>
        </w:tc>
        <w:tc>
          <w:tcPr>
            <w:tcW w:w="974" w:type="dxa"/>
            <w:tcBorders>
              <w:top w:val="nil"/>
              <w:left w:val="nil"/>
              <w:bottom w:val="single" w:sz="8" w:space="0" w:color="5B9BD5"/>
              <w:right w:val="single" w:sz="8" w:space="0" w:color="5B9BD5"/>
            </w:tcBorders>
            <w:shd w:val="clear" w:color="000000" w:fill="DEEAF6"/>
            <w:noWrap/>
            <w:vAlign w:val="center"/>
            <w:hideMark/>
          </w:tcPr>
          <w:p w14:paraId="11D4D88D"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22.8</w:t>
            </w:r>
          </w:p>
        </w:tc>
        <w:tc>
          <w:tcPr>
            <w:tcW w:w="994" w:type="dxa"/>
            <w:tcBorders>
              <w:top w:val="nil"/>
              <w:left w:val="nil"/>
              <w:bottom w:val="single" w:sz="8" w:space="0" w:color="5B9BD5"/>
              <w:right w:val="single" w:sz="8" w:space="0" w:color="5B9BD5"/>
            </w:tcBorders>
            <w:shd w:val="clear" w:color="000000" w:fill="DEEAF6"/>
            <w:noWrap/>
            <w:vAlign w:val="center"/>
            <w:hideMark/>
          </w:tcPr>
          <w:p w14:paraId="2D844DAD"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21.6</w:t>
            </w:r>
          </w:p>
        </w:tc>
        <w:tc>
          <w:tcPr>
            <w:tcW w:w="994" w:type="dxa"/>
            <w:tcBorders>
              <w:top w:val="nil"/>
              <w:left w:val="nil"/>
              <w:bottom w:val="single" w:sz="8" w:space="0" w:color="5B9BD5"/>
              <w:right w:val="single" w:sz="12" w:space="0" w:color="5B9BD5"/>
            </w:tcBorders>
            <w:shd w:val="clear" w:color="000000" w:fill="DEEAF6"/>
            <w:noWrap/>
            <w:vAlign w:val="center"/>
            <w:hideMark/>
          </w:tcPr>
          <w:p w14:paraId="47A49F05"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21.4</w:t>
            </w:r>
          </w:p>
        </w:tc>
      </w:tr>
      <w:tr w:rsidR="00C7695C" w:rsidRPr="008F525B" w14:paraId="50E9460A" w14:textId="77777777" w:rsidTr="008F525B">
        <w:trPr>
          <w:trHeight w:val="675"/>
        </w:trPr>
        <w:tc>
          <w:tcPr>
            <w:tcW w:w="4221" w:type="dxa"/>
            <w:tcBorders>
              <w:top w:val="nil"/>
              <w:left w:val="single" w:sz="12" w:space="0" w:color="5B9BD5"/>
              <w:bottom w:val="single" w:sz="8" w:space="0" w:color="5B9BD5"/>
              <w:right w:val="single" w:sz="8" w:space="0" w:color="5B9BD5"/>
            </w:tcBorders>
            <w:shd w:val="clear" w:color="auto" w:fill="auto"/>
            <w:vAlign w:val="center"/>
            <w:hideMark/>
          </w:tcPr>
          <w:p w14:paraId="5C17A5BB" w14:textId="77777777" w:rsidR="00C7695C" w:rsidRPr="008F525B" w:rsidRDefault="00C7695C" w:rsidP="00C7695C">
            <w:pPr>
              <w:spacing w:after="0" w:line="240" w:lineRule="auto"/>
              <w:ind w:firstLineChars="200" w:firstLine="400"/>
              <w:rPr>
                <w:rFonts w:eastAsia="Times New Roman" w:cs="Calibri"/>
                <w:color w:val="000000"/>
                <w:sz w:val="20"/>
                <w:szCs w:val="20"/>
              </w:rPr>
            </w:pPr>
            <w:r w:rsidRPr="008F525B">
              <w:rPr>
                <w:rFonts w:eastAsia="Times New Roman" w:cs="Calibri"/>
                <w:color w:val="000000"/>
                <w:sz w:val="20"/>
                <w:szCs w:val="20"/>
              </w:rPr>
              <w:t>Ոչ ֆինանսական ակտիվների հետ գործառնություններ</w:t>
            </w:r>
          </w:p>
        </w:tc>
        <w:tc>
          <w:tcPr>
            <w:tcW w:w="1281" w:type="dxa"/>
            <w:tcBorders>
              <w:top w:val="nil"/>
              <w:left w:val="nil"/>
              <w:bottom w:val="single" w:sz="8" w:space="0" w:color="5B9BD5"/>
              <w:right w:val="single" w:sz="8" w:space="0" w:color="5B9BD5"/>
            </w:tcBorders>
            <w:shd w:val="clear" w:color="auto" w:fill="auto"/>
            <w:noWrap/>
            <w:vAlign w:val="center"/>
            <w:hideMark/>
          </w:tcPr>
          <w:p w14:paraId="123DE1A2"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2.9</w:t>
            </w:r>
          </w:p>
        </w:tc>
        <w:tc>
          <w:tcPr>
            <w:tcW w:w="1395" w:type="dxa"/>
            <w:tcBorders>
              <w:top w:val="nil"/>
              <w:left w:val="nil"/>
              <w:bottom w:val="single" w:sz="8" w:space="0" w:color="5B9BD5"/>
              <w:right w:val="single" w:sz="8" w:space="0" w:color="5B9BD5"/>
            </w:tcBorders>
            <w:shd w:val="clear" w:color="000000" w:fill="DEEAF6"/>
            <w:noWrap/>
            <w:vAlign w:val="center"/>
            <w:hideMark/>
          </w:tcPr>
          <w:p w14:paraId="6B05D080"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3.4</w:t>
            </w:r>
          </w:p>
        </w:tc>
        <w:tc>
          <w:tcPr>
            <w:tcW w:w="974" w:type="dxa"/>
            <w:tcBorders>
              <w:top w:val="nil"/>
              <w:left w:val="nil"/>
              <w:bottom w:val="single" w:sz="8" w:space="0" w:color="5B9BD5"/>
              <w:right w:val="single" w:sz="8" w:space="0" w:color="5B9BD5"/>
            </w:tcBorders>
            <w:shd w:val="clear" w:color="000000" w:fill="DEEAF6"/>
            <w:noWrap/>
            <w:vAlign w:val="center"/>
            <w:hideMark/>
          </w:tcPr>
          <w:p w14:paraId="591CB7BC"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3.5</w:t>
            </w:r>
          </w:p>
        </w:tc>
        <w:tc>
          <w:tcPr>
            <w:tcW w:w="994" w:type="dxa"/>
            <w:tcBorders>
              <w:top w:val="nil"/>
              <w:left w:val="nil"/>
              <w:bottom w:val="single" w:sz="8" w:space="0" w:color="5B9BD5"/>
              <w:right w:val="single" w:sz="8" w:space="0" w:color="5B9BD5"/>
            </w:tcBorders>
            <w:shd w:val="clear" w:color="000000" w:fill="DEEAF6"/>
            <w:noWrap/>
            <w:vAlign w:val="center"/>
            <w:hideMark/>
          </w:tcPr>
          <w:p w14:paraId="3DC17D3D"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4.2</w:t>
            </w:r>
          </w:p>
        </w:tc>
        <w:tc>
          <w:tcPr>
            <w:tcW w:w="994" w:type="dxa"/>
            <w:tcBorders>
              <w:top w:val="nil"/>
              <w:left w:val="nil"/>
              <w:bottom w:val="single" w:sz="8" w:space="0" w:color="5B9BD5"/>
              <w:right w:val="single" w:sz="12" w:space="0" w:color="5B9BD5"/>
            </w:tcBorders>
            <w:shd w:val="clear" w:color="000000" w:fill="DEEAF6"/>
            <w:noWrap/>
            <w:vAlign w:val="center"/>
            <w:hideMark/>
          </w:tcPr>
          <w:p w14:paraId="42EE741D" w14:textId="77777777" w:rsidR="00C7695C" w:rsidRPr="008F525B" w:rsidRDefault="00C7695C" w:rsidP="00C7695C">
            <w:pPr>
              <w:spacing w:after="0" w:line="240" w:lineRule="auto"/>
              <w:ind w:firstLine="31"/>
              <w:jc w:val="right"/>
              <w:rPr>
                <w:rFonts w:eastAsia="Times New Roman" w:cs="Calibri"/>
                <w:color w:val="000000"/>
                <w:sz w:val="20"/>
                <w:szCs w:val="20"/>
              </w:rPr>
            </w:pPr>
            <w:r w:rsidRPr="008F525B">
              <w:rPr>
                <w:rFonts w:eastAsia="Times New Roman" w:cs="Calibri"/>
                <w:color w:val="000000"/>
                <w:sz w:val="20"/>
                <w:szCs w:val="20"/>
              </w:rPr>
              <w:t>4.7</w:t>
            </w:r>
          </w:p>
        </w:tc>
      </w:tr>
      <w:tr w:rsidR="00C7695C" w:rsidRPr="008F525B" w14:paraId="2362A20C" w14:textId="77777777" w:rsidTr="008F525B">
        <w:trPr>
          <w:trHeight w:val="675"/>
        </w:trPr>
        <w:tc>
          <w:tcPr>
            <w:tcW w:w="4221" w:type="dxa"/>
            <w:tcBorders>
              <w:top w:val="nil"/>
              <w:left w:val="single" w:sz="12" w:space="0" w:color="5B9BD5"/>
              <w:bottom w:val="single" w:sz="12" w:space="0" w:color="5B9BD5"/>
              <w:right w:val="single" w:sz="8" w:space="0" w:color="5B9BD5"/>
            </w:tcBorders>
            <w:shd w:val="clear" w:color="auto" w:fill="auto"/>
            <w:vAlign w:val="center"/>
            <w:hideMark/>
          </w:tcPr>
          <w:p w14:paraId="2030CEBE" w14:textId="77777777" w:rsidR="00C7695C" w:rsidRPr="008F525B" w:rsidRDefault="00C7695C" w:rsidP="00C7695C">
            <w:pPr>
              <w:spacing w:after="0" w:line="240" w:lineRule="auto"/>
              <w:rPr>
                <w:rFonts w:eastAsia="Times New Roman" w:cs="Calibri"/>
                <w:b/>
                <w:bCs/>
                <w:color w:val="000000"/>
                <w:sz w:val="20"/>
                <w:szCs w:val="20"/>
              </w:rPr>
            </w:pPr>
            <w:r w:rsidRPr="008F525B">
              <w:rPr>
                <w:rFonts w:eastAsia="Times New Roman" w:cs="Calibri"/>
                <w:b/>
                <w:bCs/>
                <w:color w:val="000000"/>
                <w:sz w:val="20"/>
                <w:szCs w:val="20"/>
              </w:rPr>
              <w:t>Պետական բյուջեի դեֆիցիտ (-) / պրոֆիցիտ (+)</w:t>
            </w:r>
          </w:p>
        </w:tc>
        <w:tc>
          <w:tcPr>
            <w:tcW w:w="1281" w:type="dxa"/>
            <w:tcBorders>
              <w:top w:val="nil"/>
              <w:left w:val="nil"/>
              <w:bottom w:val="single" w:sz="12" w:space="0" w:color="5B9BD5"/>
              <w:right w:val="single" w:sz="8" w:space="0" w:color="5B9BD5"/>
            </w:tcBorders>
            <w:shd w:val="clear" w:color="auto" w:fill="auto"/>
            <w:noWrap/>
            <w:vAlign w:val="center"/>
            <w:hideMark/>
          </w:tcPr>
          <w:p w14:paraId="0B781216"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-1.0</w:t>
            </w:r>
          </w:p>
        </w:tc>
        <w:tc>
          <w:tcPr>
            <w:tcW w:w="1395" w:type="dxa"/>
            <w:tcBorders>
              <w:top w:val="nil"/>
              <w:left w:val="nil"/>
              <w:bottom w:val="single" w:sz="12" w:space="0" w:color="5B9BD5"/>
              <w:right w:val="single" w:sz="8" w:space="0" w:color="5B9BD5"/>
            </w:tcBorders>
            <w:shd w:val="clear" w:color="000000" w:fill="DEEAF6"/>
            <w:noWrap/>
            <w:vAlign w:val="center"/>
            <w:hideMark/>
          </w:tcPr>
          <w:p w14:paraId="185A9F46"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-5.6</w:t>
            </w:r>
          </w:p>
        </w:tc>
        <w:tc>
          <w:tcPr>
            <w:tcW w:w="974" w:type="dxa"/>
            <w:tcBorders>
              <w:top w:val="nil"/>
              <w:left w:val="nil"/>
              <w:bottom w:val="single" w:sz="12" w:space="0" w:color="5B9BD5"/>
              <w:right w:val="single" w:sz="8" w:space="0" w:color="5B9BD5"/>
            </w:tcBorders>
            <w:shd w:val="clear" w:color="000000" w:fill="DEEAF6"/>
            <w:noWrap/>
            <w:vAlign w:val="center"/>
            <w:hideMark/>
          </w:tcPr>
          <w:p w14:paraId="679D0CA1"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-2.9</w:t>
            </w:r>
          </w:p>
        </w:tc>
        <w:tc>
          <w:tcPr>
            <w:tcW w:w="994" w:type="dxa"/>
            <w:tcBorders>
              <w:top w:val="nil"/>
              <w:left w:val="nil"/>
              <w:bottom w:val="single" w:sz="12" w:space="0" w:color="5B9BD5"/>
              <w:right w:val="single" w:sz="8" w:space="0" w:color="5B9BD5"/>
            </w:tcBorders>
            <w:shd w:val="clear" w:color="000000" w:fill="DEEAF6"/>
            <w:noWrap/>
            <w:vAlign w:val="center"/>
            <w:hideMark/>
          </w:tcPr>
          <w:p w14:paraId="0EFA7247"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-1.8</w:t>
            </w:r>
          </w:p>
        </w:tc>
        <w:tc>
          <w:tcPr>
            <w:tcW w:w="994" w:type="dxa"/>
            <w:tcBorders>
              <w:top w:val="nil"/>
              <w:left w:val="nil"/>
              <w:bottom w:val="single" w:sz="12" w:space="0" w:color="5B9BD5"/>
              <w:right w:val="single" w:sz="12" w:space="0" w:color="5B9BD5"/>
            </w:tcBorders>
            <w:shd w:val="clear" w:color="000000" w:fill="DEEAF6"/>
            <w:noWrap/>
            <w:vAlign w:val="center"/>
            <w:hideMark/>
          </w:tcPr>
          <w:p w14:paraId="38FED5F3" w14:textId="77777777" w:rsidR="00C7695C" w:rsidRPr="008F525B" w:rsidRDefault="00C7695C" w:rsidP="00C7695C">
            <w:pPr>
              <w:spacing w:after="0" w:line="240" w:lineRule="auto"/>
              <w:ind w:firstLine="31"/>
              <w:jc w:val="right"/>
              <w:rPr>
                <w:rFonts w:eastAsia="Times New Roman" w:cs="Calibri"/>
                <w:b/>
                <w:bCs/>
                <w:color w:val="000000"/>
                <w:sz w:val="20"/>
                <w:szCs w:val="20"/>
              </w:rPr>
            </w:pPr>
            <w:r w:rsidRPr="008F525B">
              <w:rPr>
                <w:rFonts w:eastAsia="Times New Roman" w:cs="Calibri"/>
                <w:b/>
                <w:bCs/>
                <w:color w:val="000000"/>
                <w:sz w:val="20"/>
                <w:szCs w:val="20"/>
              </w:rPr>
              <w:t>-1.8</w:t>
            </w:r>
          </w:p>
        </w:tc>
      </w:tr>
    </w:tbl>
    <w:p w14:paraId="19EF66E0" w14:textId="77777777" w:rsidR="00C7695C" w:rsidRPr="008F525B" w:rsidRDefault="00C7695C" w:rsidP="00C7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firstLine="709"/>
        <w:rPr>
          <w:rFonts w:cs="Arial"/>
          <w:bCs/>
          <w:sz w:val="20"/>
          <w:szCs w:val="20"/>
          <w:lang w:val="hy-AM"/>
        </w:rPr>
      </w:pPr>
      <w:r w:rsidRPr="008F525B">
        <w:rPr>
          <w:rFonts w:cs="Arial"/>
          <w:bCs/>
          <w:sz w:val="20"/>
          <w:szCs w:val="20"/>
          <w:lang w:val="hy-AM"/>
        </w:rPr>
        <w:t>Աղբյուրը՝ ՀՀ ՖՆ կանխատեսումներ</w:t>
      </w:r>
    </w:p>
    <w:p w14:paraId="104A61EA" w14:textId="77777777" w:rsidR="00C7695C" w:rsidRPr="008F525B" w:rsidRDefault="00C7695C" w:rsidP="00C7695C">
      <w:pPr>
        <w:rPr>
          <w:rFonts w:cs="Arial"/>
          <w:b/>
          <w:color w:val="4F81BD" w:themeColor="accent1"/>
          <w:sz w:val="20"/>
          <w:szCs w:val="20"/>
          <w:lang w:val="hy-AM"/>
        </w:rPr>
      </w:pPr>
      <w:r w:rsidRPr="008F525B">
        <w:rPr>
          <w:rFonts w:cs="Arial"/>
          <w:b/>
          <w:color w:val="4F81BD" w:themeColor="accent1"/>
          <w:sz w:val="20"/>
          <w:szCs w:val="20"/>
          <w:lang w:val="hy-AM"/>
        </w:rPr>
        <w:br w:type="page"/>
      </w:r>
    </w:p>
    <w:p w14:paraId="109B0CE0" w14:textId="77777777" w:rsidR="00C7695C" w:rsidRPr="00F9524A" w:rsidRDefault="00F9524A" w:rsidP="000A2BEC">
      <w:pPr>
        <w:pStyle w:val="Heading3"/>
        <w:numPr>
          <w:ilvl w:val="1"/>
          <w:numId w:val="32"/>
        </w:numPr>
        <w:spacing w:before="0" w:after="120"/>
        <w:rPr>
          <w:rFonts w:eastAsia="Times New Roman" w:cs="Times New Roman"/>
          <w:caps w:val="0"/>
          <w:color w:val="1F497D" w:themeColor="text2"/>
          <w:sz w:val="28"/>
          <w:szCs w:val="28"/>
        </w:rPr>
      </w:pPr>
      <w:bookmarkStart w:id="217" w:name="_Toc45838523"/>
      <w:bookmarkStart w:id="218" w:name="_Toc46154352"/>
      <w:r w:rsidRPr="00F9524A">
        <w:rPr>
          <w:rFonts w:eastAsia="Times New Roman" w:cs="Times New Roman"/>
          <w:caps w:val="0"/>
          <w:color w:val="1F497D" w:themeColor="text2"/>
          <w:sz w:val="28"/>
          <w:szCs w:val="28"/>
        </w:rPr>
        <w:lastRenderedPageBreak/>
        <w:t>ՄԻՋՆԱԺԱՄԿԵՏ ՀԱՐԿԱԲՅՈՒՋԵՏԱՅԻՆ ՔԱՂԱՔԱԿԱՆՈՒԹՅԱՆ ԱՌԱՋՆԱՀԵՐԹՈՒԹՅՈՒՆՆԵՐԸ ԵՎ ՆՊԱՏԱԿՆԵՐԸ</w:t>
      </w:r>
      <w:bookmarkEnd w:id="217"/>
      <w:bookmarkEnd w:id="218"/>
    </w:p>
    <w:p w14:paraId="2749B010" w14:textId="77777777" w:rsidR="00C7695C" w:rsidRPr="00EB30B0" w:rsidRDefault="00C7695C" w:rsidP="00C7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firstLine="709"/>
        <w:rPr>
          <w:rFonts w:cs="Arial"/>
          <w:b/>
          <w:color w:val="000000" w:themeColor="text1"/>
        </w:rPr>
      </w:pPr>
      <w:r w:rsidRPr="000A79A3">
        <w:rPr>
          <w:rFonts w:cs="Arial"/>
          <w:b/>
          <w:color w:val="000000" w:themeColor="text1"/>
          <w:lang w:val="hy-AM"/>
        </w:rPr>
        <w:t>ՀՀ կառավարության ծրագիր</w:t>
      </w:r>
      <w:r>
        <w:rPr>
          <w:rFonts w:cs="Arial"/>
          <w:b/>
          <w:color w:val="000000" w:themeColor="text1"/>
        </w:rPr>
        <w:t>`</w:t>
      </w:r>
    </w:p>
    <w:p w14:paraId="50F4229D" w14:textId="77777777" w:rsidR="00C7695C" w:rsidRPr="002A714A" w:rsidRDefault="00C7695C" w:rsidP="00C7695C">
      <w:pPr>
        <w:pStyle w:val="ListParagraph"/>
        <w:numPr>
          <w:ilvl w:val="0"/>
          <w:numId w:val="38"/>
        </w:numPr>
        <w:spacing w:before="0" w:after="120" w:line="276" w:lineRule="auto"/>
        <w:ind w:left="0" w:firstLine="709"/>
        <w:contextualSpacing w:val="0"/>
        <w:rPr>
          <w:rFonts w:cs="Sylfaen"/>
          <w:lang w:val="es-ES"/>
        </w:rPr>
      </w:pPr>
      <w:r w:rsidRPr="002A714A">
        <w:rPr>
          <w:rFonts w:cs="Sylfaen"/>
          <w:b/>
          <w:bCs/>
          <w:u w:val="single"/>
          <w:lang w:val="es-ES"/>
        </w:rPr>
        <w:t>Տնտեսական աճի մոդել։</w:t>
      </w:r>
      <w:r w:rsidRPr="002A714A">
        <w:rPr>
          <w:rFonts w:cs="Sylfaen"/>
          <w:lang w:val="es-ES"/>
        </w:rPr>
        <w:t xml:space="preserve"> ՀՀ կառավարության (այսուհետ</w:t>
      </w:r>
      <w:r w:rsidRPr="002A714A">
        <w:rPr>
          <w:rFonts w:ascii="Times New Roman" w:hAnsi="Times New Roman" w:cs="Times New Roman"/>
          <w:lang w:val="es-ES"/>
        </w:rPr>
        <w:t>`</w:t>
      </w:r>
      <w:r w:rsidRPr="002A714A">
        <w:rPr>
          <w:rFonts w:cs="Sylfaen"/>
          <w:lang w:val="es-ES"/>
        </w:rPr>
        <w:t xml:space="preserve"> Կառավարություն) գործունեությունը միտված է լինելու </w:t>
      </w:r>
      <w:r>
        <w:rPr>
          <w:rFonts w:cs="Sylfaen"/>
          <w:lang w:val="hy-AM"/>
        </w:rPr>
        <w:t>ՀՀ-ում</w:t>
      </w:r>
      <w:r w:rsidRPr="002A714A">
        <w:rPr>
          <w:rFonts w:cs="Sylfaen"/>
          <w:lang w:val="es-ES"/>
        </w:rPr>
        <w:t xml:space="preserve"> բարձր տեխնոլոգիական, արդյունաբերական, ինչպես նաև բնապահպանական բարձր չափանիշներին համապատասխանող, արտահանմանը միտված մրցունակ և ներառական տնտեսություն կառուցելուն: </w:t>
      </w:r>
    </w:p>
    <w:p w14:paraId="40E0C1D8" w14:textId="77777777" w:rsidR="00C7695C" w:rsidRDefault="00C7695C" w:rsidP="00C7695C">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0" w:firstLine="709"/>
        <w:contextualSpacing w:val="0"/>
        <w:rPr>
          <w:rFonts w:cs="Arial"/>
          <w:lang w:val="es-ES"/>
        </w:rPr>
      </w:pPr>
      <w:r w:rsidRPr="002A714A">
        <w:rPr>
          <w:rFonts w:cs="Sylfaen"/>
          <w:b/>
          <w:bCs/>
          <w:u w:val="single"/>
          <w:lang w:val="hy-AM"/>
        </w:rPr>
        <w:t>Հարկային քաղաքականություն։</w:t>
      </w:r>
      <w:r>
        <w:rPr>
          <w:rFonts w:cs="Sylfaen"/>
          <w:lang w:val="hy-AM"/>
        </w:rPr>
        <w:t xml:space="preserve"> </w:t>
      </w:r>
      <w:r>
        <w:rPr>
          <w:rFonts w:cs="Arial"/>
          <w:lang w:val="hy-AM"/>
        </w:rPr>
        <w:t>Հ</w:t>
      </w:r>
      <w:r w:rsidRPr="002A714A">
        <w:rPr>
          <w:rFonts w:cs="Arial"/>
          <w:lang w:val="hy-AM"/>
        </w:rPr>
        <w:t>արկային</w:t>
      </w:r>
      <w:r w:rsidRPr="002A714A">
        <w:rPr>
          <w:rFonts w:cs="Arial"/>
          <w:lang w:val="es-ES"/>
        </w:rPr>
        <w:t xml:space="preserve"> </w:t>
      </w:r>
      <w:r w:rsidRPr="002A714A">
        <w:rPr>
          <w:rFonts w:cs="Arial"/>
          <w:lang w:val="hy-AM"/>
        </w:rPr>
        <w:t>քաղաքականությունը</w:t>
      </w:r>
      <w:r w:rsidRPr="002A714A">
        <w:rPr>
          <w:rFonts w:cs="Arial"/>
          <w:lang w:val="es-ES"/>
        </w:rPr>
        <w:t xml:space="preserve"> </w:t>
      </w:r>
      <w:r w:rsidRPr="002A714A">
        <w:rPr>
          <w:rFonts w:cs="Arial"/>
          <w:lang w:val="hy-AM"/>
        </w:rPr>
        <w:t>ուղղվում</w:t>
      </w:r>
      <w:r w:rsidRPr="002A714A">
        <w:rPr>
          <w:rFonts w:cs="Arial"/>
          <w:lang w:val="es-ES"/>
        </w:rPr>
        <w:t xml:space="preserve"> </w:t>
      </w:r>
      <w:r w:rsidRPr="002A714A">
        <w:rPr>
          <w:rFonts w:cs="Arial"/>
          <w:lang w:val="hy-AM"/>
        </w:rPr>
        <w:t>է</w:t>
      </w:r>
      <w:r w:rsidRPr="002A714A">
        <w:rPr>
          <w:rFonts w:cs="Arial"/>
          <w:lang w:val="es-ES"/>
        </w:rPr>
        <w:t xml:space="preserve"> </w:t>
      </w:r>
      <w:r w:rsidRPr="002A714A">
        <w:rPr>
          <w:rFonts w:cs="Arial"/>
          <w:lang w:val="hy-AM"/>
        </w:rPr>
        <w:t>տնտեսության</w:t>
      </w:r>
      <w:r w:rsidRPr="002A714A">
        <w:rPr>
          <w:rFonts w:cs="Arial"/>
          <w:lang w:val="es-ES"/>
        </w:rPr>
        <w:t xml:space="preserve"> </w:t>
      </w:r>
      <w:r w:rsidRPr="002A714A">
        <w:rPr>
          <w:rFonts w:cs="Arial"/>
          <w:lang w:val="hy-AM"/>
        </w:rPr>
        <w:t>ներդրումային</w:t>
      </w:r>
      <w:r w:rsidRPr="002A714A">
        <w:rPr>
          <w:rFonts w:cs="Arial"/>
          <w:lang w:val="es-ES"/>
        </w:rPr>
        <w:t xml:space="preserve"> </w:t>
      </w:r>
      <w:r w:rsidRPr="002A714A">
        <w:rPr>
          <w:rFonts w:cs="Arial"/>
          <w:lang w:val="hy-AM"/>
        </w:rPr>
        <w:t>գրավչության</w:t>
      </w:r>
      <w:r w:rsidRPr="002A714A">
        <w:rPr>
          <w:rFonts w:cs="Arial"/>
          <w:lang w:val="es-ES"/>
        </w:rPr>
        <w:t xml:space="preserve"> </w:t>
      </w:r>
      <w:r w:rsidRPr="002A714A">
        <w:rPr>
          <w:rFonts w:cs="Arial"/>
          <w:lang w:val="hy-AM"/>
        </w:rPr>
        <w:t>բարձրացմանն</w:t>
      </w:r>
      <w:r w:rsidRPr="002A714A">
        <w:rPr>
          <w:rFonts w:cs="Arial"/>
          <w:lang w:val="es-ES"/>
        </w:rPr>
        <w:t xml:space="preserve"> </w:t>
      </w:r>
      <w:r w:rsidRPr="002A714A">
        <w:rPr>
          <w:rFonts w:cs="Arial"/>
          <w:lang w:val="hy-AM"/>
        </w:rPr>
        <w:t>ու</w:t>
      </w:r>
      <w:r w:rsidRPr="002A714A">
        <w:rPr>
          <w:rFonts w:cs="Arial"/>
          <w:lang w:val="es-ES"/>
        </w:rPr>
        <w:t xml:space="preserve"> </w:t>
      </w:r>
      <w:r w:rsidRPr="002A714A">
        <w:rPr>
          <w:rFonts w:cs="Arial"/>
          <w:lang w:val="hy-AM"/>
        </w:rPr>
        <w:t>տնտեսական</w:t>
      </w:r>
      <w:r w:rsidRPr="002A714A">
        <w:rPr>
          <w:rFonts w:cs="Arial"/>
          <w:lang w:val="es-ES"/>
        </w:rPr>
        <w:t xml:space="preserve"> </w:t>
      </w:r>
      <w:r w:rsidRPr="002A714A">
        <w:rPr>
          <w:rFonts w:cs="Arial"/>
          <w:lang w:val="hy-AM"/>
        </w:rPr>
        <w:t>ակտիվության</w:t>
      </w:r>
      <w:r w:rsidRPr="002A714A">
        <w:rPr>
          <w:rFonts w:cs="Arial"/>
          <w:lang w:val="es-ES"/>
        </w:rPr>
        <w:t xml:space="preserve"> </w:t>
      </w:r>
      <w:r w:rsidRPr="002A714A">
        <w:rPr>
          <w:rFonts w:cs="Arial"/>
          <w:lang w:val="hy-AM"/>
        </w:rPr>
        <w:t>մակարդակի</w:t>
      </w:r>
      <w:r w:rsidRPr="002A714A">
        <w:rPr>
          <w:rFonts w:cs="Arial"/>
          <w:lang w:val="es-ES"/>
        </w:rPr>
        <w:t xml:space="preserve"> </w:t>
      </w:r>
      <w:r w:rsidRPr="002A714A">
        <w:rPr>
          <w:rFonts w:cs="Arial"/>
          <w:lang w:val="hy-AM"/>
        </w:rPr>
        <w:t>բարելավմանը՝</w:t>
      </w:r>
      <w:r w:rsidRPr="002A714A">
        <w:rPr>
          <w:rFonts w:cs="Arial"/>
          <w:lang w:val="es-ES"/>
        </w:rPr>
        <w:t xml:space="preserve"> </w:t>
      </w:r>
      <w:r w:rsidRPr="002A714A">
        <w:rPr>
          <w:rFonts w:cs="Arial"/>
          <w:lang w:val="hy-AM"/>
        </w:rPr>
        <w:t>դրանով</w:t>
      </w:r>
      <w:r w:rsidRPr="002A714A">
        <w:rPr>
          <w:rFonts w:cs="Arial"/>
          <w:lang w:val="es-ES"/>
        </w:rPr>
        <w:t xml:space="preserve"> </w:t>
      </w:r>
      <w:r w:rsidRPr="002A714A">
        <w:rPr>
          <w:rFonts w:cs="Arial"/>
          <w:lang w:val="hy-AM"/>
        </w:rPr>
        <w:t>իսկ</w:t>
      </w:r>
      <w:r w:rsidRPr="002A714A">
        <w:rPr>
          <w:rFonts w:cs="Arial"/>
          <w:lang w:val="es-ES"/>
        </w:rPr>
        <w:t xml:space="preserve"> </w:t>
      </w:r>
      <w:r w:rsidRPr="002A714A">
        <w:rPr>
          <w:rFonts w:cs="Arial"/>
          <w:lang w:val="hy-AM"/>
        </w:rPr>
        <w:t>ստեղծելով</w:t>
      </w:r>
      <w:r w:rsidRPr="002A714A">
        <w:rPr>
          <w:rFonts w:cs="Arial"/>
          <w:lang w:val="es-ES"/>
        </w:rPr>
        <w:t xml:space="preserve"> </w:t>
      </w:r>
      <w:r w:rsidRPr="002A714A">
        <w:rPr>
          <w:rFonts w:cs="Arial"/>
          <w:lang w:val="hy-AM"/>
        </w:rPr>
        <w:t>կայուն</w:t>
      </w:r>
      <w:r w:rsidRPr="002A714A">
        <w:rPr>
          <w:rFonts w:cs="Arial"/>
          <w:lang w:val="es-ES"/>
        </w:rPr>
        <w:t xml:space="preserve"> </w:t>
      </w:r>
      <w:r w:rsidRPr="002A714A">
        <w:rPr>
          <w:rFonts w:cs="Arial"/>
          <w:lang w:val="hy-AM"/>
        </w:rPr>
        <w:t>նախադրյալներ՝</w:t>
      </w:r>
      <w:r w:rsidRPr="002A714A">
        <w:rPr>
          <w:rFonts w:cs="Arial"/>
          <w:lang w:val="es-ES"/>
        </w:rPr>
        <w:t xml:space="preserve"> </w:t>
      </w:r>
      <w:r w:rsidRPr="002A714A">
        <w:rPr>
          <w:rFonts w:cs="Arial"/>
          <w:lang w:val="hy-AM"/>
        </w:rPr>
        <w:t>արտահանման</w:t>
      </w:r>
      <w:r w:rsidRPr="002A714A">
        <w:rPr>
          <w:rFonts w:cs="Arial"/>
          <w:lang w:val="es-ES"/>
        </w:rPr>
        <w:t xml:space="preserve"> </w:t>
      </w:r>
      <w:r w:rsidRPr="002A714A">
        <w:rPr>
          <w:rFonts w:cs="Arial"/>
          <w:lang w:val="hy-AM"/>
        </w:rPr>
        <w:t>և</w:t>
      </w:r>
      <w:r w:rsidRPr="002A714A">
        <w:rPr>
          <w:rFonts w:cs="Arial"/>
          <w:lang w:val="es-ES"/>
        </w:rPr>
        <w:t xml:space="preserve"> </w:t>
      </w:r>
      <w:r w:rsidRPr="002A714A">
        <w:rPr>
          <w:rFonts w:cs="Arial"/>
          <w:lang w:val="hy-AM"/>
        </w:rPr>
        <w:t>երկարաժամկետ</w:t>
      </w:r>
      <w:r w:rsidRPr="002A714A">
        <w:rPr>
          <w:rFonts w:cs="Arial"/>
          <w:lang w:val="es-ES"/>
        </w:rPr>
        <w:t xml:space="preserve"> </w:t>
      </w:r>
      <w:r w:rsidRPr="002A714A">
        <w:rPr>
          <w:rFonts w:cs="Arial"/>
          <w:lang w:val="hy-AM"/>
        </w:rPr>
        <w:t>տնտեսական</w:t>
      </w:r>
      <w:r w:rsidRPr="002A714A">
        <w:rPr>
          <w:rFonts w:cs="Arial"/>
          <w:lang w:val="es-ES"/>
        </w:rPr>
        <w:t xml:space="preserve"> </w:t>
      </w:r>
      <w:r w:rsidRPr="002A714A">
        <w:rPr>
          <w:rFonts w:cs="Arial"/>
          <w:lang w:val="hy-AM"/>
        </w:rPr>
        <w:t>աճի</w:t>
      </w:r>
      <w:r w:rsidRPr="002A714A">
        <w:rPr>
          <w:rFonts w:cs="Arial"/>
          <w:lang w:val="es-ES"/>
        </w:rPr>
        <w:t xml:space="preserve">, </w:t>
      </w:r>
      <w:r w:rsidRPr="002A714A">
        <w:rPr>
          <w:rFonts w:cs="Arial"/>
          <w:lang w:val="hy-AM"/>
        </w:rPr>
        <w:t>հանրային</w:t>
      </w:r>
      <w:r w:rsidRPr="002A714A">
        <w:rPr>
          <w:rFonts w:cs="Arial"/>
          <w:lang w:val="es-ES"/>
        </w:rPr>
        <w:t xml:space="preserve"> </w:t>
      </w:r>
      <w:r w:rsidRPr="002A714A">
        <w:rPr>
          <w:rFonts w:cs="Arial"/>
          <w:lang w:val="hy-AM"/>
        </w:rPr>
        <w:t>բարիքի</w:t>
      </w:r>
      <w:r w:rsidRPr="002A714A">
        <w:rPr>
          <w:rFonts w:cs="Arial"/>
          <w:lang w:val="es-ES"/>
        </w:rPr>
        <w:t xml:space="preserve"> </w:t>
      </w:r>
      <w:r w:rsidRPr="002A714A">
        <w:rPr>
          <w:rFonts w:cs="Arial"/>
          <w:lang w:val="hy-AM"/>
        </w:rPr>
        <w:t>վերաբաշխման</w:t>
      </w:r>
      <w:r w:rsidRPr="002A714A">
        <w:rPr>
          <w:rFonts w:cs="Arial"/>
          <w:lang w:val="es-ES"/>
        </w:rPr>
        <w:t xml:space="preserve"> </w:t>
      </w:r>
      <w:r w:rsidRPr="002A714A">
        <w:rPr>
          <w:rFonts w:cs="Arial"/>
          <w:lang w:val="hy-AM"/>
        </w:rPr>
        <w:t>և</w:t>
      </w:r>
      <w:r w:rsidRPr="002A714A">
        <w:rPr>
          <w:rFonts w:cs="Arial"/>
          <w:lang w:val="es-ES"/>
        </w:rPr>
        <w:t xml:space="preserve"> </w:t>
      </w:r>
      <w:r w:rsidRPr="002A714A">
        <w:rPr>
          <w:rFonts w:cs="Arial"/>
          <w:lang w:val="hy-AM"/>
        </w:rPr>
        <w:t>հարկաբյուջետային</w:t>
      </w:r>
      <w:r w:rsidRPr="002A714A">
        <w:rPr>
          <w:rFonts w:cs="Arial"/>
          <w:lang w:val="es-ES"/>
        </w:rPr>
        <w:t xml:space="preserve"> </w:t>
      </w:r>
      <w:r w:rsidRPr="002A714A">
        <w:rPr>
          <w:rFonts w:cs="Arial"/>
          <w:lang w:val="hy-AM"/>
        </w:rPr>
        <w:t>կայունության</w:t>
      </w:r>
      <w:r w:rsidRPr="002A714A">
        <w:rPr>
          <w:rFonts w:cs="Arial"/>
          <w:lang w:val="es-ES"/>
        </w:rPr>
        <w:t xml:space="preserve"> </w:t>
      </w:r>
      <w:r w:rsidRPr="002A714A">
        <w:rPr>
          <w:rFonts w:cs="Arial"/>
          <w:lang w:val="hy-AM"/>
        </w:rPr>
        <w:t>ամրապնդման</w:t>
      </w:r>
      <w:r w:rsidRPr="002A714A">
        <w:rPr>
          <w:rFonts w:cs="Arial"/>
          <w:lang w:val="es-ES"/>
        </w:rPr>
        <w:t xml:space="preserve"> </w:t>
      </w:r>
      <w:r w:rsidRPr="002A714A">
        <w:rPr>
          <w:rFonts w:cs="Arial"/>
          <w:lang w:val="hy-AM"/>
        </w:rPr>
        <w:t>համար</w:t>
      </w:r>
      <w:r w:rsidRPr="002A714A">
        <w:rPr>
          <w:rFonts w:cs="Arial"/>
          <w:lang w:val="es-ES"/>
        </w:rPr>
        <w:t xml:space="preserve">: </w:t>
      </w:r>
    </w:p>
    <w:p w14:paraId="09794906" w14:textId="77777777" w:rsidR="00C7695C" w:rsidRPr="002A714A" w:rsidRDefault="00C7695C" w:rsidP="00C7695C">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0" w:firstLine="709"/>
        <w:contextualSpacing w:val="0"/>
        <w:rPr>
          <w:rFonts w:cs="Arial"/>
          <w:lang w:val="es-ES"/>
        </w:rPr>
      </w:pPr>
      <w:r w:rsidRPr="00122454">
        <w:rPr>
          <w:rFonts w:cs="Arial"/>
          <w:lang w:val="hy-AM"/>
        </w:rPr>
        <w:t xml:space="preserve">Կառավարությունը հարկային վարչարարության արդյունավետության բարձրացման և ստվերային տնտեսության կրճատման ճանապարհով նախատեսում է միջնաժամկետ </w:t>
      </w:r>
      <w:r w:rsidRPr="002A714A">
        <w:rPr>
          <w:rFonts w:cs="Arial"/>
          <w:lang w:val="hy-AM"/>
        </w:rPr>
        <w:t>հ</w:t>
      </w:r>
      <w:r w:rsidRPr="00122454">
        <w:rPr>
          <w:rFonts w:cs="Arial"/>
          <w:lang w:val="hy-AM"/>
        </w:rPr>
        <w:t>որիզոնում ապահովել հարկեր/ՀՆԱ ցուցանիշի շարունակական աճ առավելագույն հնարավորի սահմաններում:</w:t>
      </w:r>
    </w:p>
    <w:p w14:paraId="0CF31E95" w14:textId="00043DD7" w:rsidR="00C7695C" w:rsidRPr="00122454" w:rsidRDefault="00C7695C" w:rsidP="00C7695C">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ind w:left="0" w:firstLine="709"/>
        <w:contextualSpacing w:val="0"/>
        <w:rPr>
          <w:rFonts w:cs="Arial"/>
          <w:lang w:val="es-ES"/>
        </w:rPr>
      </w:pPr>
      <w:r w:rsidRPr="002A714A">
        <w:rPr>
          <w:rFonts w:cs="Arial"/>
          <w:b/>
          <w:bCs/>
          <w:u w:val="single"/>
          <w:lang w:val="hy-AM"/>
        </w:rPr>
        <w:t>Ծախսային քաղաքականություն։</w:t>
      </w:r>
      <w:r>
        <w:rPr>
          <w:rFonts w:cs="Arial"/>
          <w:lang w:val="hy-AM"/>
        </w:rPr>
        <w:t xml:space="preserve"> </w:t>
      </w:r>
      <w:r w:rsidRPr="00122454">
        <w:rPr>
          <w:rFonts w:cs="Arial"/>
          <w:lang w:val="hy-AM"/>
        </w:rPr>
        <w:t>Ծախսային քաղաքականության արդյունավետության բարձրացման տեսանկյունից կարևորում է հանրային ֆինանսների նպատակային, խնայողաբար և ա</w:t>
      </w:r>
      <w:r w:rsidR="007724F4">
        <w:rPr>
          <w:rFonts w:cs="Arial"/>
          <w:lang w:val="hy-AM"/>
        </w:rPr>
        <w:t>ր</w:t>
      </w:r>
      <w:r w:rsidRPr="00122454">
        <w:rPr>
          <w:rFonts w:cs="Arial"/>
          <w:lang w:val="hy-AM"/>
        </w:rPr>
        <w:t>դյունավետ օգտագործումը:</w:t>
      </w:r>
      <w:r>
        <w:rPr>
          <w:rFonts w:cs="Arial"/>
          <w:lang w:val="hy-AM"/>
        </w:rPr>
        <w:t xml:space="preserve"> </w:t>
      </w:r>
      <w:r w:rsidRPr="00122454">
        <w:rPr>
          <w:rFonts w:cs="Arial"/>
          <w:lang w:val="hy-AM"/>
        </w:rPr>
        <w:t>ՀՀ պետական բյուջեի ծախսերի կառուցվածքում աստիճանաբար հնարավորության սահմաններում կմեծանա մարդկային կապիտալին և ենթակառուցվածքներին ուղղվող ծախսերի տեսակարար կշիռը:</w:t>
      </w:r>
    </w:p>
    <w:p w14:paraId="65E904D5" w14:textId="77777777" w:rsidR="00C7695C" w:rsidRPr="000A79A3" w:rsidRDefault="00C7695C" w:rsidP="00C7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firstLine="709"/>
        <w:rPr>
          <w:rFonts w:cs="Arial"/>
          <w:b/>
          <w:color w:val="000000" w:themeColor="text1"/>
          <w:lang w:val="hy-AM"/>
        </w:rPr>
      </w:pPr>
      <w:r w:rsidRPr="000A79A3">
        <w:rPr>
          <w:rFonts w:cs="Arial"/>
          <w:b/>
          <w:color w:val="000000" w:themeColor="text1"/>
          <w:lang w:val="hy-AM"/>
        </w:rPr>
        <w:t>Հարկաբյուջետային կանոններ</w:t>
      </w:r>
    </w:p>
    <w:p w14:paraId="376B3CE4" w14:textId="77777777" w:rsidR="00C7695C" w:rsidRPr="000A79A3" w:rsidRDefault="00C7695C" w:rsidP="00C7695C">
      <w:pPr>
        <w:spacing w:after="120" w:line="276" w:lineRule="auto"/>
        <w:ind w:firstLine="709"/>
        <w:rPr>
          <w:lang w:val="hy-AM"/>
        </w:rPr>
      </w:pPr>
      <w:r w:rsidRPr="000A79A3">
        <w:rPr>
          <w:lang w:val="hy-AM"/>
        </w:rPr>
        <w:t>ՀՀ հարկաբյուջետային կանոնների համակարգին համահունչ</w:t>
      </w:r>
      <w:r w:rsidRPr="000A79A3">
        <w:rPr>
          <w:rStyle w:val="FootnoteReference"/>
          <w:lang w:val="hy-AM"/>
        </w:rPr>
        <w:footnoteReference w:id="7"/>
      </w:r>
      <w:r w:rsidRPr="000A79A3">
        <w:rPr>
          <w:lang w:val="hy-AM"/>
        </w:rPr>
        <w:t xml:space="preserve"> միջնաժամկետում հարկաբյուջետային քաղաքականության հիմքում լինելու են հետևյալ սկզբունքները</w:t>
      </w:r>
      <w:r w:rsidRPr="000A79A3">
        <w:rPr>
          <w:rFonts w:ascii="Cambria Math" w:hAnsi="Cambria Math" w:cs="Cambria Math"/>
          <w:lang w:val="hy-AM"/>
        </w:rPr>
        <w:t>․</w:t>
      </w:r>
    </w:p>
    <w:p w14:paraId="280BC4AE" w14:textId="77777777" w:rsidR="00C7695C" w:rsidRPr="000A79A3" w:rsidRDefault="00C7695C" w:rsidP="00C7695C">
      <w:pPr>
        <w:pStyle w:val="ListParagraph"/>
        <w:numPr>
          <w:ilvl w:val="0"/>
          <w:numId w:val="34"/>
        </w:numPr>
        <w:spacing w:before="0" w:after="120" w:line="276" w:lineRule="auto"/>
        <w:ind w:left="0" w:firstLine="709"/>
        <w:contextualSpacing w:val="0"/>
        <w:rPr>
          <w:lang w:val="hy-AM"/>
        </w:rPr>
      </w:pPr>
      <w:r w:rsidRPr="000A79A3">
        <w:rPr>
          <w:b/>
          <w:u w:val="single"/>
          <w:lang w:val="hy-AM"/>
        </w:rPr>
        <w:t>Հակապարբերաշրջանային քաղաքականություն։</w:t>
      </w:r>
      <w:r w:rsidRPr="000A79A3">
        <w:rPr>
          <w:lang w:val="hy-AM"/>
        </w:rPr>
        <w:t xml:space="preserve"> Հարկաբյուջետային կանոնների համակարգին համահունչ՝ 2020թ</w:t>
      </w:r>
      <w:r w:rsidRPr="000A79A3">
        <w:rPr>
          <w:rFonts w:ascii="Cambria Math" w:hAnsi="Cambria Math" w:cs="Cambria Math"/>
          <w:lang w:val="hy-AM"/>
        </w:rPr>
        <w:t>․</w:t>
      </w:r>
      <w:r w:rsidRPr="000A79A3">
        <w:rPr>
          <w:lang w:val="hy-AM"/>
        </w:rPr>
        <w:t>-ին հարկաբյուջետային քաղաքականությունը կլինի խթանող` հակազդելու COVID-19 համավարակի բռնկման և կիրառված տնտեսական սահմանափակումների պատճառով առաջացած տնտեսական ցնցմանը, իսկ 2021թ</w:t>
      </w:r>
      <w:r w:rsidRPr="000A79A3">
        <w:rPr>
          <w:rFonts w:ascii="Cambria Math" w:hAnsi="Cambria Math" w:cs="Cambria Math"/>
          <w:lang w:val="hy-AM"/>
        </w:rPr>
        <w:t>․</w:t>
      </w:r>
      <w:r w:rsidRPr="000A79A3">
        <w:rPr>
          <w:lang w:val="hy-AM"/>
        </w:rPr>
        <w:t>-ից հետո ընթացիկ առաջնային ծախսերի աճի տեմպը համահունչ կլինի ՀՆԱ երկարաժամկետ աճի տեմպին, և հարկաբյուջետային քաղաքականությունը կունենա չեզոք ուղղվածություն։</w:t>
      </w:r>
    </w:p>
    <w:p w14:paraId="6685167C" w14:textId="77777777" w:rsidR="00C7695C" w:rsidRDefault="00C7695C" w:rsidP="00C7695C">
      <w:pPr>
        <w:pStyle w:val="ListParagraph"/>
        <w:numPr>
          <w:ilvl w:val="0"/>
          <w:numId w:val="34"/>
        </w:numPr>
        <w:spacing w:before="0" w:after="120" w:line="276" w:lineRule="auto"/>
        <w:ind w:left="0" w:firstLine="709"/>
        <w:contextualSpacing w:val="0"/>
        <w:rPr>
          <w:lang w:val="hy-AM"/>
        </w:rPr>
      </w:pPr>
      <w:r w:rsidRPr="000A79A3">
        <w:rPr>
          <w:b/>
          <w:u w:val="single"/>
          <w:lang w:val="hy-AM"/>
        </w:rPr>
        <w:t>Երկարաժամկետ տնտեսական աճի խթանում։</w:t>
      </w:r>
      <w:r w:rsidRPr="000A79A3">
        <w:rPr>
          <w:lang w:val="hy-AM"/>
        </w:rPr>
        <w:t xml:space="preserve"> Հարկաբյուջետային քաղաքականությունը 2020թ</w:t>
      </w:r>
      <w:r w:rsidRPr="000A79A3">
        <w:rPr>
          <w:rFonts w:ascii="Cambria Math" w:hAnsi="Cambria Math" w:cs="Cambria Math"/>
          <w:lang w:val="hy-AM"/>
        </w:rPr>
        <w:t>․</w:t>
      </w:r>
      <w:r w:rsidRPr="000A79A3">
        <w:rPr>
          <w:lang w:val="hy-AM"/>
        </w:rPr>
        <w:t xml:space="preserve">-ին կշեղվի պետական ֆինանսների «ոսկե կանոնից», որը պահանջում է, որ տվյալ տարում կառավարության վերցրած փոխառությունների ծավալը </w:t>
      </w:r>
      <w:r w:rsidRPr="000A79A3">
        <w:rPr>
          <w:lang w:val="hy-AM"/>
        </w:rPr>
        <w:lastRenderedPageBreak/>
        <w:t>չգերազանցեն պետական ներդրումների ծավալին, իսկ ընթացիկ ծախսերը ծածկվեն սեփական եկամուտներով։ 202</w:t>
      </w:r>
      <w:r w:rsidRPr="00EF6503">
        <w:rPr>
          <w:lang w:val="hy-AM"/>
        </w:rPr>
        <w:t>1</w:t>
      </w:r>
      <w:r w:rsidRPr="000A79A3">
        <w:rPr>
          <w:lang w:val="hy-AM"/>
        </w:rPr>
        <w:t>թ</w:t>
      </w:r>
      <w:r w:rsidRPr="000A79A3">
        <w:rPr>
          <w:rFonts w:ascii="Cambria Math" w:hAnsi="Cambria Math" w:cs="Cambria Math"/>
          <w:lang w:val="hy-AM"/>
        </w:rPr>
        <w:t>․</w:t>
      </w:r>
      <w:r w:rsidRPr="000A79A3">
        <w:rPr>
          <w:lang w:val="hy-AM"/>
        </w:rPr>
        <w:t>-ից հարկաբյուջետային քաղաքականությունը կվերադառնա «</w:t>
      </w:r>
      <w:r>
        <w:rPr>
          <w:lang w:val="hy-AM"/>
        </w:rPr>
        <w:t>Ո</w:t>
      </w:r>
      <w:r w:rsidRPr="000A79A3">
        <w:rPr>
          <w:lang w:val="hy-AM"/>
        </w:rPr>
        <w:t>սկե կանոնին»</w:t>
      </w:r>
      <w:r w:rsidRPr="00EF6503">
        <w:rPr>
          <w:lang w:val="hy-AM"/>
        </w:rPr>
        <w:t>:</w:t>
      </w:r>
      <w:r w:rsidRPr="000A79A3">
        <w:rPr>
          <w:lang w:val="hy-AM"/>
        </w:rPr>
        <w:t xml:space="preserve"> «Ոսկե կանոնի» ներքո պետական կապիտալ ծախսերի</w:t>
      </w:r>
      <w:r w:rsidRPr="00EF6503">
        <w:rPr>
          <w:lang w:val="hy-AM"/>
        </w:rPr>
        <w:t xml:space="preserve"> </w:t>
      </w:r>
      <w:r>
        <w:rPr>
          <w:lang w:val="hy-AM"/>
        </w:rPr>
        <w:t>դերի</w:t>
      </w:r>
      <w:r w:rsidRPr="000A79A3">
        <w:rPr>
          <w:lang w:val="hy-AM"/>
        </w:rPr>
        <w:t xml:space="preserve"> </w:t>
      </w:r>
      <w:r>
        <w:rPr>
          <w:lang w:val="hy-AM"/>
        </w:rPr>
        <w:t>բարձրացումը</w:t>
      </w:r>
      <w:r w:rsidRPr="000A79A3">
        <w:rPr>
          <w:lang w:val="hy-AM"/>
        </w:rPr>
        <w:t xml:space="preserve"> թույլ կտա խթանել երկարաժամկետ տնտեսական աճը և ՀՆԱ աճի հաշվին երկարաժամկետ հեռանկարում ապահովել պետական պարտքի կայունությունը։</w:t>
      </w:r>
    </w:p>
    <w:p w14:paraId="1ABC73A2" w14:textId="77777777" w:rsidR="00C7695C" w:rsidRPr="000878DD" w:rsidRDefault="00C7695C" w:rsidP="00C7695C">
      <w:pPr>
        <w:spacing w:after="120" w:line="276" w:lineRule="auto"/>
        <w:ind w:firstLine="709"/>
        <w:rPr>
          <w:lang w:val="hy-AM"/>
        </w:rPr>
      </w:pPr>
      <w:r w:rsidRPr="00C8300B">
        <w:rPr>
          <w:lang w:val="hy-AM"/>
        </w:rPr>
        <w:t>ՊՖԿՀ բարեփոխումների</w:t>
      </w:r>
      <w:r w:rsidRPr="000878DD">
        <w:rPr>
          <w:lang w:val="hy-AM"/>
        </w:rPr>
        <w:t xml:space="preserve"> ոլորտում ընդգրկված է նաև </w:t>
      </w:r>
      <w:r w:rsidRPr="00C8300B">
        <w:rPr>
          <w:lang w:val="hy-AM"/>
        </w:rPr>
        <w:t>«Հանրային ներդրումների կառավարման» համակարգի ներդր</w:t>
      </w:r>
      <w:r w:rsidRPr="00B2302A">
        <w:rPr>
          <w:lang w:val="hy-AM"/>
        </w:rPr>
        <w:t>ումը</w:t>
      </w:r>
      <w:r w:rsidRPr="000878DD">
        <w:rPr>
          <w:lang w:val="hy-AM"/>
        </w:rPr>
        <w:t>, որը</w:t>
      </w:r>
      <w:r w:rsidRPr="00C8300B">
        <w:rPr>
          <w:lang w:val="hy-AM"/>
        </w:rPr>
        <w:t xml:space="preserve"> հանդիսանում է կապիտալ ծրագրերի գնահատման, առաջնահերթությունների որոշման և ֆինանսավորման համար անհրաժեշտ ռեսուրսների հաշվարկման առանցքային գործիքակազմի բաղադրիչներից մեկը</w:t>
      </w:r>
      <w:r w:rsidRPr="000878DD">
        <w:rPr>
          <w:lang w:val="hy-AM"/>
        </w:rPr>
        <w:t>: Այս միջոցառման իրականացումը կնպաստի</w:t>
      </w:r>
      <w:r>
        <w:rPr>
          <w:lang w:val="hy-AM"/>
        </w:rPr>
        <w:t xml:space="preserve"> պետական կապիտալ ծախսերի իրականացման արդյունավետության բարձրացմանը</w:t>
      </w:r>
      <w:r w:rsidRPr="000878DD">
        <w:rPr>
          <w:lang w:val="hy-AM"/>
        </w:rPr>
        <w:t xml:space="preserve">՝ խթանելով երկարաժամկետ տնտեսական աճի արագացումը: </w:t>
      </w:r>
    </w:p>
    <w:p w14:paraId="4AACC67F" w14:textId="3DC50C6A" w:rsidR="00C7695C" w:rsidRPr="000A79A3" w:rsidRDefault="00C7695C" w:rsidP="00C7695C">
      <w:pPr>
        <w:pStyle w:val="ListParagraph"/>
        <w:numPr>
          <w:ilvl w:val="0"/>
          <w:numId w:val="34"/>
        </w:numPr>
        <w:spacing w:before="0" w:after="120" w:line="276" w:lineRule="auto"/>
        <w:ind w:left="0" w:firstLine="709"/>
        <w:contextualSpacing w:val="0"/>
        <w:rPr>
          <w:lang w:val="hy-AM"/>
        </w:rPr>
      </w:pPr>
      <w:r>
        <w:rPr>
          <w:b/>
          <w:u w:val="single"/>
          <w:lang w:val="hy-AM"/>
        </w:rPr>
        <w:t>Հարկաբյուջետային կայունության պահպանում ս</w:t>
      </w:r>
      <w:r w:rsidRPr="000A79A3">
        <w:rPr>
          <w:b/>
          <w:u w:val="single"/>
          <w:lang w:val="hy-AM"/>
        </w:rPr>
        <w:t>ահուն հարկաբյուջետային</w:t>
      </w:r>
      <w:r w:rsidRPr="000B2813">
        <w:rPr>
          <w:b/>
          <w:u w:val="single"/>
          <w:lang w:val="hy-AM"/>
        </w:rPr>
        <w:t xml:space="preserve"> կոնսոլիդացիայի </w:t>
      </w:r>
      <w:r>
        <w:rPr>
          <w:b/>
          <w:u w:val="single"/>
          <w:lang w:val="hy-AM"/>
        </w:rPr>
        <w:t>միջոցով</w:t>
      </w:r>
      <w:r w:rsidRPr="000A79A3">
        <w:rPr>
          <w:b/>
          <w:u w:val="single"/>
          <w:lang w:val="hy-AM"/>
        </w:rPr>
        <w:t>։</w:t>
      </w:r>
      <w:r w:rsidRPr="000A79A3">
        <w:rPr>
          <w:b/>
          <w:lang w:val="hy-AM"/>
        </w:rPr>
        <w:t xml:space="preserve"> </w:t>
      </w:r>
      <w:r w:rsidRPr="000A79A3">
        <w:rPr>
          <w:lang w:val="hy-AM"/>
        </w:rPr>
        <w:t>COIVID-19 համավարակի պատճառով ծագած բացառիկ դեպքով պայմանավորված 2020թ</w:t>
      </w:r>
      <w:r w:rsidRPr="000A79A3">
        <w:rPr>
          <w:rFonts w:ascii="Cambria Math" w:hAnsi="Cambria Math" w:cs="Cambria Math"/>
          <w:lang w:val="hy-AM"/>
        </w:rPr>
        <w:t>․</w:t>
      </w:r>
      <w:r w:rsidRPr="000A79A3">
        <w:rPr>
          <w:lang w:val="hy-AM"/>
        </w:rPr>
        <w:t xml:space="preserve">-ին իրականցվող հարկաբյուջետային խթանող քաղաքականությունը կհանգեցնի </w:t>
      </w:r>
      <w:r>
        <w:rPr>
          <w:lang w:val="hy-AM"/>
        </w:rPr>
        <w:t xml:space="preserve">ՀՀ կառավարության </w:t>
      </w:r>
      <w:r w:rsidRPr="000A79A3">
        <w:rPr>
          <w:lang w:val="hy-AM"/>
        </w:rPr>
        <w:t>պարտքի բեռի էական շեղմանը</w:t>
      </w:r>
      <w:r>
        <w:rPr>
          <w:lang w:val="hy-AM"/>
        </w:rPr>
        <w:t xml:space="preserve"> ՀՆԱ-ում</w:t>
      </w:r>
      <w:r w:rsidRPr="000A79A3">
        <w:rPr>
          <w:lang w:val="hy-AM"/>
        </w:rPr>
        <w:t xml:space="preserve"> 50% սահմանային շեմից, որի պայմաններում կառավարությունը պետք է </w:t>
      </w:r>
      <w:r w:rsidR="00595A2D" w:rsidRPr="0035033F">
        <w:rPr>
          <w:lang w:val="hy-AM"/>
        </w:rPr>
        <w:t>ծրագրավորի</w:t>
      </w:r>
      <w:r w:rsidRPr="000A79A3">
        <w:rPr>
          <w:lang w:val="hy-AM"/>
        </w:rPr>
        <w:t xml:space="preserve"> հարկաբյուջետային կոնսոլիդացիա և նվազեցնի պարտքի բեռը այդ շեմային ցուցանիշից։ Մշակված հարկաբյուջետային շրջանակը նախանշում է պարտքի բեռի նվազեցումը 2021թ</w:t>
      </w:r>
      <w:r w:rsidRPr="000A79A3">
        <w:rPr>
          <w:rFonts w:ascii="Cambria Math" w:hAnsi="Cambria Math" w:cs="Cambria Math"/>
          <w:lang w:val="hy-AM"/>
        </w:rPr>
        <w:t>․</w:t>
      </w:r>
      <w:r w:rsidRPr="000A79A3">
        <w:rPr>
          <w:lang w:val="hy-AM"/>
        </w:rPr>
        <w:t>-ից՝ հիմք հանդիսանալով հաջորդ տարիներին պարտքի նվազեցման ծրագրի մշակման և գործարկման համար, որը մինչև «անվտանգ մակարդակներ» պարտքի բեռի նվազեցման ճանապարհով միջնաժամկետ հատվածում թույլ կտա ապահովել պետական պարտքի կայունությունը։</w:t>
      </w:r>
      <w:r w:rsidRPr="000878DD">
        <w:rPr>
          <w:lang w:val="hy-AM"/>
        </w:rPr>
        <w:t xml:space="preserve"> </w:t>
      </w:r>
      <w:r>
        <w:rPr>
          <w:lang w:val="hy-AM"/>
        </w:rPr>
        <w:t>Միջնաժամկետում հ</w:t>
      </w:r>
      <w:r w:rsidRPr="000878DD">
        <w:rPr>
          <w:lang w:val="hy-AM"/>
        </w:rPr>
        <w:t>արկաբյուջետային</w:t>
      </w:r>
      <w:r w:rsidRPr="00BF4D1F">
        <w:rPr>
          <w:lang w:val="hy-AM"/>
        </w:rPr>
        <w:t xml:space="preserve"> </w:t>
      </w:r>
      <w:r>
        <w:rPr>
          <w:lang w:val="hy-AM"/>
        </w:rPr>
        <w:t>քաղաքականության նպատակն է</w:t>
      </w:r>
      <w:r w:rsidRPr="000878DD">
        <w:rPr>
          <w:lang w:val="hy-AM"/>
        </w:rPr>
        <w:t xml:space="preserve"> </w:t>
      </w:r>
      <w:r>
        <w:rPr>
          <w:lang w:val="hy-AM"/>
        </w:rPr>
        <w:t xml:space="preserve">սահուն կերպով նվազեցնել պարտքի բեռը՝ հասցնելով այն </w:t>
      </w:r>
      <w:r w:rsidRPr="001C6EBE">
        <w:rPr>
          <w:lang w:val="hy-AM"/>
        </w:rPr>
        <w:t>54.</w:t>
      </w:r>
      <w:r w:rsidRPr="00D00869">
        <w:rPr>
          <w:lang w:val="hy-AM"/>
        </w:rPr>
        <w:t>7</w:t>
      </w:r>
      <w:r w:rsidRPr="001C6EBE">
        <w:rPr>
          <w:lang w:val="hy-AM"/>
        </w:rPr>
        <w:t>%-ի</w:t>
      </w:r>
      <w:r w:rsidRPr="000878DD">
        <w:rPr>
          <w:lang w:val="hy-AM"/>
        </w:rPr>
        <w:t>,</w:t>
      </w:r>
      <w:r>
        <w:rPr>
          <w:lang w:val="hy-AM"/>
        </w:rPr>
        <w:t xml:space="preserve"> </w:t>
      </w:r>
      <w:r w:rsidRPr="000878DD">
        <w:rPr>
          <w:lang w:val="hy-AM"/>
        </w:rPr>
        <w:t>ա</w:t>
      </w:r>
      <w:r>
        <w:rPr>
          <w:lang w:val="hy-AM"/>
        </w:rPr>
        <w:t xml:space="preserve">յնուհետև հետագա տարիներին </w:t>
      </w:r>
      <w:r w:rsidRPr="000878DD">
        <w:rPr>
          <w:lang w:val="hy-AM"/>
        </w:rPr>
        <w:t xml:space="preserve">ապահովել </w:t>
      </w:r>
      <w:r>
        <w:rPr>
          <w:lang w:val="hy-AM"/>
        </w:rPr>
        <w:t>կառավարության պարտք</w:t>
      </w:r>
      <w:r w:rsidRPr="000878DD">
        <w:rPr>
          <w:lang w:val="hy-AM"/>
        </w:rPr>
        <w:t>ի</w:t>
      </w:r>
      <w:r>
        <w:rPr>
          <w:lang w:val="hy-AM"/>
        </w:rPr>
        <w:t xml:space="preserve"> բեռի</w:t>
      </w:r>
      <w:r w:rsidRPr="00D00869">
        <w:rPr>
          <w:lang w:val="hy-AM"/>
        </w:rPr>
        <w:t>՝</w:t>
      </w:r>
      <w:r>
        <w:rPr>
          <w:lang w:val="hy-AM"/>
        </w:rPr>
        <w:t xml:space="preserve"> ՀՆԱ-ի </w:t>
      </w:r>
      <w:r w:rsidRPr="001C6EBE">
        <w:rPr>
          <w:lang w:val="hy-AM"/>
        </w:rPr>
        <w:t>50%-ից</w:t>
      </w:r>
      <w:r>
        <w:rPr>
          <w:lang w:val="hy-AM"/>
        </w:rPr>
        <w:t xml:space="preserve"> նվազեցման թիրախի ապահովումը:</w:t>
      </w:r>
    </w:p>
    <w:p w14:paraId="6147DC43" w14:textId="77777777" w:rsidR="00C7695C" w:rsidRDefault="00C7695C" w:rsidP="00C7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firstLine="709"/>
        <w:rPr>
          <w:rFonts w:cs="Arial"/>
          <w:b/>
          <w:color w:val="4F81BD" w:themeColor="accent1"/>
          <w:sz w:val="24"/>
          <w:szCs w:val="24"/>
          <w:lang w:val="hy-AM"/>
        </w:rPr>
      </w:pPr>
    </w:p>
    <w:p w14:paraId="1CD9E649" w14:textId="77777777" w:rsidR="00C7695C" w:rsidRPr="00E426B8" w:rsidRDefault="00E426B8" w:rsidP="00E426B8">
      <w:pPr>
        <w:pStyle w:val="Heading3"/>
        <w:numPr>
          <w:ilvl w:val="1"/>
          <w:numId w:val="32"/>
        </w:numPr>
        <w:spacing w:before="0" w:after="120"/>
        <w:jc w:val="both"/>
        <w:rPr>
          <w:rFonts w:eastAsia="Times New Roman" w:cs="Times New Roman"/>
          <w:caps w:val="0"/>
          <w:color w:val="1F497D" w:themeColor="text2"/>
          <w:sz w:val="28"/>
          <w:szCs w:val="28"/>
        </w:rPr>
      </w:pPr>
      <w:bookmarkStart w:id="219" w:name="_Toc45838524"/>
      <w:bookmarkStart w:id="220" w:name="_Toc46154353"/>
      <w:r w:rsidRPr="00E426B8">
        <w:rPr>
          <w:rFonts w:eastAsia="Times New Roman" w:cs="Times New Roman"/>
          <w:caps w:val="0"/>
          <w:color w:val="1F497D" w:themeColor="text2"/>
          <w:sz w:val="28"/>
          <w:szCs w:val="28"/>
        </w:rPr>
        <w:t>ՀԱՐԿԱԲՅՈՒՋԵՏԱՅԻՆ ՔԱՂԱՔԱԿԱՆՈՒԹՅԱՆ ՄԻՏՈՒՄՆԵՐԸ ԵՎ ԿԱՆԽԱՏԵՍՈՒՄՆԵՐԸ</w:t>
      </w:r>
      <w:bookmarkEnd w:id="219"/>
      <w:bookmarkEnd w:id="220"/>
    </w:p>
    <w:p w14:paraId="6E64403B" w14:textId="77777777" w:rsidR="00C7695C" w:rsidRPr="00E426B8" w:rsidRDefault="00C7695C" w:rsidP="00C7695C">
      <w:pPr>
        <w:spacing w:after="120" w:line="276" w:lineRule="auto"/>
        <w:rPr>
          <w:rFonts w:cs="Arial"/>
          <w:b/>
          <w:bCs/>
          <w:color w:val="1F497D" w:themeColor="text2"/>
          <w:u w:val="single"/>
          <w:lang w:val="hy-AM"/>
        </w:rPr>
      </w:pPr>
      <w:r w:rsidRPr="00E426B8">
        <w:rPr>
          <w:rFonts w:cs="Arial"/>
          <w:b/>
          <w:bCs/>
          <w:color w:val="1F497D" w:themeColor="text2"/>
          <w:u w:val="single"/>
          <w:lang w:val="hy-AM"/>
        </w:rPr>
        <w:t>Վերջին երեք տարիների զարգացումներ</w:t>
      </w:r>
    </w:p>
    <w:p w14:paraId="1700FCBD" w14:textId="77777777" w:rsidR="00C7695C" w:rsidRPr="008E48A5" w:rsidRDefault="00C7695C" w:rsidP="00C7695C">
      <w:pPr>
        <w:spacing w:after="120" w:line="276" w:lineRule="auto"/>
        <w:ind w:firstLine="709"/>
        <w:rPr>
          <w:rFonts w:cs="Sylfaen"/>
          <w:lang w:val="hy-AM"/>
        </w:rPr>
      </w:pPr>
      <w:r w:rsidRPr="00122454">
        <w:rPr>
          <w:rFonts w:cs="Arial"/>
          <w:b/>
          <w:bCs/>
          <w:lang w:val="hy-AM"/>
        </w:rPr>
        <w:t>Վերջին տարիներին իրականացված հարկաբյուջետային քաղաքականությունը միտված է եղել ՀՀ կառավարության պարտքի կայունության ապահովմանը՝</w:t>
      </w:r>
      <w:r w:rsidRPr="00122454">
        <w:rPr>
          <w:rFonts w:cs="Sylfaen"/>
          <w:b/>
          <w:bCs/>
          <w:lang w:val="it-IT"/>
        </w:rPr>
        <w:t xml:space="preserve"> զուգահեռաբար նպաստել</w:t>
      </w:r>
      <w:r w:rsidRPr="00122454">
        <w:rPr>
          <w:rFonts w:cs="Sylfaen"/>
          <w:b/>
          <w:bCs/>
          <w:lang w:val="hy-AM"/>
        </w:rPr>
        <w:t>ով</w:t>
      </w:r>
      <w:r w:rsidRPr="00122454">
        <w:rPr>
          <w:rFonts w:cs="Sylfaen"/>
          <w:b/>
          <w:bCs/>
          <w:lang w:val="it-IT"/>
        </w:rPr>
        <w:t xml:space="preserve"> տնտեսական աճի վերականգնմանը և մակրոտնտեսական կայունության ապահովմանը:</w:t>
      </w:r>
      <w:r>
        <w:rPr>
          <w:rFonts w:cs="Sylfaen"/>
          <w:lang w:val="hy-AM"/>
        </w:rPr>
        <w:t xml:space="preserve"> </w:t>
      </w:r>
      <w:r w:rsidRPr="008E48A5">
        <w:rPr>
          <w:rFonts w:cs="Sylfaen"/>
          <w:lang w:val="hy-AM"/>
        </w:rPr>
        <w:t>2017-2019 թվականներին ՀՀ</w:t>
      </w:r>
      <w:r w:rsidRPr="000B3F16">
        <w:rPr>
          <w:rFonts w:cs="Sylfaen"/>
          <w:lang w:val="hy-AM"/>
        </w:rPr>
        <w:t xml:space="preserve"> պետական բյուջեի </w:t>
      </w:r>
      <w:r w:rsidRPr="00C56EB8">
        <w:rPr>
          <w:rFonts w:cs="Sylfaen"/>
          <w:lang w:val="hy-AM"/>
        </w:rPr>
        <w:t xml:space="preserve">եկամուտները </w:t>
      </w:r>
      <w:r w:rsidRPr="00895DEC">
        <w:rPr>
          <w:rFonts w:cs="Sylfaen"/>
          <w:lang w:val="hy-AM"/>
        </w:rPr>
        <w:t>ՀՆԱ-ում միջի</w:t>
      </w:r>
      <w:r w:rsidRPr="00835A2D">
        <w:rPr>
          <w:rFonts w:cs="Sylfaen"/>
          <w:lang w:val="hy-AM"/>
        </w:rPr>
        <w:t xml:space="preserve">նում </w:t>
      </w:r>
      <w:r w:rsidRPr="009270F3">
        <w:rPr>
          <w:rFonts w:cs="Sylfaen"/>
          <w:lang w:val="hy-AM"/>
        </w:rPr>
        <w:t>կազմել են 22.8%: Ընդ</w:t>
      </w:r>
      <w:r w:rsidRPr="008E48A5">
        <w:rPr>
          <w:rFonts w:cs="Sylfaen"/>
          <w:lang w:val="hy-AM"/>
        </w:rPr>
        <w:t xml:space="preserve"> որում՝ եկամուտների կշիռը 2018 թվականին 2017 թվականի նկատմամբ ՀՆԱ-ի մեջ կշռով բարելավվել է 0.1 տոկոսով՝ կազմելով 22.3%, իսկ 2019 թվականին 2018-ի նկատմամբ բարելավվել է աննախադեպ 1.53 %-ով և դարձել՝ 23.8%: Հարկային եկամուտները և տուրքերը 2019 թ</w:t>
      </w:r>
      <w:r w:rsidRPr="000878DD">
        <w:rPr>
          <w:rFonts w:cs="Sylfaen"/>
          <w:lang w:val="hy-AM"/>
        </w:rPr>
        <w:t>.-ի</w:t>
      </w:r>
      <w:r w:rsidRPr="008E48A5">
        <w:rPr>
          <w:rFonts w:cs="Sylfaen"/>
          <w:lang w:val="hy-AM"/>
        </w:rPr>
        <w:t xml:space="preserve">ն </w:t>
      </w:r>
      <w:r w:rsidRPr="000878DD">
        <w:rPr>
          <w:rFonts w:cs="Sylfaen"/>
          <w:lang w:val="hy-AM"/>
        </w:rPr>
        <w:t xml:space="preserve">2018 թ.-ի </w:t>
      </w:r>
      <w:r w:rsidRPr="008E48A5">
        <w:rPr>
          <w:rFonts w:cs="Sylfaen"/>
          <w:lang w:val="hy-AM"/>
        </w:rPr>
        <w:t>ՀՆԱ-ի նկատմամբ բարելավվել են 1.</w:t>
      </w:r>
      <w:r w:rsidRPr="000878DD">
        <w:rPr>
          <w:rFonts w:cs="Sylfaen"/>
          <w:lang w:val="hy-AM"/>
        </w:rPr>
        <w:t>3</w:t>
      </w:r>
      <w:r w:rsidRPr="008E48A5">
        <w:rPr>
          <w:rFonts w:cs="Sylfaen"/>
          <w:lang w:val="hy-AM"/>
        </w:rPr>
        <w:t>8 տոկոսային կետով՝ 20.</w:t>
      </w:r>
      <w:r w:rsidRPr="000878DD">
        <w:rPr>
          <w:rFonts w:cs="Sylfaen"/>
          <w:lang w:val="hy-AM"/>
        </w:rPr>
        <w:t>9</w:t>
      </w:r>
      <w:r w:rsidRPr="008E48A5">
        <w:rPr>
          <w:rFonts w:cs="Sylfaen"/>
          <w:lang w:val="hy-AM"/>
        </w:rPr>
        <w:t xml:space="preserve">%-ից դառնալով 22.3%: Հարկեր/ՀՆԱ ցուցանիշի վերջին տարիների էական բարելավումը պայմանավորվել է ՀՀ կառավարության ստվերի դեմ իրականացվող պայքարով, հարկային </w:t>
      </w:r>
      <w:r w:rsidRPr="008E48A5">
        <w:rPr>
          <w:rFonts w:cs="Sylfaen"/>
          <w:lang w:val="hy-AM"/>
        </w:rPr>
        <w:lastRenderedPageBreak/>
        <w:t xml:space="preserve">վարչարարության բարելավմամբ և 2018-2019թթ. ավտոմեքենաների ներմուծման ծավալների կտրուկ աճով։ Նշված ժամանակահատվածում հարկերի իրական պատկերն արտացոլող ճշգրտված հարկային եկամուտներ և տուրքերը (առանց ԱԱՀ վերադարձի հարկեր) ՀՆԱ-ի մեջ կշռով բարելավվել են 1.78 տոկոսային կետով՝ 2017 թվականի 20.5%-ից հասնելով 22.3%-ի: </w:t>
      </w:r>
    </w:p>
    <w:p w14:paraId="1BECA851" w14:textId="402E91B4" w:rsidR="00C7695C" w:rsidRDefault="00C7695C" w:rsidP="00C7695C">
      <w:pPr>
        <w:spacing w:after="120" w:line="276" w:lineRule="auto"/>
        <w:ind w:firstLine="709"/>
        <w:rPr>
          <w:lang w:val="hy-AM"/>
        </w:rPr>
      </w:pPr>
      <w:r w:rsidRPr="008E48A5">
        <w:rPr>
          <w:rFonts w:cs="Sylfaen"/>
          <w:lang w:val="hy-AM"/>
        </w:rPr>
        <w:t>2017-2019 թվականներին ՀՀ պետական բյուջեի ծախսերը ՀՆԱ-ի մեջ նվազել են՝ միջինում կազմելով 25.3%: 2018 թվականի պ</w:t>
      </w:r>
      <w:r w:rsidRPr="008E48A5">
        <w:rPr>
          <w:lang w:val="hy-AM"/>
        </w:rPr>
        <w:t>ետական բյուջեի ծախսերի կշիռը ՀՆԱ-ում 2017 թվականի նկատմամբ նվազել է 3.0 տոկոսային կետով, ընդ որում՝ ընթացիկ ծախսերի կշիռը նվազել է 1.2 տոկոսային կետով, իսկ ոչ ֆինանսական ակտիվների գծով ծախսերի կշիռը՝ 1.8 տոկոսային կետով (2017 թվականի 4.3% կշռի մեջ ՀՆԱ-ի 1.6%-ը ՌԴ վարկի հաշվին կատարված ծախսերի գումարն է):</w:t>
      </w:r>
      <w:r>
        <w:rPr>
          <w:lang w:val="hy-AM"/>
        </w:rPr>
        <w:t xml:space="preserve"> Ընթացիկ ծախսերի կշռի նվազումը հիմնականում պայմանավորված է եղել</w:t>
      </w:r>
      <w:r w:rsidRPr="000878DD">
        <w:rPr>
          <w:lang w:val="hy-AM"/>
        </w:rPr>
        <w:t xml:space="preserve"> պարտքի կայունացմանն ուղղված հարկաբյուջետային քաղաքականությամբ,</w:t>
      </w:r>
      <w:r>
        <w:rPr>
          <w:lang w:val="hy-AM"/>
        </w:rPr>
        <w:t xml:space="preserve"> անվանական ՀՆԱ-ի սպասվածից ավելի բարձր աճով, իսկ կապիտալ ծախսերի նվազումը՝ դրանց ցածր կատարողականով, </w:t>
      </w:r>
      <w:r w:rsidRPr="00122454">
        <w:rPr>
          <w:lang w:val="hy-AM"/>
        </w:rPr>
        <w:t xml:space="preserve">որը հիմնականում </w:t>
      </w:r>
      <w:r>
        <w:rPr>
          <w:lang w:val="hy-AM"/>
        </w:rPr>
        <w:t>ՀՀ կառավարության</w:t>
      </w:r>
      <w:r w:rsidRPr="00122454">
        <w:rPr>
          <w:lang w:val="hy-AM"/>
        </w:rPr>
        <w:t xml:space="preserve"> կողմից</w:t>
      </w:r>
      <w:r>
        <w:rPr>
          <w:lang w:val="hy-AM"/>
        </w:rPr>
        <w:t xml:space="preserve"> ծախսերի արդյունավետության բարձրացման</w:t>
      </w:r>
      <w:r w:rsidRPr="00122454">
        <w:rPr>
          <w:lang w:val="hy-AM"/>
        </w:rPr>
        <w:t>ն ուղղված</w:t>
      </w:r>
      <w:r>
        <w:rPr>
          <w:lang w:val="hy-AM"/>
        </w:rPr>
        <w:t xml:space="preserve"> ջանքերի հետևանք է: </w:t>
      </w:r>
      <w:r w:rsidRPr="008E48A5">
        <w:rPr>
          <w:lang w:val="hy-AM"/>
        </w:rPr>
        <w:t xml:space="preserve"> 2019 թվականին պետական բյուջեի ընդամենը ծախսերը կազմել են ՀՆԱ-ի 24.8%-ը՝ 2018 թվականի նկատմամբ բարելավելով 0.8 տոկոսային կետով, որում ընթացիկ ծախսերը ՀՆԱ-ի նկատմա</w:t>
      </w:r>
      <w:r w:rsidR="007724F4">
        <w:rPr>
          <w:lang w:val="hy-AM"/>
        </w:rPr>
        <w:t>մ</w:t>
      </w:r>
      <w:r w:rsidRPr="008E48A5">
        <w:rPr>
          <w:lang w:val="hy-AM"/>
        </w:rPr>
        <w:t>բ կազմել են 21.9%՝ բարելավվելով 0.3 տոկոսային կետով, իսկ ոչ ֆինանսական ակտիվների հետ գործառնությունները ՀՆԱ-ի նկատմա</w:t>
      </w:r>
      <w:r w:rsidR="007724F4">
        <w:rPr>
          <w:lang w:val="hy-AM"/>
        </w:rPr>
        <w:t>մ</w:t>
      </w:r>
      <w:r w:rsidRPr="008E48A5">
        <w:rPr>
          <w:lang w:val="hy-AM"/>
        </w:rPr>
        <w:t>բ կազմել է 2.9%՝ բարելավվելով 0.5 տոկոսային կետով</w:t>
      </w:r>
      <w:r w:rsidRPr="008E48A5">
        <w:rPr>
          <w:rFonts w:cs="GHEA Grapalat"/>
          <w:lang w:val="hy-AM"/>
        </w:rPr>
        <w:t>:</w:t>
      </w:r>
      <w:r w:rsidRPr="008E48A5">
        <w:rPr>
          <w:lang w:val="hy-AM"/>
        </w:rPr>
        <w:t xml:space="preserve">  </w:t>
      </w:r>
    </w:p>
    <w:p w14:paraId="6101F41B" w14:textId="77777777" w:rsidR="00C7695C" w:rsidRDefault="00C7695C" w:rsidP="00C7695C">
      <w:pPr>
        <w:spacing w:after="120" w:line="276" w:lineRule="auto"/>
        <w:ind w:firstLine="709"/>
        <w:rPr>
          <w:lang w:val="hy-AM"/>
        </w:rPr>
      </w:pPr>
      <w:r w:rsidRPr="008E48A5">
        <w:rPr>
          <w:rFonts w:cs="Sylfaen"/>
          <w:b/>
          <w:lang w:val="hy-AM"/>
        </w:rPr>
        <w:t xml:space="preserve">Արդյունքում, 2017-2019 թվականներին </w:t>
      </w:r>
      <w:r w:rsidRPr="000B3F16">
        <w:rPr>
          <w:rFonts w:cs="Sylfaen"/>
          <w:b/>
          <w:lang w:val="hy-AM"/>
        </w:rPr>
        <w:t xml:space="preserve">հարկաբյուջետային քաղաքականությանն </w:t>
      </w:r>
      <w:r w:rsidRPr="00C56EB8">
        <w:rPr>
          <w:rFonts w:cs="Sylfaen"/>
          <w:b/>
          <w:lang w:val="hy-AM"/>
        </w:rPr>
        <w:t xml:space="preserve">ամբողջական </w:t>
      </w:r>
      <w:r w:rsidRPr="00895DEC">
        <w:rPr>
          <w:rFonts w:cs="Sylfaen"/>
          <w:b/>
          <w:lang w:val="hy-AM"/>
        </w:rPr>
        <w:t>պահանջարկի վրա ունեցել</w:t>
      </w:r>
      <w:r w:rsidRPr="00835A2D">
        <w:rPr>
          <w:rFonts w:cs="Sylfaen"/>
          <w:b/>
          <w:lang w:val="hy-AM"/>
        </w:rPr>
        <w:t xml:space="preserve"> է</w:t>
      </w:r>
      <w:r w:rsidRPr="009270F3">
        <w:rPr>
          <w:rFonts w:cs="Sylfaen"/>
          <w:b/>
          <w:lang w:val="hy-AM"/>
        </w:rPr>
        <w:t xml:space="preserve"> զսպող ազդեցություն: </w:t>
      </w:r>
      <w:r w:rsidRPr="008E48A5">
        <w:rPr>
          <w:rFonts w:cs="Sylfaen"/>
          <w:lang w:val="hy-AM"/>
        </w:rPr>
        <w:t>Ընդ որում ուշադրության կենտրոնում է պահվել ՀՀ կառավարության պարտքի կայունության ապահովումը՝ զուգահեռաբար նպատակ դնելով նպաստել տնտեսական աճի վերականգնմանը և մակրոտնտեսական կայունության ապահովմանը:</w:t>
      </w:r>
      <w:r w:rsidRPr="008E48A5">
        <w:rPr>
          <w:lang w:val="hy-AM"/>
        </w:rPr>
        <w:t xml:space="preserve"> 2017-2019 թվականների զսպող հարկաբյուջետային քաղաքականության պայմաններում պետական բյուջեի պակասուրդը նվազել է՝ 2018 թվականին կազմելով ՀՆԱ-ի 1.8%-ը: 2019 թվականին պետական բյուջեի պակասուրդը կազմել է 1.0%՝ նվազելով 0.8 տոկոսային կետով: Հարկաբյուջետային ազդակը 2017-2019 թվականներին</w:t>
      </w:r>
      <w:r w:rsidRPr="00122454">
        <w:rPr>
          <w:lang w:val="hy-AM"/>
        </w:rPr>
        <w:t xml:space="preserve"> միջինում</w:t>
      </w:r>
      <w:r w:rsidRPr="008E48A5">
        <w:rPr>
          <w:lang w:val="hy-AM"/>
        </w:rPr>
        <w:t xml:space="preserve"> գնահատվել է</w:t>
      </w:r>
      <w:r w:rsidRPr="000B3F16">
        <w:rPr>
          <w:lang w:val="hy-AM"/>
        </w:rPr>
        <w:t xml:space="preserve"> 1.41 զսպող</w:t>
      </w:r>
      <w:r w:rsidRPr="008E48A5">
        <w:rPr>
          <w:lang w:val="hy-AM"/>
        </w:rPr>
        <w:t xml:space="preserve">՝ եկամուտների 0.81 </w:t>
      </w:r>
      <w:r w:rsidRPr="000B3F16">
        <w:rPr>
          <w:lang w:val="hy-AM"/>
        </w:rPr>
        <w:t xml:space="preserve">և ծախսերի 0.6 </w:t>
      </w:r>
      <w:r w:rsidRPr="00C56EB8">
        <w:rPr>
          <w:lang w:val="hy-AM"/>
        </w:rPr>
        <w:t xml:space="preserve">զսպող </w:t>
      </w:r>
      <w:r w:rsidRPr="00895DEC">
        <w:rPr>
          <w:lang w:val="hy-AM"/>
        </w:rPr>
        <w:t>ազդեցություններով:</w:t>
      </w:r>
    </w:p>
    <w:p w14:paraId="22FE90FE" w14:textId="77777777" w:rsidR="00C7695C" w:rsidRDefault="00C7695C" w:rsidP="00C7695C">
      <w:pPr>
        <w:spacing w:after="120" w:line="276" w:lineRule="auto"/>
        <w:ind w:firstLine="709"/>
        <w:rPr>
          <w:lang w:val="hy-AM"/>
        </w:rPr>
      </w:pPr>
      <w:r w:rsidRPr="008E48A5">
        <w:rPr>
          <w:lang w:val="hy-AM"/>
        </w:rPr>
        <w:t>2018-2019 թվականներին</w:t>
      </w:r>
      <w:r w:rsidRPr="000B3F16">
        <w:rPr>
          <w:lang w:val="hy-AM"/>
        </w:rPr>
        <w:t xml:space="preserve"> հարկաբյուջետային քաղաքականությունն </w:t>
      </w:r>
      <w:r w:rsidRPr="00C56EB8">
        <w:rPr>
          <w:lang w:val="hy-AM"/>
        </w:rPr>
        <w:t xml:space="preserve">իրականացվել </w:t>
      </w:r>
      <w:r w:rsidRPr="00895DEC">
        <w:rPr>
          <w:lang w:val="hy-AM"/>
        </w:rPr>
        <w:t>է «ոսկյա կանոնի</w:t>
      </w:r>
      <w:r w:rsidRPr="00835A2D">
        <w:rPr>
          <w:lang w:val="hy-AM"/>
        </w:rPr>
        <w:t>» և</w:t>
      </w:r>
      <w:r w:rsidRPr="009270F3">
        <w:rPr>
          <w:lang w:val="hy-AM"/>
        </w:rPr>
        <w:t xml:space="preserve"> նոր հարկաբյուջետային</w:t>
      </w:r>
      <w:r w:rsidRPr="008E48A5">
        <w:rPr>
          <w:lang w:val="hy-AM"/>
        </w:rPr>
        <w:t xml:space="preserve"> կանոնների տրամաբանության պահպանմամբ</w:t>
      </w:r>
      <w:r w:rsidRPr="000B3F16">
        <w:rPr>
          <w:lang w:val="hy-AM"/>
        </w:rPr>
        <w:t xml:space="preserve">, ինչի արդյունքում </w:t>
      </w:r>
      <w:r w:rsidRPr="00C56EB8">
        <w:rPr>
          <w:lang w:val="hy-AM"/>
        </w:rPr>
        <w:t xml:space="preserve">կապիտալ </w:t>
      </w:r>
      <w:r w:rsidRPr="00895DEC">
        <w:rPr>
          <w:lang w:val="hy-AM"/>
        </w:rPr>
        <w:t>ծախսերի չափը գերազանցել</w:t>
      </w:r>
      <w:r w:rsidRPr="00835A2D">
        <w:rPr>
          <w:lang w:val="hy-AM"/>
        </w:rPr>
        <w:t xml:space="preserve"> է</w:t>
      </w:r>
      <w:r w:rsidRPr="009270F3">
        <w:rPr>
          <w:lang w:val="hy-AM"/>
        </w:rPr>
        <w:t xml:space="preserve"> պակասուրդի մեծությունը, </w:t>
      </w:r>
      <w:r w:rsidRPr="008E48A5">
        <w:rPr>
          <w:lang w:val="hy-AM"/>
        </w:rPr>
        <w:t>իսկ հարկային եկամուտները գերազանցել են ընթացիկ ծախսերը:</w:t>
      </w:r>
    </w:p>
    <w:p w14:paraId="1B0D2A4E" w14:textId="5476C062" w:rsidR="00C7695C" w:rsidRPr="006C09CB" w:rsidRDefault="00C7695C" w:rsidP="00C7695C">
      <w:pPr>
        <w:spacing w:after="120" w:line="276" w:lineRule="auto"/>
        <w:ind w:firstLine="709"/>
        <w:rPr>
          <w:lang w:val="hy-AM"/>
        </w:rPr>
      </w:pPr>
      <w:r w:rsidRPr="006C09CB">
        <w:rPr>
          <w:b/>
          <w:bCs/>
          <w:lang w:val="hy-AM"/>
        </w:rPr>
        <w:t>Վերջին տարիներին հարկաբյուջետային կանոններին համահունչ իրականացված հարկաբյուջետային կոնսոլիդացիայի արդյունքում ՀՀ կառավարության պարտքի բեռը նվազել է։</w:t>
      </w:r>
      <w:r w:rsidRPr="006C09CB">
        <w:rPr>
          <w:lang w:val="hy-AM"/>
        </w:rPr>
        <w:t xml:space="preserve"> ՀՀ կառավարության պարտք/ՀՆԱ ցուցանիշի նվազմանն ամենամեծ նպաստող գործոնը եղել է տնտեսական աճը, որից հետո  պետական բյուջեի առաջնային հաշվեկշռի բարելավումը (տես՝ Գծապատկեր </w:t>
      </w:r>
      <w:r w:rsidRPr="00D00869">
        <w:rPr>
          <w:lang w:val="hy-AM"/>
        </w:rPr>
        <w:t>2.</w:t>
      </w:r>
      <w:r w:rsidRPr="006C09CB">
        <w:rPr>
          <w:lang w:val="hy-AM"/>
        </w:rPr>
        <w:t>5)։</w:t>
      </w:r>
      <w:r>
        <w:rPr>
          <w:lang w:val="hy-AM"/>
        </w:rPr>
        <w:t xml:space="preserve"> Իսկ պարտքի պաշարի իրական տոկոսադրույքի դրական ազդեցությունը աստիճանաբար մեծացել է։ </w:t>
      </w:r>
      <w:r w:rsidRPr="00A3041A">
        <w:rPr>
          <w:lang w:val="bg-BG"/>
        </w:rPr>
        <w:t>2019թ</w:t>
      </w:r>
      <w:r w:rsidRPr="00A3041A">
        <w:rPr>
          <w:rFonts w:ascii="Cambria Math" w:hAnsi="Cambria Math" w:cs="Cambria Math"/>
          <w:lang w:val="bg-BG"/>
        </w:rPr>
        <w:t>․</w:t>
      </w:r>
      <w:r w:rsidRPr="00A3041A">
        <w:rPr>
          <w:lang w:val="bg-BG"/>
        </w:rPr>
        <w:t xml:space="preserve"> կառավարության պարտքի բեռի նվազումը շարունակվել է, և ՀՀ կառավարության պարտք/ՀՆԱ հարաբերակցությունը տարեվերջին ցածր է գտ</w:t>
      </w:r>
      <w:r w:rsidR="007724F4">
        <w:rPr>
          <w:lang w:val="hy-AM"/>
        </w:rPr>
        <w:t>ն</w:t>
      </w:r>
      <w:r w:rsidRPr="00A3041A">
        <w:rPr>
          <w:lang w:val="bg-BG"/>
        </w:rPr>
        <w:t>վել 50% շեմային ցուցանիշից</w:t>
      </w:r>
      <w:r>
        <w:rPr>
          <w:lang w:val="hy-AM"/>
        </w:rPr>
        <w:t>, որը</w:t>
      </w:r>
      <w:r w:rsidRPr="00A3041A">
        <w:rPr>
          <w:lang w:val="bg-BG"/>
        </w:rPr>
        <w:t>, ըստ 2019-2023թթ</w:t>
      </w:r>
      <w:r w:rsidRPr="00A3041A">
        <w:rPr>
          <w:rFonts w:ascii="Cambria Math" w:hAnsi="Cambria Math" w:cs="Cambria Math"/>
          <w:lang w:val="bg-BG"/>
        </w:rPr>
        <w:t>․</w:t>
      </w:r>
      <w:r w:rsidRPr="00A3041A">
        <w:rPr>
          <w:lang w:val="bg-BG"/>
        </w:rPr>
        <w:t xml:space="preserve"> ՀՀ կառավարության պարտքի նվազեցման վերանայված ծրագրի</w:t>
      </w:r>
      <w:r>
        <w:rPr>
          <w:lang w:val="hy-AM"/>
        </w:rPr>
        <w:t xml:space="preserve"> </w:t>
      </w:r>
      <w:r w:rsidRPr="006C09CB">
        <w:rPr>
          <w:lang w:val="hy-AM"/>
        </w:rPr>
        <w:t>(2020-2022</w:t>
      </w:r>
      <w:r>
        <w:rPr>
          <w:lang w:val="hy-AM"/>
        </w:rPr>
        <w:t>թթ. ՄԺԾԾ մաս կազմող</w:t>
      </w:r>
      <w:r w:rsidRPr="006C09CB">
        <w:rPr>
          <w:lang w:val="hy-AM"/>
        </w:rPr>
        <w:t>)</w:t>
      </w:r>
      <w:r w:rsidRPr="00A3041A">
        <w:rPr>
          <w:lang w:val="bg-BG"/>
        </w:rPr>
        <w:t>, նախատեսվ</w:t>
      </w:r>
      <w:r w:rsidR="00595A2D" w:rsidRPr="0035033F">
        <w:rPr>
          <w:lang w:val="hy-AM"/>
        </w:rPr>
        <w:t>ել</w:t>
      </w:r>
      <w:r w:rsidRPr="00A3041A">
        <w:rPr>
          <w:lang w:val="bg-BG"/>
        </w:rPr>
        <w:t xml:space="preserve"> էր արձանագրել 2023թ</w:t>
      </w:r>
      <w:r w:rsidRPr="00A3041A">
        <w:rPr>
          <w:rFonts w:ascii="Cambria Math" w:hAnsi="Cambria Math" w:cs="Cambria Math"/>
          <w:lang w:val="bg-BG"/>
        </w:rPr>
        <w:t>․</w:t>
      </w:r>
      <w:r>
        <w:rPr>
          <w:lang w:val="hy-AM"/>
        </w:rPr>
        <w:t xml:space="preserve">։ </w:t>
      </w:r>
      <w:r>
        <w:rPr>
          <w:lang w:val="hy-AM"/>
        </w:rPr>
        <w:lastRenderedPageBreak/>
        <w:t xml:space="preserve">Կառավարության պարտք/ՀՆԱ ցուցանիշը նվազել է </w:t>
      </w:r>
      <w:r w:rsidRPr="005A1944">
        <w:rPr>
          <w:lang w:val="hy-AM"/>
        </w:rPr>
        <w:t>1.3%-</w:t>
      </w:r>
      <w:r>
        <w:rPr>
          <w:lang w:val="hy-AM"/>
        </w:rPr>
        <w:t>ային կետով, ինչին ամենաշատը նպաստել է տնտեսական աճը՝ -</w:t>
      </w:r>
      <w:r w:rsidRPr="005A1944">
        <w:rPr>
          <w:lang w:val="hy-AM"/>
        </w:rPr>
        <w:t>3.6%-</w:t>
      </w:r>
      <w:r>
        <w:rPr>
          <w:lang w:val="hy-AM"/>
        </w:rPr>
        <w:t>ային կետ։ Առաջնային հաշվեկշռի նպաստումը կազմել է -</w:t>
      </w:r>
      <w:r w:rsidRPr="009D2705">
        <w:rPr>
          <w:lang w:val="hy-AM"/>
        </w:rPr>
        <w:t>1.4%-</w:t>
      </w:r>
      <w:r>
        <w:rPr>
          <w:lang w:val="hy-AM"/>
        </w:rPr>
        <w:t xml:space="preserve">ային կետ, իսկ իրական տոկոսադրույքի դրական նպաստումը աճել է՝ հասնելով </w:t>
      </w:r>
      <w:r w:rsidRPr="009D2705">
        <w:rPr>
          <w:lang w:val="hy-AM"/>
        </w:rPr>
        <w:t>1.7%-</w:t>
      </w:r>
      <w:r>
        <w:rPr>
          <w:lang w:val="hy-AM"/>
        </w:rPr>
        <w:t>ային կետի։</w:t>
      </w:r>
    </w:p>
    <w:p w14:paraId="631CB77E" w14:textId="77777777" w:rsidR="00C7695C" w:rsidRPr="00E426B8" w:rsidRDefault="00C7695C" w:rsidP="00E426B8">
      <w:pPr>
        <w:spacing w:after="120" w:line="276" w:lineRule="auto"/>
        <w:rPr>
          <w:rFonts w:cs="Arial"/>
          <w:b/>
          <w:bCs/>
          <w:color w:val="1F497D" w:themeColor="text2"/>
          <w:u w:val="single"/>
          <w:lang w:val="hy-AM"/>
        </w:rPr>
      </w:pPr>
      <w:r w:rsidRPr="00E426B8">
        <w:rPr>
          <w:rFonts w:cs="Arial"/>
          <w:b/>
          <w:bCs/>
          <w:color w:val="1F497D" w:themeColor="text2"/>
          <w:u w:val="single"/>
          <w:lang w:val="hy-AM"/>
        </w:rPr>
        <w:t>2020թ. ընթացիկ զարգացումներ</w:t>
      </w:r>
    </w:p>
    <w:p w14:paraId="5FB84FB6" w14:textId="6ABF55E0" w:rsidR="00C7695C" w:rsidRPr="008E48A5" w:rsidRDefault="00C7695C" w:rsidP="00C7695C">
      <w:pPr>
        <w:tabs>
          <w:tab w:val="left" w:pos="0"/>
          <w:tab w:val="left" w:pos="900"/>
        </w:tabs>
        <w:spacing w:after="120" w:line="276" w:lineRule="auto"/>
        <w:ind w:firstLine="709"/>
        <w:rPr>
          <w:rFonts w:cs="GHEA Grapalat"/>
          <w:lang w:val="hy-AM"/>
        </w:rPr>
      </w:pPr>
      <w:r w:rsidRPr="008E48A5">
        <w:rPr>
          <w:rFonts w:cs="GHEA Grapalat"/>
          <w:b/>
          <w:lang w:val="hy-AM"/>
        </w:rPr>
        <w:t>2020 թվականի առաջին հինգ ամիսներին COVID-19 համավարակի տարածման հետևանքով տնտեսական ակտիվության դանդաղման և թույլ պահանջարկի պայմաններում հարկաբյուջետային քաղաքականության ազդեցությունն ամբողջական պահանջարկի վրա գնահատվում է խթանող:</w:t>
      </w:r>
      <w:r w:rsidRPr="008E48A5">
        <w:rPr>
          <w:rFonts w:cs="GHEA Grapalat"/>
          <w:lang w:val="hy-AM"/>
        </w:rPr>
        <w:t xml:space="preserve"> 2020 թվականի առաջին հինգ ամիսների արդյունքներով ՀՀ պետական բյուջեի ընդհանուր եկամուտները կազմել են 613.8 մլրդ դրամ՝ նախորդ տարվա նույն ժամանակահատվածի համեմատ աճելով 0.9%-ով, իսկ հարկեր և տուրքերը կազմել են 583.6.0 մլրդ դրամ՝ նախորդ տարվա նույն ժամանակահատվածի համեմատ աճելով 2.2%-ով:</w:t>
      </w:r>
      <w:r>
        <w:rPr>
          <w:rFonts w:cs="GHEA Grapalat"/>
          <w:lang w:val="hy-AM"/>
        </w:rPr>
        <w:t xml:space="preserve"> </w:t>
      </w:r>
      <w:r w:rsidRPr="008E48A5">
        <w:rPr>
          <w:rFonts w:cs="GHEA Grapalat"/>
          <w:lang w:val="hy-AM"/>
        </w:rPr>
        <w:t>Համավարակի հետևանքով առաջացած տնտեսական ճգնաժամն իր ազդեցութ</w:t>
      </w:r>
      <w:r w:rsidR="007724F4">
        <w:rPr>
          <w:rFonts w:cs="GHEA Grapalat"/>
          <w:lang w:val="hy-AM"/>
        </w:rPr>
        <w:t>յ</w:t>
      </w:r>
      <w:r w:rsidRPr="008E48A5">
        <w:rPr>
          <w:rFonts w:cs="GHEA Grapalat"/>
          <w:lang w:val="hy-AM"/>
        </w:rPr>
        <w:t>ունն է ունեցել նաև հարկային եկամուտների վրա: Այսպես՝ 2020թ.-ի ապրիլին նախորդ տարվա նույն ամսվա նկատմամբ հարկային եկամուտները նվազել են 9.1%-ով, իսկ մայիսին նվազման տեմպն արագացել է՝ հասնելով 20.8%-ի:</w:t>
      </w:r>
    </w:p>
    <w:p w14:paraId="3CD6EB62" w14:textId="77777777" w:rsidR="00C7695C" w:rsidRDefault="00C7695C" w:rsidP="00C7695C">
      <w:pPr>
        <w:autoSpaceDE w:val="0"/>
        <w:autoSpaceDN w:val="0"/>
        <w:adjustRightInd w:val="0"/>
        <w:spacing w:after="120" w:line="276" w:lineRule="auto"/>
        <w:ind w:firstLine="709"/>
        <w:rPr>
          <w:rFonts w:cs="Arial"/>
          <w:lang w:val="hy-AM"/>
        </w:rPr>
      </w:pPr>
      <w:r w:rsidRPr="008E48A5">
        <w:rPr>
          <w:rFonts w:cs="GHEA Grapalat"/>
          <w:lang w:val="hy-AM"/>
        </w:rPr>
        <w:t>2020 թվականի</w:t>
      </w:r>
      <w:r w:rsidRPr="000B3F16">
        <w:rPr>
          <w:rFonts w:cs="GHEA Grapalat"/>
          <w:lang w:val="hy-AM"/>
        </w:rPr>
        <w:t xml:space="preserve"> հունվար-մայիս </w:t>
      </w:r>
      <w:r w:rsidRPr="00C56EB8">
        <w:rPr>
          <w:rFonts w:cs="GHEA Grapalat"/>
          <w:lang w:val="hy-AM"/>
        </w:rPr>
        <w:t xml:space="preserve">ամիսների </w:t>
      </w:r>
      <w:r w:rsidRPr="00895DEC">
        <w:rPr>
          <w:rFonts w:cs="GHEA Grapalat"/>
          <w:lang w:val="hy-AM"/>
        </w:rPr>
        <w:t>արդյունքներով պետական բյուջեի</w:t>
      </w:r>
      <w:r w:rsidRPr="00835A2D">
        <w:rPr>
          <w:rFonts w:cs="GHEA Grapalat"/>
          <w:lang w:val="hy-AM"/>
        </w:rPr>
        <w:t xml:space="preserve"> ծախսերը</w:t>
      </w:r>
      <w:r w:rsidRPr="009270F3">
        <w:rPr>
          <w:rFonts w:cs="GHEA Grapalat"/>
          <w:lang w:val="hy-AM"/>
        </w:rPr>
        <w:t xml:space="preserve"> կազմել են </w:t>
      </w:r>
      <w:r w:rsidRPr="008E48A5">
        <w:rPr>
          <w:rFonts w:cs="GHEA Grapalat"/>
          <w:lang w:val="hy-AM"/>
        </w:rPr>
        <w:t xml:space="preserve">639.4 մլրդ դրամ՝ նախորդ տարվա նույն ժամանակահատվածի համեմատ աճելով 19.8%-ով: Ընդ որում, ընթացիկ ծախսերը կազմել են 603.9 մլրդ դրամ` նախորդ տարվա նույն ժամանակահատվածի համեմատ աճելով 16.5%-ով, որն իր մեջ ներառում է COVID-19-ին արձագանքման սոցիալական աջակցության ծրագրերի իրականացումը և առողջապահական ծախսերի աճը: Ոչ ֆինանսական ակտիվների հետ գործառնությունները հունվար-մայիս ամիսներին կազմել են 35.5 մլրդ դրամ, որում ոչ ֆինանսական ակտիվների գծով ծախսերը՝ 36.3 մլրդ դրամ` նախորդ տարվա նույն ժամանակահատվածի համեմատ աճելով մոտ 2.2 անգամ: </w:t>
      </w:r>
      <w:r w:rsidRPr="008E48A5">
        <w:rPr>
          <w:rFonts w:cs="Arial"/>
          <w:lang w:val="hy-AM"/>
        </w:rPr>
        <w:t>Կորոնավիրուսի հետևանքների հակազդման միջոցառումների ծրագրով պետության կողմից նախատեսված է իրականացնել նաև կապիտալ ներդրումների առաջնահերթությունների ճշգրտում և ընթացիկ տարում դրանց իրականացման գործընթացի ակտիվացում:</w:t>
      </w:r>
    </w:p>
    <w:p w14:paraId="1C10E885" w14:textId="77777777" w:rsidR="00C7695C" w:rsidRPr="004B2D60" w:rsidRDefault="00C7695C" w:rsidP="00C7695C">
      <w:pPr>
        <w:autoSpaceDE w:val="0"/>
        <w:autoSpaceDN w:val="0"/>
        <w:adjustRightInd w:val="0"/>
        <w:spacing w:after="120" w:line="276" w:lineRule="auto"/>
        <w:ind w:firstLine="709"/>
        <w:rPr>
          <w:rFonts w:cs="Arial"/>
          <w:i/>
          <w:iCs/>
          <w:sz w:val="21"/>
          <w:szCs w:val="21"/>
          <w:lang w:val="hy-AM"/>
        </w:rPr>
      </w:pPr>
      <w:r w:rsidRPr="004B2D60">
        <w:rPr>
          <w:rFonts w:cs="Arial"/>
          <w:b/>
          <w:bCs/>
          <w:i/>
          <w:iCs/>
          <w:sz w:val="21"/>
          <w:szCs w:val="21"/>
          <w:lang w:val="hy-AM"/>
        </w:rPr>
        <w:t xml:space="preserve">Գծապատկեր </w:t>
      </w:r>
      <w:r w:rsidRPr="00D00869">
        <w:rPr>
          <w:rFonts w:cs="Arial"/>
          <w:b/>
          <w:bCs/>
          <w:i/>
          <w:iCs/>
          <w:sz w:val="21"/>
          <w:szCs w:val="21"/>
          <w:lang w:val="hy-AM"/>
        </w:rPr>
        <w:t>2.</w:t>
      </w:r>
      <w:r w:rsidRPr="004B2D60">
        <w:rPr>
          <w:rFonts w:cs="Arial"/>
          <w:b/>
          <w:bCs/>
          <w:i/>
          <w:iCs/>
          <w:sz w:val="21"/>
          <w:szCs w:val="21"/>
          <w:lang w:val="hy-AM"/>
        </w:rPr>
        <w:t xml:space="preserve">1. </w:t>
      </w:r>
      <w:r w:rsidRPr="004B2D60">
        <w:rPr>
          <w:rFonts w:cs="Arial"/>
          <w:i/>
          <w:iCs/>
          <w:sz w:val="21"/>
          <w:szCs w:val="21"/>
          <w:lang w:val="hy-AM"/>
        </w:rPr>
        <w:t>Պետական բյուջեի հարկային եկամուտները 2019-2020 թվականներին ըստ ամիսների</w:t>
      </w:r>
    </w:p>
    <w:p w14:paraId="4FB4E898" w14:textId="77777777" w:rsidR="00C7695C" w:rsidRDefault="00C7695C" w:rsidP="001E4698">
      <w:pPr>
        <w:autoSpaceDE w:val="0"/>
        <w:autoSpaceDN w:val="0"/>
        <w:adjustRightInd w:val="0"/>
        <w:spacing w:after="120" w:line="276" w:lineRule="auto"/>
        <w:ind w:firstLine="0"/>
        <w:jc w:val="center"/>
        <w:rPr>
          <w:rFonts w:cs="Arial"/>
          <w:lang w:val="hy-AM"/>
        </w:rPr>
      </w:pPr>
      <w:r w:rsidRPr="008E48A5">
        <w:rPr>
          <w:rFonts w:cs="GHEA Grapalat"/>
          <w:noProof/>
          <w:sz w:val="20"/>
          <w:szCs w:val="20"/>
        </w:rPr>
        <w:drawing>
          <wp:inline distT="0" distB="0" distL="0" distR="0" wp14:anchorId="2CC9FAF0" wp14:editId="5BAC9949">
            <wp:extent cx="6022761" cy="1966595"/>
            <wp:effectExtent l="0" t="0" r="10160" b="146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A4BE47C" w14:textId="77777777" w:rsidR="00C7695C" w:rsidRPr="004B2D60" w:rsidRDefault="00C7695C" w:rsidP="00C7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firstLine="709"/>
        <w:rPr>
          <w:rFonts w:cs="Arial"/>
          <w:bCs/>
          <w:i/>
          <w:iCs/>
          <w:sz w:val="18"/>
          <w:szCs w:val="18"/>
          <w:lang w:val="hy-AM"/>
        </w:rPr>
      </w:pPr>
      <w:r w:rsidRPr="004B2D60">
        <w:rPr>
          <w:rFonts w:cs="Arial"/>
          <w:bCs/>
          <w:i/>
          <w:iCs/>
          <w:sz w:val="18"/>
          <w:szCs w:val="18"/>
          <w:lang w:val="hy-AM"/>
        </w:rPr>
        <w:t>Աղբյուրը՝ ՀՀ ՖՆ</w:t>
      </w:r>
    </w:p>
    <w:p w14:paraId="7C895E02" w14:textId="77777777" w:rsidR="00C7695C" w:rsidRPr="00FF32EE" w:rsidRDefault="00C7695C" w:rsidP="00C7695C">
      <w:pPr>
        <w:autoSpaceDE w:val="0"/>
        <w:autoSpaceDN w:val="0"/>
        <w:adjustRightInd w:val="0"/>
        <w:spacing w:after="120" w:line="276" w:lineRule="auto"/>
        <w:ind w:firstLine="709"/>
        <w:rPr>
          <w:rFonts w:cs="GHEA Grapalat"/>
          <w:lang w:val="hy-AM"/>
        </w:rPr>
      </w:pPr>
      <w:r w:rsidRPr="008E48A5">
        <w:rPr>
          <w:rFonts w:cs="GHEA Grapalat"/>
          <w:lang w:val="hy-AM"/>
        </w:rPr>
        <w:lastRenderedPageBreak/>
        <w:t>2020 թվականի</w:t>
      </w:r>
      <w:r w:rsidRPr="000B3F16">
        <w:rPr>
          <w:rFonts w:cs="GHEA Grapalat"/>
          <w:lang w:val="hy-AM"/>
        </w:rPr>
        <w:t xml:space="preserve"> հունվար-մայիս </w:t>
      </w:r>
      <w:r w:rsidRPr="00C56EB8">
        <w:rPr>
          <w:rFonts w:cs="GHEA Grapalat"/>
          <w:lang w:val="hy-AM"/>
        </w:rPr>
        <w:t>ամիսներին ձևավորվել</w:t>
      </w:r>
      <w:r w:rsidRPr="00895DEC">
        <w:rPr>
          <w:rFonts w:cs="GHEA Grapalat"/>
          <w:lang w:val="hy-AM"/>
        </w:rPr>
        <w:t xml:space="preserve"> է պետական բյուջեի</w:t>
      </w:r>
      <w:r w:rsidRPr="00835A2D">
        <w:rPr>
          <w:rFonts w:cs="GHEA Grapalat"/>
          <w:lang w:val="hy-AM"/>
        </w:rPr>
        <w:t xml:space="preserve"> պակասուրդ</w:t>
      </w:r>
      <w:r w:rsidRPr="009270F3">
        <w:rPr>
          <w:rFonts w:cs="GHEA Grapalat"/>
          <w:lang w:val="hy-AM"/>
        </w:rPr>
        <w:t xml:space="preserve"> 25.6 մլրդ </w:t>
      </w:r>
      <w:r w:rsidRPr="008E48A5">
        <w:rPr>
          <w:rFonts w:cs="GHEA Grapalat"/>
          <w:lang w:val="hy-AM"/>
        </w:rPr>
        <w:t xml:space="preserve">դրամ՝ նախորդ տարվա նույն ժամանակահատվածում ձևավորված 74.7 մլրդ դրամ պետական բյուջեի հավելուրդի դիմաց: </w:t>
      </w:r>
    </w:p>
    <w:p w14:paraId="3CE86152" w14:textId="77777777" w:rsidR="00C7695C" w:rsidRPr="00E426B8" w:rsidRDefault="00C7695C" w:rsidP="00E426B8">
      <w:pPr>
        <w:spacing w:after="120" w:line="276" w:lineRule="auto"/>
        <w:rPr>
          <w:rFonts w:cs="Arial"/>
          <w:b/>
          <w:bCs/>
          <w:color w:val="1F497D" w:themeColor="text2"/>
          <w:u w:val="single"/>
          <w:lang w:val="hy-AM"/>
        </w:rPr>
      </w:pPr>
      <w:r w:rsidRPr="00E426B8">
        <w:rPr>
          <w:rFonts w:cs="Arial"/>
          <w:b/>
          <w:bCs/>
          <w:color w:val="1F497D" w:themeColor="text2"/>
          <w:u w:val="single"/>
          <w:lang w:val="hy-AM"/>
        </w:rPr>
        <w:t xml:space="preserve">Կարճաժամկետ և միջնաժամկետ կանխատեսումներ </w:t>
      </w:r>
    </w:p>
    <w:p w14:paraId="39EA6486" w14:textId="77777777" w:rsidR="00C7695C" w:rsidRPr="000D0894" w:rsidRDefault="00C7695C" w:rsidP="00C7695C">
      <w:pPr>
        <w:autoSpaceDE w:val="0"/>
        <w:autoSpaceDN w:val="0"/>
        <w:adjustRightInd w:val="0"/>
        <w:spacing w:after="120" w:line="276" w:lineRule="auto"/>
        <w:ind w:firstLine="709"/>
        <w:rPr>
          <w:rFonts w:cs="GHEA Grapalat"/>
          <w:lang w:val="hy-AM"/>
        </w:rPr>
      </w:pPr>
      <w:r w:rsidRPr="008E48A5">
        <w:rPr>
          <w:rFonts w:cs="GHEA Grapalat"/>
          <w:b/>
          <w:bCs/>
          <w:lang w:val="hy-AM"/>
        </w:rPr>
        <w:t xml:space="preserve">Ելնելով համավարակի </w:t>
      </w:r>
      <w:r w:rsidRPr="000B3F16">
        <w:rPr>
          <w:rFonts w:cs="GHEA Grapalat"/>
          <w:b/>
          <w:bCs/>
          <w:lang w:val="hy-AM"/>
        </w:rPr>
        <w:t>տարածման տեմպից և</w:t>
      </w:r>
      <w:r w:rsidRPr="00C56EB8">
        <w:rPr>
          <w:rFonts w:cs="GHEA Grapalat"/>
          <w:b/>
          <w:bCs/>
          <w:lang w:val="hy-AM"/>
        </w:rPr>
        <w:t xml:space="preserve"> արդեն </w:t>
      </w:r>
      <w:r w:rsidRPr="00895DEC">
        <w:rPr>
          <w:rFonts w:cs="GHEA Grapalat"/>
          <w:b/>
          <w:bCs/>
          <w:lang w:val="hy-AM"/>
        </w:rPr>
        <w:t xml:space="preserve">իսկ տնտեսության վրա </w:t>
      </w:r>
      <w:r w:rsidRPr="00835A2D">
        <w:rPr>
          <w:rFonts w:cs="GHEA Grapalat"/>
          <w:b/>
          <w:bCs/>
          <w:lang w:val="hy-AM"/>
        </w:rPr>
        <w:t xml:space="preserve">ունեցած </w:t>
      </w:r>
      <w:r w:rsidRPr="009270F3">
        <w:rPr>
          <w:rFonts w:cs="GHEA Grapalat"/>
          <w:b/>
          <w:bCs/>
          <w:lang w:val="hy-AM"/>
        </w:rPr>
        <w:t>ազդեցություններից՝ գնահատվում է</w:t>
      </w:r>
      <w:r w:rsidRPr="008E48A5">
        <w:rPr>
          <w:rFonts w:cs="GHEA Grapalat"/>
          <w:b/>
          <w:bCs/>
          <w:lang w:val="hy-AM"/>
        </w:rPr>
        <w:t xml:space="preserve">, որ 2020թ.-ին տնտեսական անկման հետևանքով տեղի կունենա հարկային եկամուտների նվազում, ինչպես նաև ընթացիկ ծախսերի աճ՝ պայմանավորված </w:t>
      </w:r>
      <w:r w:rsidRPr="00BB09B9">
        <w:rPr>
          <w:rFonts w:cs="GHEA Grapalat"/>
          <w:b/>
          <w:bCs/>
          <w:lang w:val="hy-AM"/>
        </w:rPr>
        <w:t>հակաճգնաժամային միջոցառումների</w:t>
      </w:r>
      <w:r w:rsidRPr="008E48A5">
        <w:rPr>
          <w:rFonts w:cs="GHEA Grapalat"/>
          <w:b/>
          <w:bCs/>
          <w:lang w:val="hy-AM"/>
        </w:rPr>
        <w:t xml:space="preserve"> իրականացմամբ</w:t>
      </w:r>
      <w:r>
        <w:rPr>
          <w:rFonts w:cs="GHEA Grapalat"/>
          <w:b/>
          <w:bCs/>
          <w:lang w:val="hy-AM"/>
        </w:rPr>
        <w:t xml:space="preserve"> (հակաճգնաժամային միջոցառումների մանրամասն նկարագրությունը ներկայացված է ստորև՝ ներդիրում)</w:t>
      </w:r>
      <w:r w:rsidRPr="008E48A5">
        <w:rPr>
          <w:rFonts w:cs="GHEA Grapalat"/>
          <w:b/>
          <w:bCs/>
          <w:lang w:val="hy-AM"/>
        </w:rPr>
        <w:t xml:space="preserve">: </w:t>
      </w:r>
      <w:r w:rsidRPr="008E48A5">
        <w:rPr>
          <w:rFonts w:cs="GHEA Grapalat"/>
          <w:lang w:val="hy-AM"/>
        </w:rPr>
        <w:t xml:space="preserve">2019թ.-ի համեմատ հարկերի նվազումը կլինի ՀՆԱ-ի շուրջ 0.8 տոկոսի չափով, իսկ ընդհանուր ծախսերը կաճեն ՀՆԱ-ի </w:t>
      </w:r>
      <w:r w:rsidRPr="00B2302A">
        <w:rPr>
          <w:rFonts w:cs="GHEA Grapalat"/>
          <w:lang w:val="hy-AM"/>
        </w:rPr>
        <w:t>մոտ 3.6</w:t>
      </w:r>
      <w:r w:rsidRPr="008E48A5">
        <w:rPr>
          <w:rFonts w:cs="GHEA Grapalat"/>
          <w:lang w:val="hy-AM"/>
        </w:rPr>
        <w:t xml:space="preserve"> տոկոսի չափով: Սպասվում է նաև, որ կարձանագրվի կապիտալ ծախսերի որոշակի թերակատարում՝ հիմք ընդունելով նախորդ տարիների կատարողականները և ընթացիկ տարվա զարգացումները: Արդյունքում</w:t>
      </w:r>
      <w:r>
        <w:rPr>
          <w:rFonts w:cs="GHEA Grapalat"/>
          <w:lang w:val="hy-AM"/>
        </w:rPr>
        <w:t>, հաշվի առնելով նաև կառավարության հակաճգնաժամային միջոցառումների փաթեթը (ՀՆԱ-ի 2.3%-ի չափով),</w:t>
      </w:r>
      <w:r w:rsidRPr="008E48A5">
        <w:rPr>
          <w:rFonts w:cs="GHEA Grapalat"/>
          <w:lang w:val="hy-AM"/>
        </w:rPr>
        <w:t xml:space="preserve"> պետական բյուջեի պակասուրդը կաճի՝ կազմելով ՀՆԱ-ի շուրջ 5.6 տոկոսը, իսկ կառավարության պարտք/ՀՆԱ ցուցանիշը կկազմի շուրջ 5</w:t>
      </w:r>
      <w:r w:rsidRPr="00D00869">
        <w:rPr>
          <w:rFonts w:cs="GHEA Grapalat"/>
          <w:lang w:val="hy-AM"/>
        </w:rPr>
        <w:t>8</w:t>
      </w:r>
      <w:r w:rsidRPr="008E48A5">
        <w:rPr>
          <w:rFonts w:cs="GHEA Grapalat"/>
          <w:lang w:val="hy-AM"/>
        </w:rPr>
        <w:t>.6 տոկոս:</w:t>
      </w:r>
      <w:r w:rsidRPr="00122454">
        <w:rPr>
          <w:rFonts w:cs="GHEA Grapalat"/>
          <w:lang w:val="hy-AM"/>
        </w:rPr>
        <w:t xml:space="preserve"> </w:t>
      </w:r>
      <w:r w:rsidRPr="008E3778">
        <w:rPr>
          <w:rFonts w:cs="GHEA Grapalat"/>
          <w:lang w:val="hy-AM"/>
        </w:rPr>
        <w:t>Այս առումով, 2020թ.-ի տնտեսական անկումը համարելով բացառիկ դեպք (Բյուջետային համակարգի մասին ՀՀ օրենքի 21-րդ հոդվածի 8.3 կետի համապատասխան), 2020թ.-ին հարկաբյուջետային կանոնների համակարգին համահունչ</w:t>
      </w:r>
      <w:r w:rsidRPr="00122454">
        <w:rPr>
          <w:rFonts w:cs="GHEA Grapalat"/>
          <w:lang w:val="hy-AM"/>
        </w:rPr>
        <w:t xml:space="preserve"> հնարավոր կլինի</w:t>
      </w:r>
      <w:r w:rsidRPr="008E3778">
        <w:rPr>
          <w:rFonts w:cs="GHEA Grapalat"/>
          <w:lang w:val="hy-AM"/>
        </w:rPr>
        <w:t xml:space="preserve"> շեղվ</w:t>
      </w:r>
      <w:r w:rsidRPr="00122454">
        <w:rPr>
          <w:rFonts w:cs="GHEA Grapalat"/>
          <w:lang w:val="hy-AM"/>
        </w:rPr>
        <w:t>ել պարտքի և ծախսերի կանոններից</w:t>
      </w:r>
      <w:r w:rsidRPr="00D00869">
        <w:rPr>
          <w:rFonts w:cs="GHEA Grapalat"/>
          <w:lang w:val="hy-AM"/>
        </w:rPr>
        <w:t>.</w:t>
      </w:r>
      <w:r w:rsidRPr="008E3778">
        <w:rPr>
          <w:rFonts w:cs="GHEA Grapalat"/>
          <w:lang w:val="hy-AM"/>
        </w:rPr>
        <w:t xml:space="preserve"> բյուջեի պակասուրդը կլինի ավելի մեծ քան կապիտալ ծախսերն են</w:t>
      </w:r>
      <w:r>
        <w:rPr>
          <w:rFonts w:cs="GHEA Grapalat"/>
          <w:lang w:val="hy-AM"/>
        </w:rPr>
        <w:t>,</w:t>
      </w:r>
      <w:r w:rsidRPr="00C21F15">
        <w:rPr>
          <w:rFonts w:cs="GHEA Grapalat"/>
          <w:lang w:val="hy-AM"/>
        </w:rPr>
        <w:t xml:space="preserve"> իսկ ընթացիկ առաջնային ծախսերի աճը կգերազանցի նախորդ 7 տարիների անվանական ՀՆԱ-ի աճի միջին տեմպը:</w:t>
      </w:r>
    </w:p>
    <w:p w14:paraId="701F4B6F" w14:textId="77777777" w:rsidR="00C7695C" w:rsidRPr="004B2D60" w:rsidRDefault="00C7695C" w:rsidP="00C7695C">
      <w:pPr>
        <w:spacing w:after="120" w:line="276" w:lineRule="auto"/>
        <w:ind w:firstLine="709"/>
        <w:rPr>
          <w:i/>
          <w:iCs/>
          <w:sz w:val="21"/>
          <w:szCs w:val="21"/>
          <w:lang w:val="hy-AM"/>
        </w:rPr>
      </w:pPr>
      <w:r w:rsidRPr="004B2D60">
        <w:rPr>
          <w:b/>
          <w:bCs/>
          <w:i/>
          <w:iCs/>
          <w:sz w:val="21"/>
          <w:szCs w:val="21"/>
          <w:lang w:val="hy-AM"/>
        </w:rPr>
        <w:t>Գծապատկեր 2</w:t>
      </w:r>
      <w:r w:rsidRPr="00D00869">
        <w:rPr>
          <w:b/>
          <w:bCs/>
          <w:i/>
          <w:iCs/>
          <w:sz w:val="21"/>
          <w:szCs w:val="21"/>
          <w:lang w:val="hy-AM"/>
        </w:rPr>
        <w:t>.2</w:t>
      </w:r>
      <w:r w:rsidRPr="004B2D60">
        <w:rPr>
          <w:b/>
          <w:bCs/>
          <w:i/>
          <w:iCs/>
          <w:sz w:val="21"/>
          <w:szCs w:val="21"/>
          <w:lang w:val="hy-AM"/>
        </w:rPr>
        <w:t>.</w:t>
      </w:r>
      <w:r w:rsidRPr="004B2D60">
        <w:rPr>
          <w:i/>
          <w:iCs/>
          <w:sz w:val="21"/>
          <w:szCs w:val="21"/>
          <w:lang w:val="hy-AM"/>
        </w:rPr>
        <w:t xml:space="preserve"> Պետական բյուջեի եկամուտները, ծախսերը և պակասուրդը, մլրդ դրամ</w:t>
      </w:r>
    </w:p>
    <w:p w14:paraId="7B9DCA98" w14:textId="77777777" w:rsidR="00C7695C" w:rsidRDefault="00C7695C" w:rsidP="003D2D87">
      <w:pPr>
        <w:spacing w:after="120" w:line="276" w:lineRule="auto"/>
        <w:ind w:right="-517" w:firstLine="0"/>
        <w:jc w:val="left"/>
        <w:rPr>
          <w:b/>
          <w:lang w:val="hy-AM"/>
        </w:rPr>
      </w:pPr>
      <w:r w:rsidRPr="001C2EA7">
        <w:rPr>
          <w:noProof/>
          <w:sz w:val="20"/>
          <w:szCs w:val="20"/>
        </w:rPr>
        <w:drawing>
          <wp:inline distT="0" distB="0" distL="0" distR="0" wp14:anchorId="07816608" wp14:editId="0A33F296">
            <wp:extent cx="3132000" cy="2880000"/>
            <wp:effectExtent l="0" t="0" r="11430" b="15875"/>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3D2D87" w:rsidRPr="008C5477">
        <w:rPr>
          <w:b/>
          <w:lang w:val="hy-AM"/>
        </w:rPr>
        <w:t xml:space="preserve"> </w:t>
      </w:r>
      <w:r w:rsidRPr="008E48A5">
        <w:rPr>
          <w:noProof/>
          <w:sz w:val="20"/>
          <w:szCs w:val="20"/>
        </w:rPr>
        <w:drawing>
          <wp:inline distT="0" distB="0" distL="0" distR="0" wp14:anchorId="05EE2862" wp14:editId="1C8FDA72">
            <wp:extent cx="3132000" cy="2880000"/>
            <wp:effectExtent l="0" t="0" r="11430" b="15875"/>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F72315C" w14:textId="77777777" w:rsidR="00C7695C" w:rsidRPr="004B2D60" w:rsidRDefault="00C7695C" w:rsidP="00C7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firstLine="709"/>
        <w:rPr>
          <w:rFonts w:cs="Arial"/>
          <w:bCs/>
          <w:i/>
          <w:iCs/>
          <w:sz w:val="18"/>
          <w:szCs w:val="18"/>
          <w:lang w:val="hy-AM"/>
        </w:rPr>
      </w:pPr>
      <w:r w:rsidRPr="004B2D60">
        <w:rPr>
          <w:rFonts w:cs="Arial"/>
          <w:bCs/>
          <w:i/>
          <w:iCs/>
          <w:sz w:val="18"/>
          <w:szCs w:val="18"/>
          <w:lang w:val="hy-AM"/>
        </w:rPr>
        <w:t>Աղբյուրը՝ ՀՀ ՖՆ</w:t>
      </w:r>
    </w:p>
    <w:p w14:paraId="0ADC9847" w14:textId="61354D72" w:rsidR="00C7695C" w:rsidRDefault="00C7695C" w:rsidP="00C7695C">
      <w:pPr>
        <w:autoSpaceDE w:val="0"/>
        <w:autoSpaceDN w:val="0"/>
        <w:adjustRightInd w:val="0"/>
        <w:spacing w:after="120" w:line="276" w:lineRule="auto"/>
        <w:ind w:firstLine="709"/>
        <w:rPr>
          <w:lang w:val="hy-AM"/>
        </w:rPr>
      </w:pPr>
      <w:r w:rsidRPr="008E48A5">
        <w:rPr>
          <w:b/>
          <w:lang w:val="hy-AM"/>
        </w:rPr>
        <w:t>Միջնաժամկետում հարկաբյուջետային և պարտքային կայուն միջավայր ձևավորելու անհրաժեշտությունից ելնելով՝ ծրագրավորվում է սկզբնական փուլում իրականացնել զսպող, այնուհետև չեզոք հարկաբյուջետային քաղաքականություն:</w:t>
      </w:r>
      <w:r w:rsidRPr="008E48A5">
        <w:rPr>
          <w:lang w:val="hy-AM"/>
        </w:rPr>
        <w:t xml:space="preserve"> Միջնաժամկետ հորիզոնում </w:t>
      </w:r>
      <w:r w:rsidRPr="008E48A5">
        <w:rPr>
          <w:lang w:val="hy-AM"/>
        </w:rPr>
        <w:lastRenderedPageBreak/>
        <w:t xml:space="preserve">թիրախավորվել է ՀՀ </w:t>
      </w:r>
      <w:r w:rsidRPr="008E3778">
        <w:rPr>
          <w:lang w:val="hy-AM"/>
        </w:rPr>
        <w:t>կառավարության պարտք/ՀՆԱ-ի աստիճանական նվազում</w:t>
      </w:r>
      <w:r w:rsidRPr="00D00869">
        <w:rPr>
          <w:lang w:val="hy-AM"/>
        </w:rPr>
        <w:t>`</w:t>
      </w:r>
      <w:r w:rsidRPr="008E3778">
        <w:rPr>
          <w:lang w:val="hy-AM"/>
        </w:rPr>
        <w:t xml:space="preserve"> 2023 թվականին հասցնելով </w:t>
      </w:r>
      <w:r w:rsidRPr="00D00869">
        <w:rPr>
          <w:lang w:val="hy-AM"/>
        </w:rPr>
        <w:t>այն</w:t>
      </w:r>
      <w:r w:rsidRPr="008E3778">
        <w:rPr>
          <w:lang w:val="hy-AM"/>
        </w:rPr>
        <w:t xml:space="preserve"> </w:t>
      </w:r>
      <w:r w:rsidRPr="00122454">
        <w:rPr>
          <w:lang w:val="hy-AM"/>
        </w:rPr>
        <w:t>54.</w:t>
      </w:r>
      <w:r w:rsidRPr="00D00869">
        <w:rPr>
          <w:lang w:val="hy-AM"/>
        </w:rPr>
        <w:t>7</w:t>
      </w:r>
      <w:r w:rsidRPr="00122454">
        <w:rPr>
          <w:lang w:val="hy-AM"/>
        </w:rPr>
        <w:t>%-</w:t>
      </w:r>
      <w:r w:rsidRPr="008E3778">
        <w:rPr>
          <w:lang w:val="hy-AM"/>
        </w:rPr>
        <w:t>ին:</w:t>
      </w:r>
      <w:r w:rsidRPr="008E3778">
        <w:rPr>
          <w:b/>
          <w:lang w:val="hy-AM"/>
        </w:rPr>
        <w:t xml:space="preserve"> </w:t>
      </w:r>
      <w:r w:rsidRPr="008E3778">
        <w:rPr>
          <w:lang w:val="hy-AM"/>
        </w:rPr>
        <w:t>2020թ</w:t>
      </w:r>
      <w:r w:rsidRPr="00122454">
        <w:rPr>
          <w:lang w:val="hy-AM"/>
        </w:rPr>
        <w:t>.-</w:t>
      </w:r>
      <w:r w:rsidRPr="008E3778">
        <w:rPr>
          <w:lang w:val="hy-AM"/>
        </w:rPr>
        <w:t>ին տնտեսության վերականգնմանը զուգահեռ կիրականացվի</w:t>
      </w:r>
      <w:r w:rsidRPr="000B3F16">
        <w:rPr>
          <w:lang w:val="hy-AM"/>
        </w:rPr>
        <w:t xml:space="preserve"> </w:t>
      </w:r>
      <w:r w:rsidRPr="00122454">
        <w:rPr>
          <w:lang w:val="hy-AM"/>
        </w:rPr>
        <w:t xml:space="preserve">խթանող </w:t>
      </w:r>
      <w:r>
        <w:rPr>
          <w:lang w:val="hy-AM"/>
        </w:rPr>
        <w:t>հարկաբյուջետային քաղաքականություն, որի ազդեցություն</w:t>
      </w:r>
      <w:r w:rsidRPr="00D00869">
        <w:rPr>
          <w:lang w:val="hy-AM"/>
        </w:rPr>
        <w:t>ն</w:t>
      </w:r>
      <w:r>
        <w:rPr>
          <w:lang w:val="hy-AM"/>
        </w:rPr>
        <w:t xml:space="preserve"> ամբողջական պահանջարկի վրա գնահատվում է </w:t>
      </w:r>
      <w:r w:rsidRPr="004901D1">
        <w:rPr>
          <w:lang w:val="hy-AM"/>
        </w:rPr>
        <w:t>4.</w:t>
      </w:r>
      <w:r w:rsidRPr="00D00869">
        <w:rPr>
          <w:lang w:val="hy-AM"/>
        </w:rPr>
        <w:t>4</w:t>
      </w:r>
      <w:r w:rsidRPr="004901D1">
        <w:rPr>
          <w:lang w:val="hy-AM"/>
        </w:rPr>
        <w:t xml:space="preserve"> տոկոս ընդլայնող</w:t>
      </w:r>
      <w:r>
        <w:rPr>
          <w:lang w:val="hy-AM"/>
        </w:rPr>
        <w:t xml:space="preserve">, իսկ </w:t>
      </w:r>
      <w:r w:rsidRPr="004901D1">
        <w:rPr>
          <w:lang w:val="hy-AM"/>
        </w:rPr>
        <w:t>զուտ վարկավո</w:t>
      </w:r>
      <w:r>
        <w:rPr>
          <w:lang w:val="hy-AM"/>
        </w:rPr>
        <w:t xml:space="preserve">րման ցուցանիշները </w:t>
      </w:r>
      <w:r w:rsidRPr="004901D1">
        <w:rPr>
          <w:lang w:val="hy-AM"/>
        </w:rPr>
        <w:t>(որն</w:t>
      </w:r>
      <w:r>
        <w:rPr>
          <w:lang w:val="hy-AM"/>
        </w:rPr>
        <w:t xml:space="preserve"> </w:t>
      </w:r>
      <w:r w:rsidRPr="004901D1">
        <w:rPr>
          <w:lang w:val="hy-AM"/>
        </w:rPr>
        <w:t xml:space="preserve">իր մեջ ներառում է </w:t>
      </w:r>
      <w:r>
        <w:rPr>
          <w:lang w:val="hy-AM"/>
        </w:rPr>
        <w:t>2020թ.-ին</w:t>
      </w:r>
      <w:r w:rsidRPr="004901D1">
        <w:rPr>
          <w:lang w:val="hy-AM"/>
        </w:rPr>
        <w:t xml:space="preserve"> կորոն</w:t>
      </w:r>
      <w:r w:rsidR="007724F4">
        <w:rPr>
          <w:lang w:val="hy-AM"/>
        </w:rPr>
        <w:t>ա</w:t>
      </w:r>
      <w:r w:rsidRPr="004901D1">
        <w:rPr>
          <w:lang w:val="hy-AM"/>
        </w:rPr>
        <w:t>վիրուսի հաղթահարման տնտեսական հետևանքները չեզոքացնող միջոցառումներ</w:t>
      </w:r>
      <w:r>
        <w:rPr>
          <w:lang w:val="hy-AM"/>
        </w:rPr>
        <w:t>ի զգալի մասը</w:t>
      </w:r>
      <w:r w:rsidRPr="004901D1">
        <w:rPr>
          <w:lang w:val="hy-AM"/>
        </w:rPr>
        <w:t>)</w:t>
      </w:r>
      <w:r>
        <w:rPr>
          <w:lang w:val="hy-AM"/>
        </w:rPr>
        <w:t xml:space="preserve"> հաշվի առնելու դեպքում</w:t>
      </w:r>
      <w:r w:rsidRPr="00D00869">
        <w:rPr>
          <w:lang w:val="hy-AM"/>
        </w:rPr>
        <w:t>,</w:t>
      </w:r>
      <w:r>
        <w:rPr>
          <w:lang w:val="hy-AM"/>
        </w:rPr>
        <w:t xml:space="preserve"> ընդլայնող ազդեցությունը</w:t>
      </w:r>
      <w:r w:rsidRPr="004901D1">
        <w:rPr>
          <w:lang w:val="hy-AM"/>
        </w:rPr>
        <w:t xml:space="preserve"> կկազմի 5.9 տոկոս</w:t>
      </w:r>
      <w:r>
        <w:rPr>
          <w:lang w:val="hy-AM"/>
        </w:rPr>
        <w:t xml:space="preserve"> (տես՝ Գծապատկեր 3)</w:t>
      </w:r>
      <w:r w:rsidRPr="004901D1">
        <w:rPr>
          <w:lang w:val="hy-AM"/>
        </w:rPr>
        <w:t xml:space="preserve">: </w:t>
      </w:r>
      <w:r w:rsidRPr="008E48A5">
        <w:rPr>
          <w:lang w:val="hy-AM"/>
        </w:rPr>
        <w:t>2021-202</w:t>
      </w:r>
      <w:r w:rsidRPr="00D00869">
        <w:rPr>
          <w:lang w:val="hy-AM"/>
        </w:rPr>
        <w:t>3</w:t>
      </w:r>
      <w:r w:rsidRPr="008E48A5">
        <w:rPr>
          <w:lang w:val="hy-AM"/>
        </w:rPr>
        <w:t xml:space="preserve"> թվականներին</w:t>
      </w:r>
      <w:r w:rsidRPr="00D00869">
        <w:rPr>
          <w:lang w:val="hy-AM"/>
        </w:rPr>
        <w:t>, կառավարության պարտքի թիրախին հասնելու նպատակով,</w:t>
      </w:r>
      <w:r w:rsidRPr="000B3F16">
        <w:rPr>
          <w:lang w:val="hy-AM"/>
        </w:rPr>
        <w:t xml:space="preserve"> աստիճանաբար անցում</w:t>
      </w:r>
      <w:r w:rsidRPr="00C56EB8">
        <w:rPr>
          <w:lang w:val="hy-AM"/>
        </w:rPr>
        <w:t xml:space="preserve"> կկատարվի </w:t>
      </w:r>
      <w:r w:rsidRPr="00895DEC">
        <w:rPr>
          <w:lang w:val="hy-AM"/>
        </w:rPr>
        <w:t xml:space="preserve">չեզոք հարկաբյուջետային քաղաքականության </w:t>
      </w:r>
      <w:r w:rsidRPr="00835A2D">
        <w:rPr>
          <w:lang w:val="hy-AM"/>
        </w:rPr>
        <w:t>իրականացմանը:</w:t>
      </w:r>
      <w:r>
        <w:rPr>
          <w:lang w:val="hy-AM"/>
        </w:rPr>
        <w:t xml:space="preserve"> </w:t>
      </w:r>
      <w:r w:rsidRPr="009270F3">
        <w:rPr>
          <w:lang w:val="hy-AM"/>
        </w:rPr>
        <w:t xml:space="preserve">ՀՀ </w:t>
      </w:r>
      <w:r w:rsidRPr="008E48A5">
        <w:rPr>
          <w:lang w:val="hy-AM"/>
        </w:rPr>
        <w:t xml:space="preserve">պետական բյուջեի դեֆիցիտը </w:t>
      </w:r>
      <w:r>
        <w:rPr>
          <w:lang w:val="hy-AM"/>
        </w:rPr>
        <w:t>2</w:t>
      </w:r>
      <w:r w:rsidRPr="009270F3">
        <w:rPr>
          <w:lang w:val="hy-AM"/>
        </w:rPr>
        <w:t xml:space="preserve">021 թվականին </w:t>
      </w:r>
      <w:r w:rsidRPr="008E48A5">
        <w:rPr>
          <w:lang w:val="hy-AM"/>
        </w:rPr>
        <w:t>կկազմի ՀՆԱ-ի 2.</w:t>
      </w:r>
      <w:r w:rsidRPr="00D00869">
        <w:rPr>
          <w:lang w:val="hy-AM"/>
        </w:rPr>
        <w:t>9</w:t>
      </w:r>
      <w:r w:rsidRPr="008E48A5">
        <w:rPr>
          <w:rFonts w:cs="Sylfaen"/>
          <w:lang w:val="hy-AM"/>
        </w:rPr>
        <w:t>%-</w:t>
      </w:r>
      <w:r w:rsidRPr="008E48A5">
        <w:rPr>
          <w:lang w:val="hy-AM"/>
        </w:rPr>
        <w:t>ը, իսկ միջնաժամկետ հորիզոնում կկայունանա ՀՆԱ-ի 1.8</w:t>
      </w:r>
      <w:r w:rsidRPr="008E48A5">
        <w:rPr>
          <w:rFonts w:cs="Sylfaen"/>
          <w:lang w:val="hy-AM"/>
        </w:rPr>
        <w:t>%-ի շուրջ</w:t>
      </w:r>
      <w:r w:rsidRPr="008E48A5">
        <w:rPr>
          <w:lang w:val="hy-AM"/>
        </w:rPr>
        <w:t xml:space="preserve">: </w:t>
      </w:r>
    </w:p>
    <w:p w14:paraId="4BCA8707" w14:textId="77777777" w:rsidR="00C7695C" w:rsidRPr="004B2D60" w:rsidRDefault="00C7695C" w:rsidP="00C7695C">
      <w:pPr>
        <w:spacing w:after="120" w:line="276" w:lineRule="auto"/>
        <w:ind w:firstLine="709"/>
        <w:rPr>
          <w:i/>
          <w:iCs/>
          <w:sz w:val="21"/>
          <w:szCs w:val="21"/>
          <w:lang w:val="hy-AM"/>
        </w:rPr>
      </w:pPr>
      <w:r w:rsidRPr="004B2D60">
        <w:rPr>
          <w:b/>
          <w:bCs/>
          <w:i/>
          <w:iCs/>
          <w:sz w:val="21"/>
          <w:szCs w:val="21"/>
          <w:lang w:val="hy-AM"/>
        </w:rPr>
        <w:t xml:space="preserve">Գծապատկեր </w:t>
      </w:r>
      <w:r w:rsidRPr="00D00869">
        <w:rPr>
          <w:b/>
          <w:bCs/>
          <w:i/>
          <w:iCs/>
          <w:sz w:val="21"/>
          <w:szCs w:val="21"/>
          <w:lang w:val="hy-AM"/>
        </w:rPr>
        <w:t>2.</w:t>
      </w:r>
      <w:r w:rsidRPr="004B2D60">
        <w:rPr>
          <w:b/>
          <w:bCs/>
          <w:i/>
          <w:iCs/>
          <w:sz w:val="21"/>
          <w:szCs w:val="21"/>
          <w:lang w:val="hy-AM"/>
        </w:rPr>
        <w:t>3.</w:t>
      </w:r>
      <w:r w:rsidRPr="004B2D60">
        <w:rPr>
          <w:i/>
          <w:iCs/>
          <w:sz w:val="21"/>
          <w:szCs w:val="21"/>
          <w:lang w:val="hy-AM"/>
        </w:rPr>
        <w:t xml:space="preserve"> Հարկաբյուջետային ազդակը</w:t>
      </w:r>
    </w:p>
    <w:p w14:paraId="33AAE9F7" w14:textId="77777777" w:rsidR="00C7695C" w:rsidRPr="00122454" w:rsidRDefault="00C7695C" w:rsidP="001E4698">
      <w:pPr>
        <w:spacing w:after="120" w:line="276" w:lineRule="auto"/>
        <w:ind w:firstLine="0"/>
        <w:jc w:val="center"/>
      </w:pPr>
      <w:r w:rsidRPr="008E48A5">
        <w:rPr>
          <w:noProof/>
          <w:sz w:val="20"/>
          <w:szCs w:val="20"/>
        </w:rPr>
        <w:drawing>
          <wp:inline distT="0" distB="0" distL="0" distR="0" wp14:anchorId="55BC0CA6" wp14:editId="2A3E0FDA">
            <wp:extent cx="6385560" cy="2085975"/>
            <wp:effectExtent l="0" t="0" r="15240" b="9525"/>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EDE7B14" w14:textId="77777777" w:rsidR="00C7695C" w:rsidRPr="004B2D60" w:rsidRDefault="00C7695C" w:rsidP="00C7695C">
      <w:pPr>
        <w:autoSpaceDE w:val="0"/>
        <w:autoSpaceDN w:val="0"/>
        <w:adjustRightInd w:val="0"/>
        <w:spacing w:after="120" w:line="276" w:lineRule="auto"/>
        <w:ind w:firstLine="709"/>
        <w:rPr>
          <w:sz w:val="21"/>
          <w:szCs w:val="21"/>
          <w:lang w:val="hy-AM"/>
        </w:rPr>
      </w:pPr>
      <w:r w:rsidRPr="004B2D60">
        <w:rPr>
          <w:rFonts w:cs="Arial"/>
          <w:bCs/>
          <w:i/>
          <w:iCs/>
          <w:sz w:val="18"/>
          <w:szCs w:val="18"/>
          <w:lang w:val="hy-AM"/>
        </w:rPr>
        <w:t>Աղբյուրը՝ ՀՀ ՖՆ գնահատականներ</w:t>
      </w:r>
    </w:p>
    <w:p w14:paraId="782479A4" w14:textId="77777777" w:rsidR="00C7695C" w:rsidRPr="00AC5A7D" w:rsidRDefault="00C7695C" w:rsidP="00C7695C">
      <w:pPr>
        <w:spacing w:after="120" w:line="276" w:lineRule="auto"/>
        <w:ind w:firstLine="709"/>
        <w:rPr>
          <w:lang w:val="hy-AM"/>
        </w:rPr>
      </w:pPr>
      <w:r w:rsidRPr="00122454">
        <w:rPr>
          <w:b/>
          <w:bCs/>
          <w:lang w:val="hy-AM"/>
        </w:rPr>
        <w:t>Միջնաժամկետում հարկաբյուջետային քաղաքականությունը, սահ</w:t>
      </w:r>
      <w:r w:rsidRPr="00122454">
        <w:rPr>
          <w:b/>
          <w:bCs/>
          <w:lang w:val="hy-AM"/>
        </w:rPr>
        <w:softHyphen/>
        <w:t>մանափակված լինելով պարտքի կայունության ապահովման անհրաժեշտությամբ, լինելու է «ոսկյա կանոններին» համահունչ՝ կայուն հիմքեր ստեղծելով երկարաժամկետ տնտեսական աճի ապահովման համար:</w:t>
      </w:r>
      <w:r w:rsidRPr="008E48A5">
        <w:rPr>
          <w:lang w:val="hy-AM"/>
        </w:rPr>
        <w:t xml:space="preserve"> Մասնավորապես նախատեսվել է ընդհանուր ծախսերում կապիտալ ծախսերի մասնաբաժնի մեծացում, ինչի արդյունքում կապիտալ ծախսերի ծավալը միջնաժամկետի վերջում զգալիորեն կգերազանցի պետական բյուջեի պակասուրդի մեծությունը: Բացի այդ, հարկեր/ՀՆԱ հարաբերակցության բարելավման և ընթացիկ ծախսերի՝ հարկաբյուջետային կանոններին համապատասխան սահմանափակ աճի պայմաններում, կանխատեսվող հորիզոնի վերջում հարկային եկամուտներ/ՀՆԱ-ն կգերազանցի ընթացիկ ծախսերի մակարդակը շուրջ 2.</w:t>
      </w:r>
      <w:r w:rsidRPr="00D00869">
        <w:rPr>
          <w:lang w:val="hy-AM"/>
        </w:rPr>
        <w:t>2</w:t>
      </w:r>
      <w:r w:rsidRPr="008E48A5">
        <w:rPr>
          <w:lang w:val="hy-AM"/>
        </w:rPr>
        <w:t xml:space="preserve"> տոկոսային կետով</w:t>
      </w:r>
      <w:r w:rsidRPr="000878DD">
        <w:rPr>
          <w:lang w:val="hy-AM"/>
        </w:rPr>
        <w:t>:</w:t>
      </w:r>
    </w:p>
    <w:p w14:paraId="2A5B7E71" w14:textId="77777777" w:rsidR="00C7695C" w:rsidRPr="002F3044" w:rsidRDefault="00C7695C" w:rsidP="00C7695C">
      <w:pPr>
        <w:spacing w:after="120" w:line="276" w:lineRule="auto"/>
        <w:ind w:firstLine="709"/>
        <w:rPr>
          <w:lang w:val="hy-AM"/>
        </w:rPr>
      </w:pPr>
      <w:r w:rsidRPr="008E48A5">
        <w:rPr>
          <w:lang w:val="hy-AM"/>
        </w:rPr>
        <w:t xml:space="preserve">Տնտեսության վերականգնման, հարկային վարչարարության բարելավման և ստվերի դեմ պայքարի արդյունքում միջնաժամկետում ակնկալվում է </w:t>
      </w:r>
      <w:r w:rsidRPr="008E48A5">
        <w:rPr>
          <w:rFonts w:cs="Sylfaen"/>
          <w:lang w:val="hy-AM"/>
        </w:rPr>
        <w:t>ՀՆԱ-ի նկատ</w:t>
      </w:r>
      <w:r w:rsidRPr="008E48A5">
        <w:rPr>
          <w:rFonts w:cs="Sylfaen"/>
          <w:lang w:val="hy-AM"/>
        </w:rPr>
        <w:softHyphen/>
        <w:t>մամբ հարկային եկամուտների բարելավում միջինը տարեկան շուրջ 0.7 տոկոսային կետով:</w:t>
      </w:r>
      <w:r w:rsidRPr="008E48A5">
        <w:rPr>
          <w:lang w:val="hy-AM"/>
        </w:rPr>
        <w:t xml:space="preserve"> Հարկային եկամուտներ/ՀՆԱ ցուցանիշի բարելավումը հնարավորություն կընձեռի ավելի մեծ ռեսուրսներ հատկացնել երկարաժամկետ տնտեսական աճը խթանող կապիտալ ծախսեր իրականացմանը՝ մեծացնելով դրանց կշիռը ՀՆԱ-ում և 2023թ.-ին հասցնելով այն 4.7%:</w:t>
      </w:r>
    </w:p>
    <w:p w14:paraId="130E8441" w14:textId="77777777" w:rsidR="00C7695C" w:rsidRPr="004B2D60" w:rsidRDefault="00C7695C" w:rsidP="00C7695C">
      <w:pPr>
        <w:spacing w:after="0" w:line="276" w:lineRule="auto"/>
        <w:ind w:firstLine="709"/>
        <w:rPr>
          <w:i/>
          <w:iCs/>
          <w:sz w:val="21"/>
          <w:szCs w:val="21"/>
          <w:lang w:val="hy-AM"/>
        </w:rPr>
      </w:pPr>
      <w:r w:rsidRPr="004B2D60">
        <w:rPr>
          <w:b/>
          <w:bCs/>
          <w:i/>
          <w:iCs/>
          <w:sz w:val="21"/>
          <w:szCs w:val="21"/>
          <w:lang w:val="hy-AM"/>
        </w:rPr>
        <w:t xml:space="preserve">Գծապատկեր </w:t>
      </w:r>
      <w:r w:rsidRPr="00D00869">
        <w:rPr>
          <w:b/>
          <w:bCs/>
          <w:i/>
          <w:iCs/>
          <w:sz w:val="21"/>
          <w:szCs w:val="21"/>
          <w:lang w:val="hy-AM"/>
        </w:rPr>
        <w:t>2.</w:t>
      </w:r>
      <w:r w:rsidRPr="004B2D60">
        <w:rPr>
          <w:b/>
          <w:bCs/>
          <w:i/>
          <w:iCs/>
          <w:sz w:val="21"/>
          <w:szCs w:val="21"/>
          <w:lang w:val="hy-AM"/>
        </w:rPr>
        <w:t>4.</w:t>
      </w:r>
      <w:r w:rsidRPr="004B2D60">
        <w:rPr>
          <w:i/>
          <w:iCs/>
          <w:sz w:val="21"/>
          <w:szCs w:val="21"/>
          <w:lang w:val="hy-AM"/>
        </w:rPr>
        <w:t xml:space="preserve"> Ոսկե կանոններից շեղումը 2020թ.-ին և վերադարձը դրանց պահպանմանը միջնաժամկետում</w:t>
      </w:r>
    </w:p>
    <w:p w14:paraId="2EF464DE" w14:textId="77777777" w:rsidR="00C7695C" w:rsidRDefault="00C7695C" w:rsidP="001E4698">
      <w:pPr>
        <w:spacing w:after="0" w:line="276" w:lineRule="auto"/>
        <w:ind w:firstLine="0"/>
        <w:jc w:val="center"/>
        <w:rPr>
          <w:noProof/>
          <w:sz w:val="20"/>
          <w:szCs w:val="20"/>
          <w:lang w:val="hy-AM"/>
        </w:rPr>
      </w:pPr>
      <w:r w:rsidRPr="008E48A5">
        <w:rPr>
          <w:noProof/>
          <w:sz w:val="20"/>
          <w:szCs w:val="20"/>
        </w:rPr>
        <w:lastRenderedPageBreak/>
        <w:drawing>
          <wp:inline distT="0" distB="0" distL="0" distR="0" wp14:anchorId="29F2E5FA" wp14:editId="666D821B">
            <wp:extent cx="3114000" cy="2271316"/>
            <wp:effectExtent l="0" t="0" r="10795" b="15240"/>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8E48A5">
        <w:rPr>
          <w:noProof/>
          <w:sz w:val="20"/>
          <w:szCs w:val="20"/>
        </w:rPr>
        <w:drawing>
          <wp:inline distT="0" distB="0" distL="0" distR="0" wp14:anchorId="1225414B" wp14:editId="3A469AE9">
            <wp:extent cx="3114000" cy="2268056"/>
            <wp:effectExtent l="0" t="0" r="10795" b="18415"/>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0CE556A" w14:textId="77777777" w:rsidR="00C7695C" w:rsidRPr="004C6E59" w:rsidRDefault="00C7695C" w:rsidP="00C76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cs="Arial"/>
          <w:bCs/>
          <w:i/>
          <w:iCs/>
          <w:sz w:val="20"/>
          <w:szCs w:val="20"/>
          <w:lang w:val="hy-AM"/>
        </w:rPr>
      </w:pPr>
      <w:r w:rsidRPr="004C6E59">
        <w:rPr>
          <w:rFonts w:cs="Arial"/>
          <w:bCs/>
          <w:i/>
          <w:iCs/>
          <w:sz w:val="20"/>
          <w:szCs w:val="20"/>
          <w:lang w:val="hy-AM"/>
        </w:rPr>
        <w:t xml:space="preserve">Աղբյուրը՝ </w:t>
      </w:r>
      <w:r>
        <w:rPr>
          <w:rFonts w:cs="Arial"/>
          <w:bCs/>
          <w:i/>
          <w:iCs/>
          <w:sz w:val="20"/>
          <w:szCs w:val="20"/>
          <w:lang w:val="hy-AM"/>
        </w:rPr>
        <w:t>ՀՀ ՖՆ</w:t>
      </w:r>
    </w:p>
    <w:p w14:paraId="36AFA943" w14:textId="77777777" w:rsidR="00C7695C" w:rsidRPr="00122454" w:rsidRDefault="00C7695C" w:rsidP="00C7695C">
      <w:pPr>
        <w:spacing w:after="120" w:line="276" w:lineRule="auto"/>
        <w:ind w:firstLine="709"/>
        <w:rPr>
          <w:bCs/>
          <w:lang w:val="hy-AM"/>
        </w:rPr>
      </w:pPr>
      <w:r w:rsidRPr="00122454">
        <w:rPr>
          <w:bCs/>
          <w:lang w:val="hy-AM"/>
        </w:rPr>
        <w:t>COVID-19 համավարակով պայմանավորված տնտեսական ցնցման և վերջինիս խթանող հարկաբյուջետային քաղաքականությամբ հակազդելու պատճառով ՀՀ կառավարության պարտքի բեռը 2018-2019թթ</w:t>
      </w:r>
      <w:r w:rsidRPr="00122454">
        <w:rPr>
          <w:rFonts w:ascii="Cambria Math" w:hAnsi="Cambria Math" w:cs="Cambria Math"/>
          <w:bCs/>
          <w:lang w:val="hy-AM"/>
        </w:rPr>
        <w:t>․</w:t>
      </w:r>
      <w:r w:rsidRPr="00122454">
        <w:rPr>
          <w:bCs/>
          <w:lang w:val="hy-AM"/>
        </w:rPr>
        <w:t xml:space="preserve"> արձանագրված հարկաբյուջետային կոնսոլիդացիայից հետո կտրուկ կաճի՝ մոտենալով սահմանային շեմ հանդիսացնող 60% ցուցանիշին, որից հետո</w:t>
      </w:r>
      <w:r w:rsidRPr="00D00869">
        <w:rPr>
          <w:bCs/>
          <w:lang w:val="hy-AM"/>
        </w:rPr>
        <w:t xml:space="preserve"> մինչև</w:t>
      </w:r>
      <w:r w:rsidRPr="00122454">
        <w:rPr>
          <w:bCs/>
          <w:lang w:val="hy-AM"/>
        </w:rPr>
        <w:t xml:space="preserve"> 2023թ</w:t>
      </w:r>
      <w:r w:rsidRPr="00122454">
        <w:rPr>
          <w:rFonts w:ascii="Cambria Math" w:hAnsi="Cambria Math" w:cs="Cambria Math"/>
          <w:bCs/>
          <w:lang w:val="hy-AM"/>
        </w:rPr>
        <w:t>․</w:t>
      </w:r>
      <w:r w:rsidRPr="00122454">
        <w:rPr>
          <w:bCs/>
          <w:lang w:val="hy-AM"/>
        </w:rPr>
        <w:t>-ը աստիճանաբար կնվազի</w:t>
      </w:r>
      <w:r w:rsidRPr="00D00869">
        <w:rPr>
          <w:bCs/>
          <w:lang w:val="hy-AM"/>
        </w:rPr>
        <w:t>՝ հասնելով</w:t>
      </w:r>
      <w:r w:rsidRPr="00122454">
        <w:rPr>
          <w:bCs/>
          <w:lang w:val="hy-AM"/>
        </w:rPr>
        <w:t xml:space="preserve"> 5</w:t>
      </w:r>
      <w:r w:rsidRPr="00D00869">
        <w:rPr>
          <w:bCs/>
          <w:lang w:val="hy-AM"/>
        </w:rPr>
        <w:t>4.7</w:t>
      </w:r>
      <w:r w:rsidRPr="00122454">
        <w:rPr>
          <w:bCs/>
          <w:lang w:val="hy-AM"/>
        </w:rPr>
        <w:t>%-ի։</w:t>
      </w:r>
      <w:r>
        <w:rPr>
          <w:bCs/>
          <w:lang w:val="hy-AM"/>
        </w:rPr>
        <w:t xml:space="preserve"> Միջնաժամկետում ՀՀ կառավարության պարտք/ՀՆԱ ցուցանիշի նվազման գործոնները կլինեն տնտեսական աճը և հարկաբյուջետային քաղաքականության հետևանքով պետական բյուջեի առաջնային հաշվեկշռի բարելավումը։</w:t>
      </w:r>
      <w:r w:rsidRPr="00122454">
        <w:rPr>
          <w:bCs/>
          <w:lang w:val="hy-AM"/>
        </w:rPr>
        <w:t xml:space="preserve"> </w:t>
      </w:r>
    </w:p>
    <w:p w14:paraId="0BFD3C98" w14:textId="77777777" w:rsidR="00C7695C" w:rsidRDefault="00C7695C" w:rsidP="00C7695C">
      <w:pPr>
        <w:spacing w:after="0" w:line="276" w:lineRule="auto"/>
        <w:ind w:firstLine="709"/>
        <w:rPr>
          <w:bCs/>
          <w:i/>
          <w:iCs/>
          <w:sz w:val="21"/>
          <w:szCs w:val="21"/>
          <w:lang w:val="hy-AM"/>
        </w:rPr>
      </w:pPr>
      <w:r w:rsidRPr="004B2D60">
        <w:rPr>
          <w:b/>
          <w:i/>
          <w:iCs/>
          <w:sz w:val="21"/>
          <w:szCs w:val="21"/>
          <w:lang w:val="hy-AM"/>
        </w:rPr>
        <w:t xml:space="preserve">Գծապատկեր </w:t>
      </w:r>
      <w:r w:rsidRPr="00D00869">
        <w:rPr>
          <w:b/>
          <w:i/>
          <w:iCs/>
          <w:sz w:val="21"/>
          <w:szCs w:val="21"/>
          <w:lang w:val="hy-AM"/>
        </w:rPr>
        <w:t>2.</w:t>
      </w:r>
      <w:r w:rsidRPr="004B2D60">
        <w:rPr>
          <w:b/>
          <w:i/>
          <w:iCs/>
          <w:sz w:val="21"/>
          <w:szCs w:val="21"/>
          <w:lang w:val="hy-AM"/>
        </w:rPr>
        <w:t>5.</w:t>
      </w:r>
      <w:r w:rsidRPr="004B2D60">
        <w:rPr>
          <w:bCs/>
          <w:i/>
          <w:iCs/>
          <w:sz w:val="21"/>
          <w:szCs w:val="21"/>
          <w:lang w:val="hy-AM"/>
        </w:rPr>
        <w:t xml:space="preserve"> ՀՀ կառավարության պարտքի դինամիկան և այն պայմանավորող գործոնները</w:t>
      </w:r>
      <w:r w:rsidRPr="004B2D60">
        <w:rPr>
          <w:rStyle w:val="FootnoteReference"/>
          <w:i/>
          <w:iCs/>
          <w:sz w:val="21"/>
          <w:szCs w:val="21"/>
          <w:lang w:val="hy-AM"/>
        </w:rPr>
        <w:footnoteReference w:id="8"/>
      </w:r>
    </w:p>
    <w:p w14:paraId="0D0A511D" w14:textId="77777777" w:rsidR="00C7695C" w:rsidRDefault="00C7695C" w:rsidP="003D2D87">
      <w:pPr>
        <w:spacing w:after="0" w:line="276" w:lineRule="auto"/>
        <w:ind w:firstLine="0"/>
        <w:rPr>
          <w:bCs/>
          <w:i/>
          <w:iCs/>
          <w:sz w:val="21"/>
          <w:szCs w:val="21"/>
          <w:lang w:val="hy-AM"/>
        </w:rPr>
      </w:pPr>
      <w:r>
        <w:rPr>
          <w:noProof/>
        </w:rPr>
        <w:drawing>
          <wp:inline distT="0" distB="0" distL="0" distR="0" wp14:anchorId="41B1AD1E" wp14:editId="584B34E2">
            <wp:extent cx="2880000" cy="2880000"/>
            <wp:effectExtent l="0" t="0" r="15875" b="1587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Pr>
          <w:noProof/>
        </w:rPr>
        <w:drawing>
          <wp:inline distT="0" distB="0" distL="0" distR="0" wp14:anchorId="5838ABE6" wp14:editId="112782AE">
            <wp:extent cx="3384000" cy="2880000"/>
            <wp:effectExtent l="0" t="0" r="6985" b="15875"/>
            <wp:docPr id="49"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FD67A5C" w14:textId="77777777" w:rsidR="00C7695C" w:rsidRPr="004B2D60" w:rsidRDefault="00C7695C" w:rsidP="00C7695C">
      <w:pPr>
        <w:spacing w:after="0" w:line="276" w:lineRule="auto"/>
        <w:ind w:firstLine="709"/>
        <w:rPr>
          <w:bCs/>
          <w:i/>
          <w:iCs/>
          <w:sz w:val="21"/>
          <w:szCs w:val="21"/>
          <w:lang w:val="hy-AM"/>
        </w:rPr>
      </w:pPr>
      <w:r w:rsidRPr="004C6E59">
        <w:rPr>
          <w:rFonts w:cs="Arial"/>
          <w:bCs/>
          <w:i/>
          <w:iCs/>
          <w:sz w:val="20"/>
          <w:szCs w:val="20"/>
          <w:lang w:val="hy-AM"/>
        </w:rPr>
        <w:lastRenderedPageBreak/>
        <w:t xml:space="preserve">Աղբյուրը՝ </w:t>
      </w:r>
      <w:r>
        <w:rPr>
          <w:rFonts w:cs="Arial"/>
          <w:bCs/>
          <w:i/>
          <w:iCs/>
          <w:sz w:val="20"/>
          <w:szCs w:val="20"/>
          <w:lang w:val="hy-AM"/>
        </w:rPr>
        <w:t>ՀՀ ՖՆ</w:t>
      </w:r>
    </w:p>
    <w:p w14:paraId="4220F76F" w14:textId="77777777" w:rsidR="00C7695C" w:rsidRPr="002F3044" w:rsidRDefault="00C7695C" w:rsidP="00C7695C">
      <w:pPr>
        <w:pBdr>
          <w:top w:val="single" w:sz="4" w:space="1" w:color="auto"/>
          <w:left w:val="single" w:sz="4" w:space="1" w:color="auto"/>
          <w:bottom w:val="single" w:sz="4" w:space="1" w:color="auto"/>
          <w:right w:val="single" w:sz="4" w:space="1" w:color="auto"/>
        </w:pBdr>
        <w:shd w:val="clear" w:color="auto" w:fill="C6D9F1" w:themeFill="text2" w:themeFillTint="33"/>
        <w:spacing w:after="120" w:line="276" w:lineRule="auto"/>
        <w:rPr>
          <w:rFonts w:cs="Arial"/>
          <w:bCs/>
          <w:i/>
          <w:iCs/>
          <w:sz w:val="20"/>
          <w:szCs w:val="20"/>
          <w:lang w:val="hy-AM"/>
        </w:rPr>
      </w:pPr>
      <w:r w:rsidRPr="00C37F8D">
        <w:rPr>
          <w:b/>
          <w:bCs/>
          <w:color w:val="000000" w:themeColor="text1"/>
          <w:sz w:val="20"/>
          <w:szCs w:val="20"/>
          <w:lang w:val="hy-AM"/>
        </w:rPr>
        <w:t>Ներդիր</w:t>
      </w:r>
      <w:r w:rsidR="00B35BF9" w:rsidRPr="0035033F">
        <w:rPr>
          <w:b/>
          <w:bCs/>
          <w:color w:val="000000" w:themeColor="text1"/>
          <w:sz w:val="20"/>
          <w:szCs w:val="20"/>
          <w:lang w:val="hy-AM"/>
        </w:rPr>
        <w:t xml:space="preserve"> 4</w:t>
      </w:r>
      <w:r w:rsidRPr="00C37F8D">
        <w:rPr>
          <w:b/>
          <w:bCs/>
          <w:color w:val="000000" w:themeColor="text1"/>
          <w:sz w:val="20"/>
          <w:szCs w:val="20"/>
          <w:lang w:val="hy-AM"/>
        </w:rPr>
        <w:t>։ Կորոնավիրուսի ճգնաժամի հաղթահարմանն ուղ</w:t>
      </w:r>
      <w:r>
        <w:rPr>
          <w:b/>
          <w:bCs/>
          <w:color w:val="000000" w:themeColor="text1"/>
          <w:sz w:val="20"/>
          <w:szCs w:val="20"/>
          <w:lang w:val="hy-AM"/>
        </w:rPr>
        <w:t>ղ</w:t>
      </w:r>
      <w:r w:rsidRPr="00C37F8D">
        <w:rPr>
          <w:b/>
          <w:bCs/>
          <w:color w:val="000000" w:themeColor="text1"/>
          <w:sz w:val="20"/>
          <w:szCs w:val="20"/>
          <w:lang w:val="hy-AM"/>
        </w:rPr>
        <w:t>ված հարկաբյուջետային քաղաքականության միջոցառումները</w:t>
      </w:r>
    </w:p>
    <w:p w14:paraId="05C13944" w14:textId="77777777" w:rsidR="00C7695C" w:rsidRPr="004C365B" w:rsidRDefault="00C7695C" w:rsidP="00C7695C">
      <w:pPr>
        <w:pBdr>
          <w:top w:val="single" w:sz="4" w:space="1" w:color="auto"/>
          <w:left w:val="single" w:sz="4" w:space="1" w:color="auto"/>
          <w:bottom w:val="single" w:sz="4" w:space="1" w:color="auto"/>
          <w:right w:val="single" w:sz="4" w:space="1" w:color="auto"/>
        </w:pBdr>
        <w:shd w:val="clear" w:color="auto" w:fill="C6D9F1" w:themeFill="text2" w:themeFillTint="33"/>
        <w:spacing w:after="120" w:line="276" w:lineRule="auto"/>
        <w:ind w:firstLine="709"/>
        <w:rPr>
          <w:color w:val="000000" w:themeColor="text1"/>
          <w:sz w:val="20"/>
          <w:szCs w:val="20"/>
          <w:lang w:val="hy-AM"/>
        </w:rPr>
      </w:pPr>
      <w:r>
        <w:rPr>
          <w:color w:val="000000" w:themeColor="text1"/>
          <w:sz w:val="20"/>
          <w:szCs w:val="20"/>
          <w:lang w:val="hy-AM"/>
        </w:rPr>
        <w:t xml:space="preserve">COVID-19 համավարակի տարածման բացասական ազդեցությունները ՀՀ տնտեսության վրա արտացոլվել են ինչպես արտաքին աշխարհից փոխանցվող շոկերի այնպես էլ ներքին տնտեսական սահմանափակումների տեսքով: </w:t>
      </w:r>
      <w:r w:rsidRPr="00AE71B4">
        <w:rPr>
          <w:color w:val="000000" w:themeColor="text1"/>
          <w:sz w:val="20"/>
          <w:szCs w:val="20"/>
          <w:lang w:val="hy-AM"/>
        </w:rPr>
        <w:t>Տնտեսական խորը անկումը կանխելու, ինչպես նաև հետագա վերականգնումը խթանելու համար, կառավարությունը 2020 թվականին իրականացն</w:t>
      </w:r>
      <w:r w:rsidR="00595A2D" w:rsidRPr="0035033F">
        <w:rPr>
          <w:color w:val="000000" w:themeColor="text1"/>
          <w:sz w:val="20"/>
          <w:szCs w:val="20"/>
          <w:lang w:val="hy-AM"/>
        </w:rPr>
        <w:t>ելու է</w:t>
      </w:r>
      <w:r w:rsidRPr="00AE71B4">
        <w:rPr>
          <w:color w:val="000000" w:themeColor="text1"/>
          <w:sz w:val="20"/>
          <w:szCs w:val="20"/>
          <w:lang w:val="hy-AM"/>
        </w:rPr>
        <w:t xml:space="preserve"> 150 մլրդ դրամ</w:t>
      </w:r>
      <w:r>
        <w:rPr>
          <w:color w:val="000000" w:themeColor="text1"/>
          <w:sz w:val="20"/>
          <w:szCs w:val="20"/>
          <w:lang w:val="hy-AM"/>
        </w:rPr>
        <w:t xml:space="preserve"> (ՀՆԱ-ի 2.3%-ի չափով)</w:t>
      </w:r>
      <w:r w:rsidRPr="00AE71B4">
        <w:rPr>
          <w:color w:val="000000" w:themeColor="text1"/>
          <w:sz w:val="20"/>
          <w:szCs w:val="20"/>
          <w:lang w:val="hy-AM"/>
        </w:rPr>
        <w:t xml:space="preserve"> ընդհանուր գումարի չափով սոցիալ տնտեսական աջակցության միջոցառումներ</w:t>
      </w:r>
      <w:r w:rsidR="00595A2D" w:rsidRPr="0035033F">
        <w:rPr>
          <w:color w:val="000000" w:themeColor="text1"/>
          <w:sz w:val="20"/>
          <w:szCs w:val="20"/>
          <w:lang w:val="hy-AM"/>
        </w:rPr>
        <w:t>ի ծրագիր</w:t>
      </w:r>
      <w:r w:rsidRPr="00AE71B4">
        <w:rPr>
          <w:color w:val="000000" w:themeColor="text1"/>
          <w:sz w:val="20"/>
          <w:szCs w:val="20"/>
          <w:lang w:val="hy-AM"/>
        </w:rPr>
        <w:t>՝</w:t>
      </w:r>
      <w:r w:rsidR="00595A2D" w:rsidRPr="0035033F">
        <w:rPr>
          <w:color w:val="000000" w:themeColor="text1"/>
          <w:sz w:val="20"/>
          <w:szCs w:val="20"/>
          <w:lang w:val="hy-AM"/>
        </w:rPr>
        <w:t xml:space="preserve"> </w:t>
      </w:r>
      <w:r w:rsidRPr="00AE71B4">
        <w:rPr>
          <w:color w:val="000000" w:themeColor="text1"/>
          <w:sz w:val="20"/>
          <w:szCs w:val="20"/>
          <w:lang w:val="hy-AM"/>
        </w:rPr>
        <w:t>հետևյալ հիմնական ուղղություններով</w:t>
      </w:r>
      <w:r w:rsidR="00595A2D" w:rsidRPr="0035033F">
        <w:rPr>
          <w:color w:val="000000" w:themeColor="text1"/>
          <w:sz w:val="20"/>
          <w:szCs w:val="20"/>
          <w:lang w:val="hy-AM"/>
        </w:rPr>
        <w:t>.</w:t>
      </w:r>
    </w:p>
    <w:p w14:paraId="60BE944F" w14:textId="77777777" w:rsidR="00C7695C" w:rsidRPr="00AE71B4" w:rsidRDefault="00C7695C" w:rsidP="00C7695C">
      <w:pPr>
        <w:pStyle w:val="ListParagraph"/>
        <w:numPr>
          <w:ilvl w:val="0"/>
          <w:numId w:val="36"/>
        </w:numPr>
        <w:pBdr>
          <w:top w:val="single" w:sz="4" w:space="1" w:color="auto"/>
          <w:left w:val="single" w:sz="4" w:space="1" w:color="auto"/>
          <w:bottom w:val="single" w:sz="4" w:space="1" w:color="auto"/>
          <w:right w:val="single" w:sz="4" w:space="1" w:color="auto"/>
        </w:pBdr>
        <w:shd w:val="clear" w:color="auto" w:fill="C6D9F1" w:themeFill="text2" w:themeFillTint="33"/>
        <w:spacing w:before="0" w:after="120" w:line="276" w:lineRule="auto"/>
        <w:ind w:left="0" w:firstLine="709"/>
        <w:rPr>
          <w:color w:val="000000" w:themeColor="text1"/>
          <w:sz w:val="20"/>
          <w:szCs w:val="20"/>
          <w:lang w:val="hy-AM"/>
        </w:rPr>
      </w:pPr>
      <w:r w:rsidRPr="00AE71B4">
        <w:rPr>
          <w:color w:val="000000" w:themeColor="text1"/>
          <w:sz w:val="20"/>
          <w:szCs w:val="20"/>
          <w:lang w:val="hy-AM"/>
        </w:rPr>
        <w:t>25 մլրդ դրամ՝ տնտեսավարողներին աջակցության ծրագրեր, որոնք ուղղված են ընթացիկ իրացվելիության խնդիրների լուծմանը,</w:t>
      </w:r>
    </w:p>
    <w:p w14:paraId="0A4C73CB" w14:textId="77777777" w:rsidR="00C7695C" w:rsidRPr="00AE71B4" w:rsidRDefault="00C7695C" w:rsidP="00C7695C">
      <w:pPr>
        <w:pStyle w:val="ListParagraph"/>
        <w:numPr>
          <w:ilvl w:val="0"/>
          <w:numId w:val="35"/>
        </w:numPr>
        <w:pBdr>
          <w:top w:val="single" w:sz="4" w:space="1" w:color="auto"/>
          <w:left w:val="single" w:sz="4" w:space="1" w:color="auto"/>
          <w:bottom w:val="single" w:sz="4" w:space="1" w:color="auto"/>
          <w:right w:val="single" w:sz="4" w:space="1" w:color="auto"/>
        </w:pBdr>
        <w:shd w:val="clear" w:color="auto" w:fill="C6D9F1" w:themeFill="text2" w:themeFillTint="33"/>
        <w:spacing w:before="0" w:after="120" w:line="276" w:lineRule="auto"/>
        <w:ind w:left="0" w:firstLine="709"/>
        <w:rPr>
          <w:color w:val="000000" w:themeColor="text1"/>
          <w:sz w:val="20"/>
          <w:szCs w:val="20"/>
          <w:lang w:val="hy-AM"/>
        </w:rPr>
      </w:pPr>
      <w:r w:rsidRPr="00AE71B4">
        <w:rPr>
          <w:color w:val="000000" w:themeColor="text1"/>
          <w:sz w:val="20"/>
          <w:szCs w:val="20"/>
          <w:lang w:val="hy-AM"/>
        </w:rPr>
        <w:t>25 մլրդ դրամ՝ սոցիալական աջակցության ծրագրեր,</w:t>
      </w:r>
    </w:p>
    <w:p w14:paraId="3202E519" w14:textId="77777777" w:rsidR="00C7695C" w:rsidRPr="00AE71B4" w:rsidRDefault="00C7695C" w:rsidP="00C7695C">
      <w:pPr>
        <w:pStyle w:val="ListParagraph"/>
        <w:numPr>
          <w:ilvl w:val="0"/>
          <w:numId w:val="35"/>
        </w:numPr>
        <w:pBdr>
          <w:top w:val="single" w:sz="4" w:space="1" w:color="auto"/>
          <w:left w:val="single" w:sz="4" w:space="1" w:color="auto"/>
          <w:bottom w:val="single" w:sz="4" w:space="1" w:color="auto"/>
          <w:right w:val="single" w:sz="4" w:space="1" w:color="auto"/>
        </w:pBdr>
        <w:shd w:val="clear" w:color="auto" w:fill="C6D9F1" w:themeFill="text2" w:themeFillTint="33"/>
        <w:spacing w:before="0" w:after="120" w:line="276" w:lineRule="auto"/>
        <w:ind w:left="0" w:firstLine="709"/>
        <w:rPr>
          <w:color w:val="000000" w:themeColor="text1"/>
          <w:sz w:val="20"/>
          <w:szCs w:val="20"/>
          <w:lang w:val="hy-AM"/>
        </w:rPr>
      </w:pPr>
      <w:r w:rsidRPr="00AE71B4">
        <w:rPr>
          <w:color w:val="000000" w:themeColor="text1"/>
          <w:sz w:val="20"/>
          <w:szCs w:val="20"/>
          <w:lang w:val="hy-AM"/>
        </w:rPr>
        <w:t>80 մլրդ դրամ՝ տնտեսության վերականգնման և երկարաժամկետ զարգացմանն ուղղված ծրագրեր,</w:t>
      </w:r>
    </w:p>
    <w:p w14:paraId="341BCC52" w14:textId="77777777" w:rsidR="00C7695C" w:rsidRPr="00AE71B4" w:rsidRDefault="00C7695C" w:rsidP="00C7695C">
      <w:pPr>
        <w:pStyle w:val="ListParagraph"/>
        <w:numPr>
          <w:ilvl w:val="0"/>
          <w:numId w:val="35"/>
        </w:numPr>
        <w:pBdr>
          <w:top w:val="single" w:sz="4" w:space="1" w:color="auto"/>
          <w:left w:val="single" w:sz="4" w:space="1" w:color="auto"/>
          <w:bottom w:val="single" w:sz="4" w:space="1" w:color="auto"/>
          <w:right w:val="single" w:sz="4" w:space="1" w:color="auto"/>
        </w:pBdr>
        <w:shd w:val="clear" w:color="auto" w:fill="C6D9F1" w:themeFill="text2" w:themeFillTint="33"/>
        <w:spacing w:before="0" w:after="120" w:line="276" w:lineRule="auto"/>
        <w:ind w:left="0" w:firstLine="709"/>
        <w:rPr>
          <w:color w:val="000000" w:themeColor="text1"/>
          <w:sz w:val="20"/>
          <w:szCs w:val="20"/>
          <w:lang w:val="hy-AM"/>
        </w:rPr>
      </w:pPr>
      <w:r w:rsidRPr="00AE71B4">
        <w:rPr>
          <w:color w:val="000000" w:themeColor="text1"/>
          <w:sz w:val="20"/>
          <w:szCs w:val="20"/>
          <w:lang w:val="hy-AM"/>
        </w:rPr>
        <w:t>20 մլրդ դրամ՝ պահուստային միջոցներ անհրաժեշտ վերաբաշխումներ իրականացնելու համար:</w:t>
      </w:r>
    </w:p>
    <w:p w14:paraId="297A3045" w14:textId="77777777" w:rsidR="00C7695C" w:rsidRPr="000878DD" w:rsidRDefault="00C7695C" w:rsidP="00C7695C">
      <w:pPr>
        <w:pBdr>
          <w:top w:val="single" w:sz="4" w:space="1" w:color="auto"/>
          <w:left w:val="single" w:sz="4" w:space="1" w:color="auto"/>
          <w:bottom w:val="single" w:sz="4" w:space="1" w:color="auto"/>
          <w:right w:val="single" w:sz="4" w:space="1" w:color="auto"/>
        </w:pBdr>
        <w:shd w:val="clear" w:color="auto" w:fill="C6D9F1" w:themeFill="text2" w:themeFillTint="33"/>
        <w:spacing w:after="120" w:line="276" w:lineRule="auto"/>
        <w:ind w:firstLine="709"/>
        <w:rPr>
          <w:color w:val="000000" w:themeColor="text1"/>
          <w:sz w:val="20"/>
          <w:szCs w:val="20"/>
          <w:lang w:val="hy-AM"/>
        </w:rPr>
      </w:pPr>
      <w:r w:rsidRPr="00D00869">
        <w:rPr>
          <w:color w:val="000000" w:themeColor="text1"/>
          <w:sz w:val="20"/>
          <w:szCs w:val="20"/>
          <w:lang w:val="hy-AM"/>
        </w:rPr>
        <w:t xml:space="preserve">Բացի վերոնշյալ միջոցառումներից, </w:t>
      </w:r>
      <w:r w:rsidRPr="000878DD">
        <w:rPr>
          <w:color w:val="000000" w:themeColor="text1"/>
          <w:sz w:val="20"/>
          <w:szCs w:val="20"/>
          <w:lang w:val="hy-AM"/>
        </w:rPr>
        <w:t xml:space="preserve">COVID-19 համավարակի տարածման կանխարգելման նպատակով կառավարությունն իրականացրել է նաև առողջապահական ծախսերի ավելացում, որոնց ծավալը հունիսի վերջի դրությամբ կազմել է մոտ 7.7 մլրդ դրամ: </w:t>
      </w:r>
    </w:p>
    <w:p w14:paraId="4F9A8FAC" w14:textId="77777777" w:rsidR="00C7695C" w:rsidRDefault="00C7695C" w:rsidP="00C7695C">
      <w:pPr>
        <w:pBdr>
          <w:top w:val="single" w:sz="4" w:space="1" w:color="auto"/>
          <w:left w:val="single" w:sz="4" w:space="1" w:color="auto"/>
          <w:bottom w:val="single" w:sz="4" w:space="1" w:color="auto"/>
          <w:right w:val="single" w:sz="4" w:space="1" w:color="auto"/>
        </w:pBdr>
        <w:shd w:val="clear" w:color="auto" w:fill="C6D9F1" w:themeFill="text2" w:themeFillTint="33"/>
        <w:spacing w:after="120" w:line="276" w:lineRule="auto"/>
        <w:ind w:firstLine="709"/>
        <w:rPr>
          <w:color w:val="000000" w:themeColor="text1"/>
          <w:sz w:val="20"/>
          <w:szCs w:val="20"/>
          <w:lang w:val="hy-AM"/>
        </w:rPr>
      </w:pPr>
      <w:r>
        <w:rPr>
          <w:color w:val="000000" w:themeColor="text1"/>
          <w:sz w:val="20"/>
          <w:szCs w:val="20"/>
          <w:lang w:val="hy-AM"/>
        </w:rPr>
        <w:t xml:space="preserve">Կառավարության </w:t>
      </w:r>
      <w:r w:rsidRPr="00893D30">
        <w:rPr>
          <w:color w:val="000000" w:themeColor="text1"/>
          <w:sz w:val="20"/>
          <w:szCs w:val="20"/>
          <w:lang w:val="hy-AM"/>
        </w:rPr>
        <w:t>հակաճգնաժամային միջոցառումների իրականացմամբ</w:t>
      </w:r>
      <w:r>
        <w:rPr>
          <w:color w:val="000000" w:themeColor="text1"/>
          <w:sz w:val="20"/>
          <w:szCs w:val="20"/>
          <w:lang w:val="hy-AM"/>
        </w:rPr>
        <w:t xml:space="preserve">, ինչպես նաև տնտեսական անկման հետևանքով հարկային եկամուտների նվազմամբ պայմանավորված 2020թ.-ին </w:t>
      </w:r>
      <w:r w:rsidRPr="00893D30">
        <w:rPr>
          <w:color w:val="000000" w:themeColor="text1"/>
          <w:sz w:val="20"/>
          <w:szCs w:val="20"/>
          <w:lang w:val="hy-AM"/>
        </w:rPr>
        <w:t>պետական բյուջեի պակասուրդը կաճի՝ կազմելով ՀՆԱ-ի շուրջ 5.6 տոկոսը, իսկ կառավարության պարտք/ՀՆԱ ցուցանիշը կկազմի շուրջ 5</w:t>
      </w:r>
      <w:r w:rsidRPr="00D00869">
        <w:rPr>
          <w:color w:val="000000" w:themeColor="text1"/>
          <w:sz w:val="20"/>
          <w:szCs w:val="20"/>
          <w:lang w:val="hy-AM"/>
        </w:rPr>
        <w:t>8</w:t>
      </w:r>
      <w:r w:rsidRPr="00893D30">
        <w:rPr>
          <w:color w:val="000000" w:themeColor="text1"/>
          <w:sz w:val="20"/>
          <w:szCs w:val="20"/>
          <w:lang w:val="hy-AM"/>
        </w:rPr>
        <w:t>.6 տոկոս:</w:t>
      </w:r>
    </w:p>
    <w:p w14:paraId="778693B2" w14:textId="77777777" w:rsidR="00C7695C" w:rsidRPr="00122454" w:rsidRDefault="00C7695C" w:rsidP="00C7695C">
      <w:pPr>
        <w:pBdr>
          <w:top w:val="single" w:sz="4" w:space="1" w:color="auto"/>
          <w:left w:val="single" w:sz="4" w:space="1" w:color="auto"/>
          <w:bottom w:val="single" w:sz="4" w:space="1" w:color="auto"/>
          <w:right w:val="single" w:sz="4" w:space="1" w:color="auto"/>
        </w:pBdr>
        <w:shd w:val="clear" w:color="auto" w:fill="C6D9F1" w:themeFill="text2" w:themeFillTint="33"/>
        <w:spacing w:after="120" w:line="276" w:lineRule="auto"/>
        <w:ind w:firstLine="709"/>
        <w:rPr>
          <w:b/>
          <w:bCs/>
          <w:sz w:val="20"/>
          <w:szCs w:val="20"/>
          <w:lang w:val="hy-AM"/>
        </w:rPr>
      </w:pPr>
      <w:r w:rsidRPr="006518B4">
        <w:rPr>
          <w:b/>
          <w:bCs/>
          <w:sz w:val="20"/>
          <w:szCs w:val="20"/>
          <w:lang w:val="hy-AM"/>
        </w:rPr>
        <w:t xml:space="preserve">Գծապատկեր </w:t>
      </w:r>
      <w:r w:rsidRPr="00D00869">
        <w:rPr>
          <w:b/>
          <w:bCs/>
          <w:sz w:val="20"/>
          <w:szCs w:val="20"/>
          <w:lang w:val="hy-AM"/>
        </w:rPr>
        <w:t>2.</w:t>
      </w:r>
      <w:r>
        <w:rPr>
          <w:b/>
          <w:bCs/>
          <w:sz w:val="20"/>
          <w:szCs w:val="20"/>
          <w:lang w:val="hy-AM"/>
        </w:rPr>
        <w:t>6</w:t>
      </w:r>
      <w:r w:rsidRPr="006518B4">
        <w:rPr>
          <w:b/>
          <w:bCs/>
          <w:sz w:val="20"/>
          <w:szCs w:val="20"/>
          <w:lang w:val="hy-AM"/>
        </w:rPr>
        <w:t xml:space="preserve">. Հարկաբյուջետային քաղաքականությունների արձագանքը տնտեսական </w:t>
      </w:r>
      <w:r>
        <w:rPr>
          <w:b/>
          <w:bCs/>
          <w:sz w:val="20"/>
          <w:szCs w:val="20"/>
          <w:lang w:val="hy-AM"/>
        </w:rPr>
        <w:t>ճգնաժամերին</w:t>
      </w:r>
    </w:p>
    <w:p w14:paraId="00DD082F" w14:textId="77777777" w:rsidR="00C7695C" w:rsidRDefault="00C7695C" w:rsidP="003D2D87">
      <w:pPr>
        <w:pBdr>
          <w:top w:val="single" w:sz="4" w:space="1" w:color="auto"/>
          <w:left w:val="single" w:sz="4" w:space="1" w:color="auto"/>
          <w:bottom w:val="single" w:sz="4" w:space="1" w:color="auto"/>
          <w:right w:val="single" w:sz="4" w:space="1" w:color="auto"/>
        </w:pBdr>
        <w:shd w:val="clear" w:color="auto" w:fill="C6D9F1" w:themeFill="text2" w:themeFillTint="33"/>
        <w:spacing w:after="120" w:line="276" w:lineRule="auto"/>
        <w:ind w:firstLine="0"/>
        <w:jc w:val="center"/>
        <w:rPr>
          <w:color w:val="000000" w:themeColor="text1"/>
          <w:sz w:val="20"/>
          <w:szCs w:val="20"/>
          <w:lang w:val="hy-AM"/>
        </w:rPr>
      </w:pPr>
      <w:r>
        <w:rPr>
          <w:noProof/>
        </w:rPr>
        <w:drawing>
          <wp:inline distT="0" distB="0" distL="0" distR="0" wp14:anchorId="33CD04CF" wp14:editId="5B3E4A7F">
            <wp:extent cx="3009900" cy="2520000"/>
            <wp:effectExtent l="0" t="0" r="0" b="1397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Pr>
          <w:noProof/>
        </w:rPr>
        <w:drawing>
          <wp:inline distT="0" distB="0" distL="0" distR="0" wp14:anchorId="7FBCC70B" wp14:editId="082CFA32">
            <wp:extent cx="2926080" cy="2520000"/>
            <wp:effectExtent l="0" t="0" r="762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A8F9192" w14:textId="77777777" w:rsidR="00C7695C" w:rsidRPr="006518B4" w:rsidRDefault="00C7695C" w:rsidP="00C7695C">
      <w:pPr>
        <w:pBdr>
          <w:top w:val="single" w:sz="4" w:space="1" w:color="auto"/>
          <w:left w:val="single" w:sz="4" w:space="1" w:color="auto"/>
          <w:bottom w:val="single" w:sz="4" w:space="1" w:color="auto"/>
          <w:right w:val="single" w:sz="4" w:space="1" w:color="auto"/>
        </w:pBdr>
        <w:shd w:val="clear" w:color="auto" w:fill="C6D9F1" w:themeFill="text2" w:themeFillTint="33"/>
        <w:spacing w:after="120" w:line="276" w:lineRule="auto"/>
        <w:ind w:firstLine="709"/>
        <w:rPr>
          <w:b/>
          <w:bCs/>
          <w:sz w:val="20"/>
          <w:szCs w:val="20"/>
          <w:lang w:val="hy-AM"/>
        </w:rPr>
      </w:pPr>
      <w:r w:rsidRPr="006518B4">
        <w:rPr>
          <w:b/>
          <w:bCs/>
          <w:sz w:val="20"/>
          <w:szCs w:val="20"/>
          <w:lang w:val="hy-AM"/>
        </w:rPr>
        <w:t xml:space="preserve">Գծապատկեր </w:t>
      </w:r>
      <w:r w:rsidRPr="00D00869">
        <w:rPr>
          <w:b/>
          <w:bCs/>
          <w:sz w:val="20"/>
          <w:szCs w:val="20"/>
          <w:lang w:val="hy-AM"/>
        </w:rPr>
        <w:t>2.</w:t>
      </w:r>
      <w:r>
        <w:rPr>
          <w:b/>
          <w:bCs/>
          <w:sz w:val="20"/>
          <w:szCs w:val="20"/>
          <w:lang w:val="hy-AM"/>
        </w:rPr>
        <w:t>7</w:t>
      </w:r>
      <w:r w:rsidRPr="006518B4">
        <w:rPr>
          <w:b/>
          <w:bCs/>
          <w:sz w:val="20"/>
          <w:szCs w:val="20"/>
          <w:lang w:val="hy-AM"/>
        </w:rPr>
        <w:t>. Հարկաբյուջետային քաղաքականությ</w:t>
      </w:r>
      <w:r>
        <w:rPr>
          <w:b/>
          <w:bCs/>
          <w:sz w:val="20"/>
          <w:szCs w:val="20"/>
          <w:lang w:val="hy-AM"/>
        </w:rPr>
        <w:t>ան</w:t>
      </w:r>
      <w:r w:rsidRPr="006518B4">
        <w:rPr>
          <w:b/>
          <w:bCs/>
          <w:sz w:val="20"/>
          <w:szCs w:val="20"/>
          <w:lang w:val="hy-AM"/>
        </w:rPr>
        <w:t xml:space="preserve"> արձագանքը համավարակի տնտեսական հետևանքներին առանձին երկրներում</w:t>
      </w:r>
    </w:p>
    <w:p w14:paraId="30D0651C" w14:textId="34E2EDDE" w:rsidR="00173FEB" w:rsidRDefault="00D96737" w:rsidP="0035033F">
      <w:pPr>
        <w:pBdr>
          <w:top w:val="single" w:sz="4" w:space="1" w:color="auto"/>
          <w:left w:val="single" w:sz="4" w:space="1" w:color="auto"/>
          <w:bottom w:val="single" w:sz="4" w:space="1" w:color="auto"/>
          <w:right w:val="single" w:sz="4" w:space="1" w:color="auto"/>
        </w:pBdr>
        <w:shd w:val="clear" w:color="auto" w:fill="C6D9F1" w:themeFill="text2" w:themeFillTint="33"/>
        <w:spacing w:after="120" w:line="276" w:lineRule="auto"/>
        <w:ind w:firstLine="0"/>
        <w:jc w:val="center"/>
        <w:rPr>
          <w:color w:val="000000" w:themeColor="text1"/>
          <w:sz w:val="20"/>
          <w:szCs w:val="20"/>
          <w:lang w:val="hy-AM"/>
        </w:rPr>
      </w:pPr>
      <w:r>
        <w:rPr>
          <w:noProof/>
        </w:rPr>
        <w:lastRenderedPageBreak/>
        <mc:AlternateContent>
          <mc:Choice Requires="wps">
            <w:drawing>
              <wp:anchor distT="0" distB="0" distL="114300" distR="114300" simplePos="0" relativeHeight="251702272" behindDoc="0" locked="0" layoutInCell="1" allowOverlap="1" wp14:anchorId="4086F3C1" wp14:editId="644136DF">
                <wp:simplePos x="0" y="0"/>
                <wp:positionH relativeFrom="column">
                  <wp:posOffset>1403350</wp:posOffset>
                </wp:positionH>
                <wp:positionV relativeFrom="paragraph">
                  <wp:posOffset>1866900</wp:posOffset>
                </wp:positionV>
                <wp:extent cx="4402455" cy="106680"/>
                <wp:effectExtent l="0" t="0" r="0"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2455" cy="106680"/>
                        </a:xfrm>
                        <a:prstGeom prst="rect">
                          <a:avLst/>
                        </a:prstGeom>
                        <a:noFill/>
                        <a:ln w="9525">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EA216" id="Rectangle 5" o:spid="_x0000_s1026" style="position:absolute;margin-left:110.5pt;margin-top:147pt;width:346.65pt;height:8.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" filled="f" strokecolor="#c00000">
                <v:stroke dashstyle="3 1"/>
                <v:path arrowok="t"/>
              </v:rect>
            </w:pict>
          </mc:Fallback>
        </mc:AlternateContent>
      </w:r>
      <w:r w:rsidR="00C7695C">
        <w:rPr>
          <w:noProof/>
        </w:rPr>
        <w:drawing>
          <wp:inline distT="0" distB="0" distL="0" distR="0" wp14:anchorId="144217AC" wp14:editId="4692CBD2">
            <wp:extent cx="6052185" cy="3200400"/>
            <wp:effectExtent l="0" t="0" r="571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5C3A4A9" w14:textId="77777777" w:rsidR="00C7695C" w:rsidRPr="004C365B" w:rsidRDefault="00C7695C" w:rsidP="00C7695C">
      <w:pPr>
        <w:pBdr>
          <w:top w:val="single" w:sz="4" w:space="1" w:color="auto"/>
          <w:left w:val="single" w:sz="4" w:space="1" w:color="auto"/>
          <w:bottom w:val="single" w:sz="4" w:space="1" w:color="auto"/>
          <w:right w:val="single" w:sz="4" w:space="1" w:color="auto"/>
        </w:pBdr>
        <w:shd w:val="clear" w:color="auto" w:fill="C6D9F1" w:themeFill="text2" w:themeFillTint="33"/>
        <w:spacing w:after="120" w:line="276" w:lineRule="auto"/>
        <w:ind w:firstLine="709"/>
        <w:rPr>
          <w:color w:val="000000" w:themeColor="text1"/>
          <w:sz w:val="20"/>
          <w:szCs w:val="20"/>
          <w:lang w:val="hy-AM"/>
        </w:rPr>
      </w:pPr>
      <w:r w:rsidRPr="004C365B">
        <w:rPr>
          <w:color w:val="000000" w:themeColor="text1"/>
          <w:sz w:val="20"/>
          <w:szCs w:val="20"/>
          <w:lang w:val="hy-AM"/>
        </w:rPr>
        <w:t xml:space="preserve">Առավել խոշոր հակազդման փաթեթներով առանձնանում են Գերմանիան և Իտալիան, որոնք նախատեսում են իրականացնել ՀՆԱ-ի ավելի քան 30%-ի չափով միջոցառումներ: Հատկանշական է, որ երկրների մեծ մասը կիրառում է պետական վարկավորումը կամ երաշխիքները՝ որպես աջակցության հիմնական գործիքներ: </w:t>
      </w:r>
    </w:p>
    <w:p w14:paraId="7D90B7CA" w14:textId="77777777" w:rsidR="00C7695C" w:rsidRPr="004C365B" w:rsidRDefault="00C7695C" w:rsidP="00C7695C">
      <w:pPr>
        <w:pBdr>
          <w:top w:val="single" w:sz="4" w:space="1" w:color="auto"/>
          <w:left w:val="single" w:sz="4" w:space="1" w:color="auto"/>
          <w:bottom w:val="single" w:sz="4" w:space="1" w:color="auto"/>
          <w:right w:val="single" w:sz="4" w:space="1" w:color="auto"/>
        </w:pBdr>
        <w:shd w:val="clear" w:color="auto" w:fill="C6D9F1" w:themeFill="text2" w:themeFillTint="33"/>
        <w:spacing w:after="120" w:line="276" w:lineRule="auto"/>
        <w:ind w:firstLine="709"/>
        <w:rPr>
          <w:color w:val="000000" w:themeColor="text1"/>
          <w:sz w:val="20"/>
          <w:szCs w:val="20"/>
          <w:lang w:val="hy-AM"/>
        </w:rPr>
      </w:pPr>
      <w:r w:rsidRPr="004C365B">
        <w:rPr>
          <w:color w:val="000000" w:themeColor="text1"/>
          <w:sz w:val="20"/>
          <w:szCs w:val="20"/>
          <w:lang w:val="hy-AM"/>
        </w:rPr>
        <w:t>ՀՀ դեպքում աջակցության փաթեթի մեծ մասը (2.3%-ից 1.4%-ը) նախատեսվում է</w:t>
      </w:r>
      <w:r w:rsidR="00595A2D" w:rsidRPr="0035033F">
        <w:rPr>
          <w:color w:val="000000" w:themeColor="text1"/>
          <w:sz w:val="20"/>
          <w:szCs w:val="20"/>
          <w:lang w:val="hy-AM"/>
        </w:rPr>
        <w:t xml:space="preserve"> ուղղել երկարաժամկետ տնտեսական ծրագրերի իրականացմանը՝ օգտագործելով</w:t>
      </w:r>
      <w:r w:rsidRPr="004C365B">
        <w:rPr>
          <w:color w:val="000000" w:themeColor="text1"/>
          <w:sz w:val="20"/>
          <w:szCs w:val="20"/>
          <w:lang w:val="hy-AM"/>
        </w:rPr>
        <w:t xml:space="preserve"> պետական վարկավորման</w:t>
      </w:r>
      <w:r w:rsidR="00595A2D" w:rsidRPr="0035033F">
        <w:rPr>
          <w:color w:val="000000" w:themeColor="text1"/>
          <w:sz w:val="20"/>
          <w:szCs w:val="20"/>
          <w:lang w:val="hy-AM"/>
        </w:rPr>
        <w:t xml:space="preserve"> գործիքը</w:t>
      </w:r>
      <w:r w:rsidRPr="004C365B">
        <w:rPr>
          <w:color w:val="000000" w:themeColor="text1"/>
          <w:sz w:val="20"/>
          <w:szCs w:val="20"/>
          <w:lang w:val="hy-AM"/>
        </w:rPr>
        <w:t xml:space="preserve"> (պակասուրդի գործառնությունների միջոցով): Ընդհանուր առմամբ, միջոցառումների քննարկման գործընթացը շարունակվում է, բայց արդեն ընթացքի մեջ են գտնվում կամ իրենց բովանդակությամբ պայմանավորված՝ ավարտվել են 21 միջոցառումներ: Դրանցից 9-ը հանդիսանում են տնտեսական</w:t>
      </w:r>
      <w:r w:rsidRPr="004C365B">
        <w:rPr>
          <w:color w:val="000000" w:themeColor="text1"/>
        </w:rPr>
        <w:footnoteReference w:id="9"/>
      </w:r>
      <w:r w:rsidRPr="004C365B">
        <w:rPr>
          <w:color w:val="000000" w:themeColor="text1"/>
          <w:sz w:val="20"/>
          <w:szCs w:val="20"/>
          <w:lang w:val="hy-AM"/>
        </w:rPr>
        <w:t xml:space="preserve"> աջակցության (վարկերի համաֆինանսավորում, վերաֆինանսավորում և տոկոսադրույքների մասամբ կամ ամբողջությամբ սուբսիդավորում, առանձին ոլորտներում օժանդակություն և դրամաշնորհների տրամադրում և այլն), իսկ 12-ը սոցիալական</w:t>
      </w:r>
      <w:r w:rsidRPr="004C365B">
        <w:rPr>
          <w:color w:val="000000" w:themeColor="text1"/>
        </w:rPr>
        <w:footnoteReference w:id="10"/>
      </w:r>
      <w:r w:rsidRPr="004C365B">
        <w:rPr>
          <w:color w:val="000000" w:themeColor="text1"/>
          <w:sz w:val="20"/>
          <w:szCs w:val="20"/>
          <w:lang w:val="hy-AM"/>
        </w:rPr>
        <w:t xml:space="preserve"> աջակցության (միանվագ աջակցություն բնակչությանն ըստ տարբեր սոցիալական հատկանիշների, աջակցություն կոմունալ վճարների, ուսման վճարների հարցում, օգնության տրամադրում տուժած ոլորտներում աշխատողներին և այլ) միջոցառումներ: </w:t>
      </w:r>
    </w:p>
    <w:p w14:paraId="2AFF0AB5" w14:textId="2FB10455" w:rsidR="00CB6CFF" w:rsidRPr="00D051A3" w:rsidRDefault="00CB6CFF" w:rsidP="00CB6CFF">
      <w:pPr>
        <w:pBdr>
          <w:top w:val="single" w:sz="4" w:space="1" w:color="auto"/>
          <w:left w:val="single" w:sz="4" w:space="1" w:color="auto"/>
          <w:bottom w:val="single" w:sz="4" w:space="1" w:color="auto"/>
          <w:right w:val="single" w:sz="4" w:space="1" w:color="auto"/>
        </w:pBdr>
        <w:shd w:val="clear" w:color="auto" w:fill="C6D9F1"/>
        <w:spacing w:after="120" w:line="276" w:lineRule="auto"/>
        <w:ind w:firstLine="709"/>
        <w:rPr>
          <w:b/>
          <w:bCs/>
          <w:color w:val="000000"/>
          <w:sz w:val="20"/>
          <w:szCs w:val="20"/>
          <w:lang w:val="hy-AM"/>
        </w:rPr>
      </w:pPr>
      <w:bookmarkStart w:id="221" w:name="_Toc45831964"/>
      <w:bookmarkStart w:id="222" w:name="_Toc45832180"/>
      <w:bookmarkStart w:id="223" w:name="_Toc45832449"/>
      <w:bookmarkStart w:id="224" w:name="_Toc45834102"/>
      <w:bookmarkStart w:id="225" w:name="_Toc45835172"/>
      <w:bookmarkStart w:id="226" w:name="_Toc45835353"/>
      <w:bookmarkStart w:id="227" w:name="_Toc45835637"/>
      <w:bookmarkStart w:id="228" w:name="_Toc45836361"/>
      <w:bookmarkStart w:id="229" w:name="_Toc45836840"/>
      <w:bookmarkStart w:id="230" w:name="_Toc45837348"/>
      <w:bookmarkStart w:id="231" w:name="_Toc45838525"/>
      <w:bookmarkEnd w:id="221"/>
      <w:bookmarkEnd w:id="222"/>
      <w:bookmarkEnd w:id="223"/>
      <w:bookmarkEnd w:id="224"/>
      <w:bookmarkEnd w:id="225"/>
      <w:bookmarkEnd w:id="226"/>
      <w:bookmarkEnd w:id="227"/>
      <w:bookmarkEnd w:id="228"/>
      <w:bookmarkEnd w:id="229"/>
      <w:bookmarkEnd w:id="230"/>
      <w:bookmarkEnd w:id="231"/>
      <w:r w:rsidRPr="00D051A3">
        <w:rPr>
          <w:b/>
          <w:bCs/>
          <w:color w:val="000000"/>
          <w:sz w:val="20"/>
          <w:szCs w:val="20"/>
          <w:lang w:val="hy-AM"/>
        </w:rPr>
        <w:t xml:space="preserve">Հարկային քաղաքականության տեսանկյունից </w:t>
      </w:r>
      <w:r>
        <w:rPr>
          <w:b/>
          <w:bCs/>
          <w:color w:val="000000"/>
          <w:sz w:val="20"/>
          <w:szCs w:val="20"/>
          <w:lang w:val="hy-AM"/>
        </w:rPr>
        <w:t>Կ</w:t>
      </w:r>
      <w:r w:rsidRPr="00D051A3">
        <w:rPr>
          <w:b/>
          <w:bCs/>
          <w:color w:val="000000"/>
          <w:sz w:val="20"/>
          <w:szCs w:val="20"/>
          <w:lang w:val="hy-AM"/>
        </w:rPr>
        <w:t>առավարության քայլեր</w:t>
      </w:r>
      <w:r>
        <w:rPr>
          <w:b/>
          <w:bCs/>
          <w:color w:val="000000"/>
          <w:sz w:val="20"/>
          <w:szCs w:val="20"/>
          <w:lang w:val="hy-AM"/>
        </w:rPr>
        <w:t>ն</w:t>
      </w:r>
      <w:r w:rsidRPr="00D051A3">
        <w:rPr>
          <w:b/>
          <w:bCs/>
          <w:color w:val="000000"/>
          <w:sz w:val="20"/>
          <w:szCs w:val="20"/>
          <w:lang w:val="hy-AM"/>
        </w:rPr>
        <w:t xml:space="preserve"> </w:t>
      </w:r>
      <w:r>
        <w:rPr>
          <w:b/>
          <w:bCs/>
          <w:color w:val="000000"/>
          <w:sz w:val="20"/>
          <w:szCs w:val="20"/>
          <w:lang w:val="hy-AM"/>
        </w:rPr>
        <w:t>ուղղված են եղել տնտեսական ճգնաժամի պայմաններում հարկ վճարողների իրացվելիության խնդիրների լուծմանը, տնտեսական ճգնաժամի պայմաններում հարկային օրենսդրությամբ սահմանված կարգավորումների գործարար միջավայրի վրա հնարավոր բացասական ազդեցության մեղմմանը և տնտեսության հետագա վերականգնման համար տնտեսական ներուժի ստեղծման համար հարկային կարգավորումների բերալավմանը։</w:t>
      </w:r>
      <w:r w:rsidRPr="00D051A3">
        <w:rPr>
          <w:b/>
          <w:bCs/>
          <w:color w:val="000000"/>
          <w:sz w:val="20"/>
          <w:szCs w:val="20"/>
          <w:lang w:val="hy-AM"/>
        </w:rPr>
        <w:t xml:space="preserve"> </w:t>
      </w:r>
    </w:p>
    <w:p w14:paraId="154A97F6" w14:textId="5804E3A8" w:rsidR="00CB6CFF" w:rsidRDefault="00CB6CFF" w:rsidP="00CB6CFF">
      <w:pPr>
        <w:pBdr>
          <w:top w:val="single" w:sz="4" w:space="1" w:color="auto"/>
          <w:left w:val="single" w:sz="4" w:space="1" w:color="auto"/>
          <w:bottom w:val="single" w:sz="4" w:space="1" w:color="auto"/>
          <w:right w:val="single" w:sz="4" w:space="1" w:color="auto"/>
        </w:pBdr>
        <w:shd w:val="clear" w:color="auto" w:fill="C6D9F1"/>
        <w:spacing w:after="120" w:line="276" w:lineRule="auto"/>
        <w:ind w:firstLine="709"/>
        <w:rPr>
          <w:color w:val="000000"/>
          <w:sz w:val="20"/>
          <w:szCs w:val="20"/>
          <w:lang w:val="hy-AM"/>
        </w:rPr>
      </w:pPr>
      <w:r>
        <w:rPr>
          <w:color w:val="000000"/>
          <w:sz w:val="20"/>
          <w:szCs w:val="20"/>
          <w:lang w:val="hy-AM"/>
        </w:rPr>
        <w:t>Հ</w:t>
      </w:r>
      <w:r w:rsidRPr="00D051A3">
        <w:rPr>
          <w:color w:val="000000"/>
          <w:sz w:val="20"/>
          <w:szCs w:val="20"/>
          <w:lang w:val="hy-AM"/>
        </w:rPr>
        <w:t>ամավարակի հետևանքով առաջացած տնտեսական ճգնաժամ</w:t>
      </w:r>
      <w:r>
        <w:rPr>
          <w:color w:val="000000"/>
          <w:sz w:val="20"/>
          <w:szCs w:val="20"/>
          <w:lang w:val="hy-AM"/>
        </w:rPr>
        <w:t xml:space="preserve">ն ընդհանուր իրացվելիության տեսանկյունից բավական լուրջ խնդիրներ էր ստեղծել տնտեսավարող սուբյեկտների համար։ Ստեղծված </w:t>
      </w:r>
      <w:r>
        <w:rPr>
          <w:color w:val="000000"/>
          <w:sz w:val="20"/>
          <w:szCs w:val="20"/>
          <w:lang w:val="hy-AM"/>
        </w:rPr>
        <w:lastRenderedPageBreak/>
        <w:t xml:space="preserve">իրավիճակում իր բացասական ազդեցությունն էր թողնում նաև շահութահարկի կանխավճարների համակարգը, որը բավարար չափով ճկուն չլինելու պատճառով ընթացիկ տարվա ընթացքում տնտեսավարող սուբյեկտների համար բավական լուրջ խնդիրներ էր ստեղծել։ </w:t>
      </w:r>
    </w:p>
    <w:p w14:paraId="69B47E29" w14:textId="77777777" w:rsidR="00CB6CFF" w:rsidRPr="00241E62" w:rsidRDefault="00CB6CFF" w:rsidP="00CB6CFF">
      <w:pPr>
        <w:pBdr>
          <w:top w:val="single" w:sz="4" w:space="1" w:color="auto"/>
          <w:left w:val="single" w:sz="4" w:space="1" w:color="auto"/>
          <w:bottom w:val="single" w:sz="4" w:space="1" w:color="auto"/>
          <w:right w:val="single" w:sz="4" w:space="1" w:color="auto"/>
        </w:pBdr>
        <w:shd w:val="clear" w:color="auto" w:fill="C6D9F1"/>
        <w:spacing w:after="120" w:line="276" w:lineRule="auto"/>
        <w:ind w:firstLine="709"/>
        <w:rPr>
          <w:color w:val="000000"/>
          <w:sz w:val="20"/>
          <w:szCs w:val="20"/>
          <w:lang w:val="hy-AM"/>
        </w:rPr>
      </w:pPr>
      <w:r w:rsidRPr="00241E62">
        <w:rPr>
          <w:color w:val="000000"/>
          <w:sz w:val="20"/>
          <w:szCs w:val="20"/>
          <w:lang w:val="hy-AM"/>
        </w:rPr>
        <w:t>Մաս</w:t>
      </w:r>
      <w:r w:rsidRPr="00241E62">
        <w:rPr>
          <w:color w:val="000000"/>
          <w:sz w:val="20"/>
          <w:szCs w:val="20"/>
          <w:lang w:val="hy-AM"/>
        </w:rPr>
        <w:softHyphen/>
      </w:r>
      <w:r w:rsidRPr="008B3418">
        <w:rPr>
          <w:color w:val="000000"/>
          <w:sz w:val="20"/>
          <w:szCs w:val="20"/>
          <w:lang w:val="hy-AM"/>
        </w:rPr>
        <w:softHyphen/>
        <w:t>նա</w:t>
      </w:r>
      <w:r w:rsidRPr="008B3418">
        <w:rPr>
          <w:color w:val="000000"/>
          <w:sz w:val="20"/>
          <w:szCs w:val="20"/>
          <w:lang w:val="hy-AM"/>
        </w:rPr>
        <w:softHyphen/>
        <w:t>վո</w:t>
      </w:r>
      <w:r w:rsidRPr="008B3418">
        <w:rPr>
          <w:color w:val="000000"/>
          <w:sz w:val="20"/>
          <w:szCs w:val="20"/>
          <w:lang w:val="hy-AM"/>
        </w:rPr>
        <w:softHyphen/>
        <w:t>րա</w:t>
      </w:r>
      <w:r w:rsidRPr="008B3418">
        <w:rPr>
          <w:color w:val="000000"/>
          <w:sz w:val="20"/>
          <w:szCs w:val="20"/>
          <w:lang w:val="hy-AM"/>
        </w:rPr>
        <w:softHyphen/>
        <w:t>պես, տնտեսավարող սուբյեկտներից շատերը, մինչև ընթացիկ տարվա մարտի 20-ը չկարողա</w:t>
      </w:r>
      <w:r w:rsidRPr="008B3418">
        <w:rPr>
          <w:rFonts w:eastAsia="Times New Roman"/>
          <w:color w:val="000000"/>
          <w:sz w:val="20"/>
          <w:szCs w:val="20"/>
          <w:lang w:val="hy-AM"/>
        </w:rPr>
        <w:softHyphen/>
      </w:r>
      <w:r w:rsidRPr="008B3418">
        <w:rPr>
          <w:color w:val="000000"/>
          <w:sz w:val="20"/>
          <w:szCs w:val="20"/>
          <w:lang w:val="hy-AM"/>
        </w:rPr>
        <w:t xml:space="preserve">նալով կանխատեսել </w:t>
      </w:r>
      <w:r>
        <w:rPr>
          <w:color w:val="000000"/>
          <w:sz w:val="20"/>
          <w:szCs w:val="20"/>
          <w:lang w:val="hy-AM"/>
        </w:rPr>
        <w:t xml:space="preserve">իրացման շրջանառության ծավալների անկումն ու </w:t>
      </w:r>
      <w:r w:rsidRPr="008B3418">
        <w:rPr>
          <w:color w:val="000000"/>
          <w:sz w:val="20"/>
          <w:szCs w:val="20"/>
          <w:lang w:val="hy-AM"/>
        </w:rPr>
        <w:t>հնարավոր տնտեսական դժվարությունները, հարկային մար</w:t>
      </w:r>
      <w:r w:rsidRPr="00241E62">
        <w:rPr>
          <w:rFonts w:eastAsia="Times New Roman"/>
          <w:color w:val="000000"/>
          <w:sz w:val="20"/>
          <w:szCs w:val="20"/>
          <w:lang w:val="hy-AM"/>
        </w:rPr>
        <w:softHyphen/>
      </w:r>
      <w:r w:rsidRPr="00241E62">
        <w:rPr>
          <w:color w:val="000000"/>
          <w:sz w:val="20"/>
          <w:szCs w:val="20"/>
          <w:lang w:val="hy-AM"/>
        </w:rPr>
        <w:t>մին չ</w:t>
      </w:r>
      <w:r>
        <w:rPr>
          <w:color w:val="000000"/>
          <w:sz w:val="20"/>
          <w:szCs w:val="20"/>
          <w:lang w:val="hy-AM"/>
        </w:rPr>
        <w:t>էին</w:t>
      </w:r>
      <w:r w:rsidRPr="00241E62">
        <w:rPr>
          <w:color w:val="000000"/>
          <w:sz w:val="20"/>
          <w:szCs w:val="20"/>
          <w:lang w:val="hy-AM"/>
        </w:rPr>
        <w:t xml:space="preserve"> ներ</w:t>
      </w:r>
      <w:r w:rsidRPr="00241E62">
        <w:rPr>
          <w:color w:val="000000"/>
          <w:sz w:val="20"/>
          <w:szCs w:val="20"/>
          <w:lang w:val="hy-AM"/>
        </w:rPr>
        <w:softHyphen/>
        <w:t>կա</w:t>
      </w:r>
      <w:r w:rsidRPr="00241E62">
        <w:rPr>
          <w:color w:val="000000"/>
          <w:sz w:val="20"/>
          <w:szCs w:val="20"/>
          <w:lang w:val="hy-AM"/>
        </w:rPr>
        <w:softHyphen/>
        <w:t>յացրել շահութահարկի կանխավճարներն այլընտրանքային եղանակով կատա</w:t>
      </w:r>
      <w:r w:rsidRPr="00241E62">
        <w:rPr>
          <w:color w:val="000000"/>
          <w:sz w:val="20"/>
          <w:szCs w:val="20"/>
          <w:lang w:val="hy-AM"/>
        </w:rPr>
        <w:softHyphen/>
        <w:t>րելու հայտա</w:t>
      </w:r>
      <w:r w:rsidRPr="00241E62">
        <w:rPr>
          <w:color w:val="000000"/>
          <w:sz w:val="20"/>
          <w:szCs w:val="20"/>
          <w:lang w:val="hy-AM"/>
        </w:rPr>
        <w:softHyphen/>
        <w:t>րա</w:t>
      </w:r>
      <w:r w:rsidRPr="00241E62">
        <w:rPr>
          <w:color w:val="000000"/>
          <w:sz w:val="20"/>
          <w:szCs w:val="20"/>
          <w:lang w:val="hy-AM"/>
        </w:rPr>
        <w:softHyphen/>
        <w:t xml:space="preserve">րություններ, ինչի արդյունքում ստիպված </w:t>
      </w:r>
      <w:r>
        <w:rPr>
          <w:color w:val="000000"/>
          <w:sz w:val="20"/>
          <w:szCs w:val="20"/>
          <w:lang w:val="hy-AM"/>
        </w:rPr>
        <w:t>էին</w:t>
      </w:r>
      <w:r w:rsidRPr="00241E62">
        <w:rPr>
          <w:color w:val="000000"/>
          <w:sz w:val="20"/>
          <w:szCs w:val="20"/>
          <w:lang w:val="hy-AM"/>
        </w:rPr>
        <w:t xml:space="preserve"> ընթացիկ տարվա ընթաց</w:t>
      </w:r>
      <w:r w:rsidRPr="00241E62">
        <w:rPr>
          <w:color w:val="000000"/>
          <w:sz w:val="20"/>
          <w:szCs w:val="20"/>
          <w:lang w:val="hy-AM"/>
        </w:rPr>
        <w:softHyphen/>
        <w:t>քում յուրա</w:t>
      </w:r>
      <w:r w:rsidRPr="00241E62">
        <w:rPr>
          <w:color w:val="000000"/>
          <w:sz w:val="20"/>
          <w:szCs w:val="20"/>
          <w:lang w:val="hy-AM"/>
        </w:rPr>
        <w:softHyphen/>
        <w:t>քանչյուր եռամսյակի շահութահարկի կանխավճարները կատարել նախորդ տարվա շահու</w:t>
      </w:r>
      <w:r w:rsidRPr="00241E62">
        <w:rPr>
          <w:rFonts w:eastAsia="Times New Roman"/>
          <w:color w:val="000000"/>
          <w:sz w:val="20"/>
          <w:szCs w:val="20"/>
          <w:lang w:val="hy-AM"/>
        </w:rPr>
        <w:softHyphen/>
      </w:r>
      <w:r w:rsidRPr="00241E62">
        <w:rPr>
          <w:color w:val="000000"/>
          <w:sz w:val="20"/>
          <w:szCs w:val="20"/>
          <w:lang w:val="hy-AM"/>
        </w:rPr>
        <w:t>թա</w:t>
      </w:r>
      <w:r w:rsidRPr="00241E62">
        <w:rPr>
          <w:color w:val="000000"/>
          <w:sz w:val="20"/>
          <w:szCs w:val="20"/>
          <w:lang w:val="hy-AM"/>
        </w:rPr>
        <w:softHyphen/>
        <w:t>հարկի գումարի 20 տոկոսի չափով։</w:t>
      </w:r>
    </w:p>
    <w:p w14:paraId="4C58DF85" w14:textId="77777777" w:rsidR="00CB6CFF" w:rsidRPr="00241E62" w:rsidRDefault="00CB6CFF" w:rsidP="00CB6CFF">
      <w:pPr>
        <w:pBdr>
          <w:top w:val="single" w:sz="4" w:space="1" w:color="auto"/>
          <w:left w:val="single" w:sz="4" w:space="1" w:color="auto"/>
          <w:bottom w:val="single" w:sz="4" w:space="1" w:color="auto"/>
          <w:right w:val="single" w:sz="4" w:space="1" w:color="auto"/>
        </w:pBdr>
        <w:shd w:val="clear" w:color="auto" w:fill="C6D9F1"/>
        <w:spacing w:before="0" w:after="120" w:line="276" w:lineRule="auto"/>
        <w:ind w:firstLine="709"/>
        <w:rPr>
          <w:color w:val="000000"/>
          <w:sz w:val="20"/>
          <w:szCs w:val="20"/>
          <w:lang w:val="hy-AM"/>
        </w:rPr>
      </w:pPr>
      <w:r w:rsidRPr="00241E62">
        <w:rPr>
          <w:color w:val="000000"/>
          <w:sz w:val="20"/>
          <w:szCs w:val="20"/>
          <w:lang w:val="hy-AM"/>
        </w:rPr>
        <w:t>Միաժամանակ, պետք է նկատի ունենալ, որ ցան</w:t>
      </w:r>
      <w:r w:rsidRPr="00241E62">
        <w:rPr>
          <w:color w:val="000000"/>
          <w:sz w:val="20"/>
          <w:szCs w:val="20"/>
          <w:lang w:val="hy-AM"/>
        </w:rPr>
        <w:softHyphen/>
        <w:t>կացած տնտեսություն զարգանում է պարբերա</w:t>
      </w:r>
      <w:r w:rsidRPr="00241E62">
        <w:rPr>
          <w:color w:val="000000"/>
          <w:sz w:val="20"/>
          <w:szCs w:val="20"/>
          <w:lang w:val="hy-AM"/>
        </w:rPr>
        <w:softHyphen/>
        <w:t>շրջաններով, ինչը նշանակում է, որ զար</w:t>
      </w:r>
      <w:r w:rsidRPr="00241E62">
        <w:rPr>
          <w:color w:val="000000"/>
          <w:sz w:val="20"/>
          <w:szCs w:val="20"/>
          <w:lang w:val="hy-AM"/>
        </w:rPr>
        <w:softHyphen/>
        <w:t>գաց</w:t>
      </w:r>
      <w:r w:rsidRPr="00241E62">
        <w:rPr>
          <w:color w:val="000000"/>
          <w:sz w:val="20"/>
          <w:szCs w:val="20"/>
          <w:lang w:val="hy-AM"/>
        </w:rPr>
        <w:softHyphen/>
        <w:t>ման այս կամ այն փուլում տնտեսական և այլ շոկերը անխուսափելի են ինչպես ամբողջ տնտե</w:t>
      </w:r>
      <w:r w:rsidRPr="00241E62">
        <w:rPr>
          <w:color w:val="000000"/>
          <w:sz w:val="20"/>
          <w:szCs w:val="20"/>
          <w:lang w:val="hy-AM"/>
        </w:rPr>
        <w:softHyphen/>
        <w:t>սու</w:t>
      </w:r>
      <w:r w:rsidRPr="00241E62">
        <w:rPr>
          <w:color w:val="000000"/>
          <w:sz w:val="20"/>
          <w:szCs w:val="20"/>
          <w:lang w:val="hy-AM"/>
        </w:rPr>
        <w:softHyphen/>
        <w:t>թյան համար, այնպես էլ առանձին ճյու</w:t>
      </w:r>
      <w:r w:rsidRPr="00241E62">
        <w:rPr>
          <w:color w:val="000000"/>
          <w:sz w:val="20"/>
          <w:szCs w:val="20"/>
          <w:lang w:val="hy-AM"/>
        </w:rPr>
        <w:softHyphen/>
        <w:t>ղե</w:t>
      </w:r>
      <w:r w:rsidRPr="00241E62">
        <w:rPr>
          <w:color w:val="000000"/>
          <w:sz w:val="20"/>
          <w:szCs w:val="20"/>
          <w:lang w:val="hy-AM"/>
        </w:rPr>
        <w:softHyphen/>
        <w:t>րում և նույնիսկ առանձին տնտեսավարող սուբյեկտների մոտ։ Այդ շոկերը հանգեցնում են տնտեսվարող սուբ</w:t>
      </w:r>
      <w:r w:rsidRPr="00241E62">
        <w:rPr>
          <w:color w:val="000000"/>
          <w:sz w:val="20"/>
          <w:szCs w:val="20"/>
          <w:lang w:val="hy-AM"/>
        </w:rPr>
        <w:softHyphen/>
        <w:t>յեկտների (այս դեպքում՝ շահութահարկ վճա</w:t>
      </w:r>
      <w:r w:rsidRPr="00241E62">
        <w:rPr>
          <w:color w:val="000000"/>
          <w:sz w:val="20"/>
          <w:szCs w:val="20"/>
          <w:lang w:val="hy-AM"/>
        </w:rPr>
        <w:softHyphen/>
        <w:t>րող</w:t>
      </w:r>
      <w:r w:rsidRPr="00241E62">
        <w:rPr>
          <w:color w:val="000000"/>
          <w:sz w:val="20"/>
          <w:szCs w:val="20"/>
          <w:lang w:val="hy-AM"/>
        </w:rPr>
        <w:softHyphen/>
        <w:t>ների) իրացվելիության տատա</w:t>
      </w:r>
      <w:r w:rsidRPr="00241E62">
        <w:rPr>
          <w:color w:val="000000"/>
          <w:sz w:val="20"/>
          <w:szCs w:val="20"/>
          <w:lang w:val="hy-AM"/>
        </w:rPr>
        <w:softHyphen/>
        <w:t>նումների և կանխիկ հոսքերի կառավարման խնդիրների։ Ընդ որում, նշված շոկերը և մաս</w:t>
      </w:r>
      <w:r w:rsidRPr="00241E62">
        <w:rPr>
          <w:color w:val="000000"/>
          <w:sz w:val="20"/>
          <w:szCs w:val="20"/>
          <w:lang w:val="hy-AM"/>
        </w:rPr>
        <w:softHyphen/>
        <w:t>նավորապես՝ խոշոր շոկերի (անկումներ և ճգնաժամեր) տեղի ունե</w:t>
      </w:r>
      <w:r w:rsidRPr="00241E62">
        <w:rPr>
          <w:color w:val="000000"/>
          <w:sz w:val="20"/>
          <w:szCs w:val="20"/>
          <w:lang w:val="hy-AM"/>
        </w:rPr>
        <w:softHyphen/>
        <w:t>նալու ժամանակա</w:t>
      </w:r>
      <w:r w:rsidRPr="00241E62">
        <w:rPr>
          <w:color w:val="000000"/>
          <w:sz w:val="20"/>
          <w:szCs w:val="20"/>
          <w:lang w:val="hy-AM"/>
        </w:rPr>
        <w:softHyphen/>
        <w:t>հատ</w:t>
      </w:r>
      <w:r w:rsidRPr="00241E62">
        <w:rPr>
          <w:color w:val="000000"/>
          <w:sz w:val="20"/>
          <w:szCs w:val="20"/>
          <w:lang w:val="hy-AM"/>
        </w:rPr>
        <w:softHyphen/>
        <w:t>վածը հիմնականում անկանխատեսելի է, այդ իսկ պատճառով շատ տնտեսա</w:t>
      </w:r>
      <w:r w:rsidRPr="00241E62">
        <w:rPr>
          <w:color w:val="000000"/>
          <w:sz w:val="20"/>
          <w:szCs w:val="20"/>
          <w:lang w:val="hy-AM"/>
        </w:rPr>
        <w:softHyphen/>
        <w:t>վարող սուբ</w:t>
      </w:r>
      <w:r w:rsidRPr="00241E62">
        <w:rPr>
          <w:color w:val="000000"/>
          <w:sz w:val="20"/>
          <w:szCs w:val="20"/>
          <w:lang w:val="hy-AM"/>
        </w:rPr>
        <w:softHyphen/>
        <w:t>յեկտ</w:t>
      </w:r>
      <w:r w:rsidRPr="00241E62">
        <w:rPr>
          <w:color w:val="000000"/>
          <w:sz w:val="20"/>
          <w:szCs w:val="20"/>
          <w:lang w:val="hy-AM"/>
        </w:rPr>
        <w:softHyphen/>
        <w:t>ներ դժվարությամբ կարող են կանխատեսել, թե շոկերը տվյալ տարվա որ եռամսյակում են տեղի ունենալու։ Հետևա</w:t>
      </w:r>
      <w:r w:rsidRPr="00241E62">
        <w:rPr>
          <w:color w:val="000000"/>
          <w:sz w:val="20"/>
          <w:szCs w:val="20"/>
          <w:lang w:val="hy-AM"/>
        </w:rPr>
        <w:softHyphen/>
        <w:t>բար, այս պայմաններում կարևոր է շահութահարկի կանխավճարների ճկուն համա</w:t>
      </w:r>
      <w:r w:rsidRPr="00241E62">
        <w:rPr>
          <w:color w:val="000000"/>
          <w:sz w:val="20"/>
          <w:szCs w:val="20"/>
          <w:lang w:val="hy-AM"/>
        </w:rPr>
        <w:softHyphen/>
        <w:t>կարգի առկայությունը, որը հնարավորություն կտա տնտեսա</w:t>
      </w:r>
      <w:r w:rsidRPr="00241E62">
        <w:rPr>
          <w:color w:val="000000"/>
          <w:sz w:val="20"/>
          <w:szCs w:val="20"/>
          <w:lang w:val="hy-AM"/>
        </w:rPr>
        <w:softHyphen/>
        <w:t>վարող սուբյեկտներին ճկուն կերպով արձագանքել այդ շոկերին և իրացվելիության տատա</w:t>
      </w:r>
      <w:r w:rsidRPr="00241E62">
        <w:rPr>
          <w:color w:val="000000"/>
          <w:sz w:val="20"/>
          <w:szCs w:val="20"/>
          <w:lang w:val="hy-AM"/>
        </w:rPr>
        <w:softHyphen/>
        <w:t>նում</w:t>
      </w:r>
      <w:r w:rsidRPr="00241E62">
        <w:rPr>
          <w:color w:val="000000"/>
          <w:sz w:val="20"/>
          <w:szCs w:val="20"/>
          <w:lang w:val="hy-AM"/>
        </w:rPr>
        <w:softHyphen/>
        <w:t>ներին՝ ապահովելու համար այդ շոկերի սահուն հաղթահարումը և վերադարձը դեպի բնականոն զարգացման։</w:t>
      </w:r>
    </w:p>
    <w:p w14:paraId="0883D3C7" w14:textId="77777777" w:rsidR="00CB6CFF" w:rsidRDefault="00CB6CFF" w:rsidP="00CB6CFF">
      <w:pPr>
        <w:pBdr>
          <w:top w:val="single" w:sz="4" w:space="1" w:color="auto"/>
          <w:left w:val="single" w:sz="4" w:space="1" w:color="auto"/>
          <w:bottom w:val="single" w:sz="4" w:space="1" w:color="auto"/>
          <w:right w:val="single" w:sz="4" w:space="1" w:color="auto"/>
        </w:pBdr>
        <w:shd w:val="clear" w:color="auto" w:fill="C6D9F1"/>
        <w:spacing w:after="120" w:line="276" w:lineRule="auto"/>
        <w:ind w:firstLine="709"/>
        <w:rPr>
          <w:rFonts w:eastAsia="Times New Roman" w:cs="Times New Roman"/>
          <w:color w:val="000000"/>
          <w:sz w:val="20"/>
          <w:szCs w:val="20"/>
          <w:lang w:val="hy-AM"/>
        </w:rPr>
      </w:pPr>
      <w:r w:rsidRPr="00241E62">
        <w:rPr>
          <w:color w:val="000000"/>
          <w:sz w:val="20"/>
          <w:szCs w:val="20"/>
          <w:lang w:val="hy-AM"/>
        </w:rPr>
        <w:t>Շահութահարկի կանխավճարների ճկուն համակարգի առկայությունը կարևոր է նաև մակրո մակարդակում հարկաբյուջետային քաղաքականության արդյունավետ իրականացման տեսանկյունից։ Մասնավորապես, դրա կիրառումը հնարավորություն կտա ապագայում ավելի արդյու</w:t>
      </w:r>
      <w:r w:rsidRPr="00241E62">
        <w:rPr>
          <w:rFonts w:eastAsia="Times New Roman" w:cs="Times New Roman"/>
          <w:color w:val="000000"/>
          <w:sz w:val="20"/>
          <w:szCs w:val="20"/>
          <w:lang w:val="hy-AM"/>
        </w:rPr>
        <w:softHyphen/>
      </w:r>
      <w:r w:rsidRPr="00241E62">
        <w:rPr>
          <w:color w:val="000000"/>
          <w:sz w:val="20"/>
          <w:szCs w:val="20"/>
          <w:lang w:val="hy-AM"/>
        </w:rPr>
        <w:t>նավետ կերպով մեղմել տնտեսական տատանումները՝ ավտոմատ կերպով արձագան</w:t>
      </w:r>
      <w:r w:rsidRPr="00241E62">
        <w:rPr>
          <w:rFonts w:eastAsia="Times New Roman" w:cs="Times New Roman"/>
          <w:color w:val="000000"/>
          <w:sz w:val="20"/>
          <w:szCs w:val="20"/>
          <w:lang w:val="hy-AM"/>
        </w:rPr>
        <w:softHyphen/>
      </w:r>
      <w:r w:rsidRPr="00241E62">
        <w:rPr>
          <w:color w:val="000000"/>
          <w:sz w:val="20"/>
          <w:szCs w:val="20"/>
          <w:lang w:val="hy-AM"/>
        </w:rPr>
        <w:t>քե</w:t>
      </w:r>
      <w:r w:rsidRPr="00241E62">
        <w:rPr>
          <w:color w:val="000000"/>
          <w:sz w:val="20"/>
          <w:szCs w:val="20"/>
          <w:lang w:val="hy-AM"/>
        </w:rPr>
        <w:softHyphen/>
        <w:t>լով շոկերին և դրանց հետևանքով առաջացող իրացվելիության խնդիրներին։</w:t>
      </w:r>
      <w:r>
        <w:rPr>
          <w:color w:val="000000"/>
          <w:sz w:val="20"/>
          <w:szCs w:val="20"/>
          <w:lang w:val="hy-AM"/>
        </w:rPr>
        <w:t xml:space="preserve">  </w:t>
      </w:r>
      <w:r w:rsidRPr="00D051A3">
        <w:rPr>
          <w:color w:val="000000"/>
          <w:sz w:val="20"/>
          <w:szCs w:val="20"/>
          <w:lang w:val="hy-AM"/>
        </w:rPr>
        <w:t xml:space="preserve"> </w:t>
      </w:r>
    </w:p>
    <w:p w14:paraId="44602055" w14:textId="77777777" w:rsidR="00CB6CFF" w:rsidRPr="006429CC" w:rsidRDefault="00CB6CFF" w:rsidP="00CB6CFF">
      <w:pPr>
        <w:pBdr>
          <w:top w:val="single" w:sz="4" w:space="1" w:color="auto"/>
          <w:left w:val="single" w:sz="4" w:space="1" w:color="auto"/>
          <w:bottom w:val="single" w:sz="4" w:space="1" w:color="auto"/>
          <w:right w:val="single" w:sz="4" w:space="1" w:color="auto"/>
        </w:pBdr>
        <w:shd w:val="clear" w:color="auto" w:fill="C6D9F1"/>
        <w:spacing w:before="0" w:after="120" w:line="276" w:lineRule="auto"/>
        <w:ind w:firstLine="709"/>
        <w:rPr>
          <w:color w:val="000000"/>
          <w:sz w:val="20"/>
          <w:szCs w:val="20"/>
          <w:lang w:val="hy-AM"/>
        </w:rPr>
      </w:pPr>
      <w:r w:rsidRPr="006429CC">
        <w:rPr>
          <w:color w:val="000000"/>
          <w:sz w:val="20"/>
          <w:szCs w:val="20"/>
          <w:lang w:val="hy-AM"/>
        </w:rPr>
        <w:t>Հաշվի առնելով վերոգրյալը՝ Կառավարության նախաձեռնությամբ վերանայվել է շահութահարկի կանխավճարների համակարգը և սահմանվել</w:t>
      </w:r>
      <w:r w:rsidRPr="00241E62">
        <w:rPr>
          <w:color w:val="000000"/>
          <w:sz w:val="20"/>
          <w:szCs w:val="20"/>
          <w:lang w:val="hy-AM"/>
        </w:rPr>
        <w:t>, որ՝</w:t>
      </w:r>
      <w:r w:rsidRPr="006429CC">
        <w:rPr>
          <w:color w:val="000000"/>
          <w:sz w:val="20"/>
          <w:szCs w:val="20"/>
          <w:lang w:val="hy-AM"/>
        </w:rPr>
        <w:t xml:space="preserve"> </w:t>
      </w:r>
    </w:p>
    <w:p w14:paraId="36C528B5" w14:textId="77777777" w:rsidR="00CB6CFF" w:rsidRPr="006429CC" w:rsidRDefault="00CB6CFF" w:rsidP="00CB6CFF">
      <w:pPr>
        <w:pBdr>
          <w:top w:val="single" w:sz="4" w:space="1" w:color="auto"/>
          <w:left w:val="single" w:sz="4" w:space="1" w:color="auto"/>
          <w:bottom w:val="single" w:sz="4" w:space="1" w:color="auto"/>
          <w:right w:val="single" w:sz="4" w:space="1" w:color="auto"/>
        </w:pBdr>
        <w:shd w:val="clear" w:color="auto" w:fill="C6D9F1"/>
        <w:spacing w:before="0" w:after="120" w:line="276" w:lineRule="auto"/>
        <w:ind w:firstLine="709"/>
        <w:rPr>
          <w:color w:val="000000"/>
          <w:sz w:val="20"/>
          <w:szCs w:val="20"/>
          <w:lang w:val="hy-AM"/>
        </w:rPr>
      </w:pPr>
      <w:r w:rsidRPr="00241E62">
        <w:rPr>
          <w:color w:val="000000"/>
          <w:sz w:val="20"/>
          <w:szCs w:val="20"/>
          <w:lang w:val="hy-AM"/>
        </w:rPr>
        <w:t>ա</w:t>
      </w:r>
      <w:r w:rsidRPr="00CB6CFF">
        <w:rPr>
          <w:rFonts w:ascii="Cambria Math" w:hAnsi="Cambria Math" w:cs="Cambria Math"/>
          <w:color w:val="000000"/>
          <w:sz w:val="20"/>
          <w:szCs w:val="20"/>
          <w:lang w:val="hy-AM"/>
        </w:rPr>
        <w:t>․</w:t>
      </w:r>
      <w:r w:rsidRPr="00CB6CFF">
        <w:rPr>
          <w:color w:val="000000"/>
          <w:sz w:val="20"/>
          <w:szCs w:val="20"/>
          <w:lang w:val="hy-AM"/>
        </w:rPr>
        <w:t xml:space="preserve"> </w:t>
      </w:r>
      <w:r>
        <w:rPr>
          <w:color w:val="000000"/>
          <w:sz w:val="20"/>
          <w:szCs w:val="20"/>
          <w:lang w:val="hy-AM"/>
        </w:rPr>
        <w:t>տ</w:t>
      </w:r>
      <w:r w:rsidRPr="006429CC">
        <w:rPr>
          <w:color w:val="000000"/>
          <w:sz w:val="20"/>
          <w:szCs w:val="20"/>
          <w:lang w:val="hy-AM"/>
        </w:rPr>
        <w:t>նտեսավարող սուբյեկտները պարտավոր են ընթացիկ հարկային տարվա յուրաքանչյուր եռամսյակի համար՝ մինչև տվյալ եռամսյակի վերջին ամսվա 20-ը ներառյալ, կատարել շահութահարկի կան</w:t>
      </w:r>
      <w:r w:rsidRPr="006429CC">
        <w:rPr>
          <w:color w:val="000000"/>
          <w:sz w:val="20"/>
          <w:szCs w:val="20"/>
          <w:lang w:val="hy-AM"/>
        </w:rPr>
        <w:softHyphen/>
        <w:t>խա</w:t>
      </w:r>
      <w:r w:rsidRPr="006429CC">
        <w:rPr>
          <w:color w:val="000000"/>
          <w:sz w:val="20"/>
          <w:szCs w:val="20"/>
          <w:lang w:val="hy-AM"/>
        </w:rPr>
        <w:softHyphen/>
        <w:t>վճար</w:t>
      </w:r>
      <w:r w:rsidRPr="006429CC">
        <w:rPr>
          <w:color w:val="000000"/>
          <w:sz w:val="20"/>
          <w:szCs w:val="20"/>
          <w:lang w:val="hy-AM"/>
        </w:rPr>
        <w:softHyphen/>
        <w:t>ներ նախորդ հար</w:t>
      </w:r>
      <w:r w:rsidRPr="006429CC">
        <w:rPr>
          <w:color w:val="000000"/>
          <w:sz w:val="20"/>
          <w:szCs w:val="20"/>
          <w:lang w:val="hy-AM"/>
        </w:rPr>
        <w:softHyphen/>
        <w:t>կա</w:t>
      </w:r>
      <w:r w:rsidRPr="006429CC">
        <w:rPr>
          <w:color w:val="000000"/>
          <w:sz w:val="20"/>
          <w:szCs w:val="20"/>
          <w:lang w:val="hy-AM"/>
        </w:rPr>
        <w:softHyphen/>
        <w:t>յին տարվա շահութահարկի գումարի 20 տոկոսով հաշվարկվող գումարի և նախորդ եռամ</w:t>
      </w:r>
      <w:r w:rsidRPr="006429CC">
        <w:rPr>
          <w:color w:val="000000"/>
          <w:sz w:val="20"/>
          <w:szCs w:val="20"/>
          <w:lang w:val="hy-AM"/>
        </w:rPr>
        <w:softHyphen/>
        <w:t>սյակի ընթացքում ստացվող եկամուտների երկու տոկոսով հաշվարկ</w:t>
      </w:r>
      <w:r w:rsidRPr="006429CC">
        <w:rPr>
          <w:color w:val="000000"/>
          <w:sz w:val="20"/>
          <w:szCs w:val="20"/>
          <w:lang w:val="hy-AM"/>
        </w:rPr>
        <w:softHyphen/>
        <w:t>վող գումարի նվազագույնի չափով</w:t>
      </w:r>
      <w:r>
        <w:rPr>
          <w:color w:val="000000"/>
          <w:sz w:val="20"/>
          <w:szCs w:val="20"/>
          <w:lang w:val="hy-AM"/>
        </w:rPr>
        <w:t xml:space="preserve">՝ </w:t>
      </w:r>
      <w:r w:rsidRPr="00241E62">
        <w:rPr>
          <w:color w:val="000000"/>
          <w:sz w:val="20"/>
          <w:szCs w:val="20"/>
          <w:lang w:val="hy-AM"/>
        </w:rPr>
        <w:t>զուգա</w:t>
      </w:r>
      <w:r w:rsidRPr="00241E62">
        <w:rPr>
          <w:color w:val="000000"/>
          <w:sz w:val="20"/>
          <w:szCs w:val="20"/>
          <w:lang w:val="hy-AM"/>
        </w:rPr>
        <w:softHyphen/>
        <w:t>հեռա</w:t>
      </w:r>
      <w:r w:rsidRPr="00241E62">
        <w:rPr>
          <w:color w:val="000000"/>
          <w:sz w:val="20"/>
          <w:szCs w:val="20"/>
          <w:lang w:val="hy-AM"/>
        </w:rPr>
        <w:softHyphen/>
        <w:t>բ</w:t>
      </w:r>
      <w:r w:rsidRPr="00241E62">
        <w:rPr>
          <w:color w:val="000000"/>
          <w:sz w:val="20"/>
          <w:szCs w:val="20"/>
          <w:lang w:val="hy-AM"/>
        </w:rPr>
        <w:softHyphen/>
        <w:t>ար վերաց</w:t>
      </w:r>
      <w:r w:rsidRPr="00241E62">
        <w:rPr>
          <w:color w:val="000000"/>
          <w:sz w:val="20"/>
          <w:szCs w:val="20"/>
          <w:lang w:val="hy-AM"/>
        </w:rPr>
        <w:softHyphen/>
        <w:t>նելով նաև կանխա</w:t>
      </w:r>
      <w:r w:rsidRPr="00241E62">
        <w:rPr>
          <w:color w:val="000000"/>
          <w:sz w:val="20"/>
          <w:szCs w:val="20"/>
          <w:lang w:val="hy-AM"/>
        </w:rPr>
        <w:softHyphen/>
        <w:t>վճարի որևէ եղանակի ընտրության համար հայտա</w:t>
      </w:r>
      <w:r w:rsidRPr="00241E62">
        <w:rPr>
          <w:color w:val="000000"/>
          <w:sz w:val="20"/>
          <w:szCs w:val="20"/>
          <w:lang w:val="hy-AM"/>
        </w:rPr>
        <w:softHyphen/>
        <w:t>րա</w:t>
      </w:r>
      <w:r w:rsidRPr="00241E62">
        <w:rPr>
          <w:color w:val="000000"/>
          <w:sz w:val="20"/>
          <w:szCs w:val="20"/>
          <w:lang w:val="hy-AM"/>
        </w:rPr>
        <w:softHyphen/>
        <w:t>րու</w:t>
      </w:r>
      <w:r w:rsidRPr="00241E62">
        <w:rPr>
          <w:color w:val="000000"/>
          <w:sz w:val="20"/>
          <w:szCs w:val="20"/>
          <w:lang w:val="hy-AM"/>
        </w:rPr>
        <w:softHyphen/>
        <w:t>թյուն ներ</w:t>
      </w:r>
      <w:r w:rsidRPr="00241E62">
        <w:rPr>
          <w:color w:val="000000"/>
          <w:sz w:val="20"/>
          <w:szCs w:val="20"/>
          <w:lang w:val="hy-AM"/>
        </w:rPr>
        <w:softHyphen/>
        <w:t>կա</w:t>
      </w:r>
      <w:r w:rsidRPr="00241E62">
        <w:rPr>
          <w:color w:val="000000"/>
          <w:sz w:val="20"/>
          <w:szCs w:val="20"/>
          <w:lang w:val="hy-AM"/>
        </w:rPr>
        <w:softHyphen/>
        <w:t>յաց</w:t>
      </w:r>
      <w:r w:rsidRPr="00241E62">
        <w:rPr>
          <w:color w:val="000000"/>
          <w:sz w:val="20"/>
          <w:szCs w:val="20"/>
          <w:lang w:val="hy-AM"/>
        </w:rPr>
        <w:softHyphen/>
        <w:t>նելու պահանջը</w:t>
      </w:r>
      <w:r w:rsidRPr="00D31EAD">
        <w:rPr>
          <w:color w:val="000000"/>
          <w:sz w:val="20"/>
          <w:szCs w:val="20"/>
          <w:lang w:val="hy-AM"/>
        </w:rPr>
        <w:t>,</w:t>
      </w:r>
    </w:p>
    <w:p w14:paraId="44B77AB3" w14:textId="77777777" w:rsidR="00CB6CFF" w:rsidRPr="006429CC" w:rsidRDefault="00CB6CFF" w:rsidP="00CB6CFF">
      <w:pPr>
        <w:pBdr>
          <w:top w:val="single" w:sz="4" w:space="1" w:color="auto"/>
          <w:left w:val="single" w:sz="4" w:space="1" w:color="auto"/>
          <w:bottom w:val="single" w:sz="4" w:space="1" w:color="auto"/>
          <w:right w:val="single" w:sz="4" w:space="1" w:color="auto"/>
        </w:pBdr>
        <w:shd w:val="clear" w:color="auto" w:fill="C6D9F1"/>
        <w:spacing w:before="0" w:after="120" w:line="276" w:lineRule="auto"/>
        <w:ind w:firstLine="709"/>
        <w:rPr>
          <w:color w:val="000000"/>
          <w:sz w:val="20"/>
          <w:szCs w:val="20"/>
          <w:lang w:val="hy-AM"/>
        </w:rPr>
      </w:pPr>
      <w:r w:rsidRPr="006429CC">
        <w:rPr>
          <w:color w:val="000000"/>
          <w:sz w:val="20"/>
          <w:szCs w:val="20"/>
          <w:lang w:val="hy-AM"/>
        </w:rPr>
        <w:t>բ</w:t>
      </w:r>
      <w:r w:rsidRPr="00CB6CFF">
        <w:rPr>
          <w:rFonts w:ascii="Cambria Math" w:hAnsi="Cambria Math" w:cs="Cambria Math"/>
          <w:color w:val="000000"/>
          <w:sz w:val="20"/>
          <w:szCs w:val="20"/>
          <w:lang w:val="hy-AM"/>
        </w:rPr>
        <w:t>․</w:t>
      </w:r>
      <w:r w:rsidRPr="00241E62">
        <w:rPr>
          <w:color w:val="000000"/>
          <w:sz w:val="20"/>
          <w:szCs w:val="20"/>
          <w:lang w:val="hy-AM"/>
        </w:rPr>
        <w:t xml:space="preserve"> </w:t>
      </w:r>
      <w:r w:rsidRPr="006429CC">
        <w:rPr>
          <w:color w:val="000000"/>
          <w:sz w:val="20"/>
          <w:szCs w:val="20"/>
          <w:lang w:val="hy-AM"/>
        </w:rPr>
        <w:t>2020 թվականի երկրորդ եռամսյակի համար շահութահարկի կանխավճարներ չեն հաշվարկվում և չեն վճարվում,</w:t>
      </w:r>
    </w:p>
    <w:p w14:paraId="4DEB01CA" w14:textId="77777777" w:rsidR="00CB6CFF" w:rsidRDefault="00CB6CFF" w:rsidP="00CB6CFF">
      <w:pPr>
        <w:pBdr>
          <w:top w:val="single" w:sz="4" w:space="1" w:color="auto"/>
          <w:left w:val="single" w:sz="4" w:space="1" w:color="auto"/>
          <w:bottom w:val="single" w:sz="4" w:space="1" w:color="auto"/>
          <w:right w:val="single" w:sz="4" w:space="1" w:color="auto"/>
        </w:pBdr>
        <w:shd w:val="clear" w:color="auto" w:fill="C6D9F1"/>
        <w:spacing w:before="0" w:after="120" w:line="276" w:lineRule="auto"/>
        <w:ind w:firstLine="709"/>
        <w:rPr>
          <w:color w:val="000000"/>
          <w:sz w:val="20"/>
          <w:szCs w:val="20"/>
          <w:lang w:val="hy-AM"/>
        </w:rPr>
      </w:pPr>
      <w:r w:rsidRPr="006429CC">
        <w:rPr>
          <w:color w:val="000000"/>
          <w:sz w:val="20"/>
          <w:szCs w:val="20"/>
          <w:lang w:val="hy-AM"/>
        </w:rPr>
        <w:t>գ</w:t>
      </w:r>
      <w:r w:rsidRPr="00CB6CFF">
        <w:rPr>
          <w:rFonts w:ascii="Cambria Math" w:hAnsi="Cambria Math" w:cs="Cambria Math"/>
          <w:color w:val="000000"/>
          <w:sz w:val="20"/>
          <w:szCs w:val="20"/>
          <w:lang w:val="hy-AM"/>
        </w:rPr>
        <w:t>․</w:t>
      </w:r>
      <w:r w:rsidRPr="00241E62">
        <w:rPr>
          <w:color w:val="000000"/>
          <w:sz w:val="20"/>
          <w:szCs w:val="20"/>
          <w:lang w:val="hy-AM"/>
        </w:rPr>
        <w:t xml:space="preserve"> </w:t>
      </w:r>
      <w:r w:rsidRPr="006429CC">
        <w:rPr>
          <w:color w:val="000000"/>
          <w:sz w:val="20"/>
          <w:szCs w:val="20"/>
          <w:lang w:val="hy-AM"/>
        </w:rPr>
        <w:t>2020 թվականի 1-ին եռամսյակի ընթացքում հաշվարկված շահութահարկի կանխավճարի և 2019 թվա</w:t>
      </w:r>
      <w:r w:rsidRPr="006429CC">
        <w:rPr>
          <w:color w:val="000000"/>
          <w:sz w:val="20"/>
          <w:szCs w:val="20"/>
          <w:lang w:val="hy-AM"/>
        </w:rPr>
        <w:softHyphen/>
        <w:t>կանի շահութահարկի գումարի 20 տոկոսով հաշվարկվող գումարի տարբերության չափով ճշգրտ</w:t>
      </w:r>
      <w:r w:rsidRPr="006429CC">
        <w:rPr>
          <w:color w:val="000000"/>
          <w:sz w:val="20"/>
          <w:szCs w:val="20"/>
          <w:lang w:val="hy-AM"/>
        </w:rPr>
        <w:softHyphen/>
        <w:t>վում է 2020 թվականի հուլիսի 1-ից հետո առաջիկա եռամսյակի շահութա</w:t>
      </w:r>
      <w:r w:rsidRPr="006429CC">
        <w:rPr>
          <w:color w:val="000000"/>
          <w:sz w:val="20"/>
          <w:szCs w:val="20"/>
          <w:lang w:val="hy-AM"/>
        </w:rPr>
        <w:softHyphen/>
        <w:t>հարկի կան</w:t>
      </w:r>
      <w:r w:rsidRPr="006429CC">
        <w:rPr>
          <w:color w:val="000000"/>
          <w:sz w:val="20"/>
          <w:szCs w:val="20"/>
          <w:lang w:val="hy-AM"/>
        </w:rPr>
        <w:softHyphen/>
        <w:t>խա</w:t>
      </w:r>
      <w:r w:rsidRPr="006429CC">
        <w:rPr>
          <w:color w:val="000000"/>
          <w:sz w:val="20"/>
          <w:szCs w:val="20"/>
          <w:lang w:val="hy-AM"/>
        </w:rPr>
        <w:softHyphen/>
        <w:t>վճարի գումարը։</w:t>
      </w:r>
    </w:p>
    <w:p w14:paraId="4BB07747" w14:textId="54E8F477" w:rsidR="00CB6CFF" w:rsidRDefault="00CB6CFF" w:rsidP="00CB6CFF">
      <w:pPr>
        <w:pBdr>
          <w:top w:val="single" w:sz="4" w:space="1" w:color="auto"/>
          <w:left w:val="single" w:sz="4" w:space="1" w:color="auto"/>
          <w:bottom w:val="single" w:sz="4" w:space="1" w:color="auto"/>
          <w:right w:val="single" w:sz="4" w:space="1" w:color="auto"/>
        </w:pBdr>
        <w:shd w:val="clear" w:color="auto" w:fill="C6D9F1"/>
        <w:spacing w:before="0" w:after="120" w:line="276" w:lineRule="auto"/>
        <w:ind w:firstLine="709"/>
        <w:rPr>
          <w:color w:val="000000"/>
          <w:sz w:val="20"/>
          <w:szCs w:val="20"/>
          <w:lang w:val="hy-AM"/>
        </w:rPr>
      </w:pPr>
      <w:r>
        <w:rPr>
          <w:color w:val="000000"/>
          <w:sz w:val="20"/>
          <w:szCs w:val="20"/>
          <w:lang w:val="hy-AM"/>
        </w:rPr>
        <w:t>Կատարված հաշվարկները ցույց են տալիս, որ օրեն</w:t>
      </w:r>
      <w:r w:rsidR="007724F4">
        <w:rPr>
          <w:color w:val="000000"/>
          <w:sz w:val="20"/>
          <w:szCs w:val="20"/>
          <w:lang w:val="hy-AM"/>
        </w:rPr>
        <w:t>ս</w:t>
      </w:r>
      <w:r>
        <w:rPr>
          <w:color w:val="000000"/>
          <w:sz w:val="20"/>
          <w:szCs w:val="20"/>
          <w:lang w:val="hy-AM"/>
        </w:rPr>
        <w:t xml:space="preserve">դրական վերոնշյալ փոփոխությունը դրականորեն է ազդելու </w:t>
      </w:r>
      <w:r w:rsidRPr="00D31EAD">
        <w:rPr>
          <w:color w:val="000000"/>
          <w:sz w:val="20"/>
          <w:szCs w:val="20"/>
          <w:lang w:val="hy-AM"/>
        </w:rPr>
        <w:t xml:space="preserve">2020 </w:t>
      </w:r>
      <w:r>
        <w:rPr>
          <w:color w:val="000000"/>
          <w:sz w:val="20"/>
          <w:szCs w:val="20"/>
          <w:lang w:val="hy-AM"/>
        </w:rPr>
        <w:t xml:space="preserve">թվականին՝ շուրջ </w:t>
      </w:r>
      <w:r w:rsidRPr="00D31EAD">
        <w:rPr>
          <w:color w:val="000000"/>
          <w:sz w:val="20"/>
          <w:szCs w:val="20"/>
          <w:lang w:val="hy-AM"/>
        </w:rPr>
        <w:t xml:space="preserve">7650, </w:t>
      </w:r>
      <w:r>
        <w:rPr>
          <w:color w:val="000000"/>
          <w:sz w:val="20"/>
          <w:szCs w:val="20"/>
          <w:lang w:val="hy-AM"/>
        </w:rPr>
        <w:t xml:space="preserve">իսկ հետագա տարիներին՝ շուրջ </w:t>
      </w:r>
      <w:r w:rsidRPr="00D31EAD">
        <w:rPr>
          <w:color w:val="000000"/>
          <w:sz w:val="20"/>
          <w:szCs w:val="20"/>
          <w:lang w:val="hy-AM"/>
        </w:rPr>
        <w:t xml:space="preserve">8300 </w:t>
      </w:r>
      <w:r>
        <w:rPr>
          <w:color w:val="000000"/>
          <w:sz w:val="20"/>
          <w:szCs w:val="20"/>
          <w:lang w:val="hy-AM"/>
        </w:rPr>
        <w:t xml:space="preserve">տնտեսավարող սուբյեկտների հարկային միջավայրի վրա </w:t>
      </w:r>
      <w:r w:rsidRPr="00D31EAD">
        <w:rPr>
          <w:color w:val="000000"/>
          <w:sz w:val="20"/>
          <w:szCs w:val="20"/>
          <w:lang w:val="hy-AM"/>
        </w:rPr>
        <w:t>(</w:t>
      </w:r>
      <w:r>
        <w:rPr>
          <w:color w:val="000000"/>
          <w:sz w:val="20"/>
          <w:szCs w:val="20"/>
          <w:lang w:val="hy-AM"/>
        </w:rPr>
        <w:t xml:space="preserve">հաշվի առնելով այն, որ կատարված փոփոխությունը ժամանակավոր բնույթ չի կրում և ուղղված է նաև երկարաժամկետ հատվածում հարկային միջավայրի </w:t>
      </w:r>
      <w:r>
        <w:rPr>
          <w:color w:val="000000"/>
          <w:sz w:val="20"/>
          <w:szCs w:val="20"/>
          <w:lang w:val="hy-AM"/>
        </w:rPr>
        <w:lastRenderedPageBreak/>
        <w:t>բարելավմանը</w:t>
      </w:r>
      <w:r w:rsidRPr="00D31EAD">
        <w:rPr>
          <w:color w:val="000000"/>
          <w:sz w:val="20"/>
          <w:szCs w:val="20"/>
          <w:lang w:val="hy-AM"/>
        </w:rPr>
        <w:t>)</w:t>
      </w:r>
      <w:r>
        <w:rPr>
          <w:color w:val="000000"/>
          <w:sz w:val="20"/>
          <w:szCs w:val="20"/>
          <w:lang w:val="hy-AM"/>
        </w:rPr>
        <w:t xml:space="preserve">, իսկ օրենսդրական փոփոխության արդյունքում </w:t>
      </w:r>
      <w:r w:rsidRPr="00D31EAD">
        <w:rPr>
          <w:color w:val="000000"/>
          <w:sz w:val="20"/>
          <w:szCs w:val="20"/>
          <w:lang w:val="hy-AM"/>
        </w:rPr>
        <w:t xml:space="preserve">2020 </w:t>
      </w:r>
      <w:r>
        <w:rPr>
          <w:color w:val="000000"/>
          <w:sz w:val="20"/>
          <w:szCs w:val="20"/>
          <w:lang w:val="hy-AM"/>
        </w:rPr>
        <w:t xml:space="preserve">թվականին տնտեսավարող սուբյեկտների մոտ խնայված շրջանառու միջոցները կազմում են շուրջ </w:t>
      </w:r>
      <w:r w:rsidRPr="00D31EAD">
        <w:rPr>
          <w:color w:val="000000"/>
          <w:sz w:val="20"/>
          <w:szCs w:val="20"/>
          <w:lang w:val="hy-AM"/>
        </w:rPr>
        <w:t>65</w:t>
      </w:r>
      <w:r>
        <w:rPr>
          <w:color w:val="000000"/>
          <w:sz w:val="20"/>
          <w:szCs w:val="20"/>
          <w:lang w:val="hy-AM"/>
        </w:rPr>
        <w:t xml:space="preserve"> մլրդ դրամ, ինչը նշանակում է, որ, այլ հավասար պայմաններում, այդ նույն չափով պակաս հարկային եկամուտներ են հավաքագրվելու։ </w:t>
      </w:r>
    </w:p>
    <w:p w14:paraId="4BDCB0EA" w14:textId="77777777" w:rsidR="00CB6CFF" w:rsidRPr="00CB6CFF" w:rsidRDefault="00CB6CFF" w:rsidP="00CB6CFF">
      <w:pPr>
        <w:pBdr>
          <w:top w:val="single" w:sz="4" w:space="1" w:color="auto"/>
          <w:left w:val="single" w:sz="4" w:space="1" w:color="auto"/>
          <w:bottom w:val="single" w:sz="4" w:space="1" w:color="auto"/>
          <w:right w:val="single" w:sz="4" w:space="1" w:color="auto"/>
        </w:pBdr>
        <w:shd w:val="clear" w:color="auto" w:fill="C6D9F1"/>
        <w:spacing w:before="0" w:after="120" w:line="276" w:lineRule="auto"/>
        <w:ind w:firstLine="709"/>
        <w:rPr>
          <w:color w:val="000000"/>
          <w:sz w:val="20"/>
          <w:szCs w:val="20"/>
          <w:lang w:val="hy-AM"/>
        </w:rPr>
      </w:pPr>
      <w:r>
        <w:rPr>
          <w:color w:val="000000"/>
          <w:sz w:val="20"/>
          <w:szCs w:val="20"/>
          <w:lang w:val="hy-AM"/>
        </w:rPr>
        <w:t>Հ</w:t>
      </w:r>
      <w:r w:rsidRPr="00D051A3">
        <w:rPr>
          <w:color w:val="000000"/>
          <w:sz w:val="20"/>
          <w:szCs w:val="20"/>
          <w:lang w:val="hy-AM"/>
        </w:rPr>
        <w:t>ամավարակի հետևանքով առաջացած տնտեսական ճգնաժամ</w:t>
      </w:r>
      <w:r>
        <w:rPr>
          <w:color w:val="000000"/>
          <w:sz w:val="20"/>
          <w:szCs w:val="20"/>
          <w:lang w:val="hy-AM"/>
        </w:rPr>
        <w:t xml:space="preserve">ի հնարավոր բացասական հետևանքները մեղմելու և հարկային պարտավորությունները չկատարելու հետևանքով տնտեսավարող սուբյեկտների հնարավոր սնանկացման ռիսկերը չեզոքացնելու նպատակով </w:t>
      </w:r>
      <w:r w:rsidRPr="00CB6CFF">
        <w:rPr>
          <w:color w:val="000000"/>
          <w:sz w:val="20"/>
          <w:szCs w:val="20"/>
          <w:lang w:val="hy-AM"/>
        </w:rPr>
        <w:t>2020 թվականի ապրիլի 22-ին ՀՀ Ազգային Ժողովի կողմից ընդուն</w:t>
      </w:r>
      <w:r w:rsidRPr="00CB6CFF">
        <w:rPr>
          <w:color w:val="000000"/>
          <w:sz w:val="20"/>
          <w:szCs w:val="20"/>
          <w:lang w:val="hy-AM"/>
        </w:rPr>
        <w:softHyphen/>
        <w:t>վել է Հայաստանի Հան</w:t>
      </w:r>
      <w:r w:rsidRPr="00CB6CFF">
        <w:rPr>
          <w:color w:val="000000"/>
          <w:sz w:val="20"/>
          <w:szCs w:val="20"/>
          <w:lang w:val="hy-AM"/>
        </w:rPr>
        <w:softHyphen/>
        <w:t>րա</w:t>
      </w:r>
      <w:r w:rsidRPr="00CB6CFF">
        <w:rPr>
          <w:color w:val="000000"/>
          <w:sz w:val="20"/>
          <w:szCs w:val="20"/>
          <w:lang w:val="hy-AM"/>
        </w:rPr>
        <w:softHyphen/>
        <w:t>պե</w:t>
      </w:r>
      <w:r w:rsidRPr="00CB6CFF">
        <w:rPr>
          <w:color w:val="000000"/>
          <w:sz w:val="20"/>
          <w:szCs w:val="20"/>
          <w:lang w:val="hy-AM"/>
        </w:rPr>
        <w:softHyphen/>
        <w:t>տության հարկային օրենս</w:t>
      </w:r>
      <w:r w:rsidRPr="00CB6CFF">
        <w:rPr>
          <w:color w:val="000000"/>
          <w:sz w:val="20"/>
          <w:szCs w:val="20"/>
          <w:lang w:val="hy-AM"/>
        </w:rPr>
        <w:softHyphen/>
        <w:t>գրքում փոփոխություն և լրա</w:t>
      </w:r>
      <w:r w:rsidRPr="00CB6CFF">
        <w:rPr>
          <w:color w:val="000000"/>
          <w:sz w:val="20"/>
          <w:szCs w:val="20"/>
          <w:lang w:val="hy-AM"/>
        </w:rPr>
        <w:softHyphen/>
        <w:t>ցում կատա</w:t>
      </w:r>
      <w:r w:rsidRPr="00CB6CFF">
        <w:rPr>
          <w:color w:val="000000"/>
          <w:sz w:val="20"/>
          <w:szCs w:val="20"/>
          <w:lang w:val="hy-AM"/>
        </w:rPr>
        <w:softHyphen/>
        <w:t>րելու մասին ՀՀ օրենքը, որով, մասնա</w:t>
      </w:r>
      <w:r w:rsidRPr="00CB6CFF">
        <w:rPr>
          <w:color w:val="000000"/>
          <w:sz w:val="20"/>
          <w:szCs w:val="20"/>
          <w:lang w:val="hy-AM"/>
        </w:rPr>
        <w:softHyphen/>
        <w:t>վորապես, նվազեցվել է հարկի վճարումը սահ</w:t>
      </w:r>
      <w:r w:rsidRPr="00CB6CFF">
        <w:rPr>
          <w:color w:val="000000"/>
          <w:sz w:val="20"/>
          <w:szCs w:val="20"/>
          <w:lang w:val="hy-AM"/>
        </w:rPr>
        <w:softHyphen/>
      </w:r>
      <w:r w:rsidRPr="00CB6CFF">
        <w:rPr>
          <w:color w:val="000000"/>
          <w:sz w:val="20"/>
          <w:szCs w:val="20"/>
          <w:lang w:val="hy-AM"/>
        </w:rPr>
        <w:softHyphen/>
      </w:r>
      <w:r w:rsidRPr="00CB6CFF">
        <w:rPr>
          <w:color w:val="000000"/>
          <w:sz w:val="20"/>
          <w:szCs w:val="20"/>
          <w:lang w:val="hy-AM"/>
        </w:rPr>
        <w:softHyphen/>
        <w:t>մանված ժամ</w:t>
      </w:r>
      <w:r w:rsidRPr="00CB6CFF">
        <w:rPr>
          <w:color w:val="000000"/>
          <w:sz w:val="20"/>
          <w:szCs w:val="20"/>
          <w:lang w:val="hy-AM"/>
        </w:rPr>
        <w:softHyphen/>
        <w:t>կետներից ուշաց</w:t>
      </w:r>
      <w:r w:rsidRPr="00CB6CFF">
        <w:rPr>
          <w:color w:val="000000"/>
          <w:sz w:val="20"/>
          <w:szCs w:val="20"/>
          <w:lang w:val="hy-AM"/>
        </w:rPr>
        <w:softHyphen/>
      </w:r>
      <w:r w:rsidRPr="00CB6CFF">
        <w:rPr>
          <w:color w:val="000000"/>
          <w:sz w:val="20"/>
          <w:szCs w:val="20"/>
          <w:lang w:val="hy-AM"/>
        </w:rPr>
        <w:softHyphen/>
        <w:t>նելու դեպ</w:t>
      </w:r>
      <w:r w:rsidRPr="00CB6CFF">
        <w:rPr>
          <w:color w:val="000000"/>
          <w:sz w:val="20"/>
          <w:szCs w:val="20"/>
          <w:lang w:val="hy-AM"/>
        </w:rPr>
        <w:softHyphen/>
        <w:t>քում ժամ</w:t>
      </w:r>
      <w:r w:rsidRPr="00CB6CFF">
        <w:rPr>
          <w:color w:val="000000"/>
          <w:sz w:val="20"/>
          <w:szCs w:val="20"/>
          <w:lang w:val="hy-AM"/>
        </w:rPr>
        <w:softHyphen/>
        <w:t>կե</w:t>
      </w:r>
      <w:r w:rsidRPr="00CB6CFF">
        <w:rPr>
          <w:color w:val="000000"/>
          <w:sz w:val="20"/>
          <w:szCs w:val="20"/>
          <w:lang w:val="hy-AM"/>
        </w:rPr>
        <w:softHyphen/>
        <w:t>տանց յուրաքանչյուր օրվա համար հաշ</w:t>
      </w:r>
      <w:r w:rsidRPr="00CB6CFF">
        <w:rPr>
          <w:color w:val="000000"/>
          <w:sz w:val="20"/>
          <w:szCs w:val="20"/>
          <w:lang w:val="hy-AM"/>
        </w:rPr>
        <w:softHyphen/>
      </w:r>
      <w:r w:rsidRPr="00CB6CFF">
        <w:rPr>
          <w:color w:val="000000"/>
          <w:sz w:val="20"/>
          <w:szCs w:val="20"/>
          <w:lang w:val="hy-AM"/>
        </w:rPr>
        <w:softHyphen/>
      </w:r>
      <w:r w:rsidRPr="00CB6CFF">
        <w:rPr>
          <w:color w:val="000000"/>
          <w:sz w:val="20"/>
          <w:szCs w:val="20"/>
          <w:lang w:val="hy-AM"/>
        </w:rPr>
        <w:softHyphen/>
        <w:t>վարկվող տույժի դրույ</w:t>
      </w:r>
      <w:r w:rsidRPr="00CB6CFF">
        <w:rPr>
          <w:color w:val="000000"/>
          <w:sz w:val="20"/>
          <w:szCs w:val="20"/>
          <w:lang w:val="hy-AM"/>
        </w:rPr>
        <w:softHyphen/>
        <w:t>քա</w:t>
      </w:r>
      <w:r w:rsidRPr="00CB6CFF">
        <w:rPr>
          <w:color w:val="000000"/>
          <w:sz w:val="20"/>
          <w:szCs w:val="20"/>
          <w:lang w:val="hy-AM"/>
        </w:rPr>
        <w:softHyphen/>
        <w:t>չափը և 0,075 տոկոսի փոխա</w:t>
      </w:r>
      <w:r w:rsidRPr="00CB6CFF">
        <w:rPr>
          <w:color w:val="000000"/>
          <w:sz w:val="20"/>
          <w:szCs w:val="20"/>
          <w:lang w:val="hy-AM"/>
        </w:rPr>
        <w:softHyphen/>
        <w:t>րեն սահմանվել է 0,04 տոկոս։ Նշյալ օրենքն ուժի մեջ է մտել 2020 թվականի մայիսի 14-ից և տարածվում է 2020 թվականի ապրիլի 21-ից ծագած հարա</w:t>
      </w:r>
      <w:r w:rsidRPr="00CB6CFF">
        <w:rPr>
          <w:color w:val="000000"/>
          <w:sz w:val="20"/>
          <w:szCs w:val="20"/>
          <w:lang w:val="hy-AM"/>
        </w:rPr>
        <w:softHyphen/>
      </w:r>
      <w:r w:rsidRPr="00CB6CFF">
        <w:rPr>
          <w:color w:val="000000"/>
          <w:sz w:val="20"/>
          <w:szCs w:val="20"/>
          <w:lang w:val="hy-AM"/>
        </w:rPr>
        <w:softHyphen/>
      </w:r>
      <w:r w:rsidRPr="00CB6CFF">
        <w:rPr>
          <w:color w:val="000000"/>
          <w:sz w:val="20"/>
          <w:szCs w:val="20"/>
          <w:lang w:val="hy-AM"/>
        </w:rPr>
        <w:softHyphen/>
        <w:t>բերու</w:t>
      </w:r>
      <w:r w:rsidRPr="00CB6CFF">
        <w:rPr>
          <w:color w:val="000000"/>
          <w:sz w:val="20"/>
          <w:szCs w:val="20"/>
          <w:lang w:val="hy-AM"/>
        </w:rPr>
        <w:softHyphen/>
        <w:t>թյունների վրա: Այսինքն, 2020 թվականի ապրիլի 21-ից տույժերը հաշվարկվում են նվա</w:t>
      </w:r>
      <w:r w:rsidRPr="00CB6CFF">
        <w:rPr>
          <w:color w:val="000000"/>
          <w:sz w:val="20"/>
          <w:szCs w:val="20"/>
          <w:lang w:val="hy-AM"/>
        </w:rPr>
        <w:softHyphen/>
        <w:t>զեց</w:t>
      </w:r>
      <w:r w:rsidRPr="00CB6CFF">
        <w:rPr>
          <w:color w:val="000000"/>
          <w:sz w:val="20"/>
          <w:szCs w:val="20"/>
          <w:lang w:val="hy-AM"/>
        </w:rPr>
        <w:softHyphen/>
        <w:t>ված դրույ</w:t>
      </w:r>
      <w:r w:rsidRPr="00CB6CFF">
        <w:rPr>
          <w:color w:val="000000"/>
          <w:sz w:val="20"/>
          <w:szCs w:val="20"/>
          <w:lang w:val="hy-AM"/>
        </w:rPr>
        <w:softHyphen/>
        <w:t>քա</w:t>
      </w:r>
      <w:r w:rsidRPr="00CB6CFF">
        <w:rPr>
          <w:color w:val="000000"/>
          <w:sz w:val="20"/>
          <w:szCs w:val="20"/>
          <w:lang w:val="hy-AM"/>
        </w:rPr>
        <w:softHyphen/>
        <w:t>չափով։ Ընդ որում, 2020 թվականի ապրիլի 21-ից տույժերը նվազեցված դրույքաչափով հաշ</w:t>
      </w:r>
      <w:r w:rsidRPr="00CB6CFF">
        <w:rPr>
          <w:color w:val="000000"/>
          <w:sz w:val="20"/>
          <w:szCs w:val="20"/>
          <w:lang w:val="hy-AM"/>
        </w:rPr>
        <w:softHyphen/>
        <w:t>վարկվում են նաև այն դեպ</w:t>
      </w:r>
      <w:r w:rsidRPr="00CB6CFF">
        <w:rPr>
          <w:color w:val="000000"/>
          <w:sz w:val="20"/>
          <w:szCs w:val="20"/>
          <w:lang w:val="hy-AM"/>
        </w:rPr>
        <w:softHyphen/>
      </w:r>
      <w:r w:rsidRPr="00CB6CFF">
        <w:rPr>
          <w:color w:val="000000"/>
          <w:sz w:val="20"/>
          <w:szCs w:val="20"/>
          <w:lang w:val="hy-AM"/>
        </w:rPr>
        <w:softHyphen/>
        <w:t>քերում, երբ տույժերի հաշ</w:t>
      </w:r>
      <w:r w:rsidRPr="00CB6CFF">
        <w:rPr>
          <w:color w:val="000000"/>
          <w:sz w:val="20"/>
          <w:szCs w:val="20"/>
          <w:lang w:val="hy-AM"/>
        </w:rPr>
        <w:softHyphen/>
        <w:t>վարկը սկսվել է մինչև նշյալ օրենքն ուժի մեջ մտնելը։</w:t>
      </w:r>
    </w:p>
    <w:p w14:paraId="6C7BDDD7" w14:textId="77777777" w:rsidR="00CB6CFF" w:rsidRDefault="00CB6CFF" w:rsidP="00CB6CFF">
      <w:pPr>
        <w:pBdr>
          <w:top w:val="single" w:sz="4" w:space="1" w:color="auto"/>
          <w:left w:val="single" w:sz="4" w:space="1" w:color="auto"/>
          <w:bottom w:val="single" w:sz="4" w:space="1" w:color="auto"/>
          <w:right w:val="single" w:sz="4" w:space="1" w:color="auto"/>
        </w:pBdr>
        <w:shd w:val="clear" w:color="auto" w:fill="C6D9F1"/>
        <w:spacing w:before="0" w:after="120" w:line="276" w:lineRule="auto"/>
        <w:ind w:firstLine="709"/>
        <w:rPr>
          <w:color w:val="000000"/>
          <w:sz w:val="20"/>
          <w:szCs w:val="20"/>
          <w:lang w:val="hy-AM"/>
        </w:rPr>
      </w:pPr>
      <w:r w:rsidRPr="008E4E3B">
        <w:rPr>
          <w:color w:val="000000"/>
          <w:sz w:val="20"/>
          <w:szCs w:val="20"/>
          <w:lang w:val="hy-AM"/>
        </w:rPr>
        <w:t>Վերոգրյալը նշանակում է, որ հարկի վճարումը սահման</w:t>
      </w:r>
      <w:r w:rsidRPr="008E4E3B">
        <w:rPr>
          <w:color w:val="000000"/>
          <w:sz w:val="20"/>
          <w:szCs w:val="20"/>
          <w:lang w:val="hy-AM"/>
        </w:rPr>
        <w:softHyphen/>
        <w:t>ված ժամկետներից ուշացնելու դեպ</w:t>
      </w:r>
      <w:r w:rsidRPr="008E4E3B">
        <w:rPr>
          <w:color w:val="000000"/>
          <w:sz w:val="20"/>
          <w:szCs w:val="20"/>
          <w:lang w:val="hy-AM"/>
        </w:rPr>
        <w:softHyphen/>
        <w:t>քում ժամ</w:t>
      </w:r>
      <w:r w:rsidRPr="008E4E3B">
        <w:rPr>
          <w:color w:val="000000"/>
          <w:sz w:val="20"/>
          <w:szCs w:val="20"/>
          <w:lang w:val="hy-AM"/>
        </w:rPr>
        <w:softHyphen/>
        <w:t>կե</w:t>
      </w:r>
      <w:r w:rsidRPr="008E4E3B">
        <w:rPr>
          <w:color w:val="000000"/>
          <w:sz w:val="20"/>
          <w:szCs w:val="20"/>
          <w:lang w:val="hy-AM"/>
        </w:rPr>
        <w:softHyphen/>
        <w:t>տանց յուրաքանչյուր օրվա համար հաշ</w:t>
      </w:r>
      <w:r w:rsidRPr="008E4E3B">
        <w:rPr>
          <w:color w:val="000000"/>
          <w:sz w:val="20"/>
          <w:szCs w:val="20"/>
          <w:lang w:val="hy-AM"/>
        </w:rPr>
        <w:softHyphen/>
        <w:t>վարկ</w:t>
      </w:r>
      <w:r w:rsidRPr="008E4E3B">
        <w:rPr>
          <w:color w:val="000000"/>
          <w:sz w:val="20"/>
          <w:szCs w:val="20"/>
          <w:lang w:val="hy-AM"/>
        </w:rPr>
        <w:softHyphen/>
        <w:t>վող տույժի հաշվարկային մեծու</w:t>
      </w:r>
      <w:r w:rsidRPr="008E4E3B">
        <w:rPr>
          <w:color w:val="000000"/>
          <w:sz w:val="20"/>
          <w:szCs w:val="20"/>
          <w:lang w:val="hy-AM"/>
        </w:rPr>
        <w:softHyphen/>
      </w:r>
      <w:r w:rsidRPr="008E4E3B">
        <w:rPr>
          <w:color w:val="000000"/>
          <w:sz w:val="20"/>
          <w:szCs w:val="20"/>
          <w:lang w:val="hy-AM"/>
        </w:rPr>
        <w:softHyphen/>
      </w:r>
      <w:r w:rsidRPr="008E4E3B">
        <w:rPr>
          <w:color w:val="000000"/>
          <w:sz w:val="20"/>
          <w:szCs w:val="20"/>
          <w:lang w:val="hy-AM"/>
        </w:rPr>
        <w:softHyphen/>
      </w:r>
      <w:r w:rsidRPr="008E4E3B">
        <w:rPr>
          <w:color w:val="000000"/>
          <w:sz w:val="20"/>
          <w:szCs w:val="20"/>
          <w:lang w:val="hy-AM"/>
        </w:rPr>
        <w:softHyphen/>
      </w:r>
      <w:r w:rsidRPr="008E4E3B">
        <w:rPr>
          <w:color w:val="000000"/>
          <w:sz w:val="20"/>
          <w:szCs w:val="20"/>
          <w:lang w:val="hy-AM"/>
        </w:rPr>
        <w:softHyphen/>
      </w:r>
      <w:r w:rsidRPr="008E4E3B">
        <w:rPr>
          <w:color w:val="000000"/>
          <w:sz w:val="20"/>
          <w:szCs w:val="20"/>
          <w:lang w:val="hy-AM"/>
        </w:rPr>
        <w:softHyphen/>
        <w:t>թյունը գրեթե հավասարվում է ֆինան</w:t>
      </w:r>
      <w:r w:rsidRPr="008E4E3B">
        <w:rPr>
          <w:color w:val="000000"/>
          <w:sz w:val="20"/>
          <w:szCs w:val="20"/>
          <w:lang w:val="hy-AM"/>
        </w:rPr>
        <w:softHyphen/>
        <w:t>սա</w:t>
      </w:r>
      <w:r w:rsidRPr="008E4E3B">
        <w:rPr>
          <w:color w:val="000000"/>
          <w:sz w:val="20"/>
          <w:szCs w:val="20"/>
          <w:lang w:val="hy-AM"/>
        </w:rPr>
        <w:softHyphen/>
        <w:t>կան կազմակերպություն</w:t>
      </w:r>
      <w:r w:rsidRPr="008E4E3B">
        <w:rPr>
          <w:color w:val="000000"/>
          <w:sz w:val="20"/>
          <w:szCs w:val="20"/>
          <w:lang w:val="hy-AM"/>
        </w:rPr>
        <w:softHyphen/>
        <w:t>ների կողմից տրա</w:t>
      </w:r>
      <w:r w:rsidRPr="008E4E3B">
        <w:rPr>
          <w:color w:val="000000"/>
          <w:sz w:val="20"/>
          <w:szCs w:val="20"/>
          <w:lang w:val="hy-AM"/>
        </w:rPr>
        <w:softHyphen/>
        <w:t>մա</w:t>
      </w:r>
      <w:r w:rsidRPr="008E4E3B">
        <w:rPr>
          <w:color w:val="000000"/>
          <w:sz w:val="20"/>
          <w:szCs w:val="20"/>
          <w:lang w:val="hy-AM"/>
        </w:rPr>
        <w:softHyphen/>
        <w:t>դր</w:t>
      </w:r>
      <w:r w:rsidRPr="008E4E3B">
        <w:rPr>
          <w:color w:val="000000"/>
          <w:sz w:val="20"/>
          <w:szCs w:val="20"/>
          <w:lang w:val="hy-AM"/>
        </w:rPr>
        <w:softHyphen/>
      </w:r>
      <w:r w:rsidRPr="008E4E3B">
        <w:rPr>
          <w:color w:val="000000"/>
          <w:sz w:val="20"/>
          <w:szCs w:val="20"/>
          <w:lang w:val="hy-AM"/>
        </w:rPr>
        <w:softHyphen/>
        <w:t>վող վար</w:t>
      </w:r>
      <w:r w:rsidRPr="008E4E3B">
        <w:rPr>
          <w:color w:val="000000"/>
          <w:sz w:val="20"/>
          <w:szCs w:val="20"/>
          <w:lang w:val="hy-AM"/>
        </w:rPr>
        <w:softHyphen/>
        <w:t>կերի տոկոսա</w:t>
      </w:r>
      <w:r w:rsidRPr="008E4E3B">
        <w:rPr>
          <w:color w:val="000000"/>
          <w:sz w:val="20"/>
          <w:szCs w:val="20"/>
          <w:lang w:val="hy-AM"/>
        </w:rPr>
        <w:softHyphen/>
        <w:t>դրույքին:</w:t>
      </w:r>
    </w:p>
    <w:p w14:paraId="66FA8354" w14:textId="77777777" w:rsidR="00CB6CFF" w:rsidRDefault="00CB6CFF" w:rsidP="00CB6CFF">
      <w:pPr>
        <w:pBdr>
          <w:top w:val="single" w:sz="4" w:space="1" w:color="auto"/>
          <w:left w:val="single" w:sz="4" w:space="1" w:color="auto"/>
          <w:bottom w:val="single" w:sz="4" w:space="1" w:color="auto"/>
          <w:right w:val="single" w:sz="4" w:space="1" w:color="auto"/>
        </w:pBdr>
        <w:shd w:val="clear" w:color="auto" w:fill="C6D9F1"/>
        <w:spacing w:before="0" w:after="120" w:line="276" w:lineRule="auto"/>
        <w:ind w:firstLine="709"/>
        <w:rPr>
          <w:color w:val="000000"/>
          <w:sz w:val="20"/>
          <w:szCs w:val="20"/>
          <w:lang w:val="hy-AM"/>
        </w:rPr>
      </w:pPr>
      <w:r w:rsidRPr="00CB6CFF">
        <w:rPr>
          <w:color w:val="000000"/>
          <w:sz w:val="20"/>
          <w:szCs w:val="20"/>
          <w:lang w:val="hy-AM"/>
        </w:rPr>
        <w:t xml:space="preserve">Ավելին, վերոնշյալ օրենքով </w:t>
      </w:r>
      <w:r w:rsidRPr="008E4E3B">
        <w:rPr>
          <w:color w:val="000000"/>
          <w:sz w:val="20"/>
          <w:szCs w:val="20"/>
          <w:lang w:val="hy-AM"/>
        </w:rPr>
        <w:t>բարձրացվել է չկատարված հարկային պար</w:t>
      </w:r>
      <w:r w:rsidRPr="008E4E3B">
        <w:rPr>
          <w:color w:val="000000"/>
          <w:sz w:val="20"/>
          <w:szCs w:val="20"/>
          <w:lang w:val="hy-AM"/>
        </w:rPr>
        <w:softHyphen/>
        <w:t>տա</w:t>
      </w:r>
      <w:r w:rsidRPr="008E4E3B">
        <w:rPr>
          <w:color w:val="000000"/>
          <w:sz w:val="20"/>
          <w:szCs w:val="20"/>
          <w:lang w:val="hy-AM"/>
        </w:rPr>
        <w:softHyphen/>
        <w:t>վո</w:t>
      </w:r>
      <w:r w:rsidRPr="008E4E3B">
        <w:rPr>
          <w:color w:val="000000"/>
          <w:sz w:val="20"/>
          <w:szCs w:val="20"/>
          <w:lang w:val="hy-AM"/>
        </w:rPr>
        <w:softHyphen/>
        <w:t>րու</w:t>
      </w:r>
      <w:r w:rsidRPr="008E4E3B">
        <w:rPr>
          <w:color w:val="000000"/>
          <w:sz w:val="20"/>
          <w:szCs w:val="20"/>
          <w:lang w:val="hy-AM"/>
        </w:rPr>
        <w:softHyphen/>
        <w:t>թյուն</w:t>
      </w:r>
      <w:r w:rsidRPr="008E4E3B">
        <w:rPr>
          <w:color w:val="000000"/>
          <w:sz w:val="20"/>
          <w:szCs w:val="20"/>
          <w:lang w:val="hy-AM"/>
        </w:rPr>
        <w:softHyphen/>
        <w:t>ների շեմը, որը գերա</w:t>
      </w:r>
      <w:r w:rsidRPr="008E4E3B">
        <w:rPr>
          <w:color w:val="000000"/>
          <w:sz w:val="20"/>
          <w:szCs w:val="20"/>
          <w:lang w:val="hy-AM"/>
        </w:rPr>
        <w:softHyphen/>
        <w:t>զան</w:t>
      </w:r>
      <w:r w:rsidRPr="008E4E3B">
        <w:rPr>
          <w:color w:val="000000"/>
          <w:sz w:val="20"/>
          <w:szCs w:val="20"/>
          <w:lang w:val="hy-AM"/>
        </w:rPr>
        <w:softHyphen/>
        <w:t>ցելու դեպքում հարկային մարմնի ղեկավարի որոշմամբ հարկ վճա</w:t>
      </w:r>
      <w:r w:rsidRPr="008E4E3B">
        <w:rPr>
          <w:color w:val="000000"/>
          <w:sz w:val="20"/>
          <w:szCs w:val="20"/>
          <w:lang w:val="hy-AM"/>
        </w:rPr>
        <w:softHyphen/>
      </w:r>
      <w:r w:rsidRPr="008E4E3B">
        <w:rPr>
          <w:color w:val="000000"/>
          <w:sz w:val="20"/>
          <w:szCs w:val="20"/>
          <w:lang w:val="hy-AM"/>
        </w:rPr>
        <w:softHyphen/>
        <w:t>րողի գույքի վրա կարող է արգելանք դրվել։ Մասնավորապես, չկատարված հարկային պար</w:t>
      </w:r>
      <w:r w:rsidRPr="008E4E3B">
        <w:rPr>
          <w:color w:val="000000"/>
          <w:sz w:val="20"/>
          <w:szCs w:val="20"/>
          <w:lang w:val="hy-AM"/>
        </w:rPr>
        <w:softHyphen/>
        <w:t>տա</w:t>
      </w:r>
      <w:r w:rsidRPr="008E4E3B">
        <w:rPr>
          <w:color w:val="000000"/>
          <w:sz w:val="20"/>
          <w:szCs w:val="20"/>
          <w:lang w:val="hy-AM"/>
        </w:rPr>
        <w:softHyphen/>
      </w:r>
      <w:r w:rsidRPr="008E4E3B">
        <w:rPr>
          <w:color w:val="000000"/>
          <w:sz w:val="20"/>
          <w:szCs w:val="20"/>
          <w:lang w:val="hy-AM"/>
        </w:rPr>
        <w:softHyphen/>
        <w:t>վո</w:t>
      </w:r>
      <w:r w:rsidRPr="008E4E3B">
        <w:rPr>
          <w:color w:val="000000"/>
          <w:sz w:val="20"/>
          <w:szCs w:val="20"/>
          <w:lang w:val="hy-AM"/>
        </w:rPr>
        <w:softHyphen/>
        <w:t>րու</w:t>
      </w:r>
      <w:r w:rsidRPr="008E4E3B">
        <w:rPr>
          <w:color w:val="000000"/>
          <w:sz w:val="20"/>
          <w:szCs w:val="20"/>
          <w:lang w:val="hy-AM"/>
        </w:rPr>
        <w:softHyphen/>
        <w:t>թյուն</w:t>
      </w:r>
      <w:r w:rsidRPr="008E4E3B">
        <w:rPr>
          <w:color w:val="000000"/>
          <w:sz w:val="20"/>
          <w:szCs w:val="20"/>
          <w:lang w:val="hy-AM"/>
        </w:rPr>
        <w:softHyphen/>
        <w:t>ների շեմը 500 հազար դրամի փոխարեն սահմանվել է 1</w:t>
      </w:r>
      <w:r w:rsidRPr="00CB6CFF">
        <w:rPr>
          <w:rFonts w:ascii="Cambria Math" w:hAnsi="Cambria Math" w:cs="Cambria Math"/>
          <w:color w:val="000000"/>
          <w:sz w:val="20"/>
          <w:szCs w:val="20"/>
          <w:lang w:val="hy-AM"/>
        </w:rPr>
        <w:t>․</w:t>
      </w:r>
      <w:r w:rsidRPr="008E4E3B">
        <w:rPr>
          <w:color w:val="000000"/>
          <w:sz w:val="20"/>
          <w:szCs w:val="20"/>
          <w:lang w:val="hy-AM"/>
        </w:rPr>
        <w:t>5 միլիոն դրամ:</w:t>
      </w:r>
    </w:p>
    <w:p w14:paraId="338D2208" w14:textId="77777777" w:rsidR="00CB6CFF" w:rsidRPr="006429CC" w:rsidRDefault="00CB6CFF" w:rsidP="00CB6CFF">
      <w:pPr>
        <w:pBdr>
          <w:top w:val="single" w:sz="4" w:space="1" w:color="auto"/>
          <w:left w:val="single" w:sz="4" w:space="1" w:color="auto"/>
          <w:bottom w:val="single" w:sz="4" w:space="1" w:color="auto"/>
          <w:right w:val="single" w:sz="4" w:space="1" w:color="auto"/>
        </w:pBdr>
        <w:shd w:val="clear" w:color="auto" w:fill="C6D9F1"/>
        <w:spacing w:before="0" w:after="120" w:line="276" w:lineRule="auto"/>
        <w:ind w:firstLine="709"/>
        <w:rPr>
          <w:color w:val="000000"/>
          <w:sz w:val="20"/>
          <w:szCs w:val="20"/>
          <w:lang w:val="hy-AM"/>
        </w:rPr>
      </w:pPr>
      <w:r>
        <w:rPr>
          <w:color w:val="000000"/>
          <w:sz w:val="20"/>
          <w:szCs w:val="20"/>
          <w:lang w:val="hy-AM"/>
        </w:rPr>
        <w:t xml:space="preserve">Ինչ վերաբերում է </w:t>
      </w:r>
      <w:r w:rsidRPr="00241E62">
        <w:rPr>
          <w:color w:val="000000"/>
          <w:sz w:val="20"/>
          <w:szCs w:val="20"/>
          <w:lang w:val="hy-AM"/>
        </w:rPr>
        <w:t>տնտեսության հետագա վերականգնման, ներդրումային ակտիվության մակարդակի բարձրացման և տնտեսական ներուժի ստեղծման համար հարկային կարգավորումների բերալավմանը</w:t>
      </w:r>
      <w:r>
        <w:rPr>
          <w:color w:val="000000"/>
          <w:sz w:val="20"/>
          <w:szCs w:val="20"/>
          <w:lang w:val="hy-AM"/>
        </w:rPr>
        <w:t xml:space="preserve">, ապա այդ կապակցությամբ կատարված օրենսդրական փոփոխությունների արդյունքում հարկային օրենսդրությամբ սահմանվել է, որ </w:t>
      </w:r>
      <w:r w:rsidRPr="00CB6CFF">
        <w:rPr>
          <w:color w:val="000000"/>
          <w:sz w:val="20"/>
          <w:szCs w:val="20"/>
          <w:lang w:val="hy-AM"/>
        </w:rPr>
        <w:t>2020 թվականի հուլիսի 1-ից մինչև 2020 թվականի դեկտեմ</w:t>
      </w:r>
      <w:r w:rsidRPr="00CB6CFF">
        <w:rPr>
          <w:color w:val="000000"/>
          <w:sz w:val="20"/>
          <w:szCs w:val="20"/>
          <w:lang w:val="hy-AM"/>
        </w:rPr>
        <w:softHyphen/>
        <w:t>բերի 31-ն ընկած ժամանակահատվածում ներմուծվող կամ ձեռք բեր</w:t>
      </w:r>
      <w:r w:rsidRPr="00CB6CFF">
        <w:rPr>
          <w:color w:val="000000"/>
          <w:sz w:val="20"/>
          <w:szCs w:val="20"/>
          <w:lang w:val="hy-AM"/>
        </w:rPr>
        <w:softHyphen/>
        <w:t>վող (կառուցվող, մշակ</w:t>
      </w:r>
      <w:r w:rsidRPr="00CB6CFF">
        <w:rPr>
          <w:color w:val="000000"/>
          <w:sz w:val="20"/>
          <w:szCs w:val="20"/>
          <w:lang w:val="hy-AM"/>
        </w:rPr>
        <w:softHyphen/>
        <w:t>վող) հիմնական միջոցների ամորտիզացիոն նվազագույն ժամկետը սահ</w:t>
      </w:r>
      <w:r w:rsidRPr="00CB6CFF">
        <w:rPr>
          <w:color w:val="000000"/>
          <w:sz w:val="20"/>
          <w:szCs w:val="20"/>
          <w:lang w:val="hy-AM"/>
        </w:rPr>
        <w:softHyphen/>
        <w:t>մանվում է տնտեսավարող սուբյեկտի հայե</w:t>
      </w:r>
      <w:r w:rsidRPr="00CB6CFF">
        <w:rPr>
          <w:color w:val="000000"/>
          <w:sz w:val="20"/>
          <w:szCs w:val="20"/>
          <w:lang w:val="hy-AM"/>
        </w:rPr>
        <w:softHyphen/>
        <w:t>ցո</w:t>
      </w:r>
      <w:r w:rsidRPr="00CB6CFF">
        <w:rPr>
          <w:color w:val="000000"/>
          <w:sz w:val="20"/>
          <w:szCs w:val="20"/>
          <w:lang w:val="hy-AM"/>
        </w:rPr>
        <w:softHyphen/>
        <w:t>ղությամբ, բայց ոչ պակաս, քան մեկ տարի:</w:t>
      </w:r>
    </w:p>
    <w:p w14:paraId="2BEC13A5" w14:textId="77777777" w:rsidR="00C7695C" w:rsidRPr="00973AC1" w:rsidRDefault="00C7695C" w:rsidP="00973AC1">
      <w:pPr>
        <w:pStyle w:val="Heading3"/>
        <w:numPr>
          <w:ilvl w:val="0"/>
          <w:numId w:val="0"/>
        </w:numPr>
        <w:spacing w:before="0" w:after="120"/>
        <w:jc w:val="both"/>
      </w:pPr>
    </w:p>
    <w:p w14:paraId="1ABA6F05" w14:textId="77777777" w:rsidR="00C7695C" w:rsidRPr="00E426B8" w:rsidRDefault="00E426B8" w:rsidP="00E426B8">
      <w:pPr>
        <w:pStyle w:val="Heading3"/>
        <w:numPr>
          <w:ilvl w:val="1"/>
          <w:numId w:val="32"/>
        </w:numPr>
        <w:rPr>
          <w:rFonts w:eastAsia="Times New Roman" w:cs="Times New Roman"/>
          <w:caps w:val="0"/>
          <w:color w:val="1F497D" w:themeColor="text2"/>
          <w:sz w:val="28"/>
          <w:szCs w:val="28"/>
          <w:lang w:val="en-US"/>
        </w:rPr>
      </w:pPr>
      <w:bookmarkStart w:id="232" w:name="_Toc45840842"/>
      <w:bookmarkStart w:id="233" w:name="_Toc45841159"/>
      <w:bookmarkStart w:id="234" w:name="_Toc45838526"/>
      <w:bookmarkStart w:id="235" w:name="_Toc46154354"/>
      <w:bookmarkEnd w:id="232"/>
      <w:bookmarkEnd w:id="233"/>
      <w:r w:rsidRPr="00E426B8">
        <w:rPr>
          <w:rFonts w:eastAsia="Times New Roman" w:cs="Times New Roman"/>
          <w:caps w:val="0"/>
          <w:color w:val="1F497D" w:themeColor="text2"/>
          <w:sz w:val="28"/>
          <w:szCs w:val="28"/>
          <w:lang w:val="en-US"/>
        </w:rPr>
        <w:t>ՀԱՐԿԱԲՅՈՒՋԵՏԱՅԻՆ ՌԻՍԿԵՐ</w:t>
      </w:r>
      <w:bookmarkEnd w:id="234"/>
      <w:bookmarkEnd w:id="235"/>
    </w:p>
    <w:p w14:paraId="7D41D0A1" w14:textId="77777777" w:rsidR="00C7695C" w:rsidRPr="000878DD" w:rsidRDefault="00C7695C" w:rsidP="00C7695C">
      <w:pPr>
        <w:spacing w:after="120" w:line="276" w:lineRule="auto"/>
        <w:ind w:firstLine="709"/>
        <w:rPr>
          <w:rStyle w:val="tlid-translation"/>
          <w:lang w:val="hy-AM"/>
        </w:rPr>
      </w:pPr>
      <w:r w:rsidRPr="003A6F46">
        <w:rPr>
          <w:rStyle w:val="tlid-translation"/>
          <w:lang w:val="hy-AM"/>
        </w:rPr>
        <w:t>Հարկաբյուջետային կանխատեսումները հիմնված են մի շարք ենթադրությունների և հիմնական դատողությունների վրա</w:t>
      </w:r>
      <w:r>
        <w:rPr>
          <w:rStyle w:val="tlid-translation"/>
          <w:lang w:val="hy-AM"/>
        </w:rPr>
        <w:t>,  որոնց համար օգտագործվել է տվյալ պահի դրությամբ առկա և հասանելի ամբողջ տեղեկատվությունը</w:t>
      </w:r>
      <w:r>
        <w:rPr>
          <w:rStyle w:val="FootnoteReference"/>
          <w:lang w:val="hy-AM"/>
        </w:rPr>
        <w:footnoteReference w:id="11"/>
      </w:r>
      <w:r w:rsidR="000A2BEC">
        <w:rPr>
          <w:rStyle w:val="tlid-translation"/>
          <w:lang w:val="en-GB"/>
        </w:rPr>
        <w:t>:</w:t>
      </w:r>
      <w:r w:rsidRPr="003A6F46">
        <w:rPr>
          <w:rStyle w:val="tlid-translation"/>
          <w:lang w:val="hy-AM"/>
        </w:rPr>
        <w:t xml:space="preserve"> </w:t>
      </w:r>
      <w:r>
        <w:rPr>
          <w:rStyle w:val="tlid-translation"/>
          <w:lang w:val="hy-AM"/>
        </w:rPr>
        <w:t>Ինչպես ց</w:t>
      </w:r>
      <w:r w:rsidRPr="003A6F46">
        <w:rPr>
          <w:rStyle w:val="tlid-translation"/>
          <w:lang w:val="hy-AM"/>
        </w:rPr>
        <w:t>անկացած կանխատեսում</w:t>
      </w:r>
      <w:r>
        <w:rPr>
          <w:rStyle w:val="tlid-translation"/>
          <w:lang w:val="hy-AM"/>
        </w:rPr>
        <w:t>, հարկաբյուջետային կանխատեսումները նույնպես</w:t>
      </w:r>
      <w:r w:rsidRPr="003A6F46">
        <w:rPr>
          <w:rStyle w:val="tlid-translation"/>
          <w:lang w:val="hy-AM"/>
        </w:rPr>
        <w:t xml:space="preserve"> </w:t>
      </w:r>
      <w:r>
        <w:rPr>
          <w:rStyle w:val="tlid-translation"/>
          <w:lang w:val="hy-AM"/>
        </w:rPr>
        <w:t>պարունակում են</w:t>
      </w:r>
      <w:r w:rsidRPr="003A6F46">
        <w:rPr>
          <w:rStyle w:val="tlid-translation"/>
          <w:lang w:val="hy-AM"/>
        </w:rPr>
        <w:t xml:space="preserve"> ռիսկ</w:t>
      </w:r>
      <w:r>
        <w:rPr>
          <w:rStyle w:val="tlid-translation"/>
          <w:lang w:val="hy-AM"/>
        </w:rPr>
        <w:t>եր առ այն</w:t>
      </w:r>
      <w:r w:rsidRPr="003A6F46">
        <w:rPr>
          <w:rStyle w:val="tlid-translation"/>
          <w:lang w:val="hy-AM"/>
        </w:rPr>
        <w:t xml:space="preserve">, որ </w:t>
      </w:r>
      <w:r>
        <w:rPr>
          <w:rStyle w:val="tlid-translation"/>
          <w:lang w:val="hy-AM"/>
        </w:rPr>
        <w:t>փաստացի</w:t>
      </w:r>
      <w:r w:rsidRPr="003A6F46">
        <w:rPr>
          <w:rStyle w:val="tlid-translation"/>
          <w:lang w:val="hy-AM"/>
        </w:rPr>
        <w:t xml:space="preserve"> իրադարձությունները կ</w:t>
      </w:r>
      <w:r w:rsidR="00595A2D" w:rsidRPr="0035033F">
        <w:rPr>
          <w:rStyle w:val="tlid-translation"/>
          <w:lang w:val="hy-AM"/>
        </w:rPr>
        <w:t xml:space="preserve">արող են </w:t>
      </w:r>
      <w:r w:rsidRPr="003A6F46">
        <w:rPr>
          <w:rStyle w:val="tlid-translation"/>
          <w:lang w:val="hy-AM"/>
        </w:rPr>
        <w:t>տարբերվե</w:t>
      </w:r>
      <w:r w:rsidR="00595A2D" w:rsidRPr="0035033F">
        <w:rPr>
          <w:rStyle w:val="tlid-translation"/>
          <w:lang w:val="hy-AM"/>
        </w:rPr>
        <w:t>լ</w:t>
      </w:r>
      <w:r w:rsidRPr="003A6F46">
        <w:rPr>
          <w:rStyle w:val="tlid-translation"/>
          <w:lang w:val="hy-AM"/>
        </w:rPr>
        <w:t xml:space="preserve"> սպասումներից: 2021-2023</w:t>
      </w:r>
      <w:r>
        <w:rPr>
          <w:rStyle w:val="tlid-translation"/>
          <w:lang w:val="hy-AM"/>
        </w:rPr>
        <w:t>թթ. ՄԺԾԾ հիմնական մակրոտնտեսական հարկաբյուջետային ռիսկերը հետևյալն են՝</w:t>
      </w:r>
    </w:p>
    <w:p w14:paraId="60EDAB12" w14:textId="77777777" w:rsidR="00C7695C" w:rsidRPr="00122454" w:rsidRDefault="00C7695C" w:rsidP="00C7695C">
      <w:pPr>
        <w:pStyle w:val="ListParagraph"/>
        <w:numPr>
          <w:ilvl w:val="0"/>
          <w:numId w:val="39"/>
        </w:numPr>
        <w:spacing w:before="0" w:after="120" w:line="276" w:lineRule="auto"/>
        <w:ind w:left="0" w:firstLine="709"/>
        <w:rPr>
          <w:rStyle w:val="tlid-translation"/>
          <w:lang w:val="hy-AM"/>
        </w:rPr>
      </w:pPr>
      <w:r w:rsidRPr="000878DD">
        <w:rPr>
          <w:rStyle w:val="tlid-translation"/>
          <w:b/>
          <w:bCs/>
          <w:lang w:val="hy-AM"/>
        </w:rPr>
        <w:lastRenderedPageBreak/>
        <w:t xml:space="preserve">COVID-19 </w:t>
      </w:r>
      <w:r w:rsidRPr="0064612F">
        <w:rPr>
          <w:rStyle w:val="tlid-translation"/>
          <w:b/>
          <w:bCs/>
          <w:lang w:val="hy-AM"/>
        </w:rPr>
        <w:t>համավարակի անորոշություններ։</w:t>
      </w:r>
      <w:r w:rsidRPr="0064612F">
        <w:rPr>
          <w:rStyle w:val="tlid-translation"/>
          <w:lang w:val="hy-AM"/>
        </w:rPr>
        <w:t xml:space="preserve"> Կորոնավիրուսի </w:t>
      </w:r>
      <w:r>
        <w:rPr>
          <w:rStyle w:val="tlid-translation"/>
          <w:lang w:val="hy-AM"/>
        </w:rPr>
        <w:t>տարածման և տևողության անորոշությունների</w:t>
      </w:r>
      <w:r w:rsidRPr="0064612F">
        <w:rPr>
          <w:rStyle w:val="tlid-translation"/>
          <w:lang w:val="hy-AM"/>
        </w:rPr>
        <w:t xml:space="preserve"> հետևանքով տնտեսական աճի ռիսկերը գնահատվում</w:t>
      </w:r>
      <w:r w:rsidRPr="000878DD">
        <w:rPr>
          <w:rStyle w:val="tlid-translation"/>
          <w:lang w:val="hy-AM"/>
        </w:rPr>
        <w:t xml:space="preserve"> են առավելապես դեպի</w:t>
      </w:r>
      <w:r w:rsidRPr="0064612F">
        <w:rPr>
          <w:rStyle w:val="tlid-translation"/>
          <w:lang w:val="hy-AM"/>
        </w:rPr>
        <w:t xml:space="preserve"> ներքև</w:t>
      </w:r>
      <w:r w:rsidRPr="000878DD">
        <w:rPr>
          <w:rStyle w:val="tlid-translation"/>
          <w:lang w:val="hy-AM"/>
        </w:rPr>
        <w:t>, որ</w:t>
      </w:r>
      <w:r>
        <w:rPr>
          <w:rStyle w:val="tlid-translation"/>
          <w:lang w:val="hy-AM"/>
        </w:rPr>
        <w:t>ը պայմանավորված է</w:t>
      </w:r>
      <w:r w:rsidRPr="000878DD">
        <w:rPr>
          <w:rStyle w:val="tlid-translation"/>
          <w:lang w:val="hy-AM"/>
        </w:rPr>
        <w:t xml:space="preserve"> </w:t>
      </w:r>
      <w:r>
        <w:rPr>
          <w:rStyle w:val="tlid-translation"/>
          <w:lang w:val="hy-AM"/>
        </w:rPr>
        <w:t>ճգնաժամից տնտեսության վերականգնման</w:t>
      </w:r>
      <w:r w:rsidRPr="000878DD">
        <w:rPr>
          <w:rStyle w:val="tlid-translation"/>
          <w:lang w:val="hy-AM"/>
        </w:rPr>
        <w:t xml:space="preserve"> անորոշություն</w:t>
      </w:r>
      <w:r>
        <w:rPr>
          <w:rStyle w:val="tlid-translation"/>
          <w:lang w:val="hy-AM"/>
        </w:rPr>
        <w:t xml:space="preserve">ների՝ </w:t>
      </w:r>
      <w:r w:rsidRPr="000878DD">
        <w:rPr>
          <w:rStyle w:val="tlid-translation"/>
          <w:lang w:val="hy-AM"/>
        </w:rPr>
        <w:t>ավելի ուշ դուրս գալու ռիսկ</w:t>
      </w:r>
      <w:r>
        <w:rPr>
          <w:rStyle w:val="tlid-translation"/>
          <w:lang w:val="hy-AM"/>
        </w:rPr>
        <w:t>երով: Բացի այդ</w:t>
      </w:r>
      <w:r w:rsidRPr="000878DD">
        <w:rPr>
          <w:rStyle w:val="tlid-translation"/>
          <w:lang w:val="hy-AM"/>
        </w:rPr>
        <w:t>,</w:t>
      </w:r>
      <w:r>
        <w:rPr>
          <w:rStyle w:val="tlid-translation"/>
          <w:lang w:val="hy-AM"/>
        </w:rPr>
        <w:t xml:space="preserve"> կանխատեսումներում ներառված չեն ԱՄՀ կողմից</w:t>
      </w:r>
      <w:r w:rsidRPr="000878DD">
        <w:rPr>
          <w:rStyle w:val="tlid-translation"/>
          <w:lang w:val="hy-AM"/>
        </w:rPr>
        <w:t xml:space="preserve"> </w:t>
      </w:r>
      <w:r>
        <w:rPr>
          <w:rStyle w:val="tlid-translation"/>
          <w:lang w:val="hy-AM"/>
        </w:rPr>
        <w:t>համաշխարհային և գործընկեր երկրներ</w:t>
      </w:r>
      <w:r w:rsidRPr="000878DD">
        <w:rPr>
          <w:rStyle w:val="tlid-translation"/>
          <w:lang w:val="hy-AM"/>
        </w:rPr>
        <w:t xml:space="preserve"> տնտեսական աճ</w:t>
      </w:r>
      <w:r>
        <w:rPr>
          <w:rStyle w:val="tlid-translation"/>
          <w:lang w:val="hy-AM"/>
        </w:rPr>
        <w:t>եր</w:t>
      </w:r>
      <w:r w:rsidRPr="000878DD">
        <w:rPr>
          <w:rStyle w:val="tlid-translation"/>
          <w:lang w:val="hy-AM"/>
        </w:rPr>
        <w:t>ի կանխատեսման դեպի ներքև վերանայումները</w:t>
      </w:r>
      <w:r>
        <w:rPr>
          <w:rStyle w:val="tlid-translation"/>
          <w:lang w:val="hy-AM"/>
        </w:rPr>
        <w:t>, որոնք ևս մեծացնում են դեպի ներքև ռիսկերը</w:t>
      </w:r>
      <w:r w:rsidRPr="000878DD">
        <w:rPr>
          <w:rStyle w:val="tlid-translation"/>
          <w:lang w:val="hy-AM"/>
        </w:rPr>
        <w:t xml:space="preserve">: Տնտեսական </w:t>
      </w:r>
      <w:r>
        <w:rPr>
          <w:rStyle w:val="tlid-translation"/>
          <w:lang w:val="hy-AM"/>
        </w:rPr>
        <w:t>բացասական ռիսկեր</w:t>
      </w:r>
      <w:r w:rsidRPr="0064612F">
        <w:rPr>
          <w:rStyle w:val="tlid-translation"/>
          <w:lang w:val="hy-AM"/>
        </w:rPr>
        <w:t>ի</w:t>
      </w:r>
      <w:r>
        <w:rPr>
          <w:rStyle w:val="tlid-translation"/>
          <w:lang w:val="hy-AM"/>
        </w:rPr>
        <w:t xml:space="preserve"> ի</w:t>
      </w:r>
      <w:r w:rsidRPr="0064612F">
        <w:rPr>
          <w:rStyle w:val="tlid-translation"/>
          <w:lang w:val="hy-AM"/>
        </w:rPr>
        <w:t xml:space="preserve"> հայտ գալու պարագայում հարկային եկամուտները այս ՄԺԾԾ հարկաբյուջետային շրջանակից ավելի ցածր կլինեն: Հաշվի առնելով նաև այն, որ միջնաժամկետում ընթացիկ ծախսերը, համաձայն հարկաբյուջետային կանոնների, սահմանափակված են նախորդ </w:t>
      </w:r>
      <w:r w:rsidRPr="000878DD">
        <w:rPr>
          <w:rStyle w:val="tlid-translation"/>
          <w:lang w:val="hy-AM"/>
        </w:rPr>
        <w:t xml:space="preserve">7 </w:t>
      </w:r>
      <w:r w:rsidRPr="0064612F">
        <w:rPr>
          <w:rStyle w:val="tlid-translation"/>
          <w:lang w:val="hy-AM"/>
        </w:rPr>
        <w:t>տարիների անվանական ՀՆԱ-ի աճի տեմպով, ապա կառավարության հնարավորությունները ընթացիկ ծախսերի իրականացման գծով նույնպես կկրճատվեն: Այսինքն՝ առկա են ընթացիկ ծախսերի դեպի ներքև ճշգրտման ճնշումներ, որի պարագայում պետք է վերանայվեն համապատասխան</w:t>
      </w:r>
      <w:r>
        <w:rPr>
          <w:rStyle w:val="tlid-translation"/>
          <w:lang w:val="hy-AM"/>
        </w:rPr>
        <w:t xml:space="preserve"> ծախսային ծրագրերը։</w:t>
      </w:r>
    </w:p>
    <w:p w14:paraId="18C8B1AD" w14:textId="77777777" w:rsidR="00C7695C" w:rsidRPr="0064612F" w:rsidRDefault="00C7695C" w:rsidP="00C7695C">
      <w:pPr>
        <w:pStyle w:val="ListParagraph"/>
        <w:numPr>
          <w:ilvl w:val="0"/>
          <w:numId w:val="39"/>
        </w:numPr>
        <w:spacing w:before="0" w:after="120" w:line="276" w:lineRule="auto"/>
        <w:ind w:left="0" w:firstLine="709"/>
        <w:rPr>
          <w:rStyle w:val="tlid-translation"/>
          <w:lang w:val="hy-AM"/>
        </w:rPr>
      </w:pPr>
      <w:r>
        <w:rPr>
          <w:rStyle w:val="tlid-translation"/>
          <w:b/>
          <w:bCs/>
          <w:lang w:val="hy-AM"/>
        </w:rPr>
        <w:t xml:space="preserve">ՀՀ կառավարության հակաճգնաժամային և տնտեսության հետագա վերականգնմանն ուղղված միջոցառումների ընթացք։ </w:t>
      </w:r>
      <w:r w:rsidRPr="00122454">
        <w:rPr>
          <w:rStyle w:val="tlid-translation"/>
          <w:lang w:val="hy-AM"/>
        </w:rPr>
        <w:t xml:space="preserve">ՀՀ կառավարության կողմից իրականացվող COVID 19-ի հետևանքների չեզոքացման և տնտեսական վերականգնման միջոցառումների դրական ազդեցությունները տնտեսության վրա կարող են լինել սպասվածից ավելի փոքր՝ </w:t>
      </w:r>
      <w:r w:rsidR="00595A2D" w:rsidRPr="0035033F">
        <w:rPr>
          <w:rStyle w:val="tlid-translation"/>
          <w:lang w:val="hy-AM"/>
        </w:rPr>
        <w:t>չնպաստելով</w:t>
      </w:r>
      <w:r w:rsidRPr="00122454">
        <w:rPr>
          <w:rStyle w:val="tlid-translation"/>
          <w:lang w:val="hy-AM"/>
        </w:rPr>
        <w:t xml:space="preserve"> պետական բյուջեի </w:t>
      </w:r>
      <w:r w:rsidR="00595A2D" w:rsidRPr="0035033F">
        <w:rPr>
          <w:rStyle w:val="tlid-translation"/>
          <w:lang w:val="hy-AM"/>
        </w:rPr>
        <w:t xml:space="preserve">սպասվող </w:t>
      </w:r>
      <w:r w:rsidRPr="00122454">
        <w:rPr>
          <w:rStyle w:val="tlid-translation"/>
          <w:lang w:val="hy-AM"/>
        </w:rPr>
        <w:t xml:space="preserve">ցուցանիշների </w:t>
      </w:r>
      <w:r w:rsidR="00595A2D" w:rsidRPr="0035033F">
        <w:rPr>
          <w:rStyle w:val="tlid-translation"/>
          <w:lang w:val="hy-AM"/>
        </w:rPr>
        <w:t>արձագանքմանը</w:t>
      </w:r>
      <w:r w:rsidRPr="00122454">
        <w:rPr>
          <w:rStyle w:val="tlid-translation"/>
          <w:lang w:val="hy-AM"/>
        </w:rPr>
        <w:t>:</w:t>
      </w:r>
      <w:r>
        <w:rPr>
          <w:rStyle w:val="tlid-translation"/>
          <w:lang w:val="hy-AM"/>
        </w:rPr>
        <w:t xml:space="preserve"> Վերջինս </w:t>
      </w:r>
      <w:r w:rsidR="00595A2D" w:rsidRPr="0035033F">
        <w:rPr>
          <w:rStyle w:val="tlid-translation"/>
          <w:lang w:val="hy-AM"/>
        </w:rPr>
        <w:t>կապված</w:t>
      </w:r>
      <w:r>
        <w:rPr>
          <w:rStyle w:val="tlid-translation"/>
          <w:lang w:val="hy-AM"/>
        </w:rPr>
        <w:t xml:space="preserve"> է նաև ծրագրերի իրականացման ժամկետների անորոշությամբ, հատկապես 80 մլրդ դրամ ծավալով մասնավոր ներդրումների խթանման ուղղված ծրագրի մասով, քանի որ այդ փաթեթի գծով փաստացի ծախսերը դեռևս բավականին փոքր են և հն</w:t>
      </w:r>
      <w:r w:rsidR="00595A2D" w:rsidRPr="0035033F">
        <w:rPr>
          <w:rStyle w:val="tlid-translation"/>
          <w:lang w:val="hy-AM"/>
        </w:rPr>
        <w:t>դրանք</w:t>
      </w:r>
      <w:r>
        <w:rPr>
          <w:rStyle w:val="tlid-translation"/>
          <w:lang w:val="hy-AM"/>
        </w:rPr>
        <w:t xml:space="preserve"> 2020թ. Ընթացքում</w:t>
      </w:r>
      <w:r w:rsidR="00595A2D" w:rsidRPr="0035033F">
        <w:rPr>
          <w:rStyle w:val="tlid-translation"/>
          <w:lang w:val="hy-AM"/>
        </w:rPr>
        <w:t xml:space="preserve"> ամբողջ ծավալով իրականացման ռիսկեր կան</w:t>
      </w:r>
      <w:r>
        <w:rPr>
          <w:rStyle w:val="tlid-translation"/>
          <w:lang w:val="hy-AM"/>
        </w:rPr>
        <w:t xml:space="preserve"> </w:t>
      </w:r>
      <w:r w:rsidRPr="00D27ECE">
        <w:rPr>
          <w:rStyle w:val="tlid-translation"/>
          <w:lang w:val="hy-AM"/>
        </w:rPr>
        <w:t>(</w:t>
      </w:r>
      <w:r>
        <w:rPr>
          <w:rStyle w:val="tlid-translation"/>
          <w:lang w:val="hy-AM"/>
        </w:rPr>
        <w:t>չնայած ՄԺԾԾ կանխատեսումների հիմքում ընկած է այս տարի դրա ամբողջական օգտագործման ենթադրությունը</w:t>
      </w:r>
      <w:r w:rsidRPr="00D27ECE">
        <w:rPr>
          <w:rStyle w:val="tlid-translation"/>
          <w:lang w:val="hy-AM"/>
        </w:rPr>
        <w:t>)</w:t>
      </w:r>
      <w:r>
        <w:rPr>
          <w:rStyle w:val="tlid-translation"/>
          <w:lang w:val="hy-AM"/>
        </w:rPr>
        <w:t xml:space="preserve">: </w:t>
      </w:r>
      <w:r w:rsidRPr="0064612F">
        <w:rPr>
          <w:rStyle w:val="tlid-translation"/>
          <w:lang w:val="hy-AM"/>
        </w:rPr>
        <w:t>Բացի այդ, տնտեսության աջակցության միջոցառումները դեռևս գտնվում են մշակման փուլում և հնարավոր է նախատեսվեն աջակցության նոր ծրագրեր, որոնց արդյունքում հարկաբյուջետային շրջանակի ցուցանիշները վերանայման կարիք կունենան:</w:t>
      </w:r>
    </w:p>
    <w:p w14:paraId="6654EF0B" w14:textId="77777777" w:rsidR="00C7695C" w:rsidRPr="00234084" w:rsidRDefault="00C7695C" w:rsidP="00C7695C">
      <w:pPr>
        <w:pStyle w:val="ListParagraph"/>
        <w:numPr>
          <w:ilvl w:val="0"/>
          <w:numId w:val="39"/>
        </w:numPr>
        <w:spacing w:before="0" w:after="120" w:line="276" w:lineRule="auto"/>
        <w:ind w:left="0" w:firstLine="709"/>
        <w:rPr>
          <w:rStyle w:val="tlid-translation"/>
          <w:lang w:val="hy-AM"/>
        </w:rPr>
      </w:pPr>
      <w:r w:rsidRPr="00234084">
        <w:rPr>
          <w:rStyle w:val="tlid-translation"/>
          <w:b/>
          <w:bCs/>
          <w:lang w:val="hy-AM"/>
        </w:rPr>
        <w:t>Հարկաբյուջետային շրջանակի հնարավոր փոփոխությունները մակրոտնտեսական կանխատեսումների շեղումների դեպքում</w:t>
      </w:r>
      <w:r>
        <w:rPr>
          <w:rStyle w:val="tlid-translation"/>
          <w:b/>
          <w:bCs/>
          <w:lang w:val="hy-AM"/>
        </w:rPr>
        <w:t xml:space="preserve"> և սթրես թեստերի ներքո</w:t>
      </w:r>
      <w:r>
        <w:rPr>
          <w:rStyle w:val="FootnoteReference"/>
          <w:lang w:val="hy-AM"/>
        </w:rPr>
        <w:footnoteReference w:id="12"/>
      </w:r>
      <w:r>
        <w:rPr>
          <w:rStyle w:val="tlid-translation"/>
          <w:b/>
          <w:bCs/>
          <w:lang w:val="hy-AM"/>
        </w:rPr>
        <w:t>.</w:t>
      </w:r>
    </w:p>
    <w:p w14:paraId="636377D9" w14:textId="77777777" w:rsidR="00C7695C" w:rsidRPr="00982A48" w:rsidRDefault="00C7695C" w:rsidP="00C7695C">
      <w:pPr>
        <w:pStyle w:val="BodyText"/>
        <w:numPr>
          <w:ilvl w:val="1"/>
          <w:numId w:val="39"/>
        </w:numPr>
        <w:spacing w:before="0" w:line="276" w:lineRule="auto"/>
        <w:ind w:left="851" w:hanging="283"/>
        <w:contextualSpacing/>
        <w:rPr>
          <w:rStyle w:val="tlid-translation"/>
          <w:rFonts w:eastAsiaTheme="minorHAnsi"/>
          <w:lang w:val="hy-AM"/>
        </w:rPr>
      </w:pPr>
      <w:r>
        <w:rPr>
          <w:rStyle w:val="tlid-translation"/>
          <w:b/>
          <w:bCs/>
          <w:lang w:val="hy-AM"/>
        </w:rPr>
        <w:t>Հարկային եկամուտներ</w:t>
      </w:r>
      <w:r w:rsidRPr="003A6F46">
        <w:rPr>
          <w:rStyle w:val="tlid-translation"/>
          <w:b/>
          <w:bCs/>
          <w:lang w:val="hy-AM"/>
        </w:rPr>
        <w:t xml:space="preserve">: </w:t>
      </w:r>
      <w:r w:rsidRPr="00122454">
        <w:rPr>
          <w:rStyle w:val="tlid-translation"/>
          <w:lang w:val="hy-AM"/>
        </w:rPr>
        <w:t>Միջնաժամկետ հորիզոնում ՀՀ պետական բյուջեի հարկային եկամուտների վրա գնահատված է մակրոտնտեսական ցուցանիշների՝ իրական ՀՆԱ-ի աճի, գնաճի, փոխարժեքի տատանողականության և ներմուծման ռիսկերի շեղման ամփոփ գնահատականը: Հարկային եկամուտների վրա ազդող վերոնշյալ ռիսկերի միաժամանակյա ի հայտ գալու պարագայում հարկային եկամուտների ծրագրված մակարդակից շեղումը կկազմի շուրջ 20.3 մլրդ ՀՀ դրամ 2021 թվականին, 28.2 մլրդ ՀՀ դրամ 2022 թվականին և 41.7 մլրդ ՀՀ դրամ 2023 թվականին:</w:t>
      </w:r>
    </w:p>
    <w:p w14:paraId="79F9AD86" w14:textId="77777777" w:rsidR="00C7695C" w:rsidRDefault="00C7695C" w:rsidP="00C7695C">
      <w:pPr>
        <w:pStyle w:val="BodyText"/>
        <w:numPr>
          <w:ilvl w:val="1"/>
          <w:numId w:val="39"/>
        </w:numPr>
        <w:spacing w:before="0" w:line="276" w:lineRule="auto"/>
        <w:ind w:left="851" w:hanging="283"/>
        <w:contextualSpacing/>
        <w:rPr>
          <w:rStyle w:val="tlid-translation"/>
          <w:lang w:val="hy-AM"/>
        </w:rPr>
      </w:pPr>
      <w:r w:rsidRPr="00EA5FD8">
        <w:rPr>
          <w:rStyle w:val="tlid-translation"/>
          <w:b/>
          <w:bCs/>
          <w:lang w:val="hy-AM"/>
        </w:rPr>
        <w:t>Պետական բյուջե</w:t>
      </w:r>
      <w:r>
        <w:rPr>
          <w:rStyle w:val="tlid-translation"/>
          <w:b/>
          <w:bCs/>
          <w:lang w:val="hy-AM"/>
        </w:rPr>
        <w:t>ի ծախսեր</w:t>
      </w:r>
      <w:r w:rsidRPr="00EA5FD8">
        <w:rPr>
          <w:rStyle w:val="tlid-translation"/>
          <w:lang w:val="hy-AM"/>
        </w:rPr>
        <w:t xml:space="preserve">: Կանխատեսումներում մեծ ուշադրություն է դարձվում նաև պետական բյուջեի ծախսերի պլանավորված մակարդակների ապահովումը խաթարող </w:t>
      </w:r>
      <w:r w:rsidRPr="00EA5FD8">
        <w:rPr>
          <w:rStyle w:val="tlid-translation"/>
          <w:lang w:val="hy-AM"/>
        </w:rPr>
        <w:lastRenderedPageBreak/>
        <w:t>ռիսկերին, որոնք կարող են հանգեցնել լրացուցիչ ֆինանսավորման պահանջի առաջացման: ՀՀ պետական բյուջեի ծախսերի վրա գնահատված է ինչպես մակրոտնտեսական ցուցանիշների՝ իրական ՀՆԱ-ի աճի, գնաճի, փոխարժեքի տատանողականության և ներմուծման ռիսկերի շեղման ամփոփ գնահատականը, այնպես էլ ԵՄ բյուջետային աջակցության դրամաշնորհների չստացման ռիսկեր, որոնց միաժամանակյա ի հայտ գալու պարագայում 2021-2023 թվականներին ՀՀ պետական բյուջեի դեֆիցիտի լրացուցիչ ֆինանսավորման պահանջը կկազմի շուրջ 13.0–34.0 մլրդ ՀՀ դրամ կամ ՀՆԱ-ի 0.2-0.4%-ը: Ընդ որում` ՀՀ կառա</w:t>
      </w:r>
      <w:r w:rsidRPr="00EA5FD8">
        <w:rPr>
          <w:rStyle w:val="tlid-translation"/>
          <w:lang w:val="hy-AM"/>
        </w:rPr>
        <w:softHyphen/>
        <w:t>վարու</w:t>
      </w:r>
      <w:r w:rsidRPr="00EA5FD8">
        <w:rPr>
          <w:rStyle w:val="tlid-translation"/>
          <w:lang w:val="hy-AM"/>
        </w:rPr>
        <w:softHyphen/>
        <w:t>թյան տնտեսական քաղաքականության հիմնական նպատակադրումը լինելու է սոցիալական բնույթի ծախսերի կրճատման բացառումը, իսկ հնարավորության դեպքում` բյուջեի ծախսերի ամբողջական իրականացումը:</w:t>
      </w:r>
    </w:p>
    <w:p w14:paraId="7A82EAE2" w14:textId="07F76235" w:rsidR="00C7695C" w:rsidRPr="001108EC" w:rsidRDefault="00C7695C" w:rsidP="00C7695C">
      <w:pPr>
        <w:pStyle w:val="BodyText"/>
        <w:numPr>
          <w:ilvl w:val="1"/>
          <w:numId w:val="39"/>
        </w:numPr>
        <w:spacing w:before="0" w:line="276" w:lineRule="auto"/>
        <w:ind w:left="851" w:hanging="283"/>
        <w:contextualSpacing/>
        <w:rPr>
          <w:rStyle w:val="tlid-translation"/>
          <w:lang w:val="hy-AM"/>
        </w:rPr>
      </w:pPr>
      <w:r w:rsidRPr="001108EC">
        <w:rPr>
          <w:rStyle w:val="tlid-translation"/>
          <w:b/>
          <w:bCs/>
          <w:lang w:val="hy-AM"/>
        </w:rPr>
        <w:t xml:space="preserve">ՀՀ կառավարության պարտք։ </w:t>
      </w:r>
      <w:r w:rsidRPr="00EB1197">
        <w:rPr>
          <w:rStyle w:val="tlid-translation"/>
          <w:rFonts w:cs="Sylfaen"/>
          <w:lang w:val="hy-AM"/>
        </w:rPr>
        <w:t>Միջնաժամկետ</w:t>
      </w:r>
      <w:r w:rsidRPr="00EB1197">
        <w:rPr>
          <w:rStyle w:val="tlid-translation"/>
          <w:lang w:val="hy-AM"/>
        </w:rPr>
        <w:t xml:space="preserve"> </w:t>
      </w:r>
      <w:r w:rsidRPr="00EB1197">
        <w:rPr>
          <w:rStyle w:val="tlid-translation"/>
          <w:rFonts w:cs="Sylfaen"/>
          <w:lang w:val="hy-AM"/>
        </w:rPr>
        <w:t>հատվածում</w:t>
      </w:r>
      <w:r w:rsidRPr="00EB1197">
        <w:rPr>
          <w:rStyle w:val="tlid-translation"/>
          <w:lang w:val="hy-AM"/>
        </w:rPr>
        <w:t xml:space="preserve"> </w:t>
      </w:r>
      <w:r w:rsidRPr="00EB1197">
        <w:rPr>
          <w:rStyle w:val="tlid-translation"/>
          <w:rFonts w:cs="Sylfaen"/>
          <w:lang w:val="hy-AM"/>
        </w:rPr>
        <w:t>ՀՀ</w:t>
      </w:r>
      <w:r w:rsidRPr="00EB1197">
        <w:rPr>
          <w:rStyle w:val="tlid-translation"/>
          <w:lang w:val="hy-AM"/>
        </w:rPr>
        <w:t xml:space="preserve"> </w:t>
      </w:r>
      <w:r w:rsidRPr="00EB1197">
        <w:rPr>
          <w:rStyle w:val="tlid-translation"/>
          <w:rFonts w:cs="Sylfaen"/>
          <w:lang w:val="hy-AM"/>
        </w:rPr>
        <w:t>կառավարության</w:t>
      </w:r>
      <w:r w:rsidRPr="00EB1197">
        <w:rPr>
          <w:rStyle w:val="tlid-translation"/>
          <w:lang w:val="hy-AM"/>
        </w:rPr>
        <w:t xml:space="preserve"> </w:t>
      </w:r>
      <w:r w:rsidRPr="00EB1197">
        <w:rPr>
          <w:rStyle w:val="tlid-translation"/>
          <w:rFonts w:cs="Sylfaen"/>
          <w:lang w:val="hy-AM"/>
        </w:rPr>
        <w:t>պարտքը</w:t>
      </w:r>
      <w:r w:rsidRPr="00EB1197">
        <w:rPr>
          <w:rStyle w:val="tlid-translation"/>
          <w:lang w:val="hy-AM"/>
        </w:rPr>
        <w:t xml:space="preserve"> </w:t>
      </w:r>
      <w:r w:rsidR="00595A2D" w:rsidRPr="0035033F">
        <w:rPr>
          <w:rStyle w:val="tlid-translation"/>
          <w:lang w:val="hy-AM"/>
        </w:rPr>
        <w:t>մակրոտնտեսական սթրես թեստերի ներքո</w:t>
      </w:r>
      <w:r w:rsidRPr="00EB1197">
        <w:rPr>
          <w:rStyle w:val="tlid-translation"/>
          <w:rFonts w:cs="Sylfaen"/>
          <w:lang w:val="hy-AM"/>
        </w:rPr>
        <w:t xml:space="preserve"> գնահատվում</w:t>
      </w:r>
      <w:r w:rsidRPr="00EB1197">
        <w:rPr>
          <w:rStyle w:val="tlid-translation"/>
          <w:lang w:val="hy-AM"/>
        </w:rPr>
        <w:t xml:space="preserve"> </w:t>
      </w:r>
      <w:r w:rsidRPr="00EB1197">
        <w:rPr>
          <w:rStyle w:val="tlid-translation"/>
          <w:rFonts w:cs="Sylfaen"/>
          <w:lang w:val="hy-AM"/>
        </w:rPr>
        <w:t>է</w:t>
      </w:r>
      <w:r w:rsidRPr="00EB1197">
        <w:rPr>
          <w:rStyle w:val="tlid-translation"/>
          <w:lang w:val="hy-AM"/>
        </w:rPr>
        <w:t xml:space="preserve"> </w:t>
      </w:r>
      <w:r w:rsidRPr="00EB1197">
        <w:rPr>
          <w:rStyle w:val="tlid-translation"/>
          <w:rFonts w:cs="Sylfaen"/>
          <w:lang w:val="hy-AM"/>
        </w:rPr>
        <w:t>կայուն</w:t>
      </w:r>
      <w:r w:rsidRPr="00EB1197">
        <w:rPr>
          <w:rStyle w:val="tlid-translation"/>
          <w:lang w:val="hy-AM"/>
        </w:rPr>
        <w:t xml:space="preserve"> </w:t>
      </w:r>
      <w:r w:rsidRPr="00EB1197">
        <w:rPr>
          <w:rStyle w:val="tlid-translation"/>
          <w:rFonts w:cs="Sylfaen"/>
          <w:lang w:val="hy-AM"/>
        </w:rPr>
        <w:t>և</w:t>
      </w:r>
      <w:r w:rsidRPr="00EB1197">
        <w:rPr>
          <w:rStyle w:val="tlid-translation"/>
          <w:lang w:val="hy-AM"/>
        </w:rPr>
        <w:t xml:space="preserve"> </w:t>
      </w:r>
      <w:r w:rsidRPr="00EB1197">
        <w:rPr>
          <w:rStyle w:val="tlid-translation"/>
          <w:rFonts w:cs="Sylfaen"/>
          <w:lang w:val="hy-AM"/>
        </w:rPr>
        <w:t>ցածր</w:t>
      </w:r>
      <w:r w:rsidRPr="00EB1197">
        <w:rPr>
          <w:rStyle w:val="tlid-translation"/>
          <w:lang w:val="hy-AM"/>
        </w:rPr>
        <w:t xml:space="preserve"> </w:t>
      </w:r>
      <w:r w:rsidRPr="00EB1197">
        <w:rPr>
          <w:rStyle w:val="tlid-translation"/>
          <w:rFonts w:cs="Sylfaen"/>
          <w:lang w:val="hy-AM"/>
        </w:rPr>
        <w:t>ռիսկային՝</w:t>
      </w:r>
      <w:r w:rsidRPr="00EB1197">
        <w:rPr>
          <w:rStyle w:val="tlid-translation"/>
          <w:lang w:val="hy-AM"/>
        </w:rPr>
        <w:t xml:space="preserve"> </w:t>
      </w:r>
      <w:r w:rsidRPr="00EB1197">
        <w:rPr>
          <w:rStyle w:val="tlid-translation"/>
          <w:rFonts w:cs="Sylfaen"/>
          <w:lang w:val="hy-AM"/>
        </w:rPr>
        <w:t>շնորհիվ</w:t>
      </w:r>
      <w:r w:rsidRPr="00EB1197">
        <w:rPr>
          <w:rStyle w:val="tlid-translation"/>
          <w:lang w:val="hy-AM"/>
        </w:rPr>
        <w:t xml:space="preserve"> </w:t>
      </w:r>
      <w:r w:rsidRPr="00EB1197">
        <w:rPr>
          <w:rStyle w:val="tlid-translation"/>
          <w:rFonts w:cs="Sylfaen"/>
          <w:lang w:val="hy-AM"/>
        </w:rPr>
        <w:t>ծրագրված</w:t>
      </w:r>
      <w:r w:rsidRPr="00EB1197">
        <w:rPr>
          <w:rStyle w:val="tlid-translation"/>
          <w:lang w:val="hy-AM"/>
        </w:rPr>
        <w:t xml:space="preserve"> </w:t>
      </w:r>
      <w:r w:rsidRPr="00EB1197">
        <w:rPr>
          <w:rStyle w:val="tlid-translation"/>
          <w:rFonts w:cs="Sylfaen"/>
          <w:lang w:val="hy-AM"/>
        </w:rPr>
        <w:t>հարկաբյուջետային</w:t>
      </w:r>
      <w:r w:rsidRPr="00EB1197">
        <w:rPr>
          <w:rStyle w:val="tlid-translation"/>
          <w:lang w:val="hy-AM"/>
        </w:rPr>
        <w:t xml:space="preserve"> </w:t>
      </w:r>
      <w:r w:rsidRPr="00EB1197">
        <w:rPr>
          <w:rStyle w:val="tlid-translation"/>
          <w:rFonts w:cs="Sylfaen"/>
          <w:lang w:val="hy-AM"/>
        </w:rPr>
        <w:t>ճշգրտման։</w:t>
      </w:r>
      <w:r w:rsidRPr="00EB1197">
        <w:rPr>
          <w:rStyle w:val="tlid-translation"/>
          <w:lang w:val="hy-AM"/>
        </w:rPr>
        <w:t xml:space="preserve"> </w:t>
      </w:r>
      <w:r>
        <w:rPr>
          <w:rStyle w:val="tlid-translation"/>
          <w:rFonts w:cs="Sylfaen"/>
          <w:lang w:val="hy-AM"/>
        </w:rPr>
        <w:t>Ընդ որում</w:t>
      </w:r>
      <w:r w:rsidRPr="00EB1197">
        <w:rPr>
          <w:rStyle w:val="tlid-translation"/>
          <w:lang w:val="hy-AM"/>
        </w:rPr>
        <w:t>,</w:t>
      </w:r>
      <w:r>
        <w:rPr>
          <w:rStyle w:val="tlid-translation"/>
          <w:lang w:val="hy-AM"/>
        </w:rPr>
        <w:t xml:space="preserve"> մ</w:t>
      </w:r>
      <w:r w:rsidR="00595A2D" w:rsidRPr="0035033F">
        <w:rPr>
          <w:rStyle w:val="tlid-translation"/>
          <w:lang w:val="hy-AM"/>
        </w:rPr>
        <w:t>ակրոտնտեսական շոկերից պարտքը առավել զգայուն է փոխարժեքի և տնտեսական աճի շոկերի նկատմամբ</w:t>
      </w:r>
      <w:r>
        <w:rPr>
          <w:rStyle w:val="tlid-translation"/>
          <w:lang w:val="hy-AM"/>
        </w:rPr>
        <w:t>, իսկ</w:t>
      </w:r>
      <w:r w:rsidRPr="00EB1197">
        <w:rPr>
          <w:rStyle w:val="tlid-translation"/>
          <w:lang w:val="hy-AM"/>
        </w:rPr>
        <w:t xml:space="preserve"> </w:t>
      </w:r>
      <w:r w:rsidRPr="00EB1197">
        <w:rPr>
          <w:rStyle w:val="tlid-translation"/>
          <w:rFonts w:cs="Sylfaen"/>
          <w:lang w:val="hy-AM"/>
        </w:rPr>
        <w:t>ՀՀ</w:t>
      </w:r>
      <w:r w:rsidRPr="00EB1197">
        <w:rPr>
          <w:rStyle w:val="tlid-translation"/>
          <w:lang w:val="hy-AM"/>
        </w:rPr>
        <w:t xml:space="preserve"> </w:t>
      </w:r>
      <w:r w:rsidRPr="00EB1197">
        <w:rPr>
          <w:rStyle w:val="tlid-translation"/>
          <w:rFonts w:cs="Sylfaen"/>
          <w:lang w:val="hy-AM"/>
        </w:rPr>
        <w:t>կառավարության</w:t>
      </w:r>
      <w:r w:rsidRPr="00EB1197">
        <w:rPr>
          <w:rStyle w:val="tlid-translation"/>
          <w:lang w:val="hy-AM"/>
        </w:rPr>
        <w:t xml:space="preserve"> </w:t>
      </w:r>
      <w:r w:rsidRPr="00EB1197">
        <w:rPr>
          <w:rStyle w:val="tlid-translation"/>
          <w:rFonts w:cs="Sylfaen"/>
          <w:lang w:val="hy-AM"/>
        </w:rPr>
        <w:t>պարտքի</w:t>
      </w:r>
      <w:r w:rsidRPr="00EB1197">
        <w:rPr>
          <w:rStyle w:val="tlid-translation"/>
          <w:lang w:val="hy-AM"/>
        </w:rPr>
        <w:t xml:space="preserve"> </w:t>
      </w:r>
      <w:r w:rsidRPr="00EB1197">
        <w:rPr>
          <w:rStyle w:val="tlid-translation"/>
          <w:rFonts w:cs="Sylfaen"/>
          <w:lang w:val="hy-AM"/>
        </w:rPr>
        <w:t>պորտֆելը</w:t>
      </w:r>
      <w:r w:rsidRPr="00EB1197">
        <w:rPr>
          <w:rStyle w:val="tlid-translation"/>
          <w:lang w:val="hy-AM"/>
        </w:rPr>
        <w:t xml:space="preserve"> </w:t>
      </w:r>
      <w:r w:rsidRPr="00EB1197">
        <w:rPr>
          <w:rStyle w:val="tlid-translation"/>
          <w:rFonts w:cs="Sylfaen"/>
          <w:lang w:val="hy-AM"/>
        </w:rPr>
        <w:t>շարունակում</w:t>
      </w:r>
      <w:r w:rsidRPr="00EB1197">
        <w:rPr>
          <w:rStyle w:val="tlid-translation"/>
          <w:lang w:val="hy-AM"/>
        </w:rPr>
        <w:t xml:space="preserve"> </w:t>
      </w:r>
      <w:r w:rsidRPr="00EB1197">
        <w:rPr>
          <w:rStyle w:val="tlid-translation"/>
          <w:rFonts w:cs="Sylfaen"/>
          <w:lang w:val="hy-AM"/>
        </w:rPr>
        <w:t>է</w:t>
      </w:r>
      <w:r w:rsidRPr="00EB1197">
        <w:rPr>
          <w:rStyle w:val="tlid-translation"/>
          <w:lang w:val="hy-AM"/>
        </w:rPr>
        <w:t xml:space="preserve"> </w:t>
      </w:r>
      <w:r w:rsidRPr="00EB1197">
        <w:rPr>
          <w:rStyle w:val="tlid-translation"/>
          <w:rFonts w:cs="Sylfaen"/>
          <w:lang w:val="hy-AM"/>
        </w:rPr>
        <w:t>մնալ</w:t>
      </w:r>
      <w:r w:rsidRPr="00EB1197">
        <w:rPr>
          <w:rStyle w:val="tlid-translation"/>
          <w:lang w:val="hy-AM"/>
        </w:rPr>
        <w:t xml:space="preserve"> </w:t>
      </w:r>
      <w:r w:rsidRPr="00EB1197">
        <w:rPr>
          <w:rStyle w:val="tlid-translation"/>
          <w:rFonts w:cs="Sylfaen"/>
          <w:lang w:val="hy-AM"/>
        </w:rPr>
        <w:t>խոցելի՝</w:t>
      </w:r>
      <w:r w:rsidRPr="00EB1197">
        <w:rPr>
          <w:rStyle w:val="tlid-translation"/>
          <w:lang w:val="hy-AM"/>
        </w:rPr>
        <w:t xml:space="preserve"> </w:t>
      </w:r>
      <w:r w:rsidRPr="00EB1197">
        <w:rPr>
          <w:rStyle w:val="tlid-translation"/>
          <w:rFonts w:cs="Sylfaen"/>
          <w:lang w:val="hy-AM"/>
        </w:rPr>
        <w:t>պայմանավորված</w:t>
      </w:r>
      <w:r w:rsidRPr="00EB1197">
        <w:rPr>
          <w:rStyle w:val="tlid-translation"/>
          <w:lang w:val="hy-AM"/>
        </w:rPr>
        <w:t xml:space="preserve"> </w:t>
      </w:r>
      <w:r w:rsidRPr="00EB1197">
        <w:rPr>
          <w:rStyle w:val="tlid-translation"/>
          <w:rFonts w:cs="Sylfaen"/>
          <w:lang w:val="hy-AM"/>
        </w:rPr>
        <w:t>արտարժութային</w:t>
      </w:r>
      <w:r w:rsidRPr="00EB1197">
        <w:rPr>
          <w:rStyle w:val="tlid-translation"/>
          <w:lang w:val="hy-AM"/>
        </w:rPr>
        <w:t xml:space="preserve"> </w:t>
      </w:r>
      <w:r w:rsidRPr="00EB1197">
        <w:rPr>
          <w:rStyle w:val="tlid-translation"/>
          <w:rFonts w:cs="Sylfaen"/>
          <w:lang w:val="hy-AM"/>
        </w:rPr>
        <w:t>և</w:t>
      </w:r>
      <w:r w:rsidRPr="00EB1197">
        <w:rPr>
          <w:rStyle w:val="tlid-translation"/>
          <w:lang w:val="hy-AM"/>
        </w:rPr>
        <w:t xml:space="preserve"> </w:t>
      </w:r>
      <w:r w:rsidRPr="00EB1197">
        <w:rPr>
          <w:rStyle w:val="tlid-translation"/>
          <w:rFonts w:cs="Sylfaen"/>
          <w:lang w:val="hy-AM"/>
        </w:rPr>
        <w:t>ոչ</w:t>
      </w:r>
      <w:r w:rsidRPr="00EB1197">
        <w:rPr>
          <w:rStyle w:val="tlid-translation"/>
          <w:lang w:val="hy-AM"/>
        </w:rPr>
        <w:t xml:space="preserve"> </w:t>
      </w:r>
      <w:r w:rsidRPr="00EB1197">
        <w:rPr>
          <w:rStyle w:val="tlid-translation"/>
          <w:rFonts w:cs="Sylfaen"/>
          <w:lang w:val="hy-AM"/>
        </w:rPr>
        <w:t>ռեզիդե</w:t>
      </w:r>
      <w:r w:rsidR="007724F4">
        <w:rPr>
          <w:rStyle w:val="tlid-translation"/>
          <w:rFonts w:cs="Sylfaen"/>
          <w:lang w:val="hy-AM"/>
        </w:rPr>
        <w:t>ն</w:t>
      </w:r>
      <w:r w:rsidRPr="00EB1197">
        <w:rPr>
          <w:rStyle w:val="tlid-translation"/>
          <w:rFonts w:cs="Sylfaen"/>
          <w:lang w:val="hy-AM"/>
        </w:rPr>
        <w:t>տների</w:t>
      </w:r>
      <w:r w:rsidRPr="00EB1197">
        <w:rPr>
          <w:rStyle w:val="tlid-translation"/>
          <w:lang w:val="hy-AM"/>
        </w:rPr>
        <w:t xml:space="preserve"> </w:t>
      </w:r>
      <w:r w:rsidRPr="00EB1197">
        <w:rPr>
          <w:rStyle w:val="tlid-translation"/>
          <w:rFonts w:cs="Sylfaen"/>
          <w:lang w:val="hy-AM"/>
        </w:rPr>
        <w:t>նկատմամբ</w:t>
      </w:r>
      <w:r w:rsidRPr="00EB1197">
        <w:rPr>
          <w:rStyle w:val="tlid-translation"/>
          <w:lang w:val="hy-AM"/>
        </w:rPr>
        <w:t xml:space="preserve"> </w:t>
      </w:r>
      <w:r w:rsidRPr="00EB1197">
        <w:rPr>
          <w:rStyle w:val="tlid-translation"/>
          <w:rFonts w:cs="Sylfaen"/>
          <w:lang w:val="hy-AM"/>
        </w:rPr>
        <w:t>պարտքի</w:t>
      </w:r>
      <w:r w:rsidRPr="00EB1197">
        <w:rPr>
          <w:rStyle w:val="tlid-translation"/>
          <w:lang w:val="hy-AM"/>
        </w:rPr>
        <w:t xml:space="preserve"> </w:t>
      </w:r>
      <w:r w:rsidRPr="00EB1197">
        <w:rPr>
          <w:rStyle w:val="tlid-translation"/>
          <w:rFonts w:cs="Sylfaen"/>
          <w:lang w:val="hy-AM"/>
        </w:rPr>
        <w:t>բարձր</w:t>
      </w:r>
      <w:r w:rsidRPr="00EB1197">
        <w:rPr>
          <w:rStyle w:val="tlid-translation"/>
          <w:lang w:val="hy-AM"/>
        </w:rPr>
        <w:t xml:space="preserve"> </w:t>
      </w:r>
      <w:r w:rsidRPr="00EB1197">
        <w:rPr>
          <w:rStyle w:val="tlid-translation"/>
          <w:rFonts w:cs="Sylfaen"/>
          <w:lang w:val="hy-AM"/>
        </w:rPr>
        <w:t>մասնաբաժիններով։</w:t>
      </w:r>
      <w:r>
        <w:rPr>
          <w:rStyle w:val="tlid-translation"/>
          <w:rFonts w:cs="Sylfaen"/>
          <w:lang w:val="hy-AM"/>
        </w:rPr>
        <w:t xml:space="preserve"> Հաշվի առնելով, համավարակի վերոնշյալ անորոշությունները, տնտեսական աճի և հարկային եկամուտների դեպի ներքև ուղղությամբ գերակշռող ռիսկերը, ինչպես նաև ծախսերի գծով հնարավոր ռիսկերը՝ գերակշռում են ՀՀ կառավարության պարտքի դեպի վերև ռիսկերը։ Մասնավորապես, </w:t>
      </w:r>
      <w:r>
        <w:rPr>
          <w:rStyle w:val="tlid-translation"/>
          <w:lang w:val="hy-AM"/>
        </w:rPr>
        <w:t xml:space="preserve"> </w:t>
      </w:r>
      <w:r>
        <w:rPr>
          <w:rStyle w:val="tlid-translation"/>
          <w:bCs/>
          <w:lang w:val="hy-AM"/>
        </w:rPr>
        <w:t>ը</w:t>
      </w:r>
      <w:r w:rsidRPr="001108EC">
        <w:rPr>
          <w:rStyle w:val="tlid-translation"/>
          <w:bCs/>
          <w:lang w:val="hy-AM"/>
        </w:rPr>
        <w:t xml:space="preserve">ստ </w:t>
      </w:r>
      <w:r>
        <w:rPr>
          <w:rStyle w:val="tlid-translation"/>
          <w:bCs/>
          <w:lang w:val="hy-AM"/>
        </w:rPr>
        <w:t xml:space="preserve">հավանականությունների բաշխման </w:t>
      </w:r>
      <w:r w:rsidRPr="001108EC">
        <w:rPr>
          <w:rStyle w:val="tlid-translation"/>
          <w:bCs/>
          <w:lang w:val="hy-AM"/>
        </w:rPr>
        <w:t>գրաֆիկի, 2023թ-ի համար 10-ից 90% հավանականային միջակայքում պարտք/ՀՆԱ ցուցանիշը 43-ից 78 տոկոս միջակայքում է ուրվագծվում։</w:t>
      </w:r>
    </w:p>
    <w:p w14:paraId="0B79CE06" w14:textId="77777777" w:rsidR="00C7695C" w:rsidRDefault="00C7695C" w:rsidP="00C7695C">
      <w:pPr>
        <w:spacing w:after="120" w:line="276" w:lineRule="auto"/>
        <w:ind w:firstLine="709"/>
        <w:rPr>
          <w:rFonts w:cs="Sylfaen"/>
          <w:lang w:val="hy-AM"/>
        </w:rPr>
      </w:pPr>
      <w:r>
        <w:rPr>
          <w:rFonts w:cs="Sylfaen"/>
          <w:lang w:val="hy-AM"/>
        </w:rPr>
        <w:t xml:space="preserve">Ամփոփելով հարկաբյուջետային ռիսկերի նկարագրությունը կարող ենք նշել, որ ճգնաժամային իրավիճակով պայմանավորված դրանք առավելապես ուղղված են դեպի ներքև: Առկա են անորոշություններ ինչպես ճգնաժամի տևողության հետ կապված, այնպես էլ հարկաբյուջետային արձագանքի չափի և ժամկետների, ինչպես նաև վերջիններիս արդյունավետության գծով: Նշված ռիսկերի ի հայտ գալու կամ անորոշությունների վերաբերյալ նոր տեղեկատվության առկայության պայմաններում, </w:t>
      </w:r>
      <w:r w:rsidRPr="0064612F">
        <w:rPr>
          <w:rFonts w:cs="Sylfaen"/>
          <w:lang w:val="hy-AM"/>
        </w:rPr>
        <w:t xml:space="preserve">առաջիկա տարվա </w:t>
      </w:r>
      <w:r>
        <w:rPr>
          <w:rFonts w:cs="Sylfaen"/>
          <w:lang w:val="hy-AM"/>
        </w:rPr>
        <w:t>հարկա</w:t>
      </w:r>
      <w:r w:rsidRPr="0064612F">
        <w:rPr>
          <w:rFonts w:cs="Sylfaen"/>
          <w:lang w:val="hy-AM"/>
        </w:rPr>
        <w:t>բյուջետային շրջանակը վերանայման կարիք կունենա։</w:t>
      </w:r>
    </w:p>
    <w:p w14:paraId="5AE181A3" w14:textId="77777777" w:rsidR="00C7695C" w:rsidRDefault="00C7695C" w:rsidP="00C7695C">
      <w:pPr>
        <w:rPr>
          <w:rFonts w:cs="Sylfaen"/>
          <w:lang w:val="hy-AM"/>
        </w:rPr>
      </w:pPr>
    </w:p>
    <w:p w14:paraId="183732AB" w14:textId="77777777" w:rsidR="00C7695C" w:rsidRPr="00E426B8" w:rsidRDefault="00E426B8" w:rsidP="00E426B8">
      <w:pPr>
        <w:pStyle w:val="Heading3"/>
        <w:numPr>
          <w:ilvl w:val="1"/>
          <w:numId w:val="32"/>
        </w:numPr>
        <w:ind w:left="720"/>
        <w:rPr>
          <w:rFonts w:eastAsia="Times New Roman" w:cs="Times New Roman"/>
          <w:caps w:val="0"/>
          <w:color w:val="1F497D" w:themeColor="text2"/>
          <w:sz w:val="28"/>
          <w:szCs w:val="28"/>
          <w:lang w:val="en-US"/>
        </w:rPr>
      </w:pPr>
      <w:bookmarkStart w:id="236" w:name="_Toc45838527"/>
      <w:bookmarkStart w:id="237" w:name="_Toc46154355"/>
      <w:r w:rsidRPr="00E426B8">
        <w:rPr>
          <w:rFonts w:eastAsia="Times New Roman" w:cs="Times New Roman"/>
          <w:caps w:val="0"/>
          <w:color w:val="1F497D" w:themeColor="text2"/>
          <w:sz w:val="28"/>
          <w:szCs w:val="28"/>
          <w:lang w:val="en-US"/>
        </w:rPr>
        <w:t>ՀԱՐԿԱԲՅՈՒՋԵՏԱՅԻՆ ՔԱՂԱՔԱԿԱՆ</w:t>
      </w:r>
      <w:r w:rsidR="008D5154">
        <w:rPr>
          <w:rFonts w:eastAsia="Times New Roman" w:cs="Times New Roman"/>
          <w:caps w:val="0"/>
          <w:color w:val="1F497D" w:themeColor="text2"/>
          <w:sz w:val="28"/>
          <w:szCs w:val="28"/>
          <w:lang w:val="en-US"/>
        </w:rPr>
        <w:t>ՈՒԹՅԱՆ ՀԱՄԱՊԱՏԱՍԽԱՆՈՒԹՅՈՒՆԸ ՀԱՐ</w:t>
      </w:r>
      <w:r w:rsidRPr="00E426B8">
        <w:rPr>
          <w:rFonts w:eastAsia="Times New Roman" w:cs="Times New Roman"/>
          <w:caps w:val="0"/>
          <w:color w:val="1F497D" w:themeColor="text2"/>
          <w:sz w:val="28"/>
          <w:szCs w:val="28"/>
          <w:lang w:val="en-US"/>
        </w:rPr>
        <w:t>ԿԱԲՅՈՒՋԵՏԱՅԻՆ ԿԱՆՈՆՆԵՐԻՆ</w:t>
      </w:r>
      <w:bookmarkEnd w:id="236"/>
      <w:bookmarkEnd w:id="237"/>
    </w:p>
    <w:p w14:paraId="189F858B" w14:textId="387F5116" w:rsidR="00C7695C" w:rsidRDefault="00C7695C" w:rsidP="00C7695C">
      <w:pPr>
        <w:spacing w:line="276" w:lineRule="auto"/>
        <w:ind w:firstLine="720"/>
        <w:rPr>
          <w:rFonts w:ascii="Cambria Math" w:hAnsi="Cambria Math"/>
        </w:rPr>
      </w:pPr>
      <w:r w:rsidRPr="00D00869">
        <w:rPr>
          <w:lang w:val="hy-AM"/>
        </w:rPr>
        <w:t>ՀՀ հարկաբյուջետային կանոնների ներկա համակարգը գործարկվել է ՀՀ Ազգային ժողովի կողմից 2017 թվականի դեկտեմբերի 20-ին ՀՀ բյուջետային համակարգի մասին և Պետական պա</w:t>
      </w:r>
      <w:r w:rsidR="007724F4">
        <w:rPr>
          <w:lang w:val="hy-AM"/>
        </w:rPr>
        <w:t>ր</w:t>
      </w:r>
      <w:r w:rsidRPr="00D00869">
        <w:rPr>
          <w:lang w:val="hy-AM"/>
        </w:rPr>
        <w:t>տքի մասին ՀՀ օրենքներում փոփոխություններ և լրացումն</w:t>
      </w:r>
      <w:r w:rsidRPr="00D00869">
        <w:rPr>
          <w:lang w:val="hy-AM"/>
        </w:rPr>
        <w:softHyphen/>
        <w:t xml:space="preserve">եր կատարող օրենքների, ինչպես </w:t>
      </w:r>
      <w:r w:rsidRPr="00D00869">
        <w:rPr>
          <w:lang w:val="hy-AM"/>
        </w:rPr>
        <w:lastRenderedPageBreak/>
        <w:t>նաև են ՀՀ Կառավարության՝ 2018 թվականի օգոստոսի 23-ի N 942-</w:t>
      </w:r>
      <w:r w:rsidRPr="00D00869">
        <w:rPr>
          <w:rFonts w:ascii="Sylfaen" w:hAnsi="Sylfaen" w:cs="Sylfaen"/>
          <w:lang w:val="hy-AM"/>
        </w:rPr>
        <w:t>Ն</w:t>
      </w:r>
      <w:r w:rsidRPr="00D00869">
        <w:rPr>
          <w:lang w:val="hy-AM"/>
        </w:rPr>
        <w:t xml:space="preserve"> որոշման ընդունմամբ: Կանոնների համակարգը ներառում է ծախսային կանոններ, որոնք ուժի մեջ են մտնում պարտքի սահմանված շեմերը գերազանցելիս։ </w:t>
      </w:r>
      <w:r>
        <w:t>Մասնավորապես</w:t>
      </w:r>
      <w:r>
        <w:rPr>
          <w:rFonts w:ascii="MS Mincho" w:eastAsia="MS Mincho" w:hAnsi="MS Mincho" w:cs="MS Mincho" w:hint="eastAsia"/>
        </w:rPr>
        <w:t>․</w:t>
      </w:r>
    </w:p>
    <w:p w14:paraId="3AD2DA8C" w14:textId="77777777" w:rsidR="00C7695C" w:rsidRPr="005C19EF" w:rsidRDefault="00C7695C" w:rsidP="00C7695C">
      <w:pPr>
        <w:pStyle w:val="ListParagraph"/>
        <w:numPr>
          <w:ilvl w:val="0"/>
          <w:numId w:val="40"/>
        </w:numPr>
        <w:tabs>
          <w:tab w:val="left" w:pos="900"/>
        </w:tabs>
        <w:spacing w:before="0" w:after="0" w:line="276" w:lineRule="auto"/>
        <w:rPr>
          <w:lang w:val="hy-AM"/>
        </w:rPr>
      </w:pPr>
      <w:r w:rsidRPr="005C19EF">
        <w:rPr>
          <w:lang w:val="hy-AM"/>
        </w:rPr>
        <w:t>Երբ կառավարության պարտք/ՀՆԱ հարաբերակցությունը գերազանցում է 40%-ը, պետական բյուջեի կապիտալ ծախսերը չպետք է փոքր լինեն բյուջեի պակասուրդից:</w:t>
      </w:r>
    </w:p>
    <w:p w14:paraId="4616F76A" w14:textId="77777777" w:rsidR="00C7695C" w:rsidRPr="005C19EF" w:rsidRDefault="00C7695C" w:rsidP="00C7695C">
      <w:pPr>
        <w:pStyle w:val="ListParagraph"/>
        <w:numPr>
          <w:ilvl w:val="0"/>
          <w:numId w:val="40"/>
        </w:numPr>
        <w:tabs>
          <w:tab w:val="left" w:pos="900"/>
        </w:tabs>
        <w:spacing w:before="0" w:after="0" w:line="276" w:lineRule="auto"/>
        <w:rPr>
          <w:lang w:val="hy-AM"/>
        </w:rPr>
      </w:pPr>
      <w:r w:rsidRPr="005C19EF">
        <w:rPr>
          <w:lang w:val="hy-AM"/>
        </w:rPr>
        <w:t>Կառավարության պարտք/ՀՆԱ 50-60% միջակայքում ընթացիկ առաջնային ծախսերի աճի տեմպը սահմանափակվում է նախորդ 7 տարիների ՀՆԱ-ների միջին աճով, ինչպես նաև հաջորդ տարում կազմվող պետական միջնաժամկետ ծախսերի ծրագրում կառավարությունը ներկայացնում է միջոցառումների ծրագիր՝ համախառն ներքին արդյունքի նկատմամբ կառավարության պարտքի մակարդակի կանխատեսվող հետագիծը 5 տարիների ընթացքում 50 տոկոսից նվազեցնելու համար:</w:t>
      </w:r>
    </w:p>
    <w:p w14:paraId="7A1E6D14" w14:textId="77777777" w:rsidR="00C7695C" w:rsidRPr="005C19EF" w:rsidRDefault="00C7695C" w:rsidP="00C7695C">
      <w:pPr>
        <w:pStyle w:val="ListParagraph"/>
        <w:numPr>
          <w:ilvl w:val="0"/>
          <w:numId w:val="40"/>
        </w:numPr>
        <w:tabs>
          <w:tab w:val="left" w:pos="900"/>
        </w:tabs>
        <w:spacing w:before="0" w:after="0" w:line="276" w:lineRule="auto"/>
        <w:rPr>
          <w:lang w:val="hy-AM"/>
        </w:rPr>
      </w:pPr>
      <w:r w:rsidRPr="005C19EF">
        <w:rPr>
          <w:lang w:val="hy-AM"/>
        </w:rPr>
        <w:t xml:space="preserve">Երբ Կառավարության պարտքը գերազանցում է ՀՆԱ 60%-ը, ընթացիկ առաջնային ծախսերի աճի տեմպը սահմանափակվում է նախորդ 7 տարիների ՀՆԱ-ների միջին աճից 0.5 տոկոսային կետով նվազեցված ցուցանիշով, ընթացիկ ծախսերը սահմանափակվում են հարկերի և տուրքերի մեծությամբ, ինչպես նաև Կառավարությունը Ազգային ժողովի ֆինանսավարկային և բյուջետային ու տնտեսական հարցերի մշտական հանձնաժողովների քննարկմանը ներկայացնում է միջոցառումների ծրագիր՝ ՀՆԱ նկատմամբ կառավարության պարտքի մակարդակի կանխատեսվող հետագիծը 5 տարիների ընթացքում 60 տոկոսից նվազեցնելու համար: </w:t>
      </w:r>
    </w:p>
    <w:p w14:paraId="7C4B94B8" w14:textId="77777777" w:rsidR="00C7695C" w:rsidRDefault="00C7695C" w:rsidP="00C7695C">
      <w:pPr>
        <w:pStyle w:val="ListParagraph"/>
        <w:numPr>
          <w:ilvl w:val="0"/>
          <w:numId w:val="40"/>
        </w:numPr>
        <w:tabs>
          <w:tab w:val="left" w:pos="900"/>
        </w:tabs>
        <w:spacing w:before="0" w:after="0" w:line="276" w:lineRule="auto"/>
        <w:rPr>
          <w:lang w:val="hy-AM"/>
        </w:rPr>
      </w:pPr>
      <w:r w:rsidRPr="005C19EF">
        <w:rPr>
          <w:lang w:val="hy-AM"/>
        </w:rPr>
        <w:t xml:space="preserve">Ներկայացված սահմանափակումները չեն գործում կառավարության որոշմամբ սահմանված բացառիկ դեպքերում՝ ելնելով խոշորածավալ տարերային և տեխնածին աղետների, պատերազմական գործողությունների, տնտեսությունը խաղաղ ժամանակաշրջանից պատերազմական ժամանակաշրջանի փոխադրման, տնտեսական ցնցման հանգամանքներով պայմանավորված բացասական տնտեսական զարգացումների </w:t>
      </w:r>
      <w:r w:rsidR="00595A2D" w:rsidRPr="0035033F">
        <w:rPr>
          <w:lang w:val="hy-AM"/>
        </w:rPr>
        <w:t>պարագայում</w:t>
      </w:r>
      <w:r w:rsidRPr="005C19EF">
        <w:rPr>
          <w:lang w:val="hy-AM"/>
        </w:rPr>
        <w:t>:</w:t>
      </w:r>
    </w:p>
    <w:p w14:paraId="7A954BCE" w14:textId="77777777" w:rsidR="00C7695C" w:rsidRDefault="00C7695C" w:rsidP="00C7695C">
      <w:pPr>
        <w:tabs>
          <w:tab w:val="left" w:pos="900"/>
        </w:tabs>
        <w:spacing w:before="240" w:line="276" w:lineRule="auto"/>
        <w:rPr>
          <w:lang w:val="hy-AM"/>
        </w:rPr>
      </w:pPr>
      <w:r w:rsidRPr="00510609">
        <w:rPr>
          <w:lang w:val="hy-AM"/>
        </w:rPr>
        <w:tab/>
        <w:t>2019 թվականի պետական բյուջեի կատարումը համապատասխանել է հարկաբյուջետային կանոններով սահմանված չափանիշներին։ Պետական բյուջեի ոչ ֆինանսական ակտիվների գծով ծախսերը (կապիտալ ծախսերը) գերազանցել են պետական բյուջեի պակասուրդի մեծությանը, իսկ ընթացիկ առաջնային ծախսերի աճի տեմպը ցածր է եղել անվանական ՀՆԱ աճի պատմական միտումների հիման վրա հաշվարկված ցուցանիշից։ Քանի որ կառավարության պարտք/ՀՆԱ ցուցանիշը ցածր է եղել 60% շեմից, պետական բյուջեի ընթացիկ ծախսերի ծավալի սահմանափակման դրույթը չի գործել։</w:t>
      </w:r>
    </w:p>
    <w:p w14:paraId="4C8A0C81" w14:textId="77777777" w:rsidR="00C7695C" w:rsidRDefault="00C7695C" w:rsidP="00C7695C">
      <w:pPr>
        <w:spacing w:line="276" w:lineRule="auto"/>
        <w:ind w:firstLine="720"/>
        <w:rPr>
          <w:lang w:val="hy-AM"/>
        </w:rPr>
      </w:pPr>
      <w:r w:rsidRPr="00CD1D9C">
        <w:rPr>
          <w:lang w:val="hy-AM"/>
        </w:rPr>
        <w:t>2020թ</w:t>
      </w:r>
      <w:r w:rsidR="00ED16FC" w:rsidRPr="0035033F">
        <w:rPr>
          <w:rFonts w:ascii="Cambria Math" w:hAnsi="Cambria Math" w:cs="Cambria Math"/>
          <w:lang w:val="hy-AM"/>
        </w:rPr>
        <w:t>.</w:t>
      </w:r>
      <w:r w:rsidRPr="00CD1D9C">
        <w:rPr>
          <w:lang w:val="hy-AM"/>
        </w:rPr>
        <w:t xml:space="preserve">-ի համար </w:t>
      </w:r>
      <w:r w:rsidR="00595A2D" w:rsidRPr="0035033F">
        <w:rPr>
          <w:lang w:val="hy-AM"/>
        </w:rPr>
        <w:t>ծրագրային</w:t>
      </w:r>
      <w:r w:rsidRPr="00CD1D9C">
        <w:rPr>
          <w:lang w:val="hy-AM"/>
        </w:rPr>
        <w:t xml:space="preserve"> ցուցանիշները շեղվում են ծախսային կանոններով պահանջվող </w:t>
      </w:r>
      <w:r w:rsidRPr="00AE04D2">
        <w:rPr>
          <w:lang w:val="hy-AM"/>
        </w:rPr>
        <w:t xml:space="preserve">սահմանագծերից, ինչը </w:t>
      </w:r>
      <w:r w:rsidR="00595A2D" w:rsidRPr="0035033F">
        <w:rPr>
          <w:lang w:val="hy-AM"/>
        </w:rPr>
        <w:t xml:space="preserve">բացատրվում </w:t>
      </w:r>
      <w:r w:rsidRPr="00AE04D2">
        <w:rPr>
          <w:lang w:val="hy-AM"/>
        </w:rPr>
        <w:t>է կորոնավիրուսի համավարակով պայմանավորված տնտեսական ցնցմամբ, և «ՀՀ բյուջետային համակարգի մասին» ՀՀ օրենքի 21-րդ հոդվածի 8.3 կետով և ՀՀ կառավարության N 942-Ն որոշման 3-րդ կետով նախատեսված դրույթներով և 2020թ</w:t>
      </w:r>
      <w:r w:rsidRPr="00AE04D2">
        <w:rPr>
          <w:rFonts w:ascii="Cambria Math" w:hAnsi="Cambria Math" w:cs="Cambria Math"/>
          <w:lang w:val="hy-AM"/>
        </w:rPr>
        <w:t>․</w:t>
      </w:r>
      <w:r w:rsidRPr="00AE04D2">
        <w:rPr>
          <w:lang w:val="hy-AM"/>
        </w:rPr>
        <w:t>-ի ապրիլի 23-ի ՀՀ կառավարության որոշմամբ</w:t>
      </w:r>
      <w:r w:rsidRPr="00AE04D2">
        <w:rPr>
          <w:rStyle w:val="FootnoteReference"/>
        </w:rPr>
        <w:footnoteReference w:id="13"/>
      </w:r>
      <w:r w:rsidRPr="00AE04D2">
        <w:rPr>
          <w:lang w:val="hy-AM"/>
        </w:rPr>
        <w:t xml:space="preserve"> համարվում է բացառիկ </w:t>
      </w:r>
      <w:r w:rsidRPr="00AE04D2">
        <w:rPr>
          <w:lang w:val="hy-AM"/>
        </w:rPr>
        <w:lastRenderedPageBreak/>
        <w:t>իրավիճակ։ Սակայն, միջնաժամկետում՝ 2021-2023թթ-ին, պլանավորվել է վերադարձ հարկաբյուջետային կանոններով սահմանված չափանիշներին համապատասխան հարկաբյուջետային քաղաքականության իրականաց</w:t>
      </w:r>
      <w:r>
        <w:rPr>
          <w:lang w:val="hy-AM"/>
        </w:rPr>
        <w:t>մանը</w:t>
      </w:r>
      <w:r w:rsidRPr="00AE04D2">
        <w:rPr>
          <w:lang w:val="hy-AM"/>
        </w:rPr>
        <w:t>, ինչ</w:t>
      </w:r>
      <w:r w:rsidRPr="00D008DD">
        <w:rPr>
          <w:lang w:val="hy-AM"/>
        </w:rPr>
        <w:t>ը</w:t>
      </w:r>
      <w:r w:rsidRPr="00AE04D2">
        <w:rPr>
          <w:lang w:val="hy-AM"/>
        </w:rPr>
        <w:t xml:space="preserve"> կարելի է տեսնել Աղյուսակ </w:t>
      </w:r>
      <w:r w:rsidR="000A2BEC" w:rsidRPr="000A2BEC">
        <w:rPr>
          <w:lang w:val="hy-AM"/>
        </w:rPr>
        <w:t>2.</w:t>
      </w:r>
      <w:r w:rsidRPr="00AE04D2">
        <w:rPr>
          <w:lang w:val="hy-AM"/>
        </w:rPr>
        <w:t>1-ից։</w:t>
      </w:r>
    </w:p>
    <w:p w14:paraId="670E95A4" w14:textId="77777777" w:rsidR="00173FEB" w:rsidRPr="0035033F" w:rsidRDefault="00C7695C" w:rsidP="00C7695C">
      <w:pPr>
        <w:spacing w:line="276" w:lineRule="auto"/>
        <w:rPr>
          <w:lang w:val="hy-AM"/>
        </w:rPr>
      </w:pPr>
      <w:r w:rsidRPr="00CD1D9C">
        <w:rPr>
          <w:lang w:val="hy-AM"/>
        </w:rPr>
        <w:t>COIVID-19 համավարակի պատճառով ծագած բացառիկ դեպքով պայմանավորված 2020թ</w:t>
      </w:r>
      <w:r w:rsidRPr="00CD1D9C">
        <w:rPr>
          <w:rFonts w:ascii="Cambria Math" w:hAnsi="Cambria Math" w:cs="Cambria Math"/>
          <w:lang w:val="hy-AM"/>
        </w:rPr>
        <w:t>․</w:t>
      </w:r>
      <w:r w:rsidRPr="00CD1D9C">
        <w:rPr>
          <w:lang w:val="hy-AM"/>
        </w:rPr>
        <w:t xml:space="preserve">-ին իրականցվող հարկաբյուջետային խթանող քաղաքականությունը կհանգեցնի ՀՀ կառավարության պարտքի բեռի էական բարձրացմանը ՀՆԱ-ում 50% սահմանային շեմից, որի պայմաններում կառավարությունը պետք է </w:t>
      </w:r>
      <w:r w:rsidR="00595A2D" w:rsidRPr="0035033F">
        <w:rPr>
          <w:lang w:val="hy-AM"/>
        </w:rPr>
        <w:t>ծրագրավորի</w:t>
      </w:r>
      <w:r w:rsidRPr="00CD1D9C">
        <w:rPr>
          <w:lang w:val="hy-AM"/>
        </w:rPr>
        <w:t xml:space="preserve"> հարկաբյուջետային կոնսոլիդացիա և նվազեցնի պարտքի բեռը այդ շեմային ցուցանիշից։ Մշակված հարկաբյուջետային շրջանակը նախանշում է պարտքի բեռի նվազեցումը 2021թ</w:t>
      </w:r>
      <w:r w:rsidR="00CD6227" w:rsidRPr="0035033F">
        <w:rPr>
          <w:rFonts w:ascii="Cambria Math" w:hAnsi="Cambria Math" w:cs="Cambria Math"/>
          <w:lang w:val="hy-AM"/>
        </w:rPr>
        <w:t>.</w:t>
      </w:r>
      <w:r w:rsidRPr="00CD1D9C">
        <w:rPr>
          <w:lang w:val="hy-AM"/>
        </w:rPr>
        <w:t>-ից՝ հիմք հանդիսանալով հաջորդ տարիներին պարտքի նվազեցման ծրագրի մշակման և գործարկման համար, որը մինչև «անվտանգ մակարդակներ» պարտքի բեռի նվազեցման ճանապարհով միջնաժամկետ հատվածում թույլ կտա ապահովել պետական պարտքի կայունությունը։ Հարկաբյուջետային կոնսոլիդացիայի արդյունքում նախատեսվում է միջնաժամկետում սահուն կերպով նվազեցնել պարտքի բեռը՝ հասցնելով այն 54.7%-ի, այնուհետև հետագա տարիներին ապահովել կառավարության պարտքի բեռի նվազեցումը ՀՆԱ-ի 50%-ից ներքև (առավել մանրամասն տես՝ «Հարկաբյուջետային քաղաքականության հիմնական ուղղությունները և կանխատեսումները հատվածում»):</w:t>
      </w:r>
    </w:p>
    <w:p w14:paraId="358F9A2F" w14:textId="77777777" w:rsidR="00125570" w:rsidRDefault="00125570" w:rsidP="00C7695C">
      <w:pPr>
        <w:spacing w:line="276" w:lineRule="auto"/>
        <w:rPr>
          <w:b/>
          <w:i/>
          <w:iCs/>
          <w:sz w:val="20"/>
          <w:szCs w:val="20"/>
          <w:lang w:val="hy-AM"/>
        </w:rPr>
      </w:pPr>
    </w:p>
    <w:p w14:paraId="611ABC3D" w14:textId="77777777" w:rsidR="00125570" w:rsidRDefault="00125570" w:rsidP="00C7695C">
      <w:pPr>
        <w:spacing w:line="276" w:lineRule="auto"/>
        <w:rPr>
          <w:b/>
          <w:i/>
          <w:iCs/>
          <w:sz w:val="20"/>
          <w:szCs w:val="20"/>
          <w:lang w:val="hy-AM"/>
        </w:rPr>
      </w:pPr>
    </w:p>
    <w:p w14:paraId="59B44EB8" w14:textId="77777777" w:rsidR="00125570" w:rsidRDefault="00125570" w:rsidP="00C7695C">
      <w:pPr>
        <w:spacing w:line="276" w:lineRule="auto"/>
        <w:rPr>
          <w:b/>
          <w:i/>
          <w:iCs/>
          <w:sz w:val="20"/>
          <w:szCs w:val="20"/>
          <w:lang w:val="hy-AM"/>
        </w:rPr>
      </w:pPr>
    </w:p>
    <w:p w14:paraId="753CCB85" w14:textId="77777777" w:rsidR="00125570" w:rsidRDefault="00125570" w:rsidP="00C7695C">
      <w:pPr>
        <w:spacing w:line="276" w:lineRule="auto"/>
        <w:rPr>
          <w:b/>
          <w:i/>
          <w:iCs/>
          <w:sz w:val="20"/>
          <w:szCs w:val="20"/>
          <w:lang w:val="hy-AM"/>
        </w:rPr>
      </w:pPr>
    </w:p>
    <w:p w14:paraId="3858B5FD" w14:textId="77777777" w:rsidR="00125570" w:rsidRDefault="00125570" w:rsidP="00C7695C">
      <w:pPr>
        <w:spacing w:line="276" w:lineRule="auto"/>
        <w:rPr>
          <w:b/>
          <w:i/>
          <w:iCs/>
          <w:sz w:val="20"/>
          <w:szCs w:val="20"/>
          <w:lang w:val="hy-AM"/>
        </w:rPr>
      </w:pPr>
    </w:p>
    <w:p w14:paraId="3E4A6A60" w14:textId="77777777" w:rsidR="00C7695C" w:rsidRPr="008F525B" w:rsidRDefault="00C7695C" w:rsidP="00C7695C">
      <w:pPr>
        <w:spacing w:line="276" w:lineRule="auto"/>
        <w:rPr>
          <w:b/>
          <w:i/>
          <w:iCs/>
          <w:sz w:val="20"/>
          <w:szCs w:val="20"/>
          <w:lang w:val="hy-AM"/>
        </w:rPr>
      </w:pPr>
      <w:r w:rsidRPr="008F525B">
        <w:rPr>
          <w:b/>
          <w:i/>
          <w:iCs/>
          <w:sz w:val="20"/>
          <w:szCs w:val="20"/>
          <w:lang w:val="hy-AM"/>
        </w:rPr>
        <w:t xml:space="preserve">Աղյուսակ </w:t>
      </w:r>
      <w:r w:rsidR="000A2BEC" w:rsidRPr="00912008">
        <w:rPr>
          <w:b/>
          <w:i/>
          <w:iCs/>
          <w:sz w:val="20"/>
          <w:szCs w:val="20"/>
          <w:lang w:val="hy-AM"/>
        </w:rPr>
        <w:t>2.</w:t>
      </w:r>
      <w:r w:rsidRPr="008F525B">
        <w:rPr>
          <w:b/>
          <w:i/>
          <w:iCs/>
          <w:sz w:val="20"/>
          <w:szCs w:val="20"/>
          <w:lang w:val="hy-AM"/>
        </w:rPr>
        <w:t xml:space="preserve">1. </w:t>
      </w:r>
      <w:r w:rsidRPr="008F525B">
        <w:rPr>
          <w:bCs/>
          <w:i/>
          <w:iCs/>
          <w:sz w:val="20"/>
          <w:szCs w:val="20"/>
          <w:lang w:val="hy-AM"/>
        </w:rPr>
        <w:t>Փաստացի և ծրագրավորված հարկաբյուջետային քաղաքականության համապատասխանությունը հարկաբյուջետային կանոններին</w:t>
      </w:r>
    </w:p>
    <w:tbl>
      <w:tblPr>
        <w:tblW w:w="10038" w:type="dxa"/>
        <w:jc w:val="center"/>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6" w:space="0" w:color="4F81BD" w:themeColor="accent1"/>
          <w:insideV w:val="single" w:sz="6" w:space="0" w:color="4F81BD" w:themeColor="accent1"/>
        </w:tblBorders>
        <w:tblLook w:val="04A0" w:firstRow="1" w:lastRow="0" w:firstColumn="1" w:lastColumn="0" w:noHBand="0" w:noVBand="1"/>
      </w:tblPr>
      <w:tblGrid>
        <w:gridCol w:w="1412"/>
        <w:gridCol w:w="1366"/>
        <w:gridCol w:w="756"/>
        <w:gridCol w:w="762"/>
        <w:gridCol w:w="666"/>
        <w:gridCol w:w="768"/>
        <w:gridCol w:w="664"/>
        <w:gridCol w:w="767"/>
        <w:gridCol w:w="660"/>
        <w:gridCol w:w="778"/>
        <w:gridCol w:w="678"/>
        <w:gridCol w:w="761"/>
      </w:tblGrid>
      <w:tr w:rsidR="00C7695C" w:rsidRPr="00B12A44" w14:paraId="61EE4856" w14:textId="77777777" w:rsidTr="000A2BEC">
        <w:trPr>
          <w:trHeight w:val="466"/>
          <w:tblHeader/>
          <w:jc w:val="center"/>
        </w:trPr>
        <w:tc>
          <w:tcPr>
            <w:tcW w:w="2468" w:type="dxa"/>
            <w:vMerge w:val="restart"/>
            <w:shd w:val="clear" w:color="auto" w:fill="4BACC6" w:themeFill="accent5"/>
            <w:vAlign w:val="center"/>
            <w:hideMark/>
          </w:tcPr>
          <w:p w14:paraId="47DFB8F2" w14:textId="77777777" w:rsidR="00C7695C" w:rsidRPr="0035033F" w:rsidRDefault="00595A2D" w:rsidP="003D2D87">
            <w:pPr>
              <w:ind w:firstLine="0"/>
              <w:jc w:val="center"/>
              <w:rPr>
                <w:rFonts w:cs="Arial"/>
                <w:b/>
                <w:bCs/>
                <w:color w:val="FFFFFF" w:themeColor="background1"/>
                <w:sz w:val="18"/>
                <w:szCs w:val="18"/>
              </w:rPr>
            </w:pPr>
            <w:r w:rsidRPr="0035033F">
              <w:rPr>
                <w:rFonts w:cs="Arial"/>
                <w:b/>
                <w:bCs/>
                <w:color w:val="FFFFFF" w:themeColor="background1"/>
                <w:sz w:val="18"/>
                <w:szCs w:val="18"/>
              </w:rPr>
              <w:t>Կանոնի ցուցանիշ</w:t>
            </w:r>
          </w:p>
        </w:tc>
        <w:tc>
          <w:tcPr>
            <w:tcW w:w="310" w:type="dxa"/>
            <w:vMerge w:val="restart"/>
            <w:shd w:val="clear" w:color="auto" w:fill="4BACC6" w:themeFill="accent5"/>
            <w:vAlign w:val="center"/>
            <w:hideMark/>
          </w:tcPr>
          <w:p w14:paraId="6CC6EE1C" w14:textId="77777777" w:rsidR="00C7695C" w:rsidRPr="0035033F" w:rsidRDefault="00595A2D" w:rsidP="003D2D87">
            <w:pPr>
              <w:ind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Ուղենիշային ցուցանիշ</w:t>
            </w:r>
          </w:p>
        </w:tc>
        <w:tc>
          <w:tcPr>
            <w:tcW w:w="1518" w:type="dxa"/>
            <w:gridSpan w:val="2"/>
            <w:shd w:val="clear" w:color="auto" w:fill="4BACC6" w:themeFill="accent5"/>
            <w:noWrap/>
            <w:vAlign w:val="bottom"/>
            <w:hideMark/>
          </w:tcPr>
          <w:p w14:paraId="26A98BFA" w14:textId="77777777" w:rsidR="00C7695C" w:rsidRPr="0035033F" w:rsidRDefault="00595A2D" w:rsidP="003D2D87">
            <w:pPr>
              <w:ind w:firstLine="5"/>
              <w:jc w:val="center"/>
              <w:rPr>
                <w:rFonts w:eastAsia="Times New Roman" w:cs="Arial"/>
                <w:b/>
                <w:color w:val="FFFFFF" w:themeColor="background1"/>
                <w:sz w:val="18"/>
                <w:szCs w:val="18"/>
              </w:rPr>
            </w:pPr>
            <w:r w:rsidRPr="0035033F">
              <w:rPr>
                <w:rFonts w:cs="Arial"/>
                <w:b/>
                <w:color w:val="FFFFFF" w:themeColor="background1"/>
                <w:sz w:val="18"/>
                <w:szCs w:val="18"/>
              </w:rPr>
              <w:t>2019</w:t>
            </w:r>
          </w:p>
        </w:tc>
        <w:tc>
          <w:tcPr>
            <w:tcW w:w="1434" w:type="dxa"/>
            <w:gridSpan w:val="2"/>
            <w:shd w:val="clear" w:color="auto" w:fill="4BACC6" w:themeFill="accent5"/>
            <w:noWrap/>
            <w:vAlign w:val="bottom"/>
            <w:hideMark/>
          </w:tcPr>
          <w:p w14:paraId="516BCD90" w14:textId="77777777" w:rsidR="00C7695C" w:rsidRPr="0035033F" w:rsidRDefault="00595A2D" w:rsidP="003D2D87">
            <w:pPr>
              <w:ind w:firstLine="5"/>
              <w:jc w:val="center"/>
              <w:rPr>
                <w:rFonts w:eastAsia="Times New Roman" w:cs="Arial"/>
                <w:b/>
                <w:color w:val="FFFFFF" w:themeColor="background1"/>
                <w:sz w:val="18"/>
                <w:szCs w:val="18"/>
              </w:rPr>
            </w:pPr>
            <w:r w:rsidRPr="0035033F">
              <w:rPr>
                <w:rFonts w:cs="Arial"/>
                <w:b/>
                <w:color w:val="FFFFFF" w:themeColor="background1"/>
                <w:sz w:val="18"/>
                <w:szCs w:val="18"/>
              </w:rPr>
              <w:t>2020</w:t>
            </w:r>
          </w:p>
        </w:tc>
        <w:tc>
          <w:tcPr>
            <w:tcW w:w="1431" w:type="dxa"/>
            <w:gridSpan w:val="2"/>
            <w:shd w:val="clear" w:color="auto" w:fill="4BACC6" w:themeFill="accent5"/>
            <w:noWrap/>
            <w:vAlign w:val="bottom"/>
            <w:hideMark/>
          </w:tcPr>
          <w:p w14:paraId="2FB9DBB0" w14:textId="77777777" w:rsidR="00C7695C" w:rsidRPr="0035033F" w:rsidRDefault="00595A2D" w:rsidP="003D2D87">
            <w:pPr>
              <w:ind w:firstLine="5"/>
              <w:jc w:val="center"/>
              <w:rPr>
                <w:rFonts w:eastAsia="Times New Roman" w:cs="Arial"/>
                <w:b/>
                <w:color w:val="FFFFFF" w:themeColor="background1"/>
                <w:sz w:val="18"/>
                <w:szCs w:val="18"/>
              </w:rPr>
            </w:pPr>
            <w:r w:rsidRPr="0035033F">
              <w:rPr>
                <w:rFonts w:cs="Arial"/>
                <w:b/>
                <w:color w:val="FFFFFF" w:themeColor="background1"/>
                <w:sz w:val="18"/>
                <w:szCs w:val="18"/>
              </w:rPr>
              <w:t>2021</w:t>
            </w:r>
          </w:p>
        </w:tc>
        <w:tc>
          <w:tcPr>
            <w:tcW w:w="1438" w:type="dxa"/>
            <w:gridSpan w:val="2"/>
            <w:shd w:val="clear" w:color="auto" w:fill="4BACC6" w:themeFill="accent5"/>
            <w:noWrap/>
            <w:vAlign w:val="bottom"/>
            <w:hideMark/>
          </w:tcPr>
          <w:p w14:paraId="082DC8A1" w14:textId="77777777" w:rsidR="00C7695C" w:rsidRPr="0035033F" w:rsidRDefault="00595A2D" w:rsidP="003D2D87">
            <w:pPr>
              <w:ind w:firstLine="5"/>
              <w:jc w:val="center"/>
              <w:rPr>
                <w:rFonts w:eastAsia="Times New Roman" w:cs="Arial"/>
                <w:b/>
                <w:color w:val="FFFFFF" w:themeColor="background1"/>
                <w:sz w:val="18"/>
                <w:szCs w:val="18"/>
              </w:rPr>
            </w:pPr>
            <w:r w:rsidRPr="0035033F">
              <w:rPr>
                <w:rFonts w:cs="Arial"/>
                <w:b/>
                <w:color w:val="FFFFFF" w:themeColor="background1"/>
                <w:sz w:val="18"/>
                <w:szCs w:val="18"/>
              </w:rPr>
              <w:t>2022</w:t>
            </w:r>
          </w:p>
        </w:tc>
        <w:tc>
          <w:tcPr>
            <w:tcW w:w="1439" w:type="dxa"/>
            <w:gridSpan w:val="2"/>
            <w:shd w:val="clear" w:color="auto" w:fill="4BACC6" w:themeFill="accent5"/>
            <w:vAlign w:val="bottom"/>
            <w:hideMark/>
          </w:tcPr>
          <w:p w14:paraId="5F768C39" w14:textId="77777777" w:rsidR="00C7695C" w:rsidRPr="0035033F" w:rsidRDefault="00595A2D" w:rsidP="003D2D87">
            <w:pPr>
              <w:ind w:firstLine="5"/>
              <w:jc w:val="center"/>
              <w:rPr>
                <w:rFonts w:eastAsia="Times New Roman" w:cs="Arial"/>
                <w:b/>
                <w:color w:val="FFFFFF" w:themeColor="background1"/>
                <w:sz w:val="18"/>
                <w:szCs w:val="18"/>
              </w:rPr>
            </w:pPr>
            <w:r w:rsidRPr="0035033F">
              <w:rPr>
                <w:rFonts w:cs="Arial"/>
                <w:b/>
                <w:color w:val="FFFFFF" w:themeColor="background1"/>
                <w:sz w:val="18"/>
                <w:szCs w:val="18"/>
              </w:rPr>
              <w:t>2023</w:t>
            </w:r>
          </w:p>
        </w:tc>
      </w:tr>
      <w:tr w:rsidR="00C7695C" w:rsidRPr="00B12A44" w14:paraId="3F5240AB" w14:textId="77777777" w:rsidTr="000A2BEC">
        <w:trPr>
          <w:cantSplit/>
          <w:trHeight w:val="1025"/>
          <w:tblHeader/>
          <w:jc w:val="center"/>
        </w:trPr>
        <w:tc>
          <w:tcPr>
            <w:tcW w:w="2468" w:type="dxa"/>
            <w:vMerge/>
            <w:shd w:val="clear" w:color="auto" w:fill="4BACC6" w:themeFill="accent5"/>
            <w:vAlign w:val="center"/>
            <w:hideMark/>
          </w:tcPr>
          <w:p w14:paraId="0D59FF16" w14:textId="77777777" w:rsidR="00C7695C" w:rsidRPr="0035033F" w:rsidRDefault="00C7695C" w:rsidP="00C7695C">
            <w:pPr>
              <w:rPr>
                <w:rFonts w:cs="Arial"/>
                <w:b/>
                <w:bCs/>
                <w:color w:val="FFFFFF" w:themeColor="background1"/>
                <w:sz w:val="18"/>
                <w:szCs w:val="18"/>
              </w:rPr>
            </w:pPr>
          </w:p>
        </w:tc>
        <w:tc>
          <w:tcPr>
            <w:tcW w:w="310" w:type="dxa"/>
            <w:vMerge/>
            <w:shd w:val="clear" w:color="auto" w:fill="4BACC6" w:themeFill="accent5"/>
            <w:vAlign w:val="center"/>
            <w:hideMark/>
          </w:tcPr>
          <w:p w14:paraId="509B9B6D" w14:textId="77777777" w:rsidR="00C7695C" w:rsidRPr="0035033F" w:rsidRDefault="00C7695C" w:rsidP="00C7695C">
            <w:pPr>
              <w:rPr>
                <w:rFonts w:cs="Arial"/>
                <w:b/>
                <w:bCs/>
                <w:color w:val="FFFFFF" w:themeColor="background1"/>
                <w:sz w:val="18"/>
                <w:szCs w:val="18"/>
              </w:rPr>
            </w:pPr>
          </w:p>
        </w:tc>
        <w:tc>
          <w:tcPr>
            <w:tcW w:w="756" w:type="dxa"/>
            <w:shd w:val="clear" w:color="auto" w:fill="4BACC6" w:themeFill="accent5"/>
            <w:textDirection w:val="btLr"/>
            <w:vAlign w:val="center"/>
            <w:hideMark/>
          </w:tcPr>
          <w:p w14:paraId="7CA6736B" w14:textId="77777777" w:rsidR="00C7695C" w:rsidRPr="0035033F" w:rsidRDefault="00595A2D" w:rsidP="003D2D87">
            <w:pPr>
              <w:ind w:left="6" w:right="113"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Սահմ</w:t>
            </w:r>
            <w:r w:rsidRPr="0035033F">
              <w:rPr>
                <w:rFonts w:ascii="Cambria Math" w:hAnsi="Cambria Math" w:cs="Cambria Math"/>
                <w:b/>
                <w:bCs/>
                <w:color w:val="FFFFFF" w:themeColor="background1"/>
                <w:sz w:val="18"/>
                <w:szCs w:val="18"/>
              </w:rPr>
              <w:t>․</w:t>
            </w:r>
          </w:p>
        </w:tc>
        <w:tc>
          <w:tcPr>
            <w:tcW w:w="762" w:type="dxa"/>
            <w:shd w:val="clear" w:color="auto" w:fill="4BACC6" w:themeFill="accent5"/>
            <w:textDirection w:val="btLr"/>
            <w:vAlign w:val="center"/>
            <w:hideMark/>
          </w:tcPr>
          <w:p w14:paraId="18A6D35F" w14:textId="77777777" w:rsidR="00C7695C" w:rsidRPr="0035033F" w:rsidRDefault="00595A2D" w:rsidP="003D2D87">
            <w:pPr>
              <w:ind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Փաստ</w:t>
            </w:r>
            <w:r w:rsidRPr="0035033F">
              <w:rPr>
                <w:rFonts w:ascii="Cambria Math" w:hAnsi="Cambria Math" w:cs="Cambria Math"/>
                <w:b/>
                <w:bCs/>
                <w:color w:val="FFFFFF" w:themeColor="background1"/>
                <w:sz w:val="18"/>
                <w:szCs w:val="18"/>
              </w:rPr>
              <w:t>․</w:t>
            </w:r>
          </w:p>
        </w:tc>
        <w:tc>
          <w:tcPr>
            <w:tcW w:w="666" w:type="dxa"/>
            <w:shd w:val="clear" w:color="auto" w:fill="4BACC6" w:themeFill="accent5"/>
            <w:textDirection w:val="btLr"/>
            <w:vAlign w:val="center"/>
            <w:hideMark/>
          </w:tcPr>
          <w:p w14:paraId="5307B4F5" w14:textId="77777777" w:rsidR="00C7695C" w:rsidRPr="0035033F" w:rsidRDefault="00595A2D" w:rsidP="003D2D87">
            <w:pPr>
              <w:ind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Սահմ</w:t>
            </w:r>
            <w:r w:rsidRPr="0035033F">
              <w:rPr>
                <w:rFonts w:ascii="Cambria Math" w:hAnsi="Cambria Math" w:cs="Cambria Math"/>
                <w:b/>
                <w:bCs/>
                <w:color w:val="FFFFFF" w:themeColor="background1"/>
                <w:sz w:val="18"/>
                <w:szCs w:val="18"/>
              </w:rPr>
              <w:t>․</w:t>
            </w:r>
          </w:p>
        </w:tc>
        <w:tc>
          <w:tcPr>
            <w:tcW w:w="768" w:type="dxa"/>
            <w:shd w:val="clear" w:color="auto" w:fill="4BACC6" w:themeFill="accent5"/>
            <w:textDirection w:val="btLr"/>
            <w:vAlign w:val="center"/>
            <w:hideMark/>
          </w:tcPr>
          <w:p w14:paraId="69B605D9" w14:textId="77777777" w:rsidR="00C7695C" w:rsidRPr="0035033F" w:rsidRDefault="00595A2D" w:rsidP="003D2D87">
            <w:pPr>
              <w:ind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Պլան</w:t>
            </w:r>
          </w:p>
        </w:tc>
        <w:tc>
          <w:tcPr>
            <w:tcW w:w="664" w:type="dxa"/>
            <w:shd w:val="clear" w:color="auto" w:fill="4BACC6" w:themeFill="accent5"/>
            <w:textDirection w:val="btLr"/>
            <w:vAlign w:val="center"/>
            <w:hideMark/>
          </w:tcPr>
          <w:p w14:paraId="070B56CA" w14:textId="77777777" w:rsidR="00C7695C" w:rsidRPr="0035033F" w:rsidRDefault="00595A2D" w:rsidP="003D2D87">
            <w:pPr>
              <w:ind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Սահմ</w:t>
            </w:r>
            <w:r w:rsidRPr="0035033F">
              <w:rPr>
                <w:rFonts w:ascii="Cambria Math" w:hAnsi="Cambria Math" w:cs="Cambria Math"/>
                <w:b/>
                <w:bCs/>
                <w:color w:val="FFFFFF" w:themeColor="background1"/>
                <w:sz w:val="18"/>
                <w:szCs w:val="18"/>
              </w:rPr>
              <w:t>․</w:t>
            </w:r>
          </w:p>
        </w:tc>
        <w:tc>
          <w:tcPr>
            <w:tcW w:w="767" w:type="dxa"/>
            <w:shd w:val="clear" w:color="auto" w:fill="4BACC6" w:themeFill="accent5"/>
            <w:textDirection w:val="btLr"/>
            <w:vAlign w:val="center"/>
            <w:hideMark/>
          </w:tcPr>
          <w:p w14:paraId="590D27A6" w14:textId="77777777" w:rsidR="00C7695C" w:rsidRPr="0035033F" w:rsidRDefault="00595A2D" w:rsidP="003D2D87">
            <w:pPr>
              <w:ind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Պլան</w:t>
            </w:r>
          </w:p>
        </w:tc>
        <w:tc>
          <w:tcPr>
            <w:tcW w:w="660" w:type="dxa"/>
            <w:shd w:val="clear" w:color="auto" w:fill="4BACC6" w:themeFill="accent5"/>
            <w:textDirection w:val="btLr"/>
            <w:vAlign w:val="center"/>
            <w:hideMark/>
          </w:tcPr>
          <w:p w14:paraId="68B6E1D8" w14:textId="77777777" w:rsidR="00C7695C" w:rsidRPr="0035033F" w:rsidRDefault="00595A2D" w:rsidP="003D2D87">
            <w:pPr>
              <w:ind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Սահմ</w:t>
            </w:r>
            <w:r w:rsidRPr="0035033F">
              <w:rPr>
                <w:rFonts w:ascii="Cambria Math" w:hAnsi="Cambria Math" w:cs="Cambria Math"/>
                <w:b/>
                <w:bCs/>
                <w:color w:val="FFFFFF" w:themeColor="background1"/>
                <w:sz w:val="18"/>
                <w:szCs w:val="18"/>
              </w:rPr>
              <w:t>․</w:t>
            </w:r>
          </w:p>
        </w:tc>
        <w:tc>
          <w:tcPr>
            <w:tcW w:w="778" w:type="dxa"/>
            <w:shd w:val="clear" w:color="auto" w:fill="4BACC6" w:themeFill="accent5"/>
            <w:textDirection w:val="btLr"/>
            <w:vAlign w:val="center"/>
            <w:hideMark/>
          </w:tcPr>
          <w:p w14:paraId="4B0313CE" w14:textId="77777777" w:rsidR="00C7695C" w:rsidRPr="0035033F" w:rsidRDefault="00595A2D" w:rsidP="003D2D87">
            <w:pPr>
              <w:ind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Պլան</w:t>
            </w:r>
          </w:p>
        </w:tc>
        <w:tc>
          <w:tcPr>
            <w:tcW w:w="678" w:type="dxa"/>
            <w:shd w:val="clear" w:color="auto" w:fill="4BACC6" w:themeFill="accent5"/>
            <w:textDirection w:val="btLr"/>
            <w:vAlign w:val="center"/>
            <w:hideMark/>
          </w:tcPr>
          <w:p w14:paraId="501B94BC" w14:textId="77777777" w:rsidR="00C7695C" w:rsidRPr="0035033F" w:rsidRDefault="00595A2D" w:rsidP="003D2D87">
            <w:pPr>
              <w:ind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Սահմ</w:t>
            </w:r>
            <w:r w:rsidRPr="0035033F">
              <w:rPr>
                <w:rFonts w:ascii="Cambria Math" w:hAnsi="Cambria Math" w:cs="Cambria Math"/>
                <w:b/>
                <w:bCs/>
                <w:color w:val="FFFFFF" w:themeColor="background1"/>
                <w:sz w:val="18"/>
                <w:szCs w:val="18"/>
              </w:rPr>
              <w:t>․</w:t>
            </w:r>
          </w:p>
        </w:tc>
        <w:tc>
          <w:tcPr>
            <w:tcW w:w="761" w:type="dxa"/>
            <w:shd w:val="clear" w:color="auto" w:fill="4BACC6" w:themeFill="accent5"/>
            <w:textDirection w:val="btLr"/>
            <w:vAlign w:val="center"/>
            <w:hideMark/>
          </w:tcPr>
          <w:p w14:paraId="4D25D467" w14:textId="77777777" w:rsidR="00C7695C" w:rsidRPr="0035033F" w:rsidRDefault="00595A2D" w:rsidP="003D2D87">
            <w:pPr>
              <w:ind w:firstLine="0"/>
              <w:jc w:val="center"/>
              <w:rPr>
                <w:rFonts w:eastAsia="Times New Roman" w:cs="Arial"/>
                <w:b/>
                <w:bCs/>
                <w:color w:val="FFFFFF" w:themeColor="background1"/>
                <w:sz w:val="18"/>
                <w:szCs w:val="18"/>
              </w:rPr>
            </w:pPr>
            <w:r w:rsidRPr="0035033F">
              <w:rPr>
                <w:rFonts w:cs="Arial"/>
                <w:b/>
                <w:bCs/>
                <w:color w:val="FFFFFF" w:themeColor="background1"/>
                <w:sz w:val="18"/>
                <w:szCs w:val="18"/>
              </w:rPr>
              <w:t>Պլան</w:t>
            </w:r>
          </w:p>
        </w:tc>
      </w:tr>
      <w:tr w:rsidR="00C7695C" w:rsidRPr="00B12A44" w14:paraId="48D23417" w14:textId="77777777" w:rsidTr="003D2D87">
        <w:trPr>
          <w:trHeight w:val="954"/>
          <w:jc w:val="center"/>
        </w:trPr>
        <w:tc>
          <w:tcPr>
            <w:tcW w:w="2468" w:type="dxa"/>
            <w:shd w:val="clear" w:color="auto" w:fill="auto"/>
            <w:vAlign w:val="center"/>
            <w:hideMark/>
          </w:tcPr>
          <w:p w14:paraId="5187C460" w14:textId="77777777" w:rsidR="00C7695C" w:rsidRPr="0012591F" w:rsidRDefault="00C7695C" w:rsidP="003D2D87">
            <w:pPr>
              <w:spacing w:before="0" w:after="0"/>
              <w:ind w:firstLine="0"/>
              <w:rPr>
                <w:rFonts w:cs="Arial"/>
                <w:color w:val="000000"/>
                <w:sz w:val="18"/>
                <w:szCs w:val="18"/>
              </w:rPr>
            </w:pPr>
            <w:r w:rsidRPr="0012591F">
              <w:rPr>
                <w:rFonts w:cs="Arial"/>
                <w:color w:val="000000"/>
                <w:sz w:val="18"/>
                <w:szCs w:val="18"/>
              </w:rPr>
              <w:t>Պետական բյուջեի ոչ ֆինանսական ակտիվների գծով ծախսեր</w:t>
            </w:r>
          </w:p>
        </w:tc>
        <w:tc>
          <w:tcPr>
            <w:tcW w:w="310" w:type="dxa"/>
            <w:shd w:val="clear" w:color="auto" w:fill="auto"/>
            <w:vAlign w:val="center"/>
            <w:hideMark/>
          </w:tcPr>
          <w:p w14:paraId="60857210" w14:textId="77777777" w:rsidR="00C7695C" w:rsidRPr="0012591F" w:rsidRDefault="00C7695C" w:rsidP="003D2D87">
            <w:pPr>
              <w:spacing w:before="0" w:after="0"/>
              <w:ind w:firstLine="0"/>
              <w:jc w:val="center"/>
              <w:rPr>
                <w:rFonts w:cs="Arial"/>
                <w:color w:val="000000"/>
                <w:sz w:val="18"/>
                <w:szCs w:val="18"/>
              </w:rPr>
            </w:pPr>
            <w:r w:rsidRPr="0012591F">
              <w:rPr>
                <w:rFonts w:cs="Arial"/>
                <w:color w:val="000000"/>
                <w:sz w:val="18"/>
                <w:szCs w:val="18"/>
              </w:rPr>
              <w:t>&gt;/= պետական բյուջեի պակասուրդ, մլրդ դրամ</w:t>
            </w:r>
          </w:p>
        </w:tc>
        <w:tc>
          <w:tcPr>
            <w:tcW w:w="756" w:type="dxa"/>
            <w:shd w:val="clear" w:color="auto" w:fill="auto"/>
            <w:vAlign w:val="center"/>
            <w:hideMark/>
          </w:tcPr>
          <w:p w14:paraId="7A75ABD2" w14:textId="77777777" w:rsidR="00C7695C" w:rsidRPr="00B12A44" w:rsidRDefault="00C7695C" w:rsidP="003D2D87">
            <w:pPr>
              <w:spacing w:before="0" w:after="0"/>
              <w:ind w:firstLine="0"/>
              <w:jc w:val="center"/>
              <w:rPr>
                <w:rFonts w:cs="Arial"/>
                <w:color w:val="000000"/>
                <w:sz w:val="18"/>
                <w:szCs w:val="18"/>
              </w:rPr>
            </w:pPr>
            <w:r w:rsidRPr="00B12A44">
              <w:rPr>
                <w:rFonts w:cs="Arial"/>
                <w:color w:val="000000"/>
                <w:sz w:val="18"/>
                <w:szCs w:val="18"/>
              </w:rPr>
              <w:t>64</w:t>
            </w:r>
          </w:p>
        </w:tc>
        <w:tc>
          <w:tcPr>
            <w:tcW w:w="762" w:type="dxa"/>
            <w:shd w:val="clear" w:color="auto" w:fill="auto"/>
            <w:vAlign w:val="center"/>
            <w:hideMark/>
          </w:tcPr>
          <w:p w14:paraId="0F4D9998" w14:textId="77777777" w:rsidR="00C7695C" w:rsidRPr="00B12A44" w:rsidRDefault="00C7695C" w:rsidP="003D2D87">
            <w:pPr>
              <w:spacing w:before="0" w:after="0"/>
              <w:ind w:firstLine="0"/>
              <w:jc w:val="center"/>
              <w:rPr>
                <w:rFonts w:cs="Arial"/>
                <w:color w:val="000000"/>
                <w:sz w:val="18"/>
                <w:szCs w:val="18"/>
              </w:rPr>
            </w:pPr>
            <w:r w:rsidRPr="00B12A44">
              <w:rPr>
                <w:rFonts w:cs="Arial"/>
                <w:color w:val="000000"/>
                <w:sz w:val="18"/>
                <w:szCs w:val="18"/>
              </w:rPr>
              <w:t>193</w:t>
            </w:r>
          </w:p>
        </w:tc>
        <w:tc>
          <w:tcPr>
            <w:tcW w:w="666" w:type="dxa"/>
            <w:shd w:val="clear" w:color="auto" w:fill="DBE5F1" w:themeFill="accent1" w:themeFillTint="33"/>
            <w:vAlign w:val="center"/>
            <w:hideMark/>
          </w:tcPr>
          <w:p w14:paraId="2F0A0AE7"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361.5</w:t>
            </w:r>
          </w:p>
        </w:tc>
        <w:tc>
          <w:tcPr>
            <w:tcW w:w="768" w:type="dxa"/>
            <w:shd w:val="clear" w:color="auto" w:fill="DBE5F1" w:themeFill="accent1" w:themeFillTint="33"/>
            <w:vAlign w:val="center"/>
            <w:hideMark/>
          </w:tcPr>
          <w:p w14:paraId="2F50F99D"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222.2</w:t>
            </w:r>
          </w:p>
        </w:tc>
        <w:tc>
          <w:tcPr>
            <w:tcW w:w="664" w:type="dxa"/>
            <w:shd w:val="clear" w:color="auto" w:fill="DBE5F1" w:themeFill="accent1" w:themeFillTint="33"/>
            <w:vAlign w:val="center"/>
            <w:hideMark/>
          </w:tcPr>
          <w:p w14:paraId="5084D0A1"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209.1</w:t>
            </w:r>
          </w:p>
        </w:tc>
        <w:tc>
          <w:tcPr>
            <w:tcW w:w="767" w:type="dxa"/>
            <w:shd w:val="clear" w:color="auto" w:fill="DBE5F1" w:themeFill="accent1" w:themeFillTint="33"/>
            <w:vAlign w:val="center"/>
            <w:hideMark/>
          </w:tcPr>
          <w:p w14:paraId="12448D1A"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250.0</w:t>
            </w:r>
          </w:p>
        </w:tc>
        <w:tc>
          <w:tcPr>
            <w:tcW w:w="660" w:type="dxa"/>
            <w:shd w:val="clear" w:color="auto" w:fill="DBE5F1" w:themeFill="accent1" w:themeFillTint="33"/>
            <w:vAlign w:val="center"/>
            <w:hideMark/>
          </w:tcPr>
          <w:p w14:paraId="6AE5E566"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140.2</w:t>
            </w:r>
          </w:p>
        </w:tc>
        <w:tc>
          <w:tcPr>
            <w:tcW w:w="778" w:type="dxa"/>
            <w:shd w:val="clear" w:color="auto" w:fill="DBE5F1" w:themeFill="accent1" w:themeFillTint="33"/>
            <w:vAlign w:val="center"/>
            <w:hideMark/>
          </w:tcPr>
          <w:p w14:paraId="109E7AC9"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326.2</w:t>
            </w:r>
          </w:p>
        </w:tc>
        <w:tc>
          <w:tcPr>
            <w:tcW w:w="678" w:type="dxa"/>
            <w:shd w:val="clear" w:color="auto" w:fill="DBE5F1" w:themeFill="accent1" w:themeFillTint="33"/>
            <w:vAlign w:val="center"/>
            <w:hideMark/>
          </w:tcPr>
          <w:p w14:paraId="2AD926E5"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158.6</w:t>
            </w:r>
          </w:p>
        </w:tc>
        <w:tc>
          <w:tcPr>
            <w:tcW w:w="761" w:type="dxa"/>
            <w:shd w:val="clear" w:color="auto" w:fill="DBE5F1" w:themeFill="accent1" w:themeFillTint="33"/>
            <w:vAlign w:val="center"/>
            <w:hideMark/>
          </w:tcPr>
          <w:p w14:paraId="67B5E9AB"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404.8</w:t>
            </w:r>
          </w:p>
        </w:tc>
      </w:tr>
      <w:tr w:rsidR="00C7695C" w:rsidRPr="00B12A44" w14:paraId="5EE81B60" w14:textId="77777777" w:rsidTr="003D2D87">
        <w:trPr>
          <w:trHeight w:val="954"/>
          <w:jc w:val="center"/>
        </w:trPr>
        <w:tc>
          <w:tcPr>
            <w:tcW w:w="2468" w:type="dxa"/>
            <w:shd w:val="clear" w:color="auto" w:fill="auto"/>
            <w:vAlign w:val="center"/>
            <w:hideMark/>
          </w:tcPr>
          <w:p w14:paraId="43253092" w14:textId="77777777" w:rsidR="00C7695C" w:rsidRPr="0012591F" w:rsidRDefault="00C7695C" w:rsidP="003D2D87">
            <w:pPr>
              <w:spacing w:before="0" w:after="0"/>
              <w:ind w:firstLine="0"/>
              <w:rPr>
                <w:rFonts w:cs="Arial"/>
                <w:color w:val="000000"/>
                <w:sz w:val="18"/>
                <w:szCs w:val="18"/>
              </w:rPr>
            </w:pPr>
            <w:r w:rsidRPr="0012591F">
              <w:rPr>
                <w:rFonts w:cs="Arial"/>
                <w:color w:val="000000"/>
                <w:sz w:val="18"/>
                <w:szCs w:val="18"/>
              </w:rPr>
              <w:t>Պետական բյուջեի ընթացիկ առաջնային ծախսերի աճի տեմպ*</w:t>
            </w:r>
          </w:p>
        </w:tc>
        <w:tc>
          <w:tcPr>
            <w:tcW w:w="310" w:type="dxa"/>
            <w:shd w:val="clear" w:color="auto" w:fill="auto"/>
            <w:vAlign w:val="center"/>
            <w:hideMark/>
          </w:tcPr>
          <w:p w14:paraId="04C51F31" w14:textId="77777777" w:rsidR="00C7695C" w:rsidRPr="0012591F" w:rsidRDefault="00C7695C" w:rsidP="003D2D87">
            <w:pPr>
              <w:spacing w:before="0" w:after="0"/>
              <w:ind w:firstLine="0"/>
              <w:jc w:val="center"/>
              <w:rPr>
                <w:rFonts w:cs="Arial"/>
                <w:color w:val="000000"/>
                <w:sz w:val="18"/>
                <w:szCs w:val="18"/>
              </w:rPr>
            </w:pPr>
            <w:r w:rsidRPr="0012591F">
              <w:rPr>
                <w:rFonts w:cs="Arial"/>
                <w:color w:val="000000"/>
                <w:sz w:val="18"/>
                <w:szCs w:val="18"/>
              </w:rPr>
              <w:t>&lt;/= նախորդ 7 տարիների անվանական ՀՆԱ աճի միջին տեմպ, %</w:t>
            </w:r>
          </w:p>
        </w:tc>
        <w:tc>
          <w:tcPr>
            <w:tcW w:w="756" w:type="dxa"/>
            <w:shd w:val="clear" w:color="auto" w:fill="auto"/>
            <w:vAlign w:val="center"/>
            <w:hideMark/>
          </w:tcPr>
          <w:p w14:paraId="194A5F96" w14:textId="77777777" w:rsidR="00C7695C" w:rsidRPr="00B12A44" w:rsidRDefault="00C7695C" w:rsidP="003D2D87">
            <w:pPr>
              <w:spacing w:before="0" w:after="0"/>
              <w:ind w:firstLine="0"/>
              <w:jc w:val="center"/>
              <w:rPr>
                <w:rFonts w:cs="Arial"/>
                <w:color w:val="000000"/>
                <w:sz w:val="18"/>
                <w:szCs w:val="18"/>
              </w:rPr>
            </w:pPr>
            <w:r w:rsidRPr="00B12A44">
              <w:rPr>
                <w:rFonts w:cs="Arial"/>
                <w:color w:val="000000"/>
                <w:sz w:val="18"/>
                <w:szCs w:val="18"/>
              </w:rPr>
              <w:t>6.1</w:t>
            </w:r>
          </w:p>
        </w:tc>
        <w:tc>
          <w:tcPr>
            <w:tcW w:w="762" w:type="dxa"/>
            <w:shd w:val="clear" w:color="000000" w:fill="FFFFFF"/>
            <w:vAlign w:val="center"/>
            <w:hideMark/>
          </w:tcPr>
          <w:p w14:paraId="5541CD97" w14:textId="77777777" w:rsidR="00C7695C" w:rsidRPr="00B12A44" w:rsidRDefault="00C7695C" w:rsidP="003D2D87">
            <w:pPr>
              <w:spacing w:before="0" w:after="0"/>
              <w:ind w:firstLine="0"/>
              <w:jc w:val="center"/>
              <w:rPr>
                <w:rFonts w:cs="Arial"/>
                <w:color w:val="000000"/>
                <w:sz w:val="18"/>
                <w:szCs w:val="18"/>
              </w:rPr>
            </w:pPr>
            <w:r w:rsidRPr="00B12A44">
              <w:rPr>
                <w:rFonts w:cs="Arial"/>
                <w:color w:val="000000"/>
                <w:sz w:val="18"/>
                <w:szCs w:val="18"/>
              </w:rPr>
              <w:t>5.9</w:t>
            </w:r>
          </w:p>
        </w:tc>
        <w:tc>
          <w:tcPr>
            <w:tcW w:w="666" w:type="dxa"/>
            <w:shd w:val="clear" w:color="auto" w:fill="DBE5F1" w:themeFill="accent1" w:themeFillTint="33"/>
            <w:vAlign w:val="center"/>
            <w:hideMark/>
          </w:tcPr>
          <w:p w14:paraId="5878FA5D"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5.9</w:t>
            </w:r>
          </w:p>
        </w:tc>
        <w:tc>
          <w:tcPr>
            <w:tcW w:w="768" w:type="dxa"/>
            <w:shd w:val="clear" w:color="auto" w:fill="DBE5F1" w:themeFill="accent1" w:themeFillTint="33"/>
            <w:vAlign w:val="center"/>
            <w:hideMark/>
          </w:tcPr>
          <w:p w14:paraId="342999D4"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12.9</w:t>
            </w:r>
          </w:p>
        </w:tc>
        <w:tc>
          <w:tcPr>
            <w:tcW w:w="664" w:type="dxa"/>
            <w:shd w:val="clear" w:color="auto" w:fill="DBE5F1" w:themeFill="accent1" w:themeFillTint="33"/>
            <w:vAlign w:val="center"/>
            <w:hideMark/>
          </w:tcPr>
          <w:p w14:paraId="3AFF1DE7"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6.4</w:t>
            </w:r>
          </w:p>
        </w:tc>
        <w:tc>
          <w:tcPr>
            <w:tcW w:w="767" w:type="dxa"/>
            <w:shd w:val="clear" w:color="auto" w:fill="DBE5F1" w:themeFill="accent1" w:themeFillTint="33"/>
            <w:vAlign w:val="center"/>
            <w:hideMark/>
          </w:tcPr>
          <w:p w14:paraId="682AF01F"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6.5</w:t>
            </w:r>
          </w:p>
        </w:tc>
        <w:tc>
          <w:tcPr>
            <w:tcW w:w="660" w:type="dxa"/>
            <w:shd w:val="clear" w:color="auto" w:fill="DBE5F1" w:themeFill="accent1" w:themeFillTint="33"/>
            <w:vAlign w:val="center"/>
            <w:hideMark/>
          </w:tcPr>
          <w:p w14:paraId="524AC0DC"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5.3</w:t>
            </w:r>
          </w:p>
        </w:tc>
        <w:tc>
          <w:tcPr>
            <w:tcW w:w="778" w:type="dxa"/>
            <w:shd w:val="clear" w:color="auto" w:fill="DBE5F1" w:themeFill="accent1" w:themeFillTint="33"/>
            <w:vAlign w:val="center"/>
            <w:hideMark/>
          </w:tcPr>
          <w:p w14:paraId="18D58B78"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1.0</w:t>
            </w:r>
          </w:p>
        </w:tc>
        <w:tc>
          <w:tcPr>
            <w:tcW w:w="678" w:type="dxa"/>
            <w:shd w:val="clear" w:color="auto" w:fill="DBE5F1" w:themeFill="accent1" w:themeFillTint="33"/>
            <w:vAlign w:val="center"/>
            <w:hideMark/>
          </w:tcPr>
          <w:p w14:paraId="53544260"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5.8</w:t>
            </w:r>
          </w:p>
        </w:tc>
        <w:tc>
          <w:tcPr>
            <w:tcW w:w="761" w:type="dxa"/>
            <w:shd w:val="clear" w:color="auto" w:fill="DBE5F1" w:themeFill="accent1" w:themeFillTint="33"/>
            <w:vAlign w:val="center"/>
            <w:hideMark/>
          </w:tcPr>
          <w:p w14:paraId="62833729"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5.4</w:t>
            </w:r>
          </w:p>
        </w:tc>
      </w:tr>
      <w:tr w:rsidR="00C7695C" w:rsidRPr="00B12A44" w14:paraId="5BAC0BBB" w14:textId="77777777" w:rsidTr="003D2D87">
        <w:trPr>
          <w:trHeight w:val="954"/>
          <w:jc w:val="center"/>
        </w:trPr>
        <w:tc>
          <w:tcPr>
            <w:tcW w:w="2468" w:type="dxa"/>
            <w:shd w:val="clear" w:color="auto" w:fill="auto"/>
            <w:vAlign w:val="center"/>
            <w:hideMark/>
          </w:tcPr>
          <w:p w14:paraId="096F18E8" w14:textId="77777777" w:rsidR="00C7695C" w:rsidRPr="00B12A44" w:rsidRDefault="00C7695C" w:rsidP="003D2D87">
            <w:pPr>
              <w:spacing w:before="0" w:after="0"/>
              <w:ind w:firstLine="0"/>
              <w:rPr>
                <w:rFonts w:cs="Arial"/>
                <w:color w:val="000000"/>
                <w:sz w:val="18"/>
                <w:szCs w:val="18"/>
              </w:rPr>
            </w:pPr>
            <w:r w:rsidRPr="00B12A44">
              <w:rPr>
                <w:rFonts w:cs="Arial"/>
                <w:color w:val="000000"/>
                <w:sz w:val="18"/>
                <w:szCs w:val="18"/>
              </w:rPr>
              <w:t xml:space="preserve">Պետական բյուջեի </w:t>
            </w:r>
            <w:r w:rsidRPr="00B12A44">
              <w:rPr>
                <w:rFonts w:cs="Arial"/>
                <w:color w:val="000000"/>
                <w:sz w:val="18"/>
                <w:szCs w:val="18"/>
              </w:rPr>
              <w:lastRenderedPageBreak/>
              <w:t>ընթացիկ ծախսեր</w:t>
            </w:r>
          </w:p>
        </w:tc>
        <w:tc>
          <w:tcPr>
            <w:tcW w:w="310" w:type="dxa"/>
            <w:shd w:val="clear" w:color="auto" w:fill="auto"/>
            <w:vAlign w:val="center"/>
            <w:hideMark/>
          </w:tcPr>
          <w:p w14:paraId="061B2665" w14:textId="77777777" w:rsidR="00C7695C" w:rsidRPr="00B12A44" w:rsidRDefault="00C7695C" w:rsidP="003D2D87">
            <w:pPr>
              <w:spacing w:before="0" w:after="0"/>
              <w:ind w:firstLine="0"/>
              <w:jc w:val="center"/>
              <w:rPr>
                <w:rFonts w:cs="Arial"/>
                <w:color w:val="000000"/>
                <w:sz w:val="18"/>
                <w:szCs w:val="18"/>
              </w:rPr>
            </w:pPr>
            <w:r w:rsidRPr="00B12A44">
              <w:rPr>
                <w:rFonts w:cs="Arial"/>
                <w:color w:val="000000"/>
                <w:sz w:val="18"/>
                <w:szCs w:val="18"/>
              </w:rPr>
              <w:lastRenderedPageBreak/>
              <w:t xml:space="preserve">&lt;/= հարկային եկամուտների </w:t>
            </w:r>
            <w:r w:rsidRPr="00B12A44">
              <w:rPr>
                <w:rFonts w:cs="Arial"/>
                <w:color w:val="000000"/>
                <w:sz w:val="18"/>
                <w:szCs w:val="18"/>
              </w:rPr>
              <w:lastRenderedPageBreak/>
              <w:t>և տուրքերի ծավալ, մլրդ դրամ**</w:t>
            </w:r>
          </w:p>
        </w:tc>
        <w:tc>
          <w:tcPr>
            <w:tcW w:w="756" w:type="dxa"/>
            <w:shd w:val="clear" w:color="auto" w:fill="auto"/>
            <w:vAlign w:val="center"/>
            <w:hideMark/>
          </w:tcPr>
          <w:p w14:paraId="5A9CA750" w14:textId="77777777" w:rsidR="00C7695C" w:rsidRPr="00B12A44" w:rsidRDefault="00C7695C" w:rsidP="003D2D87">
            <w:pPr>
              <w:spacing w:before="0" w:after="0"/>
              <w:ind w:firstLine="0"/>
              <w:jc w:val="center"/>
              <w:rPr>
                <w:rFonts w:cs="Arial"/>
                <w:color w:val="000000"/>
                <w:sz w:val="18"/>
                <w:szCs w:val="18"/>
              </w:rPr>
            </w:pPr>
            <w:r w:rsidRPr="00B12A44">
              <w:rPr>
                <w:rFonts w:cs="Arial"/>
                <w:color w:val="000000"/>
                <w:sz w:val="18"/>
                <w:szCs w:val="18"/>
              </w:rPr>
              <w:lastRenderedPageBreak/>
              <w:t>-**</w:t>
            </w:r>
          </w:p>
        </w:tc>
        <w:tc>
          <w:tcPr>
            <w:tcW w:w="762" w:type="dxa"/>
            <w:shd w:val="clear" w:color="auto" w:fill="auto"/>
            <w:vAlign w:val="center"/>
            <w:hideMark/>
          </w:tcPr>
          <w:p w14:paraId="46CB91DC" w14:textId="77777777" w:rsidR="00C7695C" w:rsidRPr="00B12A44" w:rsidRDefault="00C7695C" w:rsidP="003D2D87">
            <w:pPr>
              <w:spacing w:before="0" w:after="0"/>
              <w:ind w:firstLine="0"/>
              <w:jc w:val="center"/>
              <w:rPr>
                <w:rFonts w:cs="Arial"/>
                <w:color w:val="000000"/>
                <w:sz w:val="18"/>
                <w:szCs w:val="18"/>
              </w:rPr>
            </w:pPr>
            <w:r w:rsidRPr="00B12A44">
              <w:rPr>
                <w:rFonts w:cs="Arial"/>
                <w:color w:val="000000"/>
                <w:sz w:val="18"/>
                <w:szCs w:val="18"/>
              </w:rPr>
              <w:t>1437.1</w:t>
            </w:r>
          </w:p>
        </w:tc>
        <w:tc>
          <w:tcPr>
            <w:tcW w:w="666" w:type="dxa"/>
            <w:shd w:val="clear" w:color="auto" w:fill="DBE5F1" w:themeFill="accent1" w:themeFillTint="33"/>
            <w:vAlign w:val="center"/>
            <w:hideMark/>
          </w:tcPr>
          <w:p w14:paraId="0AA7910C"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w:t>
            </w:r>
          </w:p>
        </w:tc>
        <w:tc>
          <w:tcPr>
            <w:tcW w:w="768" w:type="dxa"/>
            <w:shd w:val="clear" w:color="auto" w:fill="DBE5F1" w:themeFill="accent1" w:themeFillTint="33"/>
            <w:noWrap/>
            <w:vAlign w:val="center"/>
            <w:hideMark/>
          </w:tcPr>
          <w:p w14:paraId="597430F4"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1628.0</w:t>
            </w:r>
          </w:p>
        </w:tc>
        <w:tc>
          <w:tcPr>
            <w:tcW w:w="664" w:type="dxa"/>
            <w:shd w:val="clear" w:color="auto" w:fill="DBE5F1" w:themeFill="accent1" w:themeFillTint="33"/>
            <w:vAlign w:val="center"/>
            <w:hideMark/>
          </w:tcPr>
          <w:p w14:paraId="5986F84D"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w:t>
            </w:r>
          </w:p>
        </w:tc>
        <w:tc>
          <w:tcPr>
            <w:tcW w:w="767" w:type="dxa"/>
            <w:shd w:val="clear" w:color="auto" w:fill="DBE5F1" w:themeFill="accent1" w:themeFillTint="33"/>
            <w:noWrap/>
            <w:vAlign w:val="center"/>
            <w:hideMark/>
          </w:tcPr>
          <w:p w14:paraId="29F07EE3"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1629.0</w:t>
            </w:r>
          </w:p>
        </w:tc>
        <w:tc>
          <w:tcPr>
            <w:tcW w:w="660" w:type="dxa"/>
            <w:shd w:val="clear" w:color="auto" w:fill="DBE5F1" w:themeFill="accent1" w:themeFillTint="33"/>
            <w:vAlign w:val="center"/>
            <w:hideMark/>
          </w:tcPr>
          <w:p w14:paraId="0A4086F0"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w:t>
            </w:r>
          </w:p>
        </w:tc>
        <w:tc>
          <w:tcPr>
            <w:tcW w:w="778" w:type="dxa"/>
            <w:shd w:val="clear" w:color="auto" w:fill="DBE5F1" w:themeFill="accent1" w:themeFillTint="33"/>
            <w:noWrap/>
            <w:vAlign w:val="center"/>
            <w:hideMark/>
          </w:tcPr>
          <w:p w14:paraId="688548B4"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1699.9</w:t>
            </w:r>
          </w:p>
        </w:tc>
        <w:tc>
          <w:tcPr>
            <w:tcW w:w="678" w:type="dxa"/>
            <w:shd w:val="clear" w:color="auto" w:fill="DBE5F1" w:themeFill="accent1" w:themeFillTint="33"/>
            <w:vAlign w:val="center"/>
            <w:hideMark/>
          </w:tcPr>
          <w:p w14:paraId="5C42FEFA"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w:t>
            </w:r>
          </w:p>
        </w:tc>
        <w:tc>
          <w:tcPr>
            <w:tcW w:w="761" w:type="dxa"/>
            <w:shd w:val="clear" w:color="auto" w:fill="DBE5F1" w:themeFill="accent1" w:themeFillTint="33"/>
            <w:noWrap/>
            <w:vAlign w:val="center"/>
            <w:hideMark/>
          </w:tcPr>
          <w:p w14:paraId="113C91A4" w14:textId="77777777" w:rsidR="00C7695C" w:rsidRPr="00B12A44" w:rsidRDefault="00C7695C" w:rsidP="003D2D87">
            <w:pPr>
              <w:spacing w:before="0" w:after="0"/>
              <w:ind w:firstLine="0"/>
              <w:jc w:val="center"/>
              <w:rPr>
                <w:rFonts w:cs="Arial"/>
                <w:color w:val="000000"/>
                <w:sz w:val="18"/>
                <w:szCs w:val="18"/>
              </w:rPr>
            </w:pPr>
            <w:r>
              <w:rPr>
                <w:rFonts w:cs="Arial"/>
                <w:color w:val="000000"/>
                <w:sz w:val="18"/>
                <w:szCs w:val="18"/>
              </w:rPr>
              <w:t>1836.7</w:t>
            </w:r>
          </w:p>
        </w:tc>
      </w:tr>
      <w:tr w:rsidR="00C7695C" w:rsidRPr="00B12A44" w14:paraId="6255CF9F" w14:textId="77777777" w:rsidTr="003D2D87">
        <w:trPr>
          <w:trHeight w:val="477"/>
          <w:jc w:val="center"/>
        </w:trPr>
        <w:tc>
          <w:tcPr>
            <w:tcW w:w="2778" w:type="dxa"/>
            <w:gridSpan w:val="2"/>
            <w:shd w:val="clear" w:color="auto" w:fill="auto"/>
            <w:vAlign w:val="center"/>
            <w:hideMark/>
          </w:tcPr>
          <w:p w14:paraId="724AE5E3" w14:textId="77777777" w:rsidR="00C7695C" w:rsidRPr="00B12A44" w:rsidRDefault="00C7695C" w:rsidP="003D2D87">
            <w:pPr>
              <w:spacing w:before="0" w:after="0"/>
              <w:ind w:firstLine="0"/>
              <w:jc w:val="center"/>
              <w:rPr>
                <w:rFonts w:cs="Arial"/>
                <w:color w:val="000000"/>
                <w:sz w:val="18"/>
                <w:szCs w:val="18"/>
              </w:rPr>
            </w:pPr>
            <w:r w:rsidRPr="00B12A44">
              <w:rPr>
                <w:rFonts w:cs="Arial"/>
                <w:color w:val="000000"/>
                <w:sz w:val="18"/>
                <w:szCs w:val="18"/>
              </w:rPr>
              <w:t>Կառավարության պարտք/ՀՆԱ, %</w:t>
            </w:r>
          </w:p>
        </w:tc>
        <w:tc>
          <w:tcPr>
            <w:tcW w:w="1518" w:type="dxa"/>
            <w:gridSpan w:val="2"/>
            <w:shd w:val="clear" w:color="auto" w:fill="auto"/>
            <w:vAlign w:val="center"/>
            <w:hideMark/>
          </w:tcPr>
          <w:p w14:paraId="3E623751" w14:textId="77777777" w:rsidR="00C7695C" w:rsidRPr="00B12A44" w:rsidRDefault="00C7695C" w:rsidP="003D2D87">
            <w:pPr>
              <w:spacing w:before="0" w:after="0"/>
              <w:ind w:firstLine="0"/>
              <w:jc w:val="center"/>
              <w:rPr>
                <w:rFonts w:cs="Arial"/>
                <w:color w:val="000000"/>
                <w:sz w:val="20"/>
                <w:szCs w:val="20"/>
              </w:rPr>
            </w:pPr>
            <w:r w:rsidRPr="00B12A44">
              <w:rPr>
                <w:rFonts w:cs="Arial"/>
                <w:color w:val="000000"/>
                <w:sz w:val="20"/>
                <w:szCs w:val="20"/>
              </w:rPr>
              <w:t>49.9</w:t>
            </w:r>
          </w:p>
        </w:tc>
        <w:tc>
          <w:tcPr>
            <w:tcW w:w="1434" w:type="dxa"/>
            <w:gridSpan w:val="2"/>
            <w:shd w:val="clear" w:color="auto" w:fill="DBE5F1" w:themeFill="accent1" w:themeFillTint="33"/>
            <w:noWrap/>
            <w:vAlign w:val="center"/>
            <w:hideMark/>
          </w:tcPr>
          <w:p w14:paraId="58F0F006" w14:textId="77777777" w:rsidR="00C7695C" w:rsidRPr="00B12A44" w:rsidRDefault="00C7695C" w:rsidP="003D2D87">
            <w:pPr>
              <w:spacing w:before="0" w:after="0"/>
              <w:ind w:firstLine="0"/>
              <w:jc w:val="center"/>
              <w:rPr>
                <w:rFonts w:cs="Arial"/>
                <w:color w:val="000000"/>
                <w:sz w:val="20"/>
                <w:szCs w:val="20"/>
              </w:rPr>
            </w:pPr>
            <w:r>
              <w:rPr>
                <w:rFonts w:cs="Arial"/>
                <w:color w:val="000000"/>
                <w:sz w:val="20"/>
                <w:szCs w:val="20"/>
              </w:rPr>
              <w:t>58.6</w:t>
            </w:r>
          </w:p>
        </w:tc>
        <w:tc>
          <w:tcPr>
            <w:tcW w:w="1431" w:type="dxa"/>
            <w:gridSpan w:val="2"/>
            <w:shd w:val="clear" w:color="auto" w:fill="DBE5F1" w:themeFill="accent1" w:themeFillTint="33"/>
            <w:noWrap/>
            <w:vAlign w:val="center"/>
            <w:hideMark/>
          </w:tcPr>
          <w:p w14:paraId="2E34E89A" w14:textId="77777777" w:rsidR="00C7695C" w:rsidRPr="00B12A44" w:rsidRDefault="00C7695C" w:rsidP="003D2D87">
            <w:pPr>
              <w:spacing w:before="0" w:after="0"/>
              <w:ind w:firstLine="0"/>
              <w:jc w:val="center"/>
              <w:rPr>
                <w:rFonts w:cs="Arial"/>
                <w:color w:val="000000"/>
                <w:sz w:val="20"/>
                <w:szCs w:val="20"/>
              </w:rPr>
            </w:pPr>
            <w:r>
              <w:rPr>
                <w:rFonts w:cs="Arial"/>
                <w:color w:val="000000"/>
                <w:sz w:val="20"/>
                <w:szCs w:val="20"/>
              </w:rPr>
              <w:t>58.2</w:t>
            </w:r>
          </w:p>
        </w:tc>
        <w:tc>
          <w:tcPr>
            <w:tcW w:w="1438" w:type="dxa"/>
            <w:gridSpan w:val="2"/>
            <w:shd w:val="clear" w:color="auto" w:fill="DBE5F1" w:themeFill="accent1" w:themeFillTint="33"/>
            <w:noWrap/>
            <w:vAlign w:val="center"/>
            <w:hideMark/>
          </w:tcPr>
          <w:p w14:paraId="3ECC2E4B" w14:textId="77777777" w:rsidR="00C7695C" w:rsidRPr="00B12A44" w:rsidRDefault="00C7695C" w:rsidP="003D2D87">
            <w:pPr>
              <w:spacing w:before="0" w:after="0"/>
              <w:ind w:firstLine="0"/>
              <w:jc w:val="center"/>
              <w:rPr>
                <w:rFonts w:cs="Arial"/>
                <w:color w:val="000000"/>
                <w:sz w:val="20"/>
                <w:szCs w:val="20"/>
              </w:rPr>
            </w:pPr>
            <w:r>
              <w:rPr>
                <w:rFonts w:cs="Arial"/>
                <w:color w:val="000000"/>
                <w:sz w:val="20"/>
                <w:szCs w:val="20"/>
              </w:rPr>
              <w:t>56.5</w:t>
            </w:r>
          </w:p>
        </w:tc>
        <w:tc>
          <w:tcPr>
            <w:tcW w:w="1439" w:type="dxa"/>
            <w:gridSpan w:val="2"/>
            <w:shd w:val="clear" w:color="auto" w:fill="DBE5F1" w:themeFill="accent1" w:themeFillTint="33"/>
            <w:noWrap/>
            <w:vAlign w:val="center"/>
            <w:hideMark/>
          </w:tcPr>
          <w:p w14:paraId="3A18BEA0" w14:textId="77777777" w:rsidR="00C7695C" w:rsidRPr="00B12A44" w:rsidRDefault="00C7695C" w:rsidP="003D2D87">
            <w:pPr>
              <w:spacing w:before="0" w:after="0"/>
              <w:ind w:firstLine="0"/>
              <w:jc w:val="center"/>
              <w:rPr>
                <w:rFonts w:cs="Arial"/>
                <w:color w:val="000000"/>
                <w:sz w:val="20"/>
                <w:szCs w:val="20"/>
              </w:rPr>
            </w:pPr>
            <w:r>
              <w:rPr>
                <w:rFonts w:cs="Arial"/>
                <w:color w:val="000000"/>
                <w:sz w:val="20"/>
                <w:szCs w:val="20"/>
              </w:rPr>
              <w:t>54.7</w:t>
            </w:r>
          </w:p>
        </w:tc>
      </w:tr>
    </w:tbl>
    <w:p w14:paraId="110AFC41" w14:textId="77777777" w:rsidR="00C7695C" w:rsidRPr="00031860" w:rsidRDefault="00C7695C" w:rsidP="00C7695C">
      <w:pPr>
        <w:rPr>
          <w:i/>
          <w:sz w:val="20"/>
          <w:szCs w:val="20"/>
          <w:lang w:val="hy-AM"/>
        </w:rPr>
      </w:pPr>
      <w:r w:rsidRPr="0012591F">
        <w:rPr>
          <w:i/>
          <w:sz w:val="20"/>
          <w:szCs w:val="20"/>
        </w:rPr>
        <w:t>*</w:t>
      </w:r>
      <w:r>
        <w:rPr>
          <w:i/>
          <w:sz w:val="20"/>
          <w:szCs w:val="20"/>
          <w:lang w:val="hy-AM"/>
        </w:rPr>
        <w:t>Հ</w:t>
      </w:r>
      <w:r w:rsidRPr="0012591F">
        <w:rPr>
          <w:i/>
          <w:sz w:val="20"/>
          <w:szCs w:val="20"/>
        </w:rPr>
        <w:t>աշվարկված է</w:t>
      </w:r>
      <w:r w:rsidRPr="00B12A44">
        <w:rPr>
          <w:i/>
          <w:sz w:val="20"/>
          <w:szCs w:val="20"/>
        </w:rPr>
        <w:t xml:space="preserve"> որպես երկու տարի առաջ </w:t>
      </w:r>
      <w:r w:rsidRPr="0012591F">
        <w:rPr>
          <w:i/>
          <w:sz w:val="20"/>
          <w:szCs w:val="20"/>
        </w:rPr>
        <w:t>(</w:t>
      </w:r>
      <w:r w:rsidRPr="00031860">
        <w:rPr>
          <w:i/>
          <w:sz w:val="18"/>
          <w:szCs w:val="20"/>
        </w:rPr>
        <w:t>t-2</w:t>
      </w:r>
      <w:r w:rsidRPr="0012591F">
        <w:rPr>
          <w:i/>
          <w:sz w:val="20"/>
          <w:szCs w:val="20"/>
        </w:rPr>
        <w:t xml:space="preserve">) </w:t>
      </w:r>
      <w:r w:rsidRPr="00B12A44">
        <w:rPr>
          <w:i/>
          <w:sz w:val="20"/>
          <w:szCs w:val="20"/>
        </w:rPr>
        <w:t xml:space="preserve">արձանագրված ցուցանիշի նկատմամբ համապատասխան տարվա </w:t>
      </w:r>
      <w:r w:rsidRPr="0012591F">
        <w:rPr>
          <w:i/>
          <w:sz w:val="20"/>
          <w:szCs w:val="20"/>
        </w:rPr>
        <w:t>(t)</w:t>
      </w:r>
      <w:r w:rsidRPr="00B12A44">
        <w:rPr>
          <w:i/>
          <w:sz w:val="20"/>
          <w:szCs w:val="20"/>
        </w:rPr>
        <w:t xml:space="preserve"> հավելաճի տեմպի կես</w:t>
      </w:r>
    </w:p>
    <w:p w14:paraId="6D7BF5E5" w14:textId="43DEC301" w:rsidR="009E34DB" w:rsidRDefault="00C7695C" w:rsidP="003D2D87">
      <w:pPr>
        <w:rPr>
          <w:i/>
          <w:sz w:val="20"/>
          <w:szCs w:val="20"/>
          <w:lang w:val="hy-AM"/>
        </w:rPr>
      </w:pPr>
      <w:r w:rsidRPr="00CD1D9C">
        <w:rPr>
          <w:i/>
          <w:sz w:val="20"/>
          <w:szCs w:val="20"/>
          <w:lang w:val="hy-AM"/>
        </w:rPr>
        <w:t>**Պետական պարտքի առկա չափի դեպքում կիրառելի չէ</w:t>
      </w:r>
    </w:p>
    <w:p w14:paraId="53EBD0AF" w14:textId="4009BC5F" w:rsidR="00381D44" w:rsidRDefault="00381D44" w:rsidP="003D2D87">
      <w:pPr>
        <w:rPr>
          <w:i/>
          <w:sz w:val="20"/>
          <w:szCs w:val="20"/>
          <w:lang w:val="hy-AM"/>
        </w:rPr>
      </w:pPr>
    </w:p>
    <w:p w14:paraId="508C5CE1" w14:textId="09FF57F6" w:rsidR="00381D44" w:rsidRDefault="00381D44" w:rsidP="003D2D87">
      <w:pPr>
        <w:rPr>
          <w:i/>
          <w:sz w:val="20"/>
          <w:szCs w:val="20"/>
          <w:lang w:val="hy-AM"/>
        </w:rPr>
      </w:pPr>
    </w:p>
    <w:p w14:paraId="23DE1E35" w14:textId="125F7A81" w:rsidR="00381D44" w:rsidRDefault="00381D44" w:rsidP="003D2D87">
      <w:pPr>
        <w:rPr>
          <w:i/>
          <w:sz w:val="20"/>
          <w:szCs w:val="20"/>
          <w:lang w:val="hy-AM"/>
        </w:rPr>
      </w:pPr>
    </w:p>
    <w:p w14:paraId="330C0D26" w14:textId="283770A9" w:rsidR="00381D44" w:rsidRPr="00C17AB2" w:rsidRDefault="00381D44" w:rsidP="00381D44">
      <w:pPr>
        <w:pStyle w:val="Heading3"/>
        <w:numPr>
          <w:ilvl w:val="0"/>
          <w:numId w:val="0"/>
        </w:numPr>
        <w:rPr>
          <w:rFonts w:eastAsia="Times New Roman" w:cs="Times New Roman"/>
          <w:caps w:val="0"/>
          <w:color w:val="1F497D" w:themeColor="text2"/>
          <w:sz w:val="28"/>
          <w:szCs w:val="28"/>
        </w:rPr>
      </w:pPr>
      <w:bookmarkStart w:id="238" w:name="_Toc45838555"/>
      <w:bookmarkStart w:id="239" w:name="_Toc46154356"/>
      <w:r w:rsidRPr="007022D4">
        <w:rPr>
          <w:rFonts w:eastAsia="Times New Roman" w:cs="Times New Roman"/>
          <w:caps w:val="0"/>
          <w:color w:val="1F497D" w:themeColor="text2"/>
          <w:sz w:val="28"/>
          <w:szCs w:val="28"/>
        </w:rPr>
        <w:t>2</w:t>
      </w:r>
      <w:r w:rsidRPr="00C17AB2">
        <w:rPr>
          <w:rFonts w:eastAsia="Times New Roman" w:cs="Times New Roman"/>
          <w:caps w:val="0"/>
          <w:color w:val="1F497D" w:themeColor="text2"/>
          <w:sz w:val="28"/>
          <w:szCs w:val="28"/>
        </w:rPr>
        <w:t>.</w:t>
      </w:r>
      <w:r w:rsidRPr="007022D4">
        <w:rPr>
          <w:rFonts w:eastAsia="Times New Roman" w:cs="Times New Roman"/>
          <w:caps w:val="0"/>
          <w:color w:val="1F497D" w:themeColor="text2"/>
          <w:sz w:val="28"/>
          <w:szCs w:val="28"/>
        </w:rPr>
        <w:t>6</w:t>
      </w:r>
      <w:r w:rsidRPr="00C17AB2">
        <w:rPr>
          <w:rFonts w:eastAsia="Times New Roman" w:cs="Times New Roman"/>
          <w:caps w:val="0"/>
          <w:color w:val="1F497D" w:themeColor="text2"/>
          <w:sz w:val="28"/>
          <w:szCs w:val="28"/>
        </w:rPr>
        <w:t>. ՊԵՏԱԿԱՆ ԲՅՈՒՋԵԻ ՑՈՒՑԱՆԻՇՆԵՐԻ ԿԱՆԽԱՏԵՍՈՒՄՆԵՐԻ ՀԱՄԵՄԱՏԱԿԱՆ ԱՂՅՈՒՍԱԿՆԵՐ</w:t>
      </w:r>
      <w:bookmarkEnd w:id="238"/>
      <w:bookmarkEnd w:id="239"/>
    </w:p>
    <w:p w14:paraId="70613A4D" w14:textId="77777777" w:rsidR="00381D44" w:rsidRPr="00772498" w:rsidRDefault="00381D44" w:rsidP="00381D44">
      <w:pPr>
        <w:spacing w:before="0" w:after="0" w:line="276" w:lineRule="auto"/>
        <w:ind w:firstLine="0"/>
        <w:rPr>
          <w:rFonts w:eastAsia="Calibri" w:cs="Times New Roman"/>
          <w:b/>
          <w:bCs/>
          <w:i/>
          <w:iCs/>
          <w:color w:val="000000"/>
          <w:lang w:val="hy-AM"/>
        </w:rPr>
      </w:pPr>
      <w:r w:rsidRPr="00772498">
        <w:rPr>
          <w:rFonts w:eastAsia="Calibri" w:cs="Times New Roman"/>
          <w:b/>
          <w:bCs/>
          <w:i/>
          <w:iCs/>
          <w:color w:val="000000"/>
          <w:lang w:val="hy-AM"/>
        </w:rPr>
        <w:t xml:space="preserve">Աղյուսակ </w:t>
      </w:r>
      <w:r w:rsidRPr="00EB1197">
        <w:rPr>
          <w:rFonts w:eastAsia="Calibri" w:cs="Times New Roman"/>
          <w:b/>
          <w:bCs/>
          <w:i/>
          <w:iCs/>
          <w:color w:val="000000"/>
          <w:lang w:val="hy-AM"/>
        </w:rPr>
        <w:t>1</w:t>
      </w:r>
      <w:r w:rsidRPr="00772498">
        <w:rPr>
          <w:rFonts w:eastAsia="Calibri" w:cs="Times New Roman"/>
          <w:b/>
          <w:bCs/>
          <w:i/>
          <w:iCs/>
          <w:color w:val="000000"/>
          <w:lang w:val="hy-AM"/>
        </w:rPr>
        <w:t>.</w:t>
      </w:r>
      <w:r w:rsidRPr="00EB1197">
        <w:rPr>
          <w:rFonts w:eastAsia="Calibri" w:cs="Times New Roman"/>
          <w:b/>
          <w:bCs/>
          <w:i/>
          <w:iCs/>
          <w:color w:val="000000"/>
          <w:lang w:val="hy-AM"/>
        </w:rPr>
        <w:t>7.</w:t>
      </w:r>
      <w:r w:rsidRPr="00772498">
        <w:rPr>
          <w:rFonts w:eastAsia="Calibri" w:cs="Times New Roman"/>
          <w:b/>
          <w:bCs/>
          <w:i/>
          <w:iCs/>
          <w:color w:val="000000"/>
          <w:lang w:val="hy-AM"/>
        </w:rPr>
        <w:t xml:space="preserve"> </w:t>
      </w:r>
      <w:r w:rsidRPr="00772498">
        <w:rPr>
          <w:rFonts w:eastAsia="Calibri" w:cs="Sylfaen"/>
          <w:bCs/>
          <w:i/>
          <w:iCs/>
          <w:color w:val="000000"/>
          <w:sz w:val="20"/>
          <w:szCs w:val="20"/>
          <w:lang w:val="hy-AM"/>
        </w:rPr>
        <w:t>Պետական բյուջեի եկամուտների կանխատեսումների համեմատական աղյուսակը (մլրդ դրամ)</w:t>
      </w:r>
    </w:p>
    <w:tbl>
      <w:tblPr>
        <w:tblStyle w:val="GridTable1Light-Accent11"/>
        <w:tblW w:w="9856" w:type="dxa"/>
        <w:tblLook w:val="04A0" w:firstRow="1" w:lastRow="0" w:firstColumn="1" w:lastColumn="0" w:noHBand="0" w:noVBand="1"/>
      </w:tblPr>
      <w:tblGrid>
        <w:gridCol w:w="1700"/>
        <w:gridCol w:w="3330"/>
        <w:gridCol w:w="900"/>
        <w:gridCol w:w="966"/>
        <w:gridCol w:w="1000"/>
        <w:gridCol w:w="1000"/>
        <w:gridCol w:w="960"/>
      </w:tblGrid>
      <w:tr w:rsidR="00381D44" w:rsidRPr="00381D44" w14:paraId="2F2CF955" w14:textId="77777777" w:rsidTr="00451822">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hideMark/>
          </w:tcPr>
          <w:p w14:paraId="5D069FD8" w14:textId="77777777" w:rsidR="00381D44" w:rsidRPr="00EB1197" w:rsidRDefault="00381D44" w:rsidP="00451822">
            <w:pPr>
              <w:spacing w:before="0" w:after="0" w:line="240" w:lineRule="auto"/>
              <w:ind w:firstLine="0"/>
              <w:jc w:val="center"/>
              <w:rPr>
                <w:rFonts w:eastAsia="Times New Roman" w:cs="Calibri"/>
                <w:b w:val="0"/>
                <w:bCs w:val="0"/>
                <w:color w:val="000000"/>
                <w:sz w:val="20"/>
                <w:szCs w:val="20"/>
                <w:lang w:val="hy-AM"/>
              </w:rPr>
            </w:pPr>
            <w:r w:rsidRPr="00EB1197">
              <w:rPr>
                <w:rFonts w:eastAsia="Times New Roman" w:cs="Calibri"/>
                <w:color w:val="000000"/>
                <w:sz w:val="20"/>
                <w:szCs w:val="20"/>
                <w:lang w:val="hy-AM"/>
              </w:rPr>
              <w:t>Ընդունման տարին</w:t>
            </w:r>
          </w:p>
        </w:tc>
        <w:tc>
          <w:tcPr>
            <w:tcW w:w="33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hideMark/>
          </w:tcPr>
          <w:p w14:paraId="622F15AE"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Ծրագիր</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hideMark/>
          </w:tcPr>
          <w:p w14:paraId="435FA9D9"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2019</w:t>
            </w: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hideMark/>
          </w:tcPr>
          <w:p w14:paraId="4803CA6A"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2020</w:t>
            </w:r>
          </w:p>
        </w:tc>
        <w:tc>
          <w:tcPr>
            <w:tcW w:w="10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hideMark/>
          </w:tcPr>
          <w:p w14:paraId="54792384"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2021</w:t>
            </w:r>
          </w:p>
        </w:tc>
        <w:tc>
          <w:tcPr>
            <w:tcW w:w="10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hideMark/>
          </w:tcPr>
          <w:p w14:paraId="46546515"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2022</w:t>
            </w:r>
          </w:p>
        </w:tc>
        <w:tc>
          <w:tcPr>
            <w:tcW w:w="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noWrap/>
            <w:vAlign w:val="center"/>
            <w:hideMark/>
          </w:tcPr>
          <w:p w14:paraId="2EB6A036"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2023</w:t>
            </w:r>
          </w:p>
        </w:tc>
      </w:tr>
      <w:tr w:rsidR="00381D44" w:rsidRPr="00381D44" w14:paraId="0057AF04"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tcBorders>
              <w:top w:val="single" w:sz="4" w:space="0" w:color="FFFFFF" w:themeColor="background1"/>
            </w:tcBorders>
            <w:vAlign w:val="center"/>
          </w:tcPr>
          <w:p w14:paraId="6B65F0D1" w14:textId="77777777" w:rsidR="00381D44" w:rsidRPr="00945F33" w:rsidRDefault="00381D44" w:rsidP="00451822">
            <w:pPr>
              <w:spacing w:before="0" w:after="0" w:line="240" w:lineRule="auto"/>
              <w:ind w:firstLine="0"/>
              <w:jc w:val="center"/>
              <w:rPr>
                <w:rFonts w:eastAsia="Times New Roman" w:cs="Calibri"/>
                <w:color w:val="000000"/>
                <w:sz w:val="20"/>
                <w:szCs w:val="20"/>
                <w:lang w:val="hy-AM"/>
              </w:rPr>
            </w:pPr>
            <w:r>
              <w:rPr>
                <w:rFonts w:eastAsia="Times New Roman" w:cs="Calibri"/>
                <w:color w:val="000000"/>
                <w:sz w:val="20"/>
                <w:szCs w:val="20"/>
                <w:lang w:val="hy-AM"/>
              </w:rPr>
              <w:t>-</w:t>
            </w:r>
          </w:p>
        </w:tc>
        <w:tc>
          <w:tcPr>
            <w:tcW w:w="3330" w:type="dxa"/>
            <w:tcBorders>
              <w:top w:val="single" w:sz="4" w:space="0" w:color="FFFFFF" w:themeColor="background1"/>
            </w:tcBorders>
            <w:noWrap/>
            <w:vAlign w:val="center"/>
          </w:tcPr>
          <w:p w14:paraId="40D471F2" w14:textId="77777777" w:rsidR="00381D44" w:rsidRPr="00945F33"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Pr>
                <w:rFonts w:eastAsia="Times New Roman" w:cs="Calibri"/>
                <w:color w:val="000000"/>
                <w:sz w:val="20"/>
                <w:szCs w:val="20"/>
                <w:lang w:val="hy-AM"/>
              </w:rPr>
              <w:t>Փաստացի</w:t>
            </w:r>
          </w:p>
        </w:tc>
        <w:tc>
          <w:tcPr>
            <w:tcW w:w="900" w:type="dxa"/>
            <w:tcBorders>
              <w:top w:val="single" w:sz="4" w:space="0" w:color="FFFFFF" w:themeColor="background1"/>
            </w:tcBorders>
            <w:vAlign w:val="center"/>
          </w:tcPr>
          <w:p w14:paraId="312419AC"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1,565.5</w:t>
            </w:r>
          </w:p>
        </w:tc>
        <w:tc>
          <w:tcPr>
            <w:tcW w:w="966" w:type="dxa"/>
            <w:tcBorders>
              <w:top w:val="single" w:sz="4" w:space="0" w:color="FFFFFF" w:themeColor="background1"/>
            </w:tcBorders>
            <w:vAlign w:val="center"/>
          </w:tcPr>
          <w:p w14:paraId="50F99D4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tcBorders>
              <w:top w:val="single" w:sz="4" w:space="0" w:color="FFFFFF" w:themeColor="background1"/>
            </w:tcBorders>
            <w:vAlign w:val="center"/>
          </w:tcPr>
          <w:p w14:paraId="13134C5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tcBorders>
              <w:top w:val="single" w:sz="4" w:space="0" w:color="FFFFFF" w:themeColor="background1"/>
            </w:tcBorders>
            <w:noWrap/>
            <w:vAlign w:val="center"/>
          </w:tcPr>
          <w:p w14:paraId="66646B2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c>
          <w:tcPr>
            <w:tcW w:w="960" w:type="dxa"/>
            <w:tcBorders>
              <w:top w:val="single" w:sz="4" w:space="0" w:color="FFFFFF" w:themeColor="background1"/>
            </w:tcBorders>
            <w:noWrap/>
            <w:vAlign w:val="center"/>
          </w:tcPr>
          <w:p w14:paraId="356F0D2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r>
      <w:tr w:rsidR="00381D44" w:rsidRPr="00381D44" w14:paraId="3E7F7335"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tcPr>
          <w:p w14:paraId="3EE1E1E1" w14:textId="77777777" w:rsidR="00381D44" w:rsidRDefault="00381D44" w:rsidP="00451822">
            <w:pPr>
              <w:spacing w:before="0" w:after="0" w:line="240" w:lineRule="auto"/>
              <w:ind w:firstLine="0"/>
              <w:jc w:val="center"/>
              <w:rPr>
                <w:rFonts w:eastAsia="Times New Roman" w:cs="Calibri"/>
                <w:color w:val="000000"/>
                <w:sz w:val="20"/>
                <w:szCs w:val="20"/>
                <w:lang w:val="hy-AM"/>
              </w:rPr>
            </w:pPr>
          </w:p>
        </w:tc>
        <w:tc>
          <w:tcPr>
            <w:tcW w:w="3330" w:type="dxa"/>
            <w:tcBorders>
              <w:top w:val="single" w:sz="4" w:space="0" w:color="FFFFFF" w:themeColor="background1"/>
            </w:tcBorders>
            <w:noWrap/>
            <w:vAlign w:val="center"/>
          </w:tcPr>
          <w:p w14:paraId="7AA33BC5" w14:textId="77777777" w:rsidR="00381D44"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i/>
                <w:color w:val="000000"/>
                <w:sz w:val="18"/>
                <w:szCs w:val="20"/>
                <w:lang w:val="hy-AM"/>
              </w:rPr>
              <w:t>%-ով՝ ՀՆԱ-ի նկատմամբ</w:t>
            </w:r>
          </w:p>
        </w:tc>
        <w:tc>
          <w:tcPr>
            <w:tcW w:w="900" w:type="dxa"/>
            <w:tcBorders>
              <w:top w:val="single" w:sz="4" w:space="0" w:color="FFFFFF" w:themeColor="background1"/>
            </w:tcBorders>
            <w:vAlign w:val="center"/>
          </w:tcPr>
          <w:p w14:paraId="6338E44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23.8%</w:t>
            </w:r>
          </w:p>
        </w:tc>
        <w:tc>
          <w:tcPr>
            <w:tcW w:w="966" w:type="dxa"/>
            <w:tcBorders>
              <w:top w:val="single" w:sz="4" w:space="0" w:color="FFFFFF" w:themeColor="background1"/>
            </w:tcBorders>
            <w:vAlign w:val="center"/>
          </w:tcPr>
          <w:p w14:paraId="189A97C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tcBorders>
              <w:top w:val="single" w:sz="4" w:space="0" w:color="FFFFFF" w:themeColor="background1"/>
            </w:tcBorders>
            <w:vAlign w:val="center"/>
          </w:tcPr>
          <w:p w14:paraId="7DBD0C7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tcBorders>
              <w:top w:val="single" w:sz="4" w:space="0" w:color="FFFFFF" w:themeColor="background1"/>
            </w:tcBorders>
            <w:noWrap/>
            <w:vAlign w:val="center"/>
          </w:tcPr>
          <w:p w14:paraId="589468B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c>
          <w:tcPr>
            <w:tcW w:w="960" w:type="dxa"/>
            <w:tcBorders>
              <w:top w:val="single" w:sz="4" w:space="0" w:color="FFFFFF" w:themeColor="background1"/>
            </w:tcBorders>
            <w:noWrap/>
            <w:vAlign w:val="center"/>
          </w:tcPr>
          <w:p w14:paraId="5082A1A1"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r>
      <w:tr w:rsidR="00381D44" w:rsidRPr="00381D44" w14:paraId="3BC328BE"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hideMark/>
          </w:tcPr>
          <w:p w14:paraId="3A738A4D"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2019</w:t>
            </w:r>
          </w:p>
        </w:tc>
        <w:tc>
          <w:tcPr>
            <w:tcW w:w="3330" w:type="dxa"/>
            <w:noWrap/>
            <w:vAlign w:val="center"/>
            <w:hideMark/>
          </w:tcPr>
          <w:p w14:paraId="7D8D81D6"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ՄԺԾԾ 2020-2022</w:t>
            </w:r>
          </w:p>
        </w:tc>
        <w:tc>
          <w:tcPr>
            <w:tcW w:w="900" w:type="dxa"/>
            <w:vAlign w:val="center"/>
            <w:hideMark/>
          </w:tcPr>
          <w:p w14:paraId="38BAF51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966" w:type="dxa"/>
            <w:vAlign w:val="center"/>
            <w:hideMark/>
          </w:tcPr>
          <w:p w14:paraId="7759410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1,710.6</w:t>
            </w:r>
          </w:p>
        </w:tc>
        <w:tc>
          <w:tcPr>
            <w:tcW w:w="1000" w:type="dxa"/>
            <w:vAlign w:val="center"/>
            <w:hideMark/>
          </w:tcPr>
          <w:p w14:paraId="36219DC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1,858.8</w:t>
            </w:r>
          </w:p>
        </w:tc>
        <w:tc>
          <w:tcPr>
            <w:tcW w:w="1000" w:type="dxa"/>
            <w:vAlign w:val="center"/>
            <w:hideMark/>
          </w:tcPr>
          <w:p w14:paraId="42AF10D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2,051.1</w:t>
            </w:r>
          </w:p>
        </w:tc>
        <w:tc>
          <w:tcPr>
            <w:tcW w:w="960" w:type="dxa"/>
            <w:noWrap/>
            <w:vAlign w:val="center"/>
            <w:hideMark/>
          </w:tcPr>
          <w:p w14:paraId="51260CB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r>
      <w:tr w:rsidR="00381D44" w:rsidRPr="00381D44" w14:paraId="612E1A09"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48FECD73"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vAlign w:val="center"/>
            <w:hideMark/>
          </w:tcPr>
          <w:p w14:paraId="721C991B"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900" w:type="dxa"/>
            <w:noWrap/>
            <w:vAlign w:val="center"/>
            <w:hideMark/>
          </w:tcPr>
          <w:p w14:paraId="4E2A82F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966" w:type="dxa"/>
            <w:vAlign w:val="center"/>
            <w:hideMark/>
          </w:tcPr>
          <w:p w14:paraId="4FEF15C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24.5%</w:t>
            </w:r>
          </w:p>
        </w:tc>
        <w:tc>
          <w:tcPr>
            <w:tcW w:w="1000" w:type="dxa"/>
            <w:vAlign w:val="center"/>
            <w:hideMark/>
          </w:tcPr>
          <w:p w14:paraId="222310D1"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24.4%</w:t>
            </w:r>
          </w:p>
        </w:tc>
        <w:tc>
          <w:tcPr>
            <w:tcW w:w="1000" w:type="dxa"/>
            <w:vAlign w:val="center"/>
            <w:hideMark/>
          </w:tcPr>
          <w:p w14:paraId="3648EB2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24.7%</w:t>
            </w:r>
          </w:p>
        </w:tc>
        <w:tc>
          <w:tcPr>
            <w:tcW w:w="960" w:type="dxa"/>
            <w:noWrap/>
            <w:vAlign w:val="center"/>
            <w:hideMark/>
          </w:tcPr>
          <w:p w14:paraId="26713C96"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r>
      <w:tr w:rsidR="00381D44" w:rsidRPr="00381D44" w14:paraId="016681DF"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40A9B96A"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noWrap/>
            <w:vAlign w:val="center"/>
            <w:hideMark/>
          </w:tcPr>
          <w:p w14:paraId="4A3AF1CC"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2020թ. Պետական բյուջե</w:t>
            </w:r>
          </w:p>
        </w:tc>
        <w:tc>
          <w:tcPr>
            <w:tcW w:w="900" w:type="dxa"/>
            <w:noWrap/>
            <w:vAlign w:val="center"/>
            <w:hideMark/>
          </w:tcPr>
          <w:p w14:paraId="525AF43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966" w:type="dxa"/>
            <w:vAlign w:val="center"/>
            <w:hideMark/>
          </w:tcPr>
          <w:p w14:paraId="06583C1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1,695.0</w:t>
            </w:r>
          </w:p>
        </w:tc>
        <w:tc>
          <w:tcPr>
            <w:tcW w:w="1000" w:type="dxa"/>
            <w:vAlign w:val="center"/>
            <w:hideMark/>
          </w:tcPr>
          <w:p w14:paraId="02065B8F"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000" w:type="dxa"/>
            <w:vAlign w:val="center"/>
            <w:hideMark/>
          </w:tcPr>
          <w:p w14:paraId="48F3339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960" w:type="dxa"/>
            <w:noWrap/>
            <w:vAlign w:val="center"/>
            <w:hideMark/>
          </w:tcPr>
          <w:p w14:paraId="350E51D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r>
      <w:tr w:rsidR="00381D44" w:rsidRPr="00381D44" w14:paraId="3603C96C"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5490F68B"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vAlign w:val="center"/>
            <w:hideMark/>
          </w:tcPr>
          <w:p w14:paraId="584F049E"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900" w:type="dxa"/>
            <w:noWrap/>
            <w:vAlign w:val="center"/>
            <w:hideMark/>
          </w:tcPr>
          <w:p w14:paraId="6A7109B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966" w:type="dxa"/>
            <w:vAlign w:val="center"/>
            <w:hideMark/>
          </w:tcPr>
          <w:p w14:paraId="0D8DEBE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23.9%</w:t>
            </w:r>
          </w:p>
        </w:tc>
        <w:tc>
          <w:tcPr>
            <w:tcW w:w="1000" w:type="dxa"/>
            <w:vAlign w:val="center"/>
            <w:hideMark/>
          </w:tcPr>
          <w:p w14:paraId="189EADA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1000" w:type="dxa"/>
            <w:vAlign w:val="center"/>
            <w:hideMark/>
          </w:tcPr>
          <w:p w14:paraId="1A7942E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960" w:type="dxa"/>
            <w:noWrap/>
            <w:vAlign w:val="center"/>
            <w:hideMark/>
          </w:tcPr>
          <w:p w14:paraId="390954B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r>
      <w:tr w:rsidR="00381D44" w:rsidRPr="00381D44" w14:paraId="39496C6C"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hideMark/>
          </w:tcPr>
          <w:p w14:paraId="4A52FF03"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2020</w:t>
            </w:r>
          </w:p>
        </w:tc>
        <w:tc>
          <w:tcPr>
            <w:tcW w:w="3330" w:type="dxa"/>
            <w:noWrap/>
            <w:vAlign w:val="center"/>
            <w:hideMark/>
          </w:tcPr>
          <w:p w14:paraId="6D0DFA91"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 xml:space="preserve"> ՄԺԾԾ 2021-2023</w:t>
            </w:r>
          </w:p>
        </w:tc>
        <w:tc>
          <w:tcPr>
            <w:tcW w:w="900" w:type="dxa"/>
            <w:noWrap/>
            <w:vAlign w:val="center"/>
            <w:hideMark/>
          </w:tcPr>
          <w:p w14:paraId="4C527CC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966" w:type="dxa"/>
            <w:noWrap/>
            <w:vAlign w:val="center"/>
            <w:hideMark/>
          </w:tcPr>
          <w:p w14:paraId="1389613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1,488.7</w:t>
            </w:r>
          </w:p>
        </w:tc>
        <w:tc>
          <w:tcPr>
            <w:tcW w:w="1000" w:type="dxa"/>
            <w:vAlign w:val="center"/>
            <w:hideMark/>
          </w:tcPr>
          <w:p w14:paraId="1863580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1,669.9</w:t>
            </w:r>
          </w:p>
        </w:tc>
        <w:tc>
          <w:tcPr>
            <w:tcW w:w="1000" w:type="dxa"/>
            <w:vAlign w:val="center"/>
            <w:hideMark/>
          </w:tcPr>
          <w:p w14:paraId="3635686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1,885.9</w:t>
            </w:r>
          </w:p>
        </w:tc>
        <w:tc>
          <w:tcPr>
            <w:tcW w:w="960" w:type="dxa"/>
            <w:vAlign w:val="center"/>
            <w:hideMark/>
          </w:tcPr>
          <w:p w14:paraId="39F2F90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2,082.9</w:t>
            </w:r>
          </w:p>
        </w:tc>
      </w:tr>
      <w:tr w:rsidR="00381D44" w:rsidRPr="00381D44" w14:paraId="6F0FF458"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700" w:type="dxa"/>
            <w:vMerge/>
            <w:hideMark/>
          </w:tcPr>
          <w:p w14:paraId="50D13902" w14:textId="77777777" w:rsidR="00381D44" w:rsidRPr="00EB1197" w:rsidRDefault="00381D44" w:rsidP="00451822">
            <w:pPr>
              <w:spacing w:before="0" w:after="0" w:line="240" w:lineRule="auto"/>
              <w:ind w:firstLine="0"/>
              <w:rPr>
                <w:rFonts w:eastAsia="Times New Roman" w:cs="Calibri"/>
                <w:color w:val="000000"/>
                <w:sz w:val="20"/>
                <w:szCs w:val="20"/>
                <w:lang w:val="hy-AM"/>
              </w:rPr>
            </w:pPr>
          </w:p>
        </w:tc>
        <w:tc>
          <w:tcPr>
            <w:tcW w:w="3330" w:type="dxa"/>
            <w:vAlign w:val="center"/>
            <w:hideMark/>
          </w:tcPr>
          <w:p w14:paraId="0584F066"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900" w:type="dxa"/>
            <w:noWrap/>
            <w:vAlign w:val="center"/>
            <w:hideMark/>
          </w:tcPr>
          <w:p w14:paraId="5807376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966" w:type="dxa"/>
            <w:noWrap/>
            <w:vAlign w:val="center"/>
            <w:hideMark/>
          </w:tcPr>
          <w:p w14:paraId="27E4FC54"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22.9%</w:t>
            </w:r>
            <w:r w:rsidRPr="00EB1197">
              <w:rPr>
                <w:rFonts w:ascii="Calibri" w:eastAsia="Times New Roman" w:hAnsi="Calibri" w:cs="Calibri"/>
                <w:i/>
                <w:color w:val="000000"/>
                <w:sz w:val="18"/>
                <w:szCs w:val="20"/>
                <w:lang w:val="hy-AM"/>
              </w:rPr>
              <w:t> </w:t>
            </w:r>
          </w:p>
        </w:tc>
        <w:tc>
          <w:tcPr>
            <w:tcW w:w="1000" w:type="dxa"/>
            <w:vAlign w:val="center"/>
            <w:hideMark/>
          </w:tcPr>
          <w:p w14:paraId="16B0E5C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23.4%</w:t>
            </w:r>
          </w:p>
        </w:tc>
        <w:tc>
          <w:tcPr>
            <w:tcW w:w="1000" w:type="dxa"/>
            <w:vAlign w:val="center"/>
            <w:hideMark/>
          </w:tcPr>
          <w:p w14:paraId="1B6CC7A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24.0%</w:t>
            </w:r>
          </w:p>
        </w:tc>
        <w:tc>
          <w:tcPr>
            <w:tcW w:w="960" w:type="dxa"/>
            <w:vAlign w:val="center"/>
            <w:hideMark/>
          </w:tcPr>
          <w:p w14:paraId="37345E3C"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24.3%</w:t>
            </w:r>
          </w:p>
        </w:tc>
      </w:tr>
    </w:tbl>
    <w:p w14:paraId="180C6E63" w14:textId="77777777" w:rsidR="00381D44" w:rsidRPr="0055071A" w:rsidRDefault="00381D44" w:rsidP="00381D44">
      <w:pPr>
        <w:spacing w:before="240"/>
        <w:ind w:right="630" w:firstLine="0"/>
        <w:rPr>
          <w:b/>
          <w:bCs/>
          <w:i/>
          <w:iCs/>
          <w:sz w:val="20"/>
          <w:szCs w:val="20"/>
          <w:lang w:val="hy-AM"/>
        </w:rPr>
      </w:pPr>
      <w:r w:rsidRPr="00772498">
        <w:rPr>
          <w:rFonts w:eastAsia="Calibri" w:cs="Times New Roman"/>
          <w:b/>
          <w:bCs/>
          <w:i/>
          <w:iCs/>
          <w:color w:val="000000"/>
          <w:lang w:val="hy-AM"/>
        </w:rPr>
        <w:t xml:space="preserve">Աղյուսակ </w:t>
      </w:r>
      <w:r w:rsidRPr="00EB1197">
        <w:rPr>
          <w:rFonts w:eastAsia="Calibri" w:cs="Times New Roman"/>
          <w:b/>
          <w:bCs/>
          <w:i/>
          <w:iCs/>
          <w:color w:val="000000"/>
          <w:lang w:val="hy-AM"/>
        </w:rPr>
        <w:t>1.8</w:t>
      </w:r>
      <w:r w:rsidRPr="00772498">
        <w:rPr>
          <w:rFonts w:eastAsia="Calibri" w:cs="Times New Roman"/>
          <w:b/>
          <w:bCs/>
          <w:i/>
          <w:iCs/>
          <w:color w:val="000000"/>
          <w:lang w:val="hy-AM"/>
        </w:rPr>
        <w:t>.</w:t>
      </w:r>
      <w:r w:rsidRPr="0055071A">
        <w:rPr>
          <w:b/>
          <w:bCs/>
          <w:i/>
          <w:iCs/>
          <w:sz w:val="20"/>
          <w:szCs w:val="20"/>
          <w:lang w:val="hy-AM"/>
        </w:rPr>
        <w:t xml:space="preserve"> </w:t>
      </w:r>
      <w:r w:rsidRPr="00772498">
        <w:rPr>
          <w:rFonts w:eastAsia="Calibri" w:cs="Sylfaen"/>
          <w:bCs/>
          <w:i/>
          <w:iCs/>
          <w:color w:val="000000"/>
          <w:sz w:val="20"/>
          <w:szCs w:val="20"/>
          <w:lang w:val="hy-AM"/>
        </w:rPr>
        <w:t>Պետական բյուջեի հարկային եկամուտների կանխատեսումների համեմատական աղյուսակը (մլրդ դրամ)</w:t>
      </w:r>
    </w:p>
    <w:tbl>
      <w:tblPr>
        <w:tblStyle w:val="GridTable1Light-Accent11"/>
        <w:tblW w:w="10171" w:type="dxa"/>
        <w:tblLook w:val="04A0" w:firstRow="1" w:lastRow="0" w:firstColumn="1" w:lastColumn="0" w:noHBand="0" w:noVBand="1"/>
      </w:tblPr>
      <w:tblGrid>
        <w:gridCol w:w="1296"/>
        <w:gridCol w:w="2644"/>
        <w:gridCol w:w="1160"/>
        <w:gridCol w:w="1277"/>
        <w:gridCol w:w="1254"/>
        <w:gridCol w:w="1263"/>
        <w:gridCol w:w="1277"/>
      </w:tblGrid>
      <w:tr w:rsidR="00381D44" w:rsidRPr="002D5EA9" w14:paraId="567E9A85" w14:textId="77777777" w:rsidTr="00451822">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96" w:type="dxa"/>
            <w:shd w:val="clear" w:color="auto" w:fill="B8CCE4" w:themeFill="accent1" w:themeFillTint="66"/>
            <w:vAlign w:val="center"/>
            <w:hideMark/>
          </w:tcPr>
          <w:p w14:paraId="2FF377CD"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Ընդունման տարին</w:t>
            </w:r>
          </w:p>
        </w:tc>
        <w:tc>
          <w:tcPr>
            <w:tcW w:w="2644" w:type="dxa"/>
            <w:shd w:val="clear" w:color="auto" w:fill="B8CCE4" w:themeFill="accent1" w:themeFillTint="66"/>
            <w:noWrap/>
            <w:vAlign w:val="center"/>
            <w:hideMark/>
          </w:tcPr>
          <w:p w14:paraId="2A47B0EA"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Ծրագիր</w:t>
            </w:r>
          </w:p>
        </w:tc>
        <w:tc>
          <w:tcPr>
            <w:tcW w:w="1160" w:type="dxa"/>
            <w:shd w:val="clear" w:color="auto" w:fill="B8CCE4" w:themeFill="accent1" w:themeFillTint="66"/>
            <w:noWrap/>
            <w:vAlign w:val="center"/>
            <w:hideMark/>
          </w:tcPr>
          <w:p w14:paraId="1B5AD8C0"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2019</w:t>
            </w:r>
          </w:p>
        </w:tc>
        <w:tc>
          <w:tcPr>
            <w:tcW w:w="1277" w:type="dxa"/>
            <w:shd w:val="clear" w:color="auto" w:fill="B8CCE4" w:themeFill="accent1" w:themeFillTint="66"/>
            <w:noWrap/>
            <w:vAlign w:val="center"/>
            <w:hideMark/>
          </w:tcPr>
          <w:p w14:paraId="073A0C21"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2020</w:t>
            </w:r>
          </w:p>
        </w:tc>
        <w:tc>
          <w:tcPr>
            <w:tcW w:w="1254" w:type="dxa"/>
            <w:shd w:val="clear" w:color="auto" w:fill="B8CCE4" w:themeFill="accent1" w:themeFillTint="66"/>
            <w:noWrap/>
            <w:vAlign w:val="center"/>
            <w:hideMark/>
          </w:tcPr>
          <w:p w14:paraId="58F00150"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2021</w:t>
            </w:r>
          </w:p>
        </w:tc>
        <w:tc>
          <w:tcPr>
            <w:tcW w:w="1263" w:type="dxa"/>
            <w:shd w:val="clear" w:color="auto" w:fill="B8CCE4" w:themeFill="accent1" w:themeFillTint="66"/>
            <w:noWrap/>
            <w:vAlign w:val="center"/>
            <w:hideMark/>
          </w:tcPr>
          <w:p w14:paraId="0A6F442A"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2022</w:t>
            </w:r>
          </w:p>
        </w:tc>
        <w:tc>
          <w:tcPr>
            <w:tcW w:w="1277" w:type="dxa"/>
            <w:shd w:val="clear" w:color="auto" w:fill="B8CCE4" w:themeFill="accent1" w:themeFillTint="66"/>
            <w:noWrap/>
            <w:vAlign w:val="center"/>
            <w:hideMark/>
          </w:tcPr>
          <w:p w14:paraId="6996BA86"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2023</w:t>
            </w:r>
          </w:p>
        </w:tc>
      </w:tr>
      <w:tr w:rsidR="00381D44" w:rsidRPr="002D5EA9" w14:paraId="65CAEC65"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296" w:type="dxa"/>
            <w:vMerge w:val="restart"/>
            <w:vAlign w:val="center"/>
          </w:tcPr>
          <w:p w14:paraId="51FAB31D" w14:textId="77777777" w:rsidR="00381D44" w:rsidRPr="00945F33" w:rsidRDefault="00381D44" w:rsidP="00451822">
            <w:pPr>
              <w:spacing w:before="0" w:after="0" w:line="240" w:lineRule="auto"/>
              <w:ind w:firstLine="0"/>
              <w:jc w:val="center"/>
              <w:rPr>
                <w:rFonts w:eastAsia="Times New Roman" w:cs="Calibri"/>
                <w:color w:val="000000"/>
                <w:sz w:val="20"/>
                <w:szCs w:val="20"/>
                <w:lang w:val="hy-AM"/>
              </w:rPr>
            </w:pPr>
            <w:r>
              <w:rPr>
                <w:rFonts w:eastAsia="Times New Roman" w:cs="Calibri"/>
                <w:color w:val="000000"/>
                <w:sz w:val="20"/>
                <w:szCs w:val="20"/>
                <w:lang w:val="hy-AM"/>
              </w:rPr>
              <w:t>-</w:t>
            </w:r>
          </w:p>
        </w:tc>
        <w:tc>
          <w:tcPr>
            <w:tcW w:w="2644" w:type="dxa"/>
            <w:noWrap/>
            <w:vAlign w:val="center"/>
          </w:tcPr>
          <w:p w14:paraId="19B62E5D" w14:textId="77777777" w:rsidR="00381D44" w:rsidRPr="00945F33"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Pr>
                <w:rFonts w:eastAsia="Times New Roman" w:cs="Calibri"/>
                <w:color w:val="000000"/>
                <w:sz w:val="20"/>
                <w:szCs w:val="20"/>
                <w:lang w:val="hy-AM"/>
              </w:rPr>
              <w:t>Փաստացի</w:t>
            </w:r>
          </w:p>
        </w:tc>
        <w:tc>
          <w:tcPr>
            <w:tcW w:w="1160" w:type="dxa"/>
            <w:vAlign w:val="center"/>
          </w:tcPr>
          <w:p w14:paraId="7D1D5C8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1,464.3</w:t>
            </w:r>
          </w:p>
        </w:tc>
        <w:tc>
          <w:tcPr>
            <w:tcW w:w="1277" w:type="dxa"/>
            <w:vAlign w:val="center"/>
          </w:tcPr>
          <w:p w14:paraId="6A74AB5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254" w:type="dxa"/>
            <w:vAlign w:val="center"/>
          </w:tcPr>
          <w:p w14:paraId="18DD4CD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263" w:type="dxa"/>
            <w:noWrap/>
            <w:vAlign w:val="center"/>
          </w:tcPr>
          <w:p w14:paraId="7CD8DA9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c>
          <w:tcPr>
            <w:tcW w:w="1277" w:type="dxa"/>
            <w:noWrap/>
            <w:vAlign w:val="center"/>
          </w:tcPr>
          <w:p w14:paraId="2645FB6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r>
      <w:tr w:rsidR="00381D44" w:rsidRPr="002D5EA9" w14:paraId="24831F4E"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296" w:type="dxa"/>
            <w:vMerge/>
            <w:vAlign w:val="center"/>
          </w:tcPr>
          <w:p w14:paraId="34DBC532"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2644" w:type="dxa"/>
            <w:noWrap/>
            <w:vAlign w:val="center"/>
          </w:tcPr>
          <w:p w14:paraId="6E28D538"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i/>
                <w:color w:val="000000"/>
                <w:sz w:val="18"/>
                <w:szCs w:val="20"/>
                <w:lang w:val="hy-AM"/>
              </w:rPr>
              <w:t>%-ով՝ ՀՆԱ-ի նկատմամբ</w:t>
            </w:r>
          </w:p>
        </w:tc>
        <w:tc>
          <w:tcPr>
            <w:tcW w:w="1160" w:type="dxa"/>
            <w:vAlign w:val="center"/>
          </w:tcPr>
          <w:p w14:paraId="2F88BF2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18"/>
                <w:lang w:val="hy-AM"/>
              </w:rPr>
            </w:pPr>
            <w:r w:rsidRPr="00EB1197">
              <w:rPr>
                <w:rFonts w:eastAsia="Times New Roman" w:cs="Calibri"/>
                <w:i/>
                <w:color w:val="000000"/>
                <w:sz w:val="18"/>
                <w:szCs w:val="18"/>
                <w:lang w:val="hy-AM"/>
              </w:rPr>
              <w:t>22.3%</w:t>
            </w:r>
          </w:p>
        </w:tc>
        <w:tc>
          <w:tcPr>
            <w:tcW w:w="1277" w:type="dxa"/>
            <w:vAlign w:val="center"/>
          </w:tcPr>
          <w:p w14:paraId="2C1B08AD"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254" w:type="dxa"/>
            <w:vAlign w:val="center"/>
          </w:tcPr>
          <w:p w14:paraId="24289AD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263" w:type="dxa"/>
            <w:noWrap/>
            <w:vAlign w:val="center"/>
          </w:tcPr>
          <w:p w14:paraId="44C8A9E1"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c>
          <w:tcPr>
            <w:tcW w:w="1277" w:type="dxa"/>
            <w:noWrap/>
            <w:vAlign w:val="center"/>
          </w:tcPr>
          <w:p w14:paraId="612A080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r>
      <w:tr w:rsidR="00381D44" w:rsidRPr="002D5EA9" w14:paraId="286CB5B7"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296" w:type="dxa"/>
            <w:vMerge w:val="restart"/>
            <w:vAlign w:val="center"/>
            <w:hideMark/>
          </w:tcPr>
          <w:p w14:paraId="5554CB9A"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2019</w:t>
            </w:r>
          </w:p>
        </w:tc>
        <w:tc>
          <w:tcPr>
            <w:tcW w:w="2644" w:type="dxa"/>
            <w:noWrap/>
            <w:vAlign w:val="center"/>
            <w:hideMark/>
          </w:tcPr>
          <w:p w14:paraId="3113ABBD"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 xml:space="preserve"> ՄԺԾԾ 2020-2022</w:t>
            </w:r>
          </w:p>
        </w:tc>
        <w:tc>
          <w:tcPr>
            <w:tcW w:w="1160" w:type="dxa"/>
            <w:vAlign w:val="center"/>
            <w:hideMark/>
          </w:tcPr>
          <w:p w14:paraId="5AB02E8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277" w:type="dxa"/>
            <w:vAlign w:val="center"/>
            <w:hideMark/>
          </w:tcPr>
          <w:p w14:paraId="33F4D13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1,621.2</w:t>
            </w:r>
          </w:p>
        </w:tc>
        <w:tc>
          <w:tcPr>
            <w:tcW w:w="1254" w:type="dxa"/>
            <w:vAlign w:val="center"/>
            <w:hideMark/>
          </w:tcPr>
          <w:p w14:paraId="520B40B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1,787.5</w:t>
            </w:r>
          </w:p>
        </w:tc>
        <w:tc>
          <w:tcPr>
            <w:tcW w:w="1263" w:type="dxa"/>
            <w:vAlign w:val="center"/>
            <w:hideMark/>
          </w:tcPr>
          <w:p w14:paraId="14BD76A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1,988.8</w:t>
            </w:r>
          </w:p>
        </w:tc>
        <w:tc>
          <w:tcPr>
            <w:tcW w:w="1277" w:type="dxa"/>
            <w:noWrap/>
            <w:vAlign w:val="center"/>
            <w:hideMark/>
          </w:tcPr>
          <w:p w14:paraId="437CDE66"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r>
      <w:tr w:rsidR="00381D44" w:rsidRPr="002D5EA9" w14:paraId="28B4A27A"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296" w:type="dxa"/>
            <w:vMerge/>
            <w:vAlign w:val="center"/>
            <w:hideMark/>
          </w:tcPr>
          <w:p w14:paraId="6D83EBF8"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2644" w:type="dxa"/>
            <w:vAlign w:val="center"/>
            <w:hideMark/>
          </w:tcPr>
          <w:p w14:paraId="790075A9"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21AEDC3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277" w:type="dxa"/>
            <w:vAlign w:val="center"/>
            <w:hideMark/>
          </w:tcPr>
          <w:p w14:paraId="4C43F62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23.2%</w:t>
            </w:r>
          </w:p>
        </w:tc>
        <w:tc>
          <w:tcPr>
            <w:tcW w:w="1254" w:type="dxa"/>
            <w:vAlign w:val="center"/>
            <w:hideMark/>
          </w:tcPr>
          <w:p w14:paraId="66467EB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23.5%</w:t>
            </w:r>
          </w:p>
        </w:tc>
        <w:tc>
          <w:tcPr>
            <w:tcW w:w="1263" w:type="dxa"/>
            <w:vAlign w:val="center"/>
            <w:hideMark/>
          </w:tcPr>
          <w:p w14:paraId="3978492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23.9%</w:t>
            </w:r>
          </w:p>
        </w:tc>
        <w:tc>
          <w:tcPr>
            <w:tcW w:w="1277" w:type="dxa"/>
            <w:noWrap/>
            <w:vAlign w:val="center"/>
            <w:hideMark/>
          </w:tcPr>
          <w:p w14:paraId="569B8E7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r>
      <w:tr w:rsidR="00381D44" w:rsidRPr="002D5EA9" w14:paraId="28235F54"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296" w:type="dxa"/>
            <w:vMerge/>
            <w:vAlign w:val="center"/>
            <w:hideMark/>
          </w:tcPr>
          <w:p w14:paraId="34C9EDD9"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2644" w:type="dxa"/>
            <w:noWrap/>
            <w:vAlign w:val="center"/>
            <w:hideMark/>
          </w:tcPr>
          <w:p w14:paraId="41B67B45"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2020թ. Պետական բյուջե</w:t>
            </w:r>
          </w:p>
        </w:tc>
        <w:tc>
          <w:tcPr>
            <w:tcW w:w="1160" w:type="dxa"/>
            <w:noWrap/>
            <w:vAlign w:val="center"/>
            <w:hideMark/>
          </w:tcPr>
          <w:p w14:paraId="10A3CCF4"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277" w:type="dxa"/>
            <w:vAlign w:val="center"/>
            <w:hideMark/>
          </w:tcPr>
          <w:p w14:paraId="76FA59A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1,602.3</w:t>
            </w:r>
          </w:p>
        </w:tc>
        <w:tc>
          <w:tcPr>
            <w:tcW w:w="1254" w:type="dxa"/>
            <w:vAlign w:val="center"/>
            <w:hideMark/>
          </w:tcPr>
          <w:p w14:paraId="7D4EFBB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263" w:type="dxa"/>
            <w:vAlign w:val="center"/>
            <w:hideMark/>
          </w:tcPr>
          <w:p w14:paraId="5A1A97D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277" w:type="dxa"/>
            <w:noWrap/>
            <w:vAlign w:val="center"/>
            <w:hideMark/>
          </w:tcPr>
          <w:p w14:paraId="493F9AD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r>
      <w:tr w:rsidR="00381D44" w:rsidRPr="002D5EA9" w14:paraId="27E74DDE"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296" w:type="dxa"/>
            <w:vMerge/>
            <w:vAlign w:val="center"/>
            <w:hideMark/>
          </w:tcPr>
          <w:p w14:paraId="700CE8B6"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2644" w:type="dxa"/>
            <w:vAlign w:val="center"/>
            <w:hideMark/>
          </w:tcPr>
          <w:p w14:paraId="3A488E18"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0C8011D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277" w:type="dxa"/>
            <w:vAlign w:val="center"/>
            <w:hideMark/>
          </w:tcPr>
          <w:p w14:paraId="28399796"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22.6%</w:t>
            </w:r>
          </w:p>
        </w:tc>
        <w:tc>
          <w:tcPr>
            <w:tcW w:w="1254" w:type="dxa"/>
            <w:vAlign w:val="center"/>
            <w:hideMark/>
          </w:tcPr>
          <w:p w14:paraId="4479229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1263" w:type="dxa"/>
            <w:vAlign w:val="center"/>
            <w:hideMark/>
          </w:tcPr>
          <w:p w14:paraId="7630F78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1277" w:type="dxa"/>
            <w:noWrap/>
            <w:vAlign w:val="center"/>
            <w:hideMark/>
          </w:tcPr>
          <w:p w14:paraId="4F95263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r>
      <w:tr w:rsidR="00381D44" w:rsidRPr="002D5EA9" w14:paraId="4D475267"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296" w:type="dxa"/>
            <w:vMerge w:val="restart"/>
            <w:vAlign w:val="center"/>
            <w:hideMark/>
          </w:tcPr>
          <w:p w14:paraId="6FA3013B"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2020</w:t>
            </w:r>
          </w:p>
        </w:tc>
        <w:tc>
          <w:tcPr>
            <w:tcW w:w="2644" w:type="dxa"/>
            <w:noWrap/>
            <w:vAlign w:val="center"/>
            <w:hideMark/>
          </w:tcPr>
          <w:p w14:paraId="5B732E7E"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 xml:space="preserve"> ՄԺԾԾ 2021-2023</w:t>
            </w:r>
          </w:p>
        </w:tc>
        <w:tc>
          <w:tcPr>
            <w:tcW w:w="1160" w:type="dxa"/>
            <w:noWrap/>
            <w:vAlign w:val="center"/>
            <w:hideMark/>
          </w:tcPr>
          <w:p w14:paraId="6CCB6D9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277" w:type="dxa"/>
            <w:noWrap/>
            <w:vAlign w:val="center"/>
            <w:hideMark/>
          </w:tcPr>
          <w:p w14:paraId="53372CB1"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1,395.9</w:t>
            </w:r>
            <w:r w:rsidRPr="00EB1197">
              <w:rPr>
                <w:rFonts w:ascii="Calibri" w:eastAsia="Times New Roman" w:hAnsi="Calibri" w:cs="Calibri"/>
                <w:color w:val="000000"/>
                <w:sz w:val="20"/>
                <w:szCs w:val="20"/>
                <w:lang w:val="hy-AM"/>
              </w:rPr>
              <w:t> </w:t>
            </w:r>
          </w:p>
        </w:tc>
        <w:tc>
          <w:tcPr>
            <w:tcW w:w="1254" w:type="dxa"/>
            <w:vAlign w:val="center"/>
            <w:hideMark/>
          </w:tcPr>
          <w:p w14:paraId="06BA540D"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1,600.3</w:t>
            </w:r>
          </w:p>
        </w:tc>
        <w:tc>
          <w:tcPr>
            <w:tcW w:w="1263" w:type="dxa"/>
            <w:vAlign w:val="center"/>
            <w:hideMark/>
          </w:tcPr>
          <w:p w14:paraId="353730B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1,819.7</w:t>
            </w:r>
          </w:p>
        </w:tc>
        <w:tc>
          <w:tcPr>
            <w:tcW w:w="1277" w:type="dxa"/>
            <w:vAlign w:val="center"/>
            <w:hideMark/>
          </w:tcPr>
          <w:p w14:paraId="2154CCF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2,027.1</w:t>
            </w:r>
          </w:p>
        </w:tc>
      </w:tr>
      <w:tr w:rsidR="00381D44" w:rsidRPr="002D5EA9" w14:paraId="630D4249"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296" w:type="dxa"/>
            <w:vMerge/>
            <w:hideMark/>
          </w:tcPr>
          <w:p w14:paraId="4431283D" w14:textId="77777777" w:rsidR="00381D44" w:rsidRPr="00EB1197" w:rsidRDefault="00381D44" w:rsidP="00451822">
            <w:pPr>
              <w:rPr>
                <w:rFonts w:eastAsia="Times New Roman" w:cs="Calibri"/>
                <w:color w:val="000000"/>
                <w:sz w:val="20"/>
                <w:szCs w:val="20"/>
                <w:lang w:val="hy-AM"/>
              </w:rPr>
            </w:pPr>
          </w:p>
        </w:tc>
        <w:tc>
          <w:tcPr>
            <w:tcW w:w="2644" w:type="dxa"/>
            <w:vAlign w:val="center"/>
            <w:hideMark/>
          </w:tcPr>
          <w:p w14:paraId="2CE17870" w14:textId="77777777" w:rsidR="00381D44" w:rsidRPr="00EB1197" w:rsidRDefault="00381D44" w:rsidP="00451822">
            <w:pPr>
              <w:ind w:firstLineChars="200" w:firstLine="36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60D63714" w14:textId="77777777" w:rsidR="00381D44" w:rsidRPr="00EB1197" w:rsidRDefault="00381D44" w:rsidP="00451822">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277" w:type="dxa"/>
            <w:noWrap/>
            <w:vAlign w:val="center"/>
            <w:hideMark/>
          </w:tcPr>
          <w:p w14:paraId="150BE4AB" w14:textId="77777777" w:rsidR="00381D44" w:rsidRPr="00EB1197" w:rsidRDefault="00381D44" w:rsidP="00451822">
            <w:pPr>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18"/>
                <w:lang w:val="hy-AM"/>
              </w:rPr>
            </w:pPr>
            <w:r w:rsidRPr="00EB1197">
              <w:rPr>
                <w:rFonts w:eastAsia="Times New Roman" w:cs="Calibri"/>
                <w:i/>
                <w:color w:val="000000"/>
                <w:sz w:val="18"/>
                <w:szCs w:val="18"/>
                <w:lang w:val="hy-AM"/>
              </w:rPr>
              <w:t>21.5%</w:t>
            </w:r>
            <w:r w:rsidRPr="00EB1197">
              <w:rPr>
                <w:rFonts w:ascii="Calibri" w:eastAsia="Times New Roman" w:hAnsi="Calibri" w:cs="Calibri"/>
                <w:i/>
                <w:color w:val="000000"/>
                <w:sz w:val="18"/>
                <w:szCs w:val="18"/>
                <w:lang w:val="hy-AM"/>
              </w:rPr>
              <w:t> </w:t>
            </w:r>
          </w:p>
        </w:tc>
        <w:tc>
          <w:tcPr>
            <w:tcW w:w="1254" w:type="dxa"/>
            <w:vAlign w:val="center"/>
            <w:hideMark/>
          </w:tcPr>
          <w:p w14:paraId="045024E7" w14:textId="77777777" w:rsidR="00381D44" w:rsidRPr="00EB1197" w:rsidRDefault="00381D44" w:rsidP="00451822">
            <w:pPr>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22.4%</w:t>
            </w:r>
          </w:p>
        </w:tc>
        <w:tc>
          <w:tcPr>
            <w:tcW w:w="1263" w:type="dxa"/>
            <w:vAlign w:val="center"/>
            <w:hideMark/>
          </w:tcPr>
          <w:p w14:paraId="11A46EEA" w14:textId="77777777" w:rsidR="00381D44" w:rsidRPr="00EB1197" w:rsidRDefault="00381D44" w:rsidP="00451822">
            <w:pPr>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23.2%</w:t>
            </w:r>
          </w:p>
        </w:tc>
        <w:tc>
          <w:tcPr>
            <w:tcW w:w="1277" w:type="dxa"/>
            <w:vAlign w:val="center"/>
            <w:hideMark/>
          </w:tcPr>
          <w:p w14:paraId="6C3FB4F0" w14:textId="77777777" w:rsidR="00381D44" w:rsidRPr="00EB1197" w:rsidRDefault="00381D44" w:rsidP="00451822">
            <w:pPr>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23.6%</w:t>
            </w:r>
          </w:p>
        </w:tc>
      </w:tr>
    </w:tbl>
    <w:p w14:paraId="4D419104" w14:textId="77777777" w:rsidR="00381D44" w:rsidRPr="00772498" w:rsidRDefault="00381D44" w:rsidP="00381D44">
      <w:pPr>
        <w:spacing w:before="240"/>
        <w:ind w:firstLine="0"/>
        <w:rPr>
          <w:rFonts w:eastAsia="Calibri" w:cs="Sylfaen"/>
          <w:bCs/>
          <w:i/>
          <w:iCs/>
          <w:color w:val="000000"/>
          <w:sz w:val="20"/>
          <w:szCs w:val="20"/>
          <w:lang w:val="hy-AM"/>
        </w:rPr>
      </w:pPr>
      <w:r w:rsidRPr="00772498">
        <w:rPr>
          <w:rFonts w:eastAsia="Calibri" w:cs="Times New Roman"/>
          <w:b/>
          <w:bCs/>
          <w:i/>
          <w:iCs/>
          <w:color w:val="000000"/>
          <w:lang w:val="hy-AM"/>
        </w:rPr>
        <w:t>Աղյուսակ 1.9</w:t>
      </w:r>
      <w:r w:rsidRPr="0055071A">
        <w:rPr>
          <w:b/>
          <w:bCs/>
          <w:i/>
          <w:iCs/>
          <w:sz w:val="20"/>
          <w:szCs w:val="20"/>
          <w:lang w:val="hy-AM"/>
        </w:rPr>
        <w:t xml:space="preserve"> </w:t>
      </w:r>
      <w:r w:rsidRPr="00772498">
        <w:rPr>
          <w:rFonts w:eastAsia="Calibri" w:cs="Sylfaen"/>
          <w:bCs/>
          <w:i/>
          <w:iCs/>
          <w:color w:val="000000"/>
          <w:sz w:val="20"/>
          <w:szCs w:val="20"/>
          <w:lang w:val="hy-AM"/>
        </w:rPr>
        <w:t>Պետական բյուջեի ծախսերի կանխատեսումների համեմատական աղյուսակը (մլրդ դրամ)</w:t>
      </w:r>
    </w:p>
    <w:tbl>
      <w:tblPr>
        <w:tblStyle w:val="GridTable1Light-Accent11"/>
        <w:tblW w:w="10038" w:type="dxa"/>
        <w:tblLook w:val="04A0" w:firstRow="1" w:lastRow="0" w:firstColumn="1" w:lastColumn="0" w:noHBand="0" w:noVBand="1"/>
      </w:tblPr>
      <w:tblGrid>
        <w:gridCol w:w="1700"/>
        <w:gridCol w:w="3330"/>
        <w:gridCol w:w="1160"/>
        <w:gridCol w:w="888"/>
        <w:gridCol w:w="1000"/>
        <w:gridCol w:w="1000"/>
        <w:gridCol w:w="960"/>
      </w:tblGrid>
      <w:tr w:rsidR="00381D44" w:rsidRPr="00813400" w14:paraId="1E0C39DF" w14:textId="77777777" w:rsidTr="00451822">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700" w:type="dxa"/>
            <w:shd w:val="clear" w:color="auto" w:fill="B8CCE4" w:themeFill="accent1" w:themeFillTint="66"/>
            <w:vAlign w:val="center"/>
            <w:hideMark/>
          </w:tcPr>
          <w:p w14:paraId="676530A0" w14:textId="77777777" w:rsidR="00381D44" w:rsidRPr="00EB1197" w:rsidRDefault="00381D44" w:rsidP="00451822">
            <w:pPr>
              <w:spacing w:before="0" w:after="0" w:line="240" w:lineRule="auto"/>
              <w:ind w:firstLine="0"/>
              <w:jc w:val="center"/>
              <w:rPr>
                <w:rFonts w:eastAsia="Times New Roman" w:cs="Calibri"/>
                <w:b w:val="0"/>
                <w:bCs w:val="0"/>
                <w:color w:val="000000"/>
                <w:sz w:val="20"/>
                <w:szCs w:val="20"/>
                <w:lang w:val="hy-AM"/>
              </w:rPr>
            </w:pPr>
            <w:r w:rsidRPr="00EB1197">
              <w:rPr>
                <w:rFonts w:eastAsia="Times New Roman" w:cs="Calibri"/>
                <w:color w:val="000000"/>
                <w:sz w:val="20"/>
                <w:szCs w:val="20"/>
                <w:lang w:val="hy-AM"/>
              </w:rPr>
              <w:t>Ընդունման տարին</w:t>
            </w:r>
          </w:p>
        </w:tc>
        <w:tc>
          <w:tcPr>
            <w:tcW w:w="3330" w:type="dxa"/>
            <w:shd w:val="clear" w:color="auto" w:fill="B8CCE4" w:themeFill="accent1" w:themeFillTint="66"/>
            <w:noWrap/>
            <w:vAlign w:val="center"/>
            <w:hideMark/>
          </w:tcPr>
          <w:p w14:paraId="300752BA"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Ծրագիր</w:t>
            </w:r>
          </w:p>
        </w:tc>
        <w:tc>
          <w:tcPr>
            <w:tcW w:w="1160" w:type="dxa"/>
            <w:shd w:val="clear" w:color="auto" w:fill="B8CCE4" w:themeFill="accent1" w:themeFillTint="66"/>
            <w:noWrap/>
            <w:vAlign w:val="center"/>
            <w:hideMark/>
          </w:tcPr>
          <w:p w14:paraId="23FD72ED"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2019</w:t>
            </w:r>
          </w:p>
        </w:tc>
        <w:tc>
          <w:tcPr>
            <w:tcW w:w="888" w:type="dxa"/>
            <w:shd w:val="clear" w:color="auto" w:fill="B8CCE4" w:themeFill="accent1" w:themeFillTint="66"/>
            <w:noWrap/>
            <w:vAlign w:val="center"/>
            <w:hideMark/>
          </w:tcPr>
          <w:p w14:paraId="4D2EC145"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2020</w:t>
            </w:r>
          </w:p>
        </w:tc>
        <w:tc>
          <w:tcPr>
            <w:tcW w:w="1000" w:type="dxa"/>
            <w:shd w:val="clear" w:color="auto" w:fill="B8CCE4" w:themeFill="accent1" w:themeFillTint="66"/>
            <w:noWrap/>
            <w:vAlign w:val="center"/>
            <w:hideMark/>
          </w:tcPr>
          <w:p w14:paraId="15B93F5F"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2021</w:t>
            </w:r>
          </w:p>
        </w:tc>
        <w:tc>
          <w:tcPr>
            <w:tcW w:w="1000" w:type="dxa"/>
            <w:shd w:val="clear" w:color="auto" w:fill="B8CCE4" w:themeFill="accent1" w:themeFillTint="66"/>
            <w:noWrap/>
            <w:vAlign w:val="center"/>
            <w:hideMark/>
          </w:tcPr>
          <w:p w14:paraId="7EC0E80A"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2022</w:t>
            </w:r>
          </w:p>
        </w:tc>
        <w:tc>
          <w:tcPr>
            <w:tcW w:w="960" w:type="dxa"/>
            <w:shd w:val="clear" w:color="auto" w:fill="B8CCE4" w:themeFill="accent1" w:themeFillTint="66"/>
            <w:noWrap/>
            <w:vAlign w:val="center"/>
            <w:hideMark/>
          </w:tcPr>
          <w:p w14:paraId="4992C13E"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2023</w:t>
            </w:r>
          </w:p>
        </w:tc>
      </w:tr>
      <w:tr w:rsidR="00381D44" w:rsidRPr="00813400" w14:paraId="2643A413"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tcPr>
          <w:p w14:paraId="5614EB63" w14:textId="77777777" w:rsidR="00381D44" w:rsidRPr="00945F33" w:rsidRDefault="00381D44" w:rsidP="00451822">
            <w:pPr>
              <w:spacing w:before="0" w:after="0" w:line="240" w:lineRule="auto"/>
              <w:ind w:firstLine="0"/>
              <w:jc w:val="center"/>
              <w:rPr>
                <w:rFonts w:eastAsia="Times New Roman" w:cs="Calibri"/>
                <w:color w:val="000000"/>
                <w:sz w:val="20"/>
                <w:szCs w:val="20"/>
                <w:lang w:val="hy-AM"/>
              </w:rPr>
            </w:pPr>
            <w:r>
              <w:rPr>
                <w:rFonts w:eastAsia="Times New Roman" w:cs="Calibri"/>
                <w:color w:val="000000"/>
                <w:sz w:val="20"/>
                <w:szCs w:val="20"/>
                <w:lang w:val="hy-AM"/>
              </w:rPr>
              <w:t>-</w:t>
            </w:r>
          </w:p>
        </w:tc>
        <w:tc>
          <w:tcPr>
            <w:tcW w:w="3330" w:type="dxa"/>
            <w:noWrap/>
            <w:vAlign w:val="center"/>
          </w:tcPr>
          <w:p w14:paraId="7B972AD3" w14:textId="77777777" w:rsidR="00381D44" w:rsidRPr="00945F33"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Pr>
                <w:rFonts w:eastAsia="Times New Roman" w:cs="Calibri"/>
                <w:color w:val="000000"/>
                <w:sz w:val="20"/>
                <w:szCs w:val="20"/>
                <w:lang w:val="hy-AM"/>
              </w:rPr>
              <w:t>Փաստացի</w:t>
            </w:r>
          </w:p>
        </w:tc>
        <w:tc>
          <w:tcPr>
            <w:tcW w:w="1160" w:type="dxa"/>
            <w:vAlign w:val="center"/>
          </w:tcPr>
          <w:p w14:paraId="7152D62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1,629.4</w:t>
            </w:r>
          </w:p>
        </w:tc>
        <w:tc>
          <w:tcPr>
            <w:tcW w:w="888" w:type="dxa"/>
            <w:vAlign w:val="center"/>
          </w:tcPr>
          <w:p w14:paraId="11EDF5B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vAlign w:val="center"/>
          </w:tcPr>
          <w:p w14:paraId="70F8A18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noWrap/>
            <w:vAlign w:val="center"/>
          </w:tcPr>
          <w:p w14:paraId="0D59CAC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c>
          <w:tcPr>
            <w:tcW w:w="960" w:type="dxa"/>
            <w:noWrap/>
            <w:vAlign w:val="center"/>
          </w:tcPr>
          <w:p w14:paraId="48C41AC4"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r>
      <w:tr w:rsidR="00381D44" w:rsidRPr="00813400" w14:paraId="08FE2326"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tcPr>
          <w:p w14:paraId="0BFA42B3"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noWrap/>
            <w:vAlign w:val="center"/>
          </w:tcPr>
          <w:p w14:paraId="1ADD7FAE"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i/>
                <w:color w:val="000000"/>
                <w:sz w:val="18"/>
                <w:szCs w:val="20"/>
                <w:lang w:val="hy-AM"/>
              </w:rPr>
              <w:t>%-ով՝ ՀՆԱ-ի նկատմամբ</w:t>
            </w:r>
          </w:p>
        </w:tc>
        <w:tc>
          <w:tcPr>
            <w:tcW w:w="1160" w:type="dxa"/>
            <w:vAlign w:val="center"/>
          </w:tcPr>
          <w:p w14:paraId="3E7807F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18"/>
                <w:lang w:val="hy-AM"/>
              </w:rPr>
            </w:pPr>
            <w:r w:rsidRPr="00EB1197">
              <w:rPr>
                <w:rFonts w:eastAsia="Times New Roman" w:cs="Calibri"/>
                <w:i/>
                <w:color w:val="000000"/>
                <w:sz w:val="18"/>
                <w:szCs w:val="18"/>
                <w:lang w:val="hy-AM"/>
              </w:rPr>
              <w:t>24.8%</w:t>
            </w:r>
          </w:p>
        </w:tc>
        <w:tc>
          <w:tcPr>
            <w:tcW w:w="888" w:type="dxa"/>
            <w:vAlign w:val="center"/>
          </w:tcPr>
          <w:p w14:paraId="1DD6225D"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vAlign w:val="center"/>
          </w:tcPr>
          <w:p w14:paraId="3AF113E4"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noWrap/>
            <w:vAlign w:val="center"/>
          </w:tcPr>
          <w:p w14:paraId="4D94DDF4"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c>
          <w:tcPr>
            <w:tcW w:w="960" w:type="dxa"/>
            <w:noWrap/>
            <w:vAlign w:val="center"/>
          </w:tcPr>
          <w:p w14:paraId="6313C87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r>
      <w:tr w:rsidR="00381D44" w:rsidRPr="00813400" w14:paraId="126C5001"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hideMark/>
          </w:tcPr>
          <w:p w14:paraId="189718D6"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2019</w:t>
            </w:r>
          </w:p>
        </w:tc>
        <w:tc>
          <w:tcPr>
            <w:tcW w:w="3330" w:type="dxa"/>
            <w:noWrap/>
            <w:vAlign w:val="center"/>
            <w:hideMark/>
          </w:tcPr>
          <w:p w14:paraId="77A08DC6"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 xml:space="preserve"> ՄԺԾԾ 2020-2022</w:t>
            </w:r>
          </w:p>
        </w:tc>
        <w:tc>
          <w:tcPr>
            <w:tcW w:w="1160" w:type="dxa"/>
            <w:vAlign w:val="center"/>
            <w:hideMark/>
          </w:tcPr>
          <w:p w14:paraId="656BE26F"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888" w:type="dxa"/>
            <w:vAlign w:val="center"/>
            <w:hideMark/>
          </w:tcPr>
          <w:p w14:paraId="76DA9FC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1,868.2</w:t>
            </w:r>
          </w:p>
        </w:tc>
        <w:tc>
          <w:tcPr>
            <w:tcW w:w="1000" w:type="dxa"/>
            <w:vAlign w:val="center"/>
            <w:hideMark/>
          </w:tcPr>
          <w:p w14:paraId="3C2F8A6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2,027.7</w:t>
            </w:r>
          </w:p>
        </w:tc>
        <w:tc>
          <w:tcPr>
            <w:tcW w:w="1000" w:type="dxa"/>
            <w:vAlign w:val="center"/>
            <w:hideMark/>
          </w:tcPr>
          <w:p w14:paraId="06DC680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2,235.5</w:t>
            </w:r>
          </w:p>
        </w:tc>
        <w:tc>
          <w:tcPr>
            <w:tcW w:w="960" w:type="dxa"/>
            <w:noWrap/>
            <w:vAlign w:val="center"/>
            <w:hideMark/>
          </w:tcPr>
          <w:p w14:paraId="508ED41D"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r>
      <w:tr w:rsidR="00381D44" w:rsidRPr="00813400" w14:paraId="7608B469"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6045E651"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vAlign w:val="center"/>
            <w:hideMark/>
          </w:tcPr>
          <w:p w14:paraId="74A194DA"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75D870D1"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888" w:type="dxa"/>
            <w:vAlign w:val="center"/>
            <w:hideMark/>
          </w:tcPr>
          <w:p w14:paraId="0B6D0B6C"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26.8%</w:t>
            </w:r>
          </w:p>
        </w:tc>
        <w:tc>
          <w:tcPr>
            <w:tcW w:w="1000" w:type="dxa"/>
            <w:vAlign w:val="center"/>
            <w:hideMark/>
          </w:tcPr>
          <w:p w14:paraId="715BEDB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26.6%</w:t>
            </w:r>
          </w:p>
        </w:tc>
        <w:tc>
          <w:tcPr>
            <w:tcW w:w="1000" w:type="dxa"/>
            <w:vAlign w:val="center"/>
            <w:hideMark/>
          </w:tcPr>
          <w:p w14:paraId="6EBAC01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26.9%</w:t>
            </w:r>
          </w:p>
        </w:tc>
        <w:tc>
          <w:tcPr>
            <w:tcW w:w="960" w:type="dxa"/>
            <w:noWrap/>
            <w:vAlign w:val="center"/>
            <w:hideMark/>
          </w:tcPr>
          <w:p w14:paraId="0D68516F"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r>
      <w:tr w:rsidR="00381D44" w:rsidRPr="00813400" w14:paraId="4AAC667A"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46FE1CFA"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noWrap/>
            <w:vAlign w:val="center"/>
            <w:hideMark/>
          </w:tcPr>
          <w:p w14:paraId="1DAA6DFA"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2020թ. Պետական բյուջե</w:t>
            </w:r>
          </w:p>
        </w:tc>
        <w:tc>
          <w:tcPr>
            <w:tcW w:w="1160" w:type="dxa"/>
            <w:noWrap/>
            <w:vAlign w:val="center"/>
            <w:hideMark/>
          </w:tcPr>
          <w:p w14:paraId="2E49CA6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888" w:type="dxa"/>
            <w:vAlign w:val="center"/>
            <w:hideMark/>
          </w:tcPr>
          <w:p w14:paraId="5FE71FF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1,855.7</w:t>
            </w:r>
          </w:p>
        </w:tc>
        <w:tc>
          <w:tcPr>
            <w:tcW w:w="1000" w:type="dxa"/>
            <w:vAlign w:val="center"/>
            <w:hideMark/>
          </w:tcPr>
          <w:p w14:paraId="40C34B2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000" w:type="dxa"/>
            <w:vAlign w:val="center"/>
            <w:hideMark/>
          </w:tcPr>
          <w:p w14:paraId="1F272F5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960" w:type="dxa"/>
            <w:noWrap/>
            <w:vAlign w:val="center"/>
            <w:hideMark/>
          </w:tcPr>
          <w:p w14:paraId="3D503FCD"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r>
      <w:tr w:rsidR="00381D44" w:rsidRPr="00813400" w14:paraId="0BBE9FF9"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52E42957"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vAlign w:val="center"/>
            <w:hideMark/>
          </w:tcPr>
          <w:p w14:paraId="1612D257"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6B1BFE0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888" w:type="dxa"/>
            <w:vAlign w:val="center"/>
            <w:hideMark/>
          </w:tcPr>
          <w:p w14:paraId="2BECB1F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26.2%</w:t>
            </w:r>
          </w:p>
        </w:tc>
        <w:tc>
          <w:tcPr>
            <w:tcW w:w="1000" w:type="dxa"/>
            <w:vAlign w:val="center"/>
            <w:hideMark/>
          </w:tcPr>
          <w:p w14:paraId="327390A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1000" w:type="dxa"/>
            <w:vAlign w:val="center"/>
            <w:hideMark/>
          </w:tcPr>
          <w:p w14:paraId="1681BE5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960" w:type="dxa"/>
            <w:noWrap/>
            <w:vAlign w:val="center"/>
            <w:hideMark/>
          </w:tcPr>
          <w:p w14:paraId="0A70281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r>
      <w:tr w:rsidR="00381D44" w:rsidRPr="002D5EA9" w14:paraId="592D9627"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hideMark/>
          </w:tcPr>
          <w:p w14:paraId="2B0BCDFA"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2020</w:t>
            </w:r>
          </w:p>
        </w:tc>
        <w:tc>
          <w:tcPr>
            <w:tcW w:w="3330" w:type="dxa"/>
            <w:noWrap/>
            <w:vAlign w:val="center"/>
            <w:hideMark/>
          </w:tcPr>
          <w:p w14:paraId="7EE9C456"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 xml:space="preserve"> ՄԺԾԾ 2021-2023</w:t>
            </w:r>
          </w:p>
        </w:tc>
        <w:tc>
          <w:tcPr>
            <w:tcW w:w="1160" w:type="dxa"/>
            <w:noWrap/>
            <w:vAlign w:val="center"/>
            <w:hideMark/>
          </w:tcPr>
          <w:p w14:paraId="691E133F"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888" w:type="dxa"/>
            <w:noWrap/>
            <w:vAlign w:val="center"/>
          </w:tcPr>
          <w:p w14:paraId="41D5496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1,850.2</w:t>
            </w:r>
          </w:p>
        </w:tc>
        <w:tc>
          <w:tcPr>
            <w:tcW w:w="1000" w:type="dxa"/>
            <w:vAlign w:val="center"/>
            <w:hideMark/>
          </w:tcPr>
          <w:p w14:paraId="2E6DD56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1,879.0</w:t>
            </w:r>
          </w:p>
        </w:tc>
        <w:tc>
          <w:tcPr>
            <w:tcW w:w="1000" w:type="dxa"/>
            <w:vAlign w:val="center"/>
            <w:hideMark/>
          </w:tcPr>
          <w:p w14:paraId="469F9F5D"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2,026.1</w:t>
            </w:r>
          </w:p>
        </w:tc>
        <w:tc>
          <w:tcPr>
            <w:tcW w:w="960" w:type="dxa"/>
            <w:vAlign w:val="center"/>
            <w:hideMark/>
          </w:tcPr>
          <w:p w14:paraId="74B1844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2,241.4</w:t>
            </w:r>
          </w:p>
        </w:tc>
      </w:tr>
      <w:tr w:rsidR="00381D44" w:rsidRPr="002D5EA9" w14:paraId="75F102F3"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700" w:type="dxa"/>
            <w:vMerge/>
            <w:hideMark/>
          </w:tcPr>
          <w:p w14:paraId="44E62CB6" w14:textId="77777777" w:rsidR="00381D44" w:rsidRPr="00EB1197" w:rsidRDefault="00381D44" w:rsidP="00451822">
            <w:pPr>
              <w:spacing w:before="0" w:after="0" w:line="240" w:lineRule="auto"/>
              <w:ind w:firstLine="0"/>
              <w:rPr>
                <w:rFonts w:eastAsia="Times New Roman" w:cs="Calibri"/>
                <w:color w:val="000000"/>
                <w:sz w:val="20"/>
                <w:szCs w:val="20"/>
                <w:lang w:val="hy-AM"/>
              </w:rPr>
            </w:pPr>
          </w:p>
        </w:tc>
        <w:tc>
          <w:tcPr>
            <w:tcW w:w="3330" w:type="dxa"/>
            <w:vAlign w:val="center"/>
            <w:hideMark/>
          </w:tcPr>
          <w:p w14:paraId="4D4E1417"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47658541"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888" w:type="dxa"/>
            <w:noWrap/>
            <w:vAlign w:val="center"/>
            <w:hideMark/>
          </w:tcPr>
          <w:p w14:paraId="1CB5F2B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28.4%</w:t>
            </w:r>
            <w:r w:rsidRPr="00EB1197">
              <w:rPr>
                <w:rFonts w:ascii="Calibri" w:eastAsia="Times New Roman" w:hAnsi="Calibri" w:cs="Calibri"/>
                <w:i/>
                <w:color w:val="000000"/>
                <w:sz w:val="18"/>
                <w:szCs w:val="20"/>
                <w:lang w:val="hy-AM"/>
              </w:rPr>
              <w:t> </w:t>
            </w:r>
          </w:p>
        </w:tc>
        <w:tc>
          <w:tcPr>
            <w:tcW w:w="1000" w:type="dxa"/>
            <w:vAlign w:val="center"/>
            <w:hideMark/>
          </w:tcPr>
          <w:p w14:paraId="0B2D4A1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26.3%</w:t>
            </w:r>
          </w:p>
        </w:tc>
        <w:tc>
          <w:tcPr>
            <w:tcW w:w="1000" w:type="dxa"/>
            <w:vAlign w:val="center"/>
            <w:hideMark/>
          </w:tcPr>
          <w:p w14:paraId="63805EF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25.8%</w:t>
            </w:r>
          </w:p>
        </w:tc>
        <w:tc>
          <w:tcPr>
            <w:tcW w:w="960" w:type="dxa"/>
            <w:vAlign w:val="center"/>
            <w:hideMark/>
          </w:tcPr>
          <w:p w14:paraId="4EC851A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26.1%</w:t>
            </w:r>
          </w:p>
        </w:tc>
      </w:tr>
    </w:tbl>
    <w:p w14:paraId="3A0B2694" w14:textId="77777777" w:rsidR="00381D44" w:rsidRPr="00772498" w:rsidRDefault="00381D44" w:rsidP="00381D44">
      <w:pPr>
        <w:spacing w:before="120" w:after="120"/>
        <w:ind w:right="540"/>
        <w:rPr>
          <w:rFonts w:eastAsia="Calibri" w:cs="Sylfaen"/>
          <w:bCs/>
          <w:i/>
          <w:iCs/>
          <w:color w:val="000000"/>
          <w:sz w:val="20"/>
          <w:szCs w:val="20"/>
          <w:lang w:val="hy-AM"/>
        </w:rPr>
      </w:pPr>
      <w:r w:rsidRPr="00772498">
        <w:rPr>
          <w:rFonts w:eastAsia="Calibri" w:cs="Times New Roman"/>
          <w:b/>
          <w:bCs/>
          <w:i/>
          <w:iCs/>
          <w:color w:val="000000"/>
          <w:lang w:val="hy-AM"/>
        </w:rPr>
        <w:t xml:space="preserve">Աղյուսակ </w:t>
      </w:r>
      <w:r w:rsidRPr="00EB1197">
        <w:rPr>
          <w:rFonts w:eastAsia="Calibri" w:cs="Times New Roman"/>
          <w:b/>
          <w:bCs/>
          <w:i/>
          <w:iCs/>
          <w:color w:val="000000"/>
          <w:lang w:val="hy-AM"/>
        </w:rPr>
        <w:t>1</w:t>
      </w:r>
      <w:r w:rsidRPr="00772498">
        <w:rPr>
          <w:rFonts w:eastAsia="Calibri" w:cs="Times New Roman"/>
          <w:b/>
          <w:bCs/>
          <w:i/>
          <w:iCs/>
          <w:color w:val="000000"/>
          <w:lang w:val="hy-AM"/>
        </w:rPr>
        <w:t>.</w:t>
      </w:r>
      <w:r w:rsidRPr="00EB1197">
        <w:rPr>
          <w:rFonts w:eastAsia="Calibri" w:cs="Times New Roman"/>
          <w:b/>
          <w:bCs/>
          <w:i/>
          <w:iCs/>
          <w:color w:val="000000"/>
          <w:lang w:val="hy-AM"/>
        </w:rPr>
        <w:t>10.</w:t>
      </w:r>
      <w:r w:rsidRPr="0055071A">
        <w:rPr>
          <w:b/>
          <w:bCs/>
          <w:i/>
          <w:iCs/>
          <w:sz w:val="20"/>
          <w:szCs w:val="20"/>
          <w:lang w:val="hy-AM"/>
        </w:rPr>
        <w:t xml:space="preserve"> </w:t>
      </w:r>
      <w:r w:rsidRPr="00772498">
        <w:rPr>
          <w:rFonts w:eastAsia="Calibri" w:cs="Sylfaen"/>
          <w:bCs/>
          <w:i/>
          <w:iCs/>
          <w:color w:val="000000"/>
          <w:sz w:val="20"/>
          <w:szCs w:val="20"/>
          <w:lang w:val="hy-AM"/>
        </w:rPr>
        <w:t>Պետական բյուջեի ընթացիկ ծախսերի կանխատեսումների համեմատական աղյուսակը (մլրդ դրամ)</w:t>
      </w:r>
    </w:p>
    <w:tbl>
      <w:tblPr>
        <w:tblStyle w:val="GridTable1Light-Accent11"/>
        <w:tblW w:w="10049" w:type="dxa"/>
        <w:tblLook w:val="04A0" w:firstRow="1" w:lastRow="0" w:firstColumn="1" w:lastColumn="0" w:noHBand="0" w:noVBand="1"/>
      </w:tblPr>
      <w:tblGrid>
        <w:gridCol w:w="1664"/>
        <w:gridCol w:w="3330"/>
        <w:gridCol w:w="1160"/>
        <w:gridCol w:w="935"/>
        <w:gridCol w:w="1000"/>
        <w:gridCol w:w="1000"/>
        <w:gridCol w:w="960"/>
      </w:tblGrid>
      <w:tr w:rsidR="00381D44" w:rsidRPr="002D5EA9" w14:paraId="5ED04D0A" w14:textId="77777777" w:rsidTr="00451822">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664" w:type="dxa"/>
            <w:shd w:val="clear" w:color="auto" w:fill="B8CCE4" w:themeFill="accent1" w:themeFillTint="66"/>
            <w:vAlign w:val="center"/>
            <w:hideMark/>
          </w:tcPr>
          <w:p w14:paraId="58D3D0CF" w14:textId="77777777" w:rsidR="00381D44" w:rsidRPr="00EB1197" w:rsidRDefault="00381D44" w:rsidP="00451822">
            <w:pPr>
              <w:spacing w:before="0" w:after="0" w:line="240" w:lineRule="auto"/>
              <w:ind w:firstLine="0"/>
              <w:jc w:val="center"/>
              <w:rPr>
                <w:rFonts w:eastAsia="Times New Roman" w:cs="Calibri"/>
                <w:b w:val="0"/>
                <w:bCs w:val="0"/>
                <w:color w:val="000000"/>
                <w:sz w:val="20"/>
                <w:szCs w:val="20"/>
                <w:lang w:val="hy-AM"/>
              </w:rPr>
            </w:pPr>
            <w:r w:rsidRPr="00EB1197">
              <w:rPr>
                <w:rFonts w:eastAsia="Times New Roman" w:cs="Calibri"/>
                <w:color w:val="000000"/>
                <w:sz w:val="20"/>
                <w:szCs w:val="20"/>
                <w:lang w:val="hy-AM"/>
              </w:rPr>
              <w:t>Ընդունման տարին</w:t>
            </w:r>
          </w:p>
        </w:tc>
        <w:tc>
          <w:tcPr>
            <w:tcW w:w="3330" w:type="dxa"/>
            <w:shd w:val="clear" w:color="auto" w:fill="B8CCE4" w:themeFill="accent1" w:themeFillTint="66"/>
            <w:noWrap/>
            <w:vAlign w:val="center"/>
            <w:hideMark/>
          </w:tcPr>
          <w:p w14:paraId="50FE7542"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Ծրագիր</w:t>
            </w:r>
          </w:p>
        </w:tc>
        <w:tc>
          <w:tcPr>
            <w:tcW w:w="1160" w:type="dxa"/>
            <w:shd w:val="clear" w:color="auto" w:fill="B8CCE4" w:themeFill="accent1" w:themeFillTint="66"/>
            <w:noWrap/>
            <w:vAlign w:val="center"/>
            <w:hideMark/>
          </w:tcPr>
          <w:p w14:paraId="4CE53992"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2019</w:t>
            </w:r>
          </w:p>
        </w:tc>
        <w:tc>
          <w:tcPr>
            <w:tcW w:w="935" w:type="dxa"/>
            <w:shd w:val="clear" w:color="auto" w:fill="B8CCE4" w:themeFill="accent1" w:themeFillTint="66"/>
            <w:noWrap/>
            <w:vAlign w:val="center"/>
            <w:hideMark/>
          </w:tcPr>
          <w:p w14:paraId="10DE72A7"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2020</w:t>
            </w:r>
          </w:p>
        </w:tc>
        <w:tc>
          <w:tcPr>
            <w:tcW w:w="1000" w:type="dxa"/>
            <w:shd w:val="clear" w:color="auto" w:fill="B8CCE4" w:themeFill="accent1" w:themeFillTint="66"/>
            <w:noWrap/>
            <w:vAlign w:val="center"/>
            <w:hideMark/>
          </w:tcPr>
          <w:p w14:paraId="40E137A0"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2021</w:t>
            </w:r>
          </w:p>
        </w:tc>
        <w:tc>
          <w:tcPr>
            <w:tcW w:w="1000" w:type="dxa"/>
            <w:shd w:val="clear" w:color="auto" w:fill="B8CCE4" w:themeFill="accent1" w:themeFillTint="66"/>
            <w:noWrap/>
            <w:vAlign w:val="center"/>
            <w:hideMark/>
          </w:tcPr>
          <w:p w14:paraId="1B1FCF7E"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2022</w:t>
            </w:r>
          </w:p>
        </w:tc>
        <w:tc>
          <w:tcPr>
            <w:tcW w:w="960" w:type="dxa"/>
            <w:shd w:val="clear" w:color="auto" w:fill="B8CCE4" w:themeFill="accent1" w:themeFillTint="66"/>
            <w:noWrap/>
            <w:vAlign w:val="center"/>
            <w:hideMark/>
          </w:tcPr>
          <w:p w14:paraId="2E67CA80"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2023</w:t>
            </w:r>
          </w:p>
        </w:tc>
      </w:tr>
      <w:tr w:rsidR="00381D44" w:rsidRPr="002D5EA9" w14:paraId="44FF9800"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664" w:type="dxa"/>
            <w:vMerge w:val="restart"/>
            <w:vAlign w:val="center"/>
          </w:tcPr>
          <w:p w14:paraId="78286FD7" w14:textId="77777777" w:rsidR="00381D44" w:rsidRPr="00945F33" w:rsidRDefault="00381D44" w:rsidP="00451822">
            <w:pPr>
              <w:spacing w:before="0" w:after="0" w:line="240" w:lineRule="auto"/>
              <w:ind w:firstLine="0"/>
              <w:jc w:val="center"/>
              <w:rPr>
                <w:rFonts w:eastAsia="Times New Roman" w:cs="Calibri"/>
                <w:color w:val="000000"/>
                <w:sz w:val="20"/>
                <w:szCs w:val="20"/>
                <w:lang w:val="hy-AM"/>
              </w:rPr>
            </w:pPr>
            <w:r>
              <w:rPr>
                <w:rFonts w:eastAsia="Times New Roman" w:cs="Calibri"/>
                <w:color w:val="000000"/>
                <w:sz w:val="20"/>
                <w:szCs w:val="20"/>
                <w:lang w:val="hy-AM"/>
              </w:rPr>
              <w:t>-</w:t>
            </w:r>
          </w:p>
        </w:tc>
        <w:tc>
          <w:tcPr>
            <w:tcW w:w="3330" w:type="dxa"/>
            <w:noWrap/>
            <w:vAlign w:val="center"/>
          </w:tcPr>
          <w:p w14:paraId="42578AEF" w14:textId="77777777" w:rsidR="00381D44" w:rsidRPr="00945F33"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Pr>
                <w:rFonts w:eastAsia="Times New Roman" w:cs="Calibri"/>
                <w:color w:val="000000"/>
                <w:sz w:val="20"/>
                <w:szCs w:val="20"/>
                <w:lang w:val="hy-AM"/>
              </w:rPr>
              <w:t>Փաստացի</w:t>
            </w:r>
          </w:p>
        </w:tc>
        <w:tc>
          <w:tcPr>
            <w:tcW w:w="1160" w:type="dxa"/>
            <w:vAlign w:val="center"/>
          </w:tcPr>
          <w:p w14:paraId="3379C82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1,437.1</w:t>
            </w:r>
          </w:p>
        </w:tc>
        <w:tc>
          <w:tcPr>
            <w:tcW w:w="935" w:type="dxa"/>
            <w:vAlign w:val="center"/>
          </w:tcPr>
          <w:p w14:paraId="6200EF3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vAlign w:val="center"/>
          </w:tcPr>
          <w:p w14:paraId="58E4EEE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noWrap/>
            <w:vAlign w:val="center"/>
          </w:tcPr>
          <w:p w14:paraId="61AE3EC1"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c>
          <w:tcPr>
            <w:tcW w:w="960" w:type="dxa"/>
            <w:noWrap/>
            <w:vAlign w:val="center"/>
          </w:tcPr>
          <w:p w14:paraId="74AA515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r>
      <w:tr w:rsidR="00381D44" w:rsidRPr="002D5EA9" w14:paraId="7CD0E6A1"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664" w:type="dxa"/>
            <w:vMerge/>
            <w:vAlign w:val="center"/>
          </w:tcPr>
          <w:p w14:paraId="1C771BBB"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noWrap/>
            <w:vAlign w:val="center"/>
          </w:tcPr>
          <w:p w14:paraId="206FA5B5"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i/>
                <w:color w:val="000000"/>
                <w:sz w:val="18"/>
                <w:szCs w:val="20"/>
                <w:lang w:val="hy-AM"/>
              </w:rPr>
              <w:t>%-ով՝ ՀՆԱ-ի նկատմամբ</w:t>
            </w:r>
          </w:p>
        </w:tc>
        <w:tc>
          <w:tcPr>
            <w:tcW w:w="1160" w:type="dxa"/>
            <w:vAlign w:val="center"/>
          </w:tcPr>
          <w:p w14:paraId="7634E33F"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18"/>
                <w:lang w:val="hy-AM"/>
              </w:rPr>
            </w:pPr>
            <w:r w:rsidRPr="00EB1197">
              <w:rPr>
                <w:rFonts w:eastAsia="Times New Roman" w:cs="Calibri"/>
                <w:i/>
                <w:color w:val="000000"/>
                <w:sz w:val="18"/>
                <w:szCs w:val="18"/>
                <w:lang w:val="hy-AM"/>
              </w:rPr>
              <w:t>21.9%</w:t>
            </w:r>
          </w:p>
        </w:tc>
        <w:tc>
          <w:tcPr>
            <w:tcW w:w="935" w:type="dxa"/>
            <w:vAlign w:val="center"/>
          </w:tcPr>
          <w:p w14:paraId="65FEE79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vAlign w:val="center"/>
          </w:tcPr>
          <w:p w14:paraId="7F066CE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noWrap/>
            <w:vAlign w:val="center"/>
          </w:tcPr>
          <w:p w14:paraId="348DDCB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c>
          <w:tcPr>
            <w:tcW w:w="960" w:type="dxa"/>
            <w:noWrap/>
            <w:vAlign w:val="center"/>
          </w:tcPr>
          <w:p w14:paraId="41588AC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hy-AM"/>
              </w:rPr>
            </w:pPr>
          </w:p>
        </w:tc>
      </w:tr>
      <w:tr w:rsidR="00381D44" w:rsidRPr="002D5EA9" w14:paraId="3388EC98"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664" w:type="dxa"/>
            <w:vMerge w:val="restart"/>
            <w:vAlign w:val="center"/>
            <w:hideMark/>
          </w:tcPr>
          <w:p w14:paraId="752CB5BB"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2019</w:t>
            </w:r>
          </w:p>
        </w:tc>
        <w:tc>
          <w:tcPr>
            <w:tcW w:w="3330" w:type="dxa"/>
            <w:noWrap/>
            <w:vAlign w:val="center"/>
            <w:hideMark/>
          </w:tcPr>
          <w:p w14:paraId="4F44C1E4"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 xml:space="preserve"> ՄԺԾԾ 2020-2022</w:t>
            </w:r>
          </w:p>
        </w:tc>
        <w:tc>
          <w:tcPr>
            <w:tcW w:w="1160" w:type="dxa"/>
            <w:vAlign w:val="center"/>
            <w:hideMark/>
          </w:tcPr>
          <w:p w14:paraId="1BCF2484"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935" w:type="dxa"/>
            <w:vAlign w:val="center"/>
            <w:hideMark/>
          </w:tcPr>
          <w:p w14:paraId="74B8A9E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1,479.9</w:t>
            </w:r>
          </w:p>
        </w:tc>
        <w:tc>
          <w:tcPr>
            <w:tcW w:w="1000" w:type="dxa"/>
            <w:vAlign w:val="center"/>
            <w:hideMark/>
          </w:tcPr>
          <w:p w14:paraId="6B59F2F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1,568.3</w:t>
            </w:r>
          </w:p>
        </w:tc>
        <w:tc>
          <w:tcPr>
            <w:tcW w:w="1000" w:type="dxa"/>
            <w:vAlign w:val="center"/>
            <w:hideMark/>
          </w:tcPr>
          <w:p w14:paraId="74CB63B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1,680.0</w:t>
            </w:r>
          </w:p>
        </w:tc>
        <w:tc>
          <w:tcPr>
            <w:tcW w:w="960" w:type="dxa"/>
            <w:noWrap/>
            <w:vAlign w:val="center"/>
            <w:hideMark/>
          </w:tcPr>
          <w:p w14:paraId="39BD704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r>
      <w:tr w:rsidR="00381D44" w:rsidRPr="002D5EA9" w14:paraId="762ADEA9"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664" w:type="dxa"/>
            <w:vMerge/>
            <w:vAlign w:val="center"/>
            <w:hideMark/>
          </w:tcPr>
          <w:p w14:paraId="26E961C8"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vAlign w:val="center"/>
            <w:hideMark/>
          </w:tcPr>
          <w:p w14:paraId="6258F1F9"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0947BFC4"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935" w:type="dxa"/>
            <w:vAlign w:val="center"/>
            <w:hideMark/>
          </w:tcPr>
          <w:p w14:paraId="209481A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21.2%</w:t>
            </w:r>
          </w:p>
        </w:tc>
        <w:tc>
          <w:tcPr>
            <w:tcW w:w="1000" w:type="dxa"/>
            <w:vAlign w:val="center"/>
            <w:hideMark/>
          </w:tcPr>
          <w:p w14:paraId="7C3F513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20.6%</w:t>
            </w:r>
          </w:p>
        </w:tc>
        <w:tc>
          <w:tcPr>
            <w:tcW w:w="1000" w:type="dxa"/>
            <w:vAlign w:val="center"/>
            <w:hideMark/>
          </w:tcPr>
          <w:p w14:paraId="241A9700"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20.2%</w:t>
            </w:r>
          </w:p>
        </w:tc>
        <w:tc>
          <w:tcPr>
            <w:tcW w:w="960" w:type="dxa"/>
            <w:noWrap/>
            <w:vAlign w:val="center"/>
            <w:hideMark/>
          </w:tcPr>
          <w:p w14:paraId="2B1F988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r>
      <w:tr w:rsidR="00381D44" w:rsidRPr="002D5EA9" w14:paraId="614B6E4F"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664" w:type="dxa"/>
            <w:vMerge/>
            <w:vAlign w:val="center"/>
            <w:hideMark/>
          </w:tcPr>
          <w:p w14:paraId="65ACEA03"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noWrap/>
            <w:vAlign w:val="center"/>
            <w:hideMark/>
          </w:tcPr>
          <w:p w14:paraId="359A4F3B"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2020թ. Պետական բյուջե</w:t>
            </w:r>
          </w:p>
        </w:tc>
        <w:tc>
          <w:tcPr>
            <w:tcW w:w="1160" w:type="dxa"/>
            <w:noWrap/>
            <w:vAlign w:val="center"/>
            <w:hideMark/>
          </w:tcPr>
          <w:p w14:paraId="7BDE519D"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935" w:type="dxa"/>
            <w:vAlign w:val="center"/>
            <w:hideMark/>
          </w:tcPr>
          <w:p w14:paraId="1AEDE34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1,568.0</w:t>
            </w:r>
          </w:p>
        </w:tc>
        <w:tc>
          <w:tcPr>
            <w:tcW w:w="1000" w:type="dxa"/>
            <w:vAlign w:val="center"/>
            <w:hideMark/>
          </w:tcPr>
          <w:p w14:paraId="3335F72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1000" w:type="dxa"/>
            <w:vAlign w:val="center"/>
            <w:hideMark/>
          </w:tcPr>
          <w:p w14:paraId="3856BE5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960" w:type="dxa"/>
            <w:noWrap/>
            <w:vAlign w:val="center"/>
            <w:hideMark/>
          </w:tcPr>
          <w:p w14:paraId="72D144D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r>
      <w:tr w:rsidR="00381D44" w:rsidRPr="002D5EA9" w14:paraId="41BBCF43"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664" w:type="dxa"/>
            <w:vMerge/>
            <w:vAlign w:val="center"/>
            <w:hideMark/>
          </w:tcPr>
          <w:p w14:paraId="25D3A424"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vAlign w:val="center"/>
            <w:hideMark/>
          </w:tcPr>
          <w:p w14:paraId="434CD1F1"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751EF4B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935" w:type="dxa"/>
            <w:vAlign w:val="center"/>
            <w:hideMark/>
          </w:tcPr>
          <w:p w14:paraId="3F9F45CF"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22.1%</w:t>
            </w:r>
          </w:p>
        </w:tc>
        <w:tc>
          <w:tcPr>
            <w:tcW w:w="1000" w:type="dxa"/>
            <w:vAlign w:val="center"/>
            <w:hideMark/>
          </w:tcPr>
          <w:p w14:paraId="5C45DF8D"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1000" w:type="dxa"/>
            <w:vAlign w:val="center"/>
            <w:hideMark/>
          </w:tcPr>
          <w:p w14:paraId="7F9E1DC1"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960" w:type="dxa"/>
            <w:noWrap/>
            <w:vAlign w:val="center"/>
            <w:hideMark/>
          </w:tcPr>
          <w:p w14:paraId="6FE866C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r>
      <w:tr w:rsidR="00381D44" w:rsidRPr="002D5EA9" w14:paraId="1F5E5F2F"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664" w:type="dxa"/>
            <w:vMerge w:val="restart"/>
            <w:vAlign w:val="center"/>
            <w:hideMark/>
          </w:tcPr>
          <w:p w14:paraId="5D0B17A1"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2020</w:t>
            </w:r>
          </w:p>
        </w:tc>
        <w:tc>
          <w:tcPr>
            <w:tcW w:w="3330" w:type="dxa"/>
            <w:noWrap/>
            <w:vAlign w:val="center"/>
            <w:hideMark/>
          </w:tcPr>
          <w:p w14:paraId="0D96509C"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 xml:space="preserve"> ՄԺԾԾ 2021-2023</w:t>
            </w:r>
          </w:p>
        </w:tc>
        <w:tc>
          <w:tcPr>
            <w:tcW w:w="1160" w:type="dxa"/>
            <w:noWrap/>
            <w:vAlign w:val="center"/>
            <w:hideMark/>
          </w:tcPr>
          <w:p w14:paraId="5A9F315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ascii="Calibri" w:eastAsia="Times New Roman" w:hAnsi="Calibri" w:cs="Calibri"/>
                <w:color w:val="000000"/>
                <w:sz w:val="20"/>
                <w:szCs w:val="20"/>
                <w:lang w:val="hy-AM"/>
              </w:rPr>
              <w:t> </w:t>
            </w:r>
          </w:p>
        </w:tc>
        <w:tc>
          <w:tcPr>
            <w:tcW w:w="935" w:type="dxa"/>
            <w:noWrap/>
            <w:vAlign w:val="center"/>
            <w:hideMark/>
          </w:tcPr>
          <w:p w14:paraId="283480B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1,628.0</w:t>
            </w:r>
            <w:r w:rsidRPr="00EB1197">
              <w:rPr>
                <w:rFonts w:ascii="Calibri" w:eastAsia="Times New Roman" w:hAnsi="Calibri" w:cs="Calibri"/>
                <w:color w:val="000000"/>
                <w:sz w:val="20"/>
                <w:szCs w:val="20"/>
                <w:lang w:val="hy-AM"/>
              </w:rPr>
              <w:t> </w:t>
            </w:r>
          </w:p>
        </w:tc>
        <w:tc>
          <w:tcPr>
            <w:tcW w:w="1000" w:type="dxa"/>
            <w:vAlign w:val="center"/>
            <w:hideMark/>
          </w:tcPr>
          <w:p w14:paraId="013AC97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1,629.0</w:t>
            </w:r>
          </w:p>
        </w:tc>
        <w:tc>
          <w:tcPr>
            <w:tcW w:w="1000" w:type="dxa"/>
            <w:vAlign w:val="center"/>
            <w:hideMark/>
          </w:tcPr>
          <w:p w14:paraId="474FC40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1,699.9</w:t>
            </w:r>
          </w:p>
        </w:tc>
        <w:tc>
          <w:tcPr>
            <w:tcW w:w="960" w:type="dxa"/>
            <w:vAlign w:val="center"/>
            <w:hideMark/>
          </w:tcPr>
          <w:p w14:paraId="5A202CA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1,836.7</w:t>
            </w:r>
          </w:p>
        </w:tc>
      </w:tr>
      <w:tr w:rsidR="00381D44" w:rsidRPr="002D5EA9" w14:paraId="2D11E7E1"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664" w:type="dxa"/>
            <w:vMerge/>
            <w:hideMark/>
          </w:tcPr>
          <w:p w14:paraId="0276575C" w14:textId="77777777" w:rsidR="00381D44" w:rsidRPr="00EB1197" w:rsidRDefault="00381D44" w:rsidP="00451822">
            <w:pPr>
              <w:spacing w:before="0" w:after="0" w:line="240" w:lineRule="auto"/>
              <w:ind w:firstLine="0"/>
              <w:rPr>
                <w:rFonts w:eastAsia="Times New Roman" w:cs="Calibri"/>
                <w:color w:val="000000"/>
                <w:sz w:val="20"/>
                <w:szCs w:val="20"/>
                <w:lang w:val="hy-AM"/>
              </w:rPr>
            </w:pPr>
          </w:p>
        </w:tc>
        <w:tc>
          <w:tcPr>
            <w:tcW w:w="3330" w:type="dxa"/>
            <w:vAlign w:val="center"/>
            <w:hideMark/>
          </w:tcPr>
          <w:p w14:paraId="11020A44"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16507BC5"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ascii="Calibri" w:eastAsia="Times New Roman" w:hAnsi="Calibri" w:cs="Calibri"/>
                <w:i/>
                <w:color w:val="000000"/>
                <w:sz w:val="18"/>
                <w:szCs w:val="20"/>
                <w:lang w:val="hy-AM"/>
              </w:rPr>
              <w:t> </w:t>
            </w:r>
          </w:p>
        </w:tc>
        <w:tc>
          <w:tcPr>
            <w:tcW w:w="935" w:type="dxa"/>
            <w:noWrap/>
            <w:vAlign w:val="center"/>
            <w:hideMark/>
          </w:tcPr>
          <w:p w14:paraId="28A8ED5D"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25.0%</w:t>
            </w:r>
            <w:r w:rsidRPr="00EB1197">
              <w:rPr>
                <w:rFonts w:ascii="Calibri" w:eastAsia="Times New Roman" w:hAnsi="Calibri" w:cs="Calibri"/>
                <w:i/>
                <w:color w:val="000000"/>
                <w:sz w:val="18"/>
                <w:szCs w:val="20"/>
                <w:lang w:val="hy-AM"/>
              </w:rPr>
              <w:t> </w:t>
            </w:r>
          </w:p>
        </w:tc>
        <w:tc>
          <w:tcPr>
            <w:tcW w:w="1000" w:type="dxa"/>
            <w:vAlign w:val="center"/>
            <w:hideMark/>
          </w:tcPr>
          <w:p w14:paraId="73A6D67C"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22.8%</w:t>
            </w:r>
          </w:p>
        </w:tc>
        <w:tc>
          <w:tcPr>
            <w:tcW w:w="1000" w:type="dxa"/>
            <w:vAlign w:val="center"/>
            <w:hideMark/>
          </w:tcPr>
          <w:p w14:paraId="627F3ABF"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21.6%</w:t>
            </w:r>
          </w:p>
        </w:tc>
        <w:tc>
          <w:tcPr>
            <w:tcW w:w="960" w:type="dxa"/>
            <w:vAlign w:val="center"/>
            <w:hideMark/>
          </w:tcPr>
          <w:p w14:paraId="45FD9A36"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21.4%</w:t>
            </w:r>
          </w:p>
        </w:tc>
      </w:tr>
    </w:tbl>
    <w:p w14:paraId="22F9698C" w14:textId="77777777" w:rsidR="00381D44" w:rsidRPr="0055071A" w:rsidRDefault="00381D44" w:rsidP="00381D44">
      <w:pPr>
        <w:spacing w:before="240"/>
        <w:ind w:right="810"/>
        <w:rPr>
          <w:b/>
          <w:bCs/>
          <w:i/>
          <w:iCs/>
          <w:sz w:val="20"/>
          <w:szCs w:val="20"/>
          <w:lang w:val="hy-AM"/>
        </w:rPr>
      </w:pPr>
      <w:r w:rsidRPr="00772498">
        <w:rPr>
          <w:rFonts w:eastAsia="Calibri" w:cs="Times New Roman"/>
          <w:b/>
          <w:bCs/>
          <w:i/>
          <w:iCs/>
          <w:color w:val="000000"/>
          <w:lang w:val="hy-AM"/>
        </w:rPr>
        <w:t xml:space="preserve">Աղյուսակ </w:t>
      </w:r>
      <w:r w:rsidRPr="00EB1197">
        <w:rPr>
          <w:rFonts w:eastAsia="Calibri" w:cs="Times New Roman"/>
          <w:b/>
          <w:bCs/>
          <w:i/>
          <w:iCs/>
          <w:color w:val="000000"/>
          <w:lang w:val="hy-AM"/>
        </w:rPr>
        <w:t>1</w:t>
      </w:r>
      <w:r w:rsidRPr="00772498">
        <w:rPr>
          <w:rFonts w:eastAsia="Calibri" w:cs="Times New Roman"/>
          <w:b/>
          <w:bCs/>
          <w:i/>
          <w:iCs/>
          <w:color w:val="000000"/>
          <w:lang w:val="hy-AM"/>
        </w:rPr>
        <w:t>.</w:t>
      </w:r>
      <w:r w:rsidRPr="00EB1197">
        <w:rPr>
          <w:rFonts w:eastAsia="Calibri" w:cs="Times New Roman"/>
          <w:b/>
          <w:bCs/>
          <w:i/>
          <w:iCs/>
          <w:color w:val="000000"/>
          <w:lang w:val="hy-AM"/>
        </w:rPr>
        <w:t>11.</w:t>
      </w:r>
      <w:r w:rsidRPr="0055071A">
        <w:rPr>
          <w:b/>
          <w:bCs/>
          <w:i/>
          <w:iCs/>
          <w:sz w:val="20"/>
          <w:szCs w:val="20"/>
          <w:lang w:val="hy-AM"/>
        </w:rPr>
        <w:t xml:space="preserve"> </w:t>
      </w:r>
      <w:r w:rsidRPr="00772498">
        <w:rPr>
          <w:rFonts w:eastAsia="Calibri" w:cs="Sylfaen"/>
          <w:bCs/>
          <w:i/>
          <w:iCs/>
          <w:color w:val="000000"/>
          <w:sz w:val="20"/>
          <w:szCs w:val="20"/>
          <w:lang w:val="hy-AM"/>
        </w:rPr>
        <w:t>Պետական բյուջեի ոչ ֆինանսական ակտիվների գծով զուտ ծախսերի կանխատեսումների համեմատական աղյուսակը (մլրդ դրամ)</w:t>
      </w:r>
    </w:p>
    <w:tbl>
      <w:tblPr>
        <w:tblStyle w:val="GridTable1Light-Accent11"/>
        <w:tblW w:w="9990" w:type="dxa"/>
        <w:tblLook w:val="04A0" w:firstRow="1" w:lastRow="0" w:firstColumn="1" w:lastColumn="0" w:noHBand="0" w:noVBand="1"/>
      </w:tblPr>
      <w:tblGrid>
        <w:gridCol w:w="1700"/>
        <w:gridCol w:w="3330"/>
        <w:gridCol w:w="1160"/>
        <w:gridCol w:w="840"/>
        <w:gridCol w:w="1000"/>
        <w:gridCol w:w="1000"/>
        <w:gridCol w:w="960"/>
      </w:tblGrid>
      <w:tr w:rsidR="00381D44" w:rsidRPr="00813400" w14:paraId="7D56FCDA" w14:textId="77777777" w:rsidTr="00451822">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700" w:type="dxa"/>
            <w:shd w:val="clear" w:color="auto" w:fill="B8CCE4" w:themeFill="accent1" w:themeFillTint="66"/>
            <w:vAlign w:val="center"/>
            <w:hideMark/>
          </w:tcPr>
          <w:p w14:paraId="5552EC49" w14:textId="77777777" w:rsidR="00381D44" w:rsidRPr="00EB1197" w:rsidRDefault="00381D44" w:rsidP="00451822">
            <w:pPr>
              <w:spacing w:before="0" w:after="0" w:line="240" w:lineRule="auto"/>
              <w:ind w:firstLine="0"/>
              <w:jc w:val="center"/>
              <w:rPr>
                <w:rFonts w:eastAsia="Times New Roman" w:cs="Calibri"/>
                <w:b w:val="0"/>
                <w:bCs w:val="0"/>
                <w:color w:val="000000"/>
                <w:sz w:val="20"/>
                <w:szCs w:val="20"/>
                <w:lang w:val="hy-AM"/>
              </w:rPr>
            </w:pPr>
            <w:r w:rsidRPr="00EB1197">
              <w:rPr>
                <w:rFonts w:eastAsia="Times New Roman" w:cs="Calibri"/>
                <w:color w:val="000000"/>
                <w:sz w:val="20"/>
                <w:szCs w:val="20"/>
                <w:lang w:val="hy-AM"/>
              </w:rPr>
              <w:t>Ընդունման տարին</w:t>
            </w:r>
          </w:p>
        </w:tc>
        <w:tc>
          <w:tcPr>
            <w:tcW w:w="3330" w:type="dxa"/>
            <w:shd w:val="clear" w:color="auto" w:fill="B8CCE4" w:themeFill="accent1" w:themeFillTint="66"/>
            <w:noWrap/>
            <w:vAlign w:val="center"/>
            <w:hideMark/>
          </w:tcPr>
          <w:p w14:paraId="693F90D9"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Ծրագիր</w:t>
            </w:r>
          </w:p>
        </w:tc>
        <w:tc>
          <w:tcPr>
            <w:tcW w:w="1160" w:type="dxa"/>
            <w:shd w:val="clear" w:color="auto" w:fill="B8CCE4" w:themeFill="accent1" w:themeFillTint="66"/>
            <w:noWrap/>
            <w:vAlign w:val="center"/>
            <w:hideMark/>
          </w:tcPr>
          <w:p w14:paraId="46A4B6FD"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2019</w:t>
            </w:r>
          </w:p>
        </w:tc>
        <w:tc>
          <w:tcPr>
            <w:tcW w:w="840" w:type="dxa"/>
            <w:shd w:val="clear" w:color="auto" w:fill="B8CCE4" w:themeFill="accent1" w:themeFillTint="66"/>
            <w:noWrap/>
            <w:vAlign w:val="center"/>
            <w:hideMark/>
          </w:tcPr>
          <w:p w14:paraId="380CDFCD"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2020</w:t>
            </w:r>
          </w:p>
        </w:tc>
        <w:tc>
          <w:tcPr>
            <w:tcW w:w="1000" w:type="dxa"/>
            <w:shd w:val="clear" w:color="auto" w:fill="B8CCE4" w:themeFill="accent1" w:themeFillTint="66"/>
            <w:noWrap/>
            <w:vAlign w:val="center"/>
            <w:hideMark/>
          </w:tcPr>
          <w:p w14:paraId="60F297C8"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2021</w:t>
            </w:r>
          </w:p>
        </w:tc>
        <w:tc>
          <w:tcPr>
            <w:tcW w:w="1000" w:type="dxa"/>
            <w:shd w:val="clear" w:color="auto" w:fill="B8CCE4" w:themeFill="accent1" w:themeFillTint="66"/>
            <w:noWrap/>
            <w:vAlign w:val="center"/>
            <w:hideMark/>
          </w:tcPr>
          <w:p w14:paraId="55B5CB77"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2022</w:t>
            </w:r>
          </w:p>
        </w:tc>
        <w:tc>
          <w:tcPr>
            <w:tcW w:w="960" w:type="dxa"/>
            <w:shd w:val="clear" w:color="auto" w:fill="B8CCE4" w:themeFill="accent1" w:themeFillTint="66"/>
            <w:noWrap/>
            <w:vAlign w:val="center"/>
            <w:hideMark/>
          </w:tcPr>
          <w:p w14:paraId="3A4B7F14" w14:textId="77777777" w:rsidR="00381D44" w:rsidRPr="00EB1197"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lang w:val="hy-AM"/>
              </w:rPr>
            </w:pPr>
            <w:r w:rsidRPr="00EB1197">
              <w:rPr>
                <w:rFonts w:eastAsia="Times New Roman" w:cs="Calibri"/>
                <w:color w:val="000000"/>
                <w:sz w:val="20"/>
                <w:szCs w:val="20"/>
                <w:lang w:val="hy-AM"/>
              </w:rPr>
              <w:t>2023</w:t>
            </w:r>
          </w:p>
        </w:tc>
      </w:tr>
      <w:tr w:rsidR="00381D44" w:rsidRPr="00813400" w14:paraId="07C66397"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tcPr>
          <w:p w14:paraId="0D2F2831" w14:textId="77777777" w:rsidR="00381D44" w:rsidRPr="00945F33" w:rsidRDefault="00381D44" w:rsidP="00451822">
            <w:pPr>
              <w:spacing w:before="0" w:after="0" w:line="240" w:lineRule="auto"/>
              <w:ind w:firstLine="0"/>
              <w:jc w:val="center"/>
              <w:rPr>
                <w:rFonts w:eastAsia="Times New Roman" w:cs="Calibri"/>
                <w:color w:val="000000"/>
                <w:sz w:val="20"/>
                <w:szCs w:val="20"/>
                <w:lang w:val="hy-AM"/>
              </w:rPr>
            </w:pPr>
            <w:r>
              <w:rPr>
                <w:rFonts w:eastAsia="Times New Roman" w:cs="Calibri"/>
                <w:color w:val="000000"/>
                <w:sz w:val="20"/>
                <w:szCs w:val="20"/>
                <w:lang w:val="hy-AM"/>
              </w:rPr>
              <w:t>-</w:t>
            </w:r>
          </w:p>
        </w:tc>
        <w:tc>
          <w:tcPr>
            <w:tcW w:w="3330" w:type="dxa"/>
            <w:noWrap/>
            <w:vAlign w:val="center"/>
          </w:tcPr>
          <w:p w14:paraId="65258FFA" w14:textId="77777777" w:rsidR="00381D44" w:rsidRPr="00945F33"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Pr>
                <w:rFonts w:eastAsia="Times New Roman" w:cs="Calibri"/>
                <w:color w:val="000000"/>
                <w:sz w:val="20"/>
                <w:szCs w:val="20"/>
                <w:lang w:val="hy-AM"/>
              </w:rPr>
              <w:t>Փաստացի</w:t>
            </w:r>
          </w:p>
        </w:tc>
        <w:tc>
          <w:tcPr>
            <w:tcW w:w="1160" w:type="dxa"/>
            <w:vAlign w:val="center"/>
          </w:tcPr>
          <w:p w14:paraId="6D11622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193.0</w:t>
            </w:r>
          </w:p>
        </w:tc>
        <w:tc>
          <w:tcPr>
            <w:tcW w:w="840" w:type="dxa"/>
            <w:vAlign w:val="center"/>
          </w:tcPr>
          <w:p w14:paraId="4EEF676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vAlign w:val="center"/>
          </w:tcPr>
          <w:p w14:paraId="515FCB24"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noWrap/>
            <w:vAlign w:val="center"/>
          </w:tcPr>
          <w:p w14:paraId="6300F84C"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960" w:type="dxa"/>
            <w:noWrap/>
            <w:vAlign w:val="center"/>
          </w:tcPr>
          <w:p w14:paraId="37425BB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r>
      <w:tr w:rsidR="00381D44" w:rsidRPr="00813400" w14:paraId="2D8E6DC4"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tcPr>
          <w:p w14:paraId="60E749FB"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noWrap/>
            <w:vAlign w:val="center"/>
          </w:tcPr>
          <w:p w14:paraId="240E0FE1"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i/>
                <w:color w:val="000000"/>
                <w:sz w:val="18"/>
                <w:szCs w:val="20"/>
                <w:lang w:val="hy-AM"/>
              </w:rPr>
              <w:t>%-ով՝ ՀՆԱ-ի նկատմամբ</w:t>
            </w:r>
          </w:p>
        </w:tc>
        <w:tc>
          <w:tcPr>
            <w:tcW w:w="1160" w:type="dxa"/>
            <w:vAlign w:val="center"/>
          </w:tcPr>
          <w:p w14:paraId="4A840194"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18"/>
                <w:lang w:val="hy-AM"/>
              </w:rPr>
            </w:pPr>
            <w:r w:rsidRPr="00EB1197">
              <w:rPr>
                <w:rFonts w:eastAsia="Times New Roman" w:cs="Calibri"/>
                <w:i/>
                <w:color w:val="000000"/>
                <w:sz w:val="18"/>
                <w:szCs w:val="18"/>
                <w:lang w:val="hy-AM"/>
              </w:rPr>
              <w:t>2.9%</w:t>
            </w:r>
          </w:p>
        </w:tc>
        <w:tc>
          <w:tcPr>
            <w:tcW w:w="840" w:type="dxa"/>
            <w:vAlign w:val="center"/>
          </w:tcPr>
          <w:p w14:paraId="453D789C"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vAlign w:val="center"/>
          </w:tcPr>
          <w:p w14:paraId="6248DD7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noWrap/>
            <w:vAlign w:val="center"/>
          </w:tcPr>
          <w:p w14:paraId="20646A6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960" w:type="dxa"/>
            <w:noWrap/>
            <w:vAlign w:val="center"/>
          </w:tcPr>
          <w:p w14:paraId="4751F0C4"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r>
      <w:tr w:rsidR="00381D44" w:rsidRPr="00813400" w14:paraId="791954C1"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hideMark/>
          </w:tcPr>
          <w:p w14:paraId="4C15B485"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2019</w:t>
            </w:r>
          </w:p>
        </w:tc>
        <w:tc>
          <w:tcPr>
            <w:tcW w:w="3330" w:type="dxa"/>
            <w:noWrap/>
            <w:vAlign w:val="center"/>
            <w:hideMark/>
          </w:tcPr>
          <w:p w14:paraId="77BB349F"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 xml:space="preserve"> ՄԺԾԾ 2020-2022</w:t>
            </w:r>
          </w:p>
        </w:tc>
        <w:tc>
          <w:tcPr>
            <w:tcW w:w="1160" w:type="dxa"/>
            <w:vAlign w:val="center"/>
            <w:hideMark/>
          </w:tcPr>
          <w:p w14:paraId="63DE9D96"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840" w:type="dxa"/>
            <w:vAlign w:val="center"/>
            <w:hideMark/>
          </w:tcPr>
          <w:p w14:paraId="6E507DFF"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388.3</w:t>
            </w:r>
          </w:p>
        </w:tc>
        <w:tc>
          <w:tcPr>
            <w:tcW w:w="1000" w:type="dxa"/>
            <w:vAlign w:val="center"/>
            <w:hideMark/>
          </w:tcPr>
          <w:p w14:paraId="20FE9F2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459.4</w:t>
            </w:r>
          </w:p>
        </w:tc>
        <w:tc>
          <w:tcPr>
            <w:tcW w:w="1000" w:type="dxa"/>
            <w:vAlign w:val="center"/>
            <w:hideMark/>
          </w:tcPr>
          <w:p w14:paraId="632CEE1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555.5</w:t>
            </w:r>
          </w:p>
        </w:tc>
        <w:tc>
          <w:tcPr>
            <w:tcW w:w="960" w:type="dxa"/>
            <w:noWrap/>
            <w:vAlign w:val="center"/>
            <w:hideMark/>
          </w:tcPr>
          <w:p w14:paraId="4DB6CE6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r>
      <w:tr w:rsidR="00381D44" w:rsidRPr="00813400" w14:paraId="18420896"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5BD55C4F"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vAlign w:val="center"/>
            <w:hideMark/>
          </w:tcPr>
          <w:p w14:paraId="234327A1"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625418A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p>
        </w:tc>
        <w:tc>
          <w:tcPr>
            <w:tcW w:w="840" w:type="dxa"/>
            <w:vAlign w:val="center"/>
            <w:hideMark/>
          </w:tcPr>
          <w:p w14:paraId="4F430F0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5.6%</w:t>
            </w:r>
          </w:p>
        </w:tc>
        <w:tc>
          <w:tcPr>
            <w:tcW w:w="1000" w:type="dxa"/>
            <w:vAlign w:val="center"/>
            <w:hideMark/>
          </w:tcPr>
          <w:p w14:paraId="5AA4F84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6.0%</w:t>
            </w:r>
          </w:p>
        </w:tc>
        <w:tc>
          <w:tcPr>
            <w:tcW w:w="1000" w:type="dxa"/>
            <w:vAlign w:val="center"/>
            <w:hideMark/>
          </w:tcPr>
          <w:p w14:paraId="05D6A3FA"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6.7%</w:t>
            </w:r>
          </w:p>
        </w:tc>
        <w:tc>
          <w:tcPr>
            <w:tcW w:w="960" w:type="dxa"/>
            <w:noWrap/>
            <w:vAlign w:val="center"/>
            <w:hideMark/>
          </w:tcPr>
          <w:p w14:paraId="165D66E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p>
        </w:tc>
      </w:tr>
      <w:tr w:rsidR="00381D44" w:rsidRPr="00813400" w14:paraId="2D668D2E"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38501359"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noWrap/>
            <w:vAlign w:val="center"/>
            <w:hideMark/>
          </w:tcPr>
          <w:p w14:paraId="7303014A"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2020թ. Պետական բյուջե</w:t>
            </w:r>
          </w:p>
        </w:tc>
        <w:tc>
          <w:tcPr>
            <w:tcW w:w="1160" w:type="dxa"/>
            <w:noWrap/>
            <w:vAlign w:val="center"/>
            <w:hideMark/>
          </w:tcPr>
          <w:p w14:paraId="55556A6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840" w:type="dxa"/>
            <w:vAlign w:val="center"/>
            <w:hideMark/>
          </w:tcPr>
          <w:p w14:paraId="48E0727F"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287.7</w:t>
            </w:r>
          </w:p>
        </w:tc>
        <w:tc>
          <w:tcPr>
            <w:tcW w:w="1000" w:type="dxa"/>
            <w:vAlign w:val="center"/>
            <w:hideMark/>
          </w:tcPr>
          <w:p w14:paraId="659553F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1000" w:type="dxa"/>
            <w:vAlign w:val="center"/>
            <w:hideMark/>
          </w:tcPr>
          <w:p w14:paraId="2CC419A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960" w:type="dxa"/>
            <w:noWrap/>
            <w:vAlign w:val="center"/>
            <w:hideMark/>
          </w:tcPr>
          <w:p w14:paraId="7A190876"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r>
      <w:tr w:rsidR="00381D44" w:rsidRPr="002D5EA9" w14:paraId="035F4DEE"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5242F05B"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p>
        </w:tc>
        <w:tc>
          <w:tcPr>
            <w:tcW w:w="3330" w:type="dxa"/>
            <w:vAlign w:val="center"/>
            <w:hideMark/>
          </w:tcPr>
          <w:p w14:paraId="6D0BBA4F"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75F74E1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p>
        </w:tc>
        <w:tc>
          <w:tcPr>
            <w:tcW w:w="840" w:type="dxa"/>
            <w:vAlign w:val="center"/>
            <w:hideMark/>
          </w:tcPr>
          <w:p w14:paraId="2B7B25F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4.1%</w:t>
            </w:r>
          </w:p>
        </w:tc>
        <w:tc>
          <w:tcPr>
            <w:tcW w:w="1000" w:type="dxa"/>
            <w:vAlign w:val="center"/>
            <w:hideMark/>
          </w:tcPr>
          <w:p w14:paraId="2E6C4056"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p>
        </w:tc>
        <w:tc>
          <w:tcPr>
            <w:tcW w:w="1000" w:type="dxa"/>
            <w:vAlign w:val="center"/>
            <w:hideMark/>
          </w:tcPr>
          <w:p w14:paraId="09ECE14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p>
        </w:tc>
        <w:tc>
          <w:tcPr>
            <w:tcW w:w="960" w:type="dxa"/>
            <w:noWrap/>
            <w:vAlign w:val="center"/>
            <w:hideMark/>
          </w:tcPr>
          <w:p w14:paraId="5F8B7047"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p>
        </w:tc>
      </w:tr>
      <w:tr w:rsidR="00381D44" w:rsidRPr="002D5EA9" w14:paraId="5B200A2C"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hideMark/>
          </w:tcPr>
          <w:p w14:paraId="7A3D59C8" w14:textId="77777777" w:rsidR="00381D44" w:rsidRPr="00EB1197" w:rsidRDefault="00381D44" w:rsidP="00451822">
            <w:pPr>
              <w:spacing w:before="0" w:after="0" w:line="240" w:lineRule="auto"/>
              <w:ind w:firstLine="0"/>
              <w:jc w:val="center"/>
              <w:rPr>
                <w:rFonts w:eastAsia="Times New Roman" w:cs="Calibri"/>
                <w:color w:val="000000"/>
                <w:sz w:val="20"/>
                <w:szCs w:val="20"/>
                <w:lang w:val="hy-AM"/>
              </w:rPr>
            </w:pPr>
            <w:r w:rsidRPr="00EB1197">
              <w:rPr>
                <w:rFonts w:eastAsia="Times New Roman" w:cs="Calibri"/>
                <w:color w:val="000000"/>
                <w:sz w:val="20"/>
                <w:szCs w:val="20"/>
                <w:lang w:val="hy-AM"/>
              </w:rPr>
              <w:t>2020</w:t>
            </w:r>
          </w:p>
        </w:tc>
        <w:tc>
          <w:tcPr>
            <w:tcW w:w="3330" w:type="dxa"/>
            <w:noWrap/>
            <w:vAlign w:val="center"/>
            <w:hideMark/>
          </w:tcPr>
          <w:p w14:paraId="1EAA41F3"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 xml:space="preserve"> ՄԺԾԾ 2021-2023</w:t>
            </w:r>
          </w:p>
        </w:tc>
        <w:tc>
          <w:tcPr>
            <w:tcW w:w="1160" w:type="dxa"/>
            <w:noWrap/>
            <w:vAlign w:val="center"/>
            <w:hideMark/>
          </w:tcPr>
          <w:p w14:paraId="04B0B72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p>
        </w:tc>
        <w:tc>
          <w:tcPr>
            <w:tcW w:w="840" w:type="dxa"/>
            <w:noWrap/>
            <w:vAlign w:val="center"/>
            <w:hideMark/>
          </w:tcPr>
          <w:p w14:paraId="0A6F55FF"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222.2</w:t>
            </w:r>
          </w:p>
        </w:tc>
        <w:tc>
          <w:tcPr>
            <w:tcW w:w="1000" w:type="dxa"/>
            <w:vAlign w:val="center"/>
            <w:hideMark/>
          </w:tcPr>
          <w:p w14:paraId="6C42D0A8"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250.0</w:t>
            </w:r>
          </w:p>
        </w:tc>
        <w:tc>
          <w:tcPr>
            <w:tcW w:w="1000" w:type="dxa"/>
            <w:vAlign w:val="center"/>
            <w:hideMark/>
          </w:tcPr>
          <w:p w14:paraId="5A4B9FA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326.2</w:t>
            </w:r>
          </w:p>
        </w:tc>
        <w:tc>
          <w:tcPr>
            <w:tcW w:w="960" w:type="dxa"/>
            <w:vAlign w:val="center"/>
            <w:hideMark/>
          </w:tcPr>
          <w:p w14:paraId="22380B8E"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EB1197">
              <w:rPr>
                <w:rFonts w:eastAsia="Times New Roman" w:cs="Calibri"/>
                <w:color w:val="000000"/>
                <w:sz w:val="20"/>
                <w:szCs w:val="20"/>
                <w:lang w:val="hy-AM"/>
              </w:rPr>
              <w:t>404.8</w:t>
            </w:r>
          </w:p>
        </w:tc>
      </w:tr>
      <w:tr w:rsidR="00381D44" w:rsidRPr="002D5EA9" w14:paraId="145A5E64"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700" w:type="dxa"/>
            <w:vMerge/>
            <w:hideMark/>
          </w:tcPr>
          <w:p w14:paraId="77330DAD" w14:textId="77777777" w:rsidR="00381D44" w:rsidRPr="00EB1197" w:rsidRDefault="00381D44" w:rsidP="00451822">
            <w:pPr>
              <w:spacing w:before="0" w:after="0" w:line="240" w:lineRule="auto"/>
              <w:ind w:firstLine="0"/>
              <w:rPr>
                <w:rFonts w:eastAsia="Times New Roman" w:cs="Calibri"/>
                <w:color w:val="000000"/>
                <w:sz w:val="20"/>
                <w:szCs w:val="20"/>
                <w:lang w:val="hy-AM"/>
              </w:rPr>
            </w:pPr>
          </w:p>
        </w:tc>
        <w:tc>
          <w:tcPr>
            <w:tcW w:w="3330" w:type="dxa"/>
            <w:vAlign w:val="center"/>
            <w:hideMark/>
          </w:tcPr>
          <w:p w14:paraId="7CA0A1ED" w14:textId="77777777" w:rsidR="00381D44" w:rsidRPr="00EB1197"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%-ով՝ ՀՆԱ-ի նկատմամբ</w:t>
            </w:r>
          </w:p>
        </w:tc>
        <w:tc>
          <w:tcPr>
            <w:tcW w:w="1160" w:type="dxa"/>
            <w:noWrap/>
            <w:vAlign w:val="center"/>
            <w:hideMark/>
          </w:tcPr>
          <w:p w14:paraId="3970F982"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p>
        </w:tc>
        <w:tc>
          <w:tcPr>
            <w:tcW w:w="840" w:type="dxa"/>
            <w:noWrap/>
            <w:vAlign w:val="center"/>
            <w:hideMark/>
          </w:tcPr>
          <w:p w14:paraId="3E20C62B"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3.4%</w:t>
            </w:r>
          </w:p>
        </w:tc>
        <w:tc>
          <w:tcPr>
            <w:tcW w:w="1000" w:type="dxa"/>
            <w:vAlign w:val="center"/>
            <w:hideMark/>
          </w:tcPr>
          <w:p w14:paraId="0A5F469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3.5%</w:t>
            </w:r>
          </w:p>
        </w:tc>
        <w:tc>
          <w:tcPr>
            <w:tcW w:w="1000" w:type="dxa"/>
            <w:vAlign w:val="center"/>
            <w:hideMark/>
          </w:tcPr>
          <w:p w14:paraId="04233EE9"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4.2%</w:t>
            </w:r>
          </w:p>
        </w:tc>
        <w:tc>
          <w:tcPr>
            <w:tcW w:w="960" w:type="dxa"/>
            <w:vAlign w:val="center"/>
            <w:hideMark/>
          </w:tcPr>
          <w:p w14:paraId="57312B63" w14:textId="77777777" w:rsidR="00381D44" w:rsidRPr="00EB119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lang w:val="hy-AM"/>
              </w:rPr>
            </w:pPr>
            <w:r w:rsidRPr="00EB1197">
              <w:rPr>
                <w:rFonts w:eastAsia="Times New Roman" w:cs="Calibri"/>
                <w:i/>
                <w:color w:val="000000"/>
                <w:sz w:val="18"/>
                <w:szCs w:val="20"/>
                <w:lang w:val="hy-AM"/>
              </w:rPr>
              <w:t>4.7%</w:t>
            </w:r>
          </w:p>
        </w:tc>
      </w:tr>
    </w:tbl>
    <w:p w14:paraId="69E3EB9B" w14:textId="77777777" w:rsidR="00381D44" w:rsidRPr="00772498" w:rsidRDefault="00381D44" w:rsidP="00381D44">
      <w:pPr>
        <w:spacing w:before="240"/>
        <w:ind w:right="900"/>
        <w:rPr>
          <w:rFonts w:eastAsia="Calibri" w:cs="Sylfaen"/>
          <w:bCs/>
          <w:i/>
          <w:iCs/>
          <w:color w:val="000000"/>
          <w:sz w:val="20"/>
          <w:szCs w:val="20"/>
          <w:lang w:val="hy-AM"/>
        </w:rPr>
      </w:pPr>
      <w:r w:rsidRPr="00772498">
        <w:rPr>
          <w:rFonts w:eastAsia="Calibri" w:cs="Times New Roman"/>
          <w:b/>
          <w:bCs/>
          <w:i/>
          <w:iCs/>
          <w:color w:val="000000"/>
          <w:lang w:val="hy-AM"/>
        </w:rPr>
        <w:t>Աղյուսակ 1.12.</w:t>
      </w:r>
      <w:r w:rsidRPr="00EB1197">
        <w:rPr>
          <w:b/>
          <w:bCs/>
          <w:i/>
          <w:iCs/>
          <w:sz w:val="20"/>
          <w:szCs w:val="20"/>
          <w:lang w:val="hy-AM"/>
        </w:rPr>
        <w:t xml:space="preserve"> </w:t>
      </w:r>
      <w:r w:rsidRPr="00772498">
        <w:rPr>
          <w:rFonts w:eastAsia="Calibri" w:cs="Sylfaen"/>
          <w:bCs/>
          <w:i/>
          <w:iCs/>
          <w:color w:val="000000"/>
          <w:sz w:val="20"/>
          <w:szCs w:val="20"/>
          <w:lang w:val="hy-AM"/>
        </w:rPr>
        <w:t>Պետական բյուջեի պակասուրդի ֆինանսավորման կանխատեսումների համեմատական աղյուսակը (մլրդ դրամ)</w:t>
      </w:r>
    </w:p>
    <w:tbl>
      <w:tblPr>
        <w:tblStyle w:val="GridTable1Light-Accent11"/>
        <w:tblW w:w="9990" w:type="dxa"/>
        <w:tblLook w:val="04A0" w:firstRow="1" w:lastRow="0" w:firstColumn="1" w:lastColumn="0" w:noHBand="0" w:noVBand="1"/>
      </w:tblPr>
      <w:tblGrid>
        <w:gridCol w:w="1700"/>
        <w:gridCol w:w="3330"/>
        <w:gridCol w:w="1160"/>
        <w:gridCol w:w="840"/>
        <w:gridCol w:w="1000"/>
        <w:gridCol w:w="1000"/>
        <w:gridCol w:w="960"/>
      </w:tblGrid>
      <w:tr w:rsidR="00381D44" w:rsidRPr="00AB7481" w14:paraId="3AF14226" w14:textId="77777777" w:rsidTr="00451822">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700" w:type="dxa"/>
            <w:shd w:val="clear" w:color="auto" w:fill="B8CCE4" w:themeFill="accent1" w:themeFillTint="66"/>
            <w:vAlign w:val="center"/>
            <w:hideMark/>
          </w:tcPr>
          <w:p w14:paraId="67D28BDF" w14:textId="77777777" w:rsidR="00381D44" w:rsidRPr="00AB7481" w:rsidRDefault="00381D44" w:rsidP="00451822">
            <w:pPr>
              <w:spacing w:before="0" w:after="0" w:line="240" w:lineRule="auto"/>
              <w:ind w:firstLine="0"/>
              <w:jc w:val="center"/>
              <w:rPr>
                <w:rFonts w:eastAsia="Times New Roman" w:cs="Calibri"/>
                <w:b w:val="0"/>
                <w:bCs w:val="0"/>
                <w:color w:val="000000"/>
                <w:sz w:val="20"/>
                <w:szCs w:val="20"/>
              </w:rPr>
            </w:pPr>
            <w:r w:rsidRPr="00AB7481">
              <w:rPr>
                <w:rFonts w:eastAsia="Times New Roman" w:cs="Calibri"/>
                <w:color w:val="000000"/>
                <w:sz w:val="20"/>
                <w:szCs w:val="20"/>
              </w:rPr>
              <w:t>Ընդունման տարին</w:t>
            </w:r>
          </w:p>
        </w:tc>
        <w:tc>
          <w:tcPr>
            <w:tcW w:w="3330" w:type="dxa"/>
            <w:shd w:val="clear" w:color="auto" w:fill="B8CCE4" w:themeFill="accent1" w:themeFillTint="66"/>
            <w:noWrap/>
            <w:vAlign w:val="center"/>
            <w:hideMark/>
          </w:tcPr>
          <w:p w14:paraId="134CDFCD" w14:textId="77777777" w:rsidR="00381D44" w:rsidRPr="00AB7481"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rPr>
            </w:pPr>
            <w:r w:rsidRPr="00AB7481">
              <w:rPr>
                <w:rFonts w:eastAsia="Times New Roman" w:cs="Calibri"/>
                <w:color w:val="000000"/>
                <w:sz w:val="20"/>
                <w:szCs w:val="20"/>
              </w:rPr>
              <w:t>Ծրագիր</w:t>
            </w:r>
          </w:p>
        </w:tc>
        <w:tc>
          <w:tcPr>
            <w:tcW w:w="1160" w:type="dxa"/>
            <w:shd w:val="clear" w:color="auto" w:fill="B8CCE4" w:themeFill="accent1" w:themeFillTint="66"/>
            <w:noWrap/>
            <w:vAlign w:val="center"/>
            <w:hideMark/>
          </w:tcPr>
          <w:p w14:paraId="073283A2" w14:textId="77777777" w:rsidR="00381D44" w:rsidRPr="00AB7481"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rPr>
            </w:pPr>
            <w:r w:rsidRPr="00AB7481">
              <w:rPr>
                <w:rFonts w:eastAsia="Times New Roman" w:cs="Calibri"/>
                <w:color w:val="000000"/>
                <w:sz w:val="20"/>
                <w:szCs w:val="20"/>
              </w:rPr>
              <w:t>2019</w:t>
            </w:r>
          </w:p>
        </w:tc>
        <w:tc>
          <w:tcPr>
            <w:tcW w:w="840" w:type="dxa"/>
            <w:shd w:val="clear" w:color="auto" w:fill="B8CCE4" w:themeFill="accent1" w:themeFillTint="66"/>
            <w:noWrap/>
            <w:vAlign w:val="center"/>
            <w:hideMark/>
          </w:tcPr>
          <w:p w14:paraId="37F08E42" w14:textId="77777777" w:rsidR="00381D44" w:rsidRPr="00AB7481"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rPr>
            </w:pPr>
            <w:r w:rsidRPr="00AB7481">
              <w:rPr>
                <w:rFonts w:eastAsia="Times New Roman" w:cs="Calibri"/>
                <w:color w:val="000000"/>
                <w:sz w:val="20"/>
                <w:szCs w:val="20"/>
              </w:rPr>
              <w:t>2020</w:t>
            </w:r>
          </w:p>
        </w:tc>
        <w:tc>
          <w:tcPr>
            <w:tcW w:w="1000" w:type="dxa"/>
            <w:shd w:val="clear" w:color="auto" w:fill="B8CCE4" w:themeFill="accent1" w:themeFillTint="66"/>
            <w:noWrap/>
            <w:vAlign w:val="center"/>
            <w:hideMark/>
          </w:tcPr>
          <w:p w14:paraId="228E3A7E" w14:textId="77777777" w:rsidR="00381D44" w:rsidRPr="00AB7481"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rPr>
            </w:pPr>
            <w:r w:rsidRPr="00AB7481">
              <w:rPr>
                <w:rFonts w:eastAsia="Times New Roman" w:cs="Calibri"/>
                <w:color w:val="000000"/>
                <w:sz w:val="20"/>
                <w:szCs w:val="20"/>
              </w:rPr>
              <w:t>2021</w:t>
            </w:r>
          </w:p>
        </w:tc>
        <w:tc>
          <w:tcPr>
            <w:tcW w:w="1000" w:type="dxa"/>
            <w:shd w:val="clear" w:color="auto" w:fill="B8CCE4" w:themeFill="accent1" w:themeFillTint="66"/>
            <w:noWrap/>
            <w:vAlign w:val="center"/>
            <w:hideMark/>
          </w:tcPr>
          <w:p w14:paraId="4566B64F" w14:textId="77777777" w:rsidR="00381D44" w:rsidRPr="00AB7481"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rPr>
            </w:pPr>
            <w:r w:rsidRPr="00AB7481">
              <w:rPr>
                <w:rFonts w:eastAsia="Times New Roman" w:cs="Calibri"/>
                <w:color w:val="000000"/>
                <w:sz w:val="20"/>
                <w:szCs w:val="20"/>
              </w:rPr>
              <w:t>2022</w:t>
            </w:r>
          </w:p>
        </w:tc>
        <w:tc>
          <w:tcPr>
            <w:tcW w:w="960" w:type="dxa"/>
            <w:shd w:val="clear" w:color="auto" w:fill="B8CCE4" w:themeFill="accent1" w:themeFillTint="66"/>
            <w:noWrap/>
            <w:vAlign w:val="center"/>
            <w:hideMark/>
          </w:tcPr>
          <w:p w14:paraId="106CD9EE" w14:textId="77777777" w:rsidR="00381D44" w:rsidRPr="00AB7481" w:rsidRDefault="00381D44" w:rsidP="00451822">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sz w:val="20"/>
                <w:szCs w:val="20"/>
              </w:rPr>
            </w:pPr>
            <w:r w:rsidRPr="00AB7481">
              <w:rPr>
                <w:rFonts w:eastAsia="Times New Roman" w:cs="Calibri"/>
                <w:color w:val="000000"/>
                <w:sz w:val="20"/>
                <w:szCs w:val="20"/>
              </w:rPr>
              <w:t>2023</w:t>
            </w:r>
          </w:p>
        </w:tc>
      </w:tr>
      <w:tr w:rsidR="00381D44" w:rsidRPr="00AB7481" w14:paraId="19D08653"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tcPr>
          <w:p w14:paraId="5483789B" w14:textId="77777777" w:rsidR="00381D44" w:rsidRPr="00945F33" w:rsidRDefault="00381D44" w:rsidP="00451822">
            <w:pPr>
              <w:spacing w:before="0" w:after="0" w:line="240" w:lineRule="auto"/>
              <w:ind w:firstLine="0"/>
              <w:jc w:val="center"/>
              <w:rPr>
                <w:rFonts w:eastAsia="Times New Roman" w:cs="Calibri"/>
                <w:color w:val="000000"/>
                <w:sz w:val="20"/>
                <w:szCs w:val="20"/>
                <w:lang w:val="hy-AM"/>
              </w:rPr>
            </w:pPr>
            <w:r>
              <w:rPr>
                <w:rFonts w:eastAsia="Times New Roman" w:cs="Calibri"/>
                <w:color w:val="000000"/>
                <w:sz w:val="20"/>
                <w:szCs w:val="20"/>
                <w:lang w:val="hy-AM"/>
              </w:rPr>
              <w:t>-</w:t>
            </w:r>
          </w:p>
        </w:tc>
        <w:tc>
          <w:tcPr>
            <w:tcW w:w="3330" w:type="dxa"/>
            <w:noWrap/>
            <w:vAlign w:val="center"/>
          </w:tcPr>
          <w:p w14:paraId="52B6B31D" w14:textId="77777777" w:rsidR="00381D44" w:rsidRPr="00945F33"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Pr>
                <w:rFonts w:eastAsia="Times New Roman" w:cs="Calibri"/>
                <w:color w:val="000000"/>
                <w:sz w:val="20"/>
                <w:szCs w:val="20"/>
                <w:lang w:val="hy-AM"/>
              </w:rPr>
              <w:t>Փաստացի</w:t>
            </w:r>
          </w:p>
        </w:tc>
        <w:tc>
          <w:tcPr>
            <w:tcW w:w="1160" w:type="dxa"/>
            <w:vAlign w:val="center"/>
          </w:tcPr>
          <w:p w14:paraId="46025373"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Pr>
                <w:rFonts w:eastAsia="Times New Roman" w:cs="Calibri"/>
                <w:color w:val="000000"/>
                <w:sz w:val="20"/>
                <w:szCs w:val="20"/>
              </w:rPr>
              <w:t>63.9</w:t>
            </w:r>
          </w:p>
        </w:tc>
        <w:tc>
          <w:tcPr>
            <w:tcW w:w="840" w:type="dxa"/>
            <w:vAlign w:val="center"/>
          </w:tcPr>
          <w:p w14:paraId="62483C8A"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p>
        </w:tc>
        <w:tc>
          <w:tcPr>
            <w:tcW w:w="1000" w:type="dxa"/>
            <w:vAlign w:val="center"/>
          </w:tcPr>
          <w:p w14:paraId="08476B34"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p>
        </w:tc>
        <w:tc>
          <w:tcPr>
            <w:tcW w:w="1000" w:type="dxa"/>
            <w:noWrap/>
            <w:vAlign w:val="center"/>
          </w:tcPr>
          <w:p w14:paraId="36E8610A"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p>
        </w:tc>
        <w:tc>
          <w:tcPr>
            <w:tcW w:w="960" w:type="dxa"/>
            <w:noWrap/>
            <w:vAlign w:val="center"/>
          </w:tcPr>
          <w:p w14:paraId="0BDF8A7D"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p>
        </w:tc>
      </w:tr>
      <w:tr w:rsidR="00381D44" w:rsidRPr="00AB7481" w14:paraId="1535D9B2"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tcPr>
          <w:p w14:paraId="6FBDD85E" w14:textId="77777777" w:rsidR="00381D44" w:rsidRPr="00AB7481" w:rsidRDefault="00381D44" w:rsidP="00451822">
            <w:pPr>
              <w:spacing w:before="0" w:after="0" w:line="240" w:lineRule="auto"/>
              <w:ind w:firstLine="0"/>
              <w:jc w:val="center"/>
              <w:rPr>
                <w:rFonts w:eastAsia="Times New Roman" w:cs="Calibri"/>
                <w:color w:val="000000"/>
                <w:sz w:val="20"/>
                <w:szCs w:val="20"/>
              </w:rPr>
            </w:pPr>
          </w:p>
        </w:tc>
        <w:tc>
          <w:tcPr>
            <w:tcW w:w="3330" w:type="dxa"/>
            <w:noWrap/>
            <w:vAlign w:val="center"/>
          </w:tcPr>
          <w:p w14:paraId="61229385" w14:textId="77777777" w:rsidR="00381D44" w:rsidRPr="00AB7481"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0238C4">
              <w:rPr>
                <w:rFonts w:eastAsia="Times New Roman" w:cs="Calibri"/>
                <w:i/>
                <w:color w:val="000000"/>
                <w:sz w:val="18"/>
                <w:szCs w:val="20"/>
              </w:rPr>
              <w:t>%-ով՝ ՀՆԱ-ի նկատմամբ</w:t>
            </w:r>
          </w:p>
        </w:tc>
        <w:tc>
          <w:tcPr>
            <w:tcW w:w="1160" w:type="dxa"/>
            <w:vAlign w:val="center"/>
          </w:tcPr>
          <w:p w14:paraId="06823B73" w14:textId="77777777" w:rsidR="00381D44" w:rsidRPr="00332DBA"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18"/>
              </w:rPr>
            </w:pPr>
            <w:r w:rsidRPr="00332DBA">
              <w:rPr>
                <w:rFonts w:eastAsia="Times New Roman" w:cs="Calibri"/>
                <w:i/>
                <w:color w:val="000000"/>
                <w:sz w:val="18"/>
                <w:szCs w:val="18"/>
              </w:rPr>
              <w:t>1.0</w:t>
            </w:r>
            <w:r>
              <w:rPr>
                <w:rFonts w:eastAsia="Times New Roman" w:cs="Calibri"/>
                <w:i/>
                <w:color w:val="000000"/>
                <w:sz w:val="18"/>
                <w:szCs w:val="18"/>
              </w:rPr>
              <w:t>%</w:t>
            </w:r>
          </w:p>
        </w:tc>
        <w:tc>
          <w:tcPr>
            <w:tcW w:w="840" w:type="dxa"/>
            <w:vAlign w:val="center"/>
          </w:tcPr>
          <w:p w14:paraId="4D2F4DFE"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p>
        </w:tc>
        <w:tc>
          <w:tcPr>
            <w:tcW w:w="1000" w:type="dxa"/>
            <w:vAlign w:val="center"/>
          </w:tcPr>
          <w:p w14:paraId="2ACFF15A"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p>
        </w:tc>
        <w:tc>
          <w:tcPr>
            <w:tcW w:w="1000" w:type="dxa"/>
            <w:noWrap/>
            <w:vAlign w:val="center"/>
          </w:tcPr>
          <w:p w14:paraId="066AC8A4"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p>
        </w:tc>
        <w:tc>
          <w:tcPr>
            <w:tcW w:w="960" w:type="dxa"/>
            <w:noWrap/>
            <w:vAlign w:val="center"/>
          </w:tcPr>
          <w:p w14:paraId="499FDEDE"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p>
        </w:tc>
      </w:tr>
      <w:tr w:rsidR="00381D44" w:rsidRPr="00AB7481" w14:paraId="721241B6"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hideMark/>
          </w:tcPr>
          <w:p w14:paraId="4DED3C7B" w14:textId="77777777" w:rsidR="00381D44" w:rsidRPr="00AB7481" w:rsidRDefault="00381D44" w:rsidP="00451822">
            <w:pPr>
              <w:spacing w:before="0" w:after="0" w:line="240" w:lineRule="auto"/>
              <w:ind w:firstLine="0"/>
              <w:jc w:val="center"/>
              <w:rPr>
                <w:rFonts w:eastAsia="Times New Roman" w:cs="Calibri"/>
                <w:color w:val="000000"/>
                <w:sz w:val="20"/>
                <w:szCs w:val="20"/>
              </w:rPr>
            </w:pPr>
            <w:r w:rsidRPr="00AB7481">
              <w:rPr>
                <w:rFonts w:eastAsia="Times New Roman" w:cs="Calibri"/>
                <w:color w:val="000000"/>
                <w:sz w:val="20"/>
                <w:szCs w:val="20"/>
              </w:rPr>
              <w:t>2019</w:t>
            </w:r>
          </w:p>
        </w:tc>
        <w:tc>
          <w:tcPr>
            <w:tcW w:w="3330" w:type="dxa"/>
            <w:noWrap/>
            <w:vAlign w:val="center"/>
            <w:hideMark/>
          </w:tcPr>
          <w:p w14:paraId="21362B14" w14:textId="77777777" w:rsidR="00381D44" w:rsidRPr="00AB7481"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eastAsia="Times New Roman" w:cs="Calibri"/>
                <w:color w:val="000000"/>
                <w:sz w:val="20"/>
                <w:szCs w:val="20"/>
              </w:rPr>
              <w:t xml:space="preserve"> ՄԺԾԾ 2020-2022</w:t>
            </w:r>
          </w:p>
        </w:tc>
        <w:tc>
          <w:tcPr>
            <w:tcW w:w="1160" w:type="dxa"/>
            <w:vAlign w:val="center"/>
            <w:hideMark/>
          </w:tcPr>
          <w:p w14:paraId="361F636D"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ascii="Calibri" w:eastAsia="Times New Roman" w:hAnsi="Calibri" w:cs="Calibri"/>
                <w:color w:val="000000"/>
                <w:sz w:val="20"/>
                <w:szCs w:val="20"/>
              </w:rPr>
              <w:t> </w:t>
            </w:r>
          </w:p>
        </w:tc>
        <w:tc>
          <w:tcPr>
            <w:tcW w:w="840" w:type="dxa"/>
            <w:vAlign w:val="center"/>
            <w:hideMark/>
          </w:tcPr>
          <w:p w14:paraId="6D36192C"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eastAsia="Times New Roman" w:cs="Calibri"/>
                <w:color w:val="000000"/>
                <w:sz w:val="20"/>
                <w:szCs w:val="20"/>
              </w:rPr>
              <w:t>157.6</w:t>
            </w:r>
          </w:p>
        </w:tc>
        <w:tc>
          <w:tcPr>
            <w:tcW w:w="1000" w:type="dxa"/>
            <w:vAlign w:val="center"/>
            <w:hideMark/>
          </w:tcPr>
          <w:p w14:paraId="4F709F40"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eastAsia="Times New Roman" w:cs="Calibri"/>
                <w:color w:val="000000"/>
                <w:sz w:val="20"/>
                <w:szCs w:val="20"/>
              </w:rPr>
              <w:t>169.0</w:t>
            </w:r>
          </w:p>
        </w:tc>
        <w:tc>
          <w:tcPr>
            <w:tcW w:w="1000" w:type="dxa"/>
            <w:vAlign w:val="center"/>
            <w:hideMark/>
          </w:tcPr>
          <w:p w14:paraId="2E9A343E"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eastAsia="Times New Roman" w:cs="Calibri"/>
                <w:color w:val="000000"/>
                <w:sz w:val="20"/>
                <w:szCs w:val="20"/>
              </w:rPr>
              <w:t>184.4</w:t>
            </w:r>
          </w:p>
        </w:tc>
        <w:tc>
          <w:tcPr>
            <w:tcW w:w="960" w:type="dxa"/>
            <w:noWrap/>
            <w:vAlign w:val="center"/>
            <w:hideMark/>
          </w:tcPr>
          <w:p w14:paraId="6CD2E7C4"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ascii="Calibri" w:eastAsia="Times New Roman" w:hAnsi="Calibri" w:cs="Calibri"/>
                <w:color w:val="000000"/>
                <w:sz w:val="20"/>
                <w:szCs w:val="20"/>
              </w:rPr>
              <w:t> </w:t>
            </w:r>
          </w:p>
        </w:tc>
      </w:tr>
      <w:tr w:rsidR="00381D44" w:rsidRPr="00AB7481" w14:paraId="5D159B4D"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416FD888" w14:textId="77777777" w:rsidR="00381D44" w:rsidRPr="00AB7481" w:rsidRDefault="00381D44" w:rsidP="00451822">
            <w:pPr>
              <w:spacing w:before="0" w:after="0" w:line="240" w:lineRule="auto"/>
              <w:ind w:firstLine="0"/>
              <w:jc w:val="center"/>
              <w:rPr>
                <w:rFonts w:eastAsia="Times New Roman" w:cs="Calibri"/>
                <w:color w:val="000000"/>
                <w:sz w:val="20"/>
                <w:szCs w:val="20"/>
              </w:rPr>
            </w:pPr>
          </w:p>
        </w:tc>
        <w:tc>
          <w:tcPr>
            <w:tcW w:w="3330" w:type="dxa"/>
            <w:vAlign w:val="center"/>
            <w:hideMark/>
          </w:tcPr>
          <w:p w14:paraId="7AD2A528" w14:textId="77777777" w:rsidR="00381D44" w:rsidRPr="00674606"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674606">
              <w:rPr>
                <w:rFonts w:eastAsia="Times New Roman" w:cs="Calibri"/>
                <w:i/>
                <w:color w:val="000000"/>
                <w:sz w:val="18"/>
                <w:szCs w:val="20"/>
              </w:rPr>
              <w:t>%-ով՝ ՀՆԱ-ի նկատմամբ</w:t>
            </w:r>
          </w:p>
        </w:tc>
        <w:tc>
          <w:tcPr>
            <w:tcW w:w="1160" w:type="dxa"/>
            <w:noWrap/>
            <w:vAlign w:val="center"/>
            <w:hideMark/>
          </w:tcPr>
          <w:p w14:paraId="7E16E1DE"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ascii="Calibri" w:eastAsia="Times New Roman" w:hAnsi="Calibri" w:cs="Calibri"/>
                <w:i/>
                <w:color w:val="000000"/>
                <w:sz w:val="18"/>
                <w:szCs w:val="20"/>
              </w:rPr>
              <w:t> </w:t>
            </w:r>
          </w:p>
        </w:tc>
        <w:tc>
          <w:tcPr>
            <w:tcW w:w="840" w:type="dxa"/>
            <w:vAlign w:val="center"/>
            <w:hideMark/>
          </w:tcPr>
          <w:p w14:paraId="4EE4090B"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eastAsia="Times New Roman" w:cs="Calibri"/>
                <w:i/>
                <w:color w:val="000000"/>
                <w:sz w:val="18"/>
                <w:szCs w:val="20"/>
              </w:rPr>
              <w:t>2.3%</w:t>
            </w:r>
          </w:p>
        </w:tc>
        <w:tc>
          <w:tcPr>
            <w:tcW w:w="1000" w:type="dxa"/>
            <w:vAlign w:val="center"/>
            <w:hideMark/>
          </w:tcPr>
          <w:p w14:paraId="1D3BCD87"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eastAsia="Times New Roman" w:cs="Calibri"/>
                <w:i/>
                <w:color w:val="000000"/>
                <w:sz w:val="18"/>
                <w:szCs w:val="20"/>
              </w:rPr>
              <w:t>2.2%</w:t>
            </w:r>
          </w:p>
        </w:tc>
        <w:tc>
          <w:tcPr>
            <w:tcW w:w="1000" w:type="dxa"/>
            <w:vAlign w:val="center"/>
            <w:hideMark/>
          </w:tcPr>
          <w:p w14:paraId="1A48886A"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eastAsia="Times New Roman" w:cs="Calibri"/>
                <w:i/>
                <w:color w:val="000000"/>
                <w:sz w:val="18"/>
                <w:szCs w:val="20"/>
              </w:rPr>
              <w:t>2.2%</w:t>
            </w:r>
          </w:p>
        </w:tc>
        <w:tc>
          <w:tcPr>
            <w:tcW w:w="960" w:type="dxa"/>
            <w:noWrap/>
            <w:vAlign w:val="center"/>
            <w:hideMark/>
          </w:tcPr>
          <w:p w14:paraId="6BA61236"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ascii="Calibri" w:eastAsia="Times New Roman" w:hAnsi="Calibri" w:cs="Calibri"/>
                <w:i/>
                <w:color w:val="000000"/>
                <w:sz w:val="18"/>
                <w:szCs w:val="20"/>
              </w:rPr>
              <w:t> </w:t>
            </w:r>
          </w:p>
        </w:tc>
      </w:tr>
      <w:tr w:rsidR="00381D44" w:rsidRPr="00AB7481" w14:paraId="219EA129"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20F3B237" w14:textId="77777777" w:rsidR="00381D44" w:rsidRPr="00AB7481" w:rsidRDefault="00381D44" w:rsidP="00451822">
            <w:pPr>
              <w:spacing w:before="0" w:after="0" w:line="240" w:lineRule="auto"/>
              <w:ind w:firstLine="0"/>
              <w:jc w:val="center"/>
              <w:rPr>
                <w:rFonts w:eastAsia="Times New Roman" w:cs="Calibri"/>
                <w:color w:val="000000"/>
                <w:sz w:val="20"/>
                <w:szCs w:val="20"/>
              </w:rPr>
            </w:pPr>
          </w:p>
        </w:tc>
        <w:tc>
          <w:tcPr>
            <w:tcW w:w="3330" w:type="dxa"/>
            <w:noWrap/>
            <w:vAlign w:val="center"/>
            <w:hideMark/>
          </w:tcPr>
          <w:p w14:paraId="4008A845" w14:textId="77777777" w:rsidR="00381D44" w:rsidRPr="00AB7481"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Pr>
                <w:rFonts w:eastAsia="Times New Roman" w:cs="Calibri"/>
                <w:color w:val="000000"/>
                <w:sz w:val="20"/>
                <w:szCs w:val="20"/>
              </w:rPr>
              <w:t>2020թ. Պետական բյուջե</w:t>
            </w:r>
          </w:p>
        </w:tc>
        <w:tc>
          <w:tcPr>
            <w:tcW w:w="1160" w:type="dxa"/>
            <w:noWrap/>
            <w:vAlign w:val="center"/>
            <w:hideMark/>
          </w:tcPr>
          <w:p w14:paraId="272C3310"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ascii="Calibri" w:eastAsia="Times New Roman" w:hAnsi="Calibri" w:cs="Calibri"/>
                <w:color w:val="000000"/>
                <w:sz w:val="20"/>
                <w:szCs w:val="20"/>
              </w:rPr>
              <w:t> </w:t>
            </w:r>
          </w:p>
        </w:tc>
        <w:tc>
          <w:tcPr>
            <w:tcW w:w="840" w:type="dxa"/>
            <w:vAlign w:val="center"/>
            <w:hideMark/>
          </w:tcPr>
          <w:p w14:paraId="65AFB80A"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eastAsia="Times New Roman" w:cs="Calibri"/>
                <w:color w:val="000000"/>
                <w:sz w:val="20"/>
                <w:szCs w:val="20"/>
              </w:rPr>
              <w:t>160.7</w:t>
            </w:r>
          </w:p>
        </w:tc>
        <w:tc>
          <w:tcPr>
            <w:tcW w:w="1000" w:type="dxa"/>
            <w:vAlign w:val="center"/>
            <w:hideMark/>
          </w:tcPr>
          <w:p w14:paraId="21343F90"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ascii="Calibri" w:eastAsia="Times New Roman" w:hAnsi="Calibri" w:cs="Calibri"/>
                <w:color w:val="000000"/>
                <w:sz w:val="20"/>
                <w:szCs w:val="20"/>
              </w:rPr>
              <w:t> </w:t>
            </w:r>
          </w:p>
        </w:tc>
        <w:tc>
          <w:tcPr>
            <w:tcW w:w="1000" w:type="dxa"/>
            <w:vAlign w:val="center"/>
            <w:hideMark/>
          </w:tcPr>
          <w:p w14:paraId="6C772850"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ascii="Calibri" w:eastAsia="Times New Roman" w:hAnsi="Calibri" w:cs="Calibri"/>
                <w:color w:val="000000"/>
                <w:sz w:val="20"/>
                <w:szCs w:val="20"/>
              </w:rPr>
              <w:t> </w:t>
            </w:r>
          </w:p>
        </w:tc>
        <w:tc>
          <w:tcPr>
            <w:tcW w:w="960" w:type="dxa"/>
            <w:noWrap/>
            <w:vAlign w:val="center"/>
            <w:hideMark/>
          </w:tcPr>
          <w:p w14:paraId="32527D53"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ascii="Calibri" w:eastAsia="Times New Roman" w:hAnsi="Calibri" w:cs="Calibri"/>
                <w:color w:val="000000"/>
                <w:sz w:val="20"/>
                <w:szCs w:val="20"/>
              </w:rPr>
              <w:t> </w:t>
            </w:r>
          </w:p>
        </w:tc>
      </w:tr>
      <w:tr w:rsidR="00381D44" w:rsidRPr="00AB7481" w14:paraId="4FD00248"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700" w:type="dxa"/>
            <w:vMerge/>
            <w:vAlign w:val="center"/>
            <w:hideMark/>
          </w:tcPr>
          <w:p w14:paraId="5D996AB9" w14:textId="77777777" w:rsidR="00381D44" w:rsidRPr="00AB7481" w:rsidRDefault="00381D44" w:rsidP="00451822">
            <w:pPr>
              <w:spacing w:before="0" w:after="0" w:line="240" w:lineRule="auto"/>
              <w:ind w:firstLine="0"/>
              <w:jc w:val="center"/>
              <w:rPr>
                <w:rFonts w:eastAsia="Times New Roman" w:cs="Calibri"/>
                <w:color w:val="000000"/>
                <w:sz w:val="20"/>
                <w:szCs w:val="20"/>
              </w:rPr>
            </w:pPr>
          </w:p>
        </w:tc>
        <w:tc>
          <w:tcPr>
            <w:tcW w:w="3330" w:type="dxa"/>
            <w:vAlign w:val="center"/>
            <w:hideMark/>
          </w:tcPr>
          <w:p w14:paraId="61A02A53" w14:textId="77777777" w:rsidR="00381D44" w:rsidRPr="00674606"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674606">
              <w:rPr>
                <w:rFonts w:eastAsia="Times New Roman" w:cs="Calibri"/>
                <w:i/>
                <w:color w:val="000000"/>
                <w:sz w:val="18"/>
                <w:szCs w:val="20"/>
              </w:rPr>
              <w:t>%-ով՝ ՀՆԱ-ի նկատմամբ</w:t>
            </w:r>
          </w:p>
        </w:tc>
        <w:tc>
          <w:tcPr>
            <w:tcW w:w="1160" w:type="dxa"/>
            <w:noWrap/>
            <w:vAlign w:val="center"/>
            <w:hideMark/>
          </w:tcPr>
          <w:p w14:paraId="58849A4D"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ascii="Calibri" w:eastAsia="Times New Roman" w:hAnsi="Calibri" w:cs="Calibri"/>
                <w:i/>
                <w:color w:val="000000"/>
                <w:sz w:val="18"/>
                <w:szCs w:val="20"/>
              </w:rPr>
              <w:t> </w:t>
            </w:r>
          </w:p>
        </w:tc>
        <w:tc>
          <w:tcPr>
            <w:tcW w:w="840" w:type="dxa"/>
            <w:vAlign w:val="center"/>
            <w:hideMark/>
          </w:tcPr>
          <w:p w14:paraId="7220683E"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eastAsia="Times New Roman" w:cs="Calibri"/>
                <w:i/>
                <w:color w:val="000000"/>
                <w:sz w:val="18"/>
                <w:szCs w:val="20"/>
              </w:rPr>
              <w:t>2.3%</w:t>
            </w:r>
          </w:p>
        </w:tc>
        <w:tc>
          <w:tcPr>
            <w:tcW w:w="1000" w:type="dxa"/>
            <w:vAlign w:val="center"/>
            <w:hideMark/>
          </w:tcPr>
          <w:p w14:paraId="604BFE6B"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ascii="Calibri" w:eastAsia="Times New Roman" w:hAnsi="Calibri" w:cs="Calibri"/>
                <w:i/>
                <w:color w:val="000000"/>
                <w:sz w:val="18"/>
                <w:szCs w:val="20"/>
              </w:rPr>
              <w:t> </w:t>
            </w:r>
          </w:p>
        </w:tc>
        <w:tc>
          <w:tcPr>
            <w:tcW w:w="1000" w:type="dxa"/>
            <w:vAlign w:val="center"/>
            <w:hideMark/>
          </w:tcPr>
          <w:p w14:paraId="5E6C3E4A"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ascii="Calibri" w:eastAsia="Times New Roman" w:hAnsi="Calibri" w:cs="Calibri"/>
                <w:i/>
                <w:color w:val="000000"/>
                <w:sz w:val="18"/>
                <w:szCs w:val="20"/>
              </w:rPr>
              <w:t> </w:t>
            </w:r>
          </w:p>
        </w:tc>
        <w:tc>
          <w:tcPr>
            <w:tcW w:w="960" w:type="dxa"/>
            <w:noWrap/>
            <w:vAlign w:val="center"/>
            <w:hideMark/>
          </w:tcPr>
          <w:p w14:paraId="799E7A8A"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ascii="Calibri" w:eastAsia="Times New Roman" w:hAnsi="Calibri" w:cs="Calibri"/>
                <w:i/>
                <w:color w:val="000000"/>
                <w:sz w:val="18"/>
                <w:szCs w:val="20"/>
              </w:rPr>
              <w:t> </w:t>
            </w:r>
          </w:p>
        </w:tc>
      </w:tr>
      <w:tr w:rsidR="00381D44" w:rsidRPr="00AB7481" w14:paraId="616A786B" w14:textId="77777777" w:rsidTr="00451822">
        <w:trPr>
          <w:trHeight w:val="330"/>
        </w:trPr>
        <w:tc>
          <w:tcPr>
            <w:cnfStyle w:val="001000000000" w:firstRow="0" w:lastRow="0" w:firstColumn="1" w:lastColumn="0" w:oddVBand="0" w:evenVBand="0" w:oddHBand="0" w:evenHBand="0" w:firstRowFirstColumn="0" w:firstRowLastColumn="0" w:lastRowFirstColumn="0" w:lastRowLastColumn="0"/>
            <w:tcW w:w="1700" w:type="dxa"/>
            <w:vMerge w:val="restart"/>
            <w:vAlign w:val="center"/>
            <w:hideMark/>
          </w:tcPr>
          <w:p w14:paraId="79F471A0" w14:textId="77777777" w:rsidR="00381D44" w:rsidRPr="00AB7481" w:rsidRDefault="00381D44" w:rsidP="00451822">
            <w:pPr>
              <w:spacing w:before="0" w:after="0" w:line="240" w:lineRule="auto"/>
              <w:ind w:firstLine="0"/>
              <w:jc w:val="center"/>
              <w:rPr>
                <w:rFonts w:eastAsia="Times New Roman" w:cs="Calibri"/>
                <w:color w:val="000000"/>
                <w:sz w:val="20"/>
                <w:szCs w:val="20"/>
              </w:rPr>
            </w:pPr>
            <w:r w:rsidRPr="00AB7481">
              <w:rPr>
                <w:rFonts w:eastAsia="Times New Roman" w:cs="Calibri"/>
                <w:color w:val="000000"/>
                <w:sz w:val="20"/>
                <w:szCs w:val="20"/>
              </w:rPr>
              <w:t>2020</w:t>
            </w:r>
          </w:p>
        </w:tc>
        <w:tc>
          <w:tcPr>
            <w:tcW w:w="3330" w:type="dxa"/>
            <w:noWrap/>
            <w:vAlign w:val="center"/>
            <w:hideMark/>
          </w:tcPr>
          <w:p w14:paraId="31B7EF6D" w14:textId="77777777" w:rsidR="00381D44" w:rsidRPr="00AB7481"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eastAsia="Times New Roman" w:cs="Calibri"/>
                <w:color w:val="000000"/>
                <w:sz w:val="20"/>
                <w:szCs w:val="20"/>
              </w:rPr>
              <w:t xml:space="preserve"> ՄԺԾԾ 2021-2023</w:t>
            </w:r>
          </w:p>
        </w:tc>
        <w:tc>
          <w:tcPr>
            <w:tcW w:w="1160" w:type="dxa"/>
            <w:noWrap/>
            <w:vAlign w:val="center"/>
            <w:hideMark/>
          </w:tcPr>
          <w:p w14:paraId="7868FC70"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ascii="Calibri" w:eastAsia="Times New Roman" w:hAnsi="Calibri" w:cs="Calibri"/>
                <w:color w:val="000000"/>
                <w:sz w:val="20"/>
                <w:szCs w:val="20"/>
              </w:rPr>
              <w:t> </w:t>
            </w:r>
          </w:p>
        </w:tc>
        <w:tc>
          <w:tcPr>
            <w:tcW w:w="840" w:type="dxa"/>
            <w:noWrap/>
            <w:vAlign w:val="center"/>
            <w:hideMark/>
          </w:tcPr>
          <w:p w14:paraId="6EA95EB4"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F50547">
              <w:rPr>
                <w:rFonts w:eastAsia="Times New Roman" w:cs="Calibri"/>
                <w:color w:val="000000"/>
                <w:sz w:val="20"/>
                <w:szCs w:val="20"/>
              </w:rPr>
              <w:t>361.5</w:t>
            </w:r>
            <w:r w:rsidRPr="00F50547">
              <w:rPr>
                <w:rFonts w:ascii="Calibri" w:eastAsia="Times New Roman" w:hAnsi="Calibri" w:cs="Calibri"/>
                <w:color w:val="000000"/>
                <w:sz w:val="20"/>
                <w:szCs w:val="20"/>
              </w:rPr>
              <w:t> </w:t>
            </w:r>
          </w:p>
        </w:tc>
        <w:tc>
          <w:tcPr>
            <w:tcW w:w="1000" w:type="dxa"/>
            <w:vAlign w:val="center"/>
            <w:hideMark/>
          </w:tcPr>
          <w:p w14:paraId="72A30FB5"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eastAsia="Times New Roman" w:cs="Calibri"/>
                <w:color w:val="000000"/>
                <w:sz w:val="20"/>
                <w:szCs w:val="20"/>
              </w:rPr>
              <w:t>209.1</w:t>
            </w:r>
          </w:p>
        </w:tc>
        <w:tc>
          <w:tcPr>
            <w:tcW w:w="1000" w:type="dxa"/>
            <w:vAlign w:val="center"/>
            <w:hideMark/>
          </w:tcPr>
          <w:p w14:paraId="749E7761"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eastAsia="Times New Roman" w:cs="Calibri"/>
                <w:color w:val="000000"/>
                <w:sz w:val="20"/>
                <w:szCs w:val="20"/>
              </w:rPr>
              <w:t>140.2</w:t>
            </w:r>
          </w:p>
        </w:tc>
        <w:tc>
          <w:tcPr>
            <w:tcW w:w="960" w:type="dxa"/>
            <w:vAlign w:val="center"/>
            <w:hideMark/>
          </w:tcPr>
          <w:p w14:paraId="7E56C257" w14:textId="77777777" w:rsidR="00381D44" w:rsidRPr="00AB7481"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AB7481">
              <w:rPr>
                <w:rFonts w:eastAsia="Times New Roman" w:cs="Calibri"/>
                <w:color w:val="000000"/>
                <w:sz w:val="20"/>
                <w:szCs w:val="20"/>
              </w:rPr>
              <w:t>158.6</w:t>
            </w:r>
          </w:p>
        </w:tc>
      </w:tr>
      <w:tr w:rsidR="00381D44" w:rsidRPr="00AB7481" w14:paraId="49224D01" w14:textId="77777777" w:rsidTr="00451822">
        <w:trPr>
          <w:trHeight w:val="345"/>
        </w:trPr>
        <w:tc>
          <w:tcPr>
            <w:cnfStyle w:val="001000000000" w:firstRow="0" w:lastRow="0" w:firstColumn="1" w:lastColumn="0" w:oddVBand="0" w:evenVBand="0" w:oddHBand="0" w:evenHBand="0" w:firstRowFirstColumn="0" w:firstRowLastColumn="0" w:lastRowFirstColumn="0" w:lastRowLastColumn="0"/>
            <w:tcW w:w="1700" w:type="dxa"/>
            <w:vMerge/>
            <w:hideMark/>
          </w:tcPr>
          <w:p w14:paraId="4C9A819A" w14:textId="77777777" w:rsidR="00381D44" w:rsidRPr="00AB7481" w:rsidRDefault="00381D44" w:rsidP="00451822">
            <w:pPr>
              <w:spacing w:before="0" w:after="0" w:line="240" w:lineRule="auto"/>
              <w:ind w:firstLine="0"/>
              <w:rPr>
                <w:rFonts w:eastAsia="Times New Roman" w:cs="Calibri"/>
                <w:color w:val="000000"/>
                <w:sz w:val="20"/>
                <w:szCs w:val="20"/>
              </w:rPr>
            </w:pPr>
          </w:p>
        </w:tc>
        <w:tc>
          <w:tcPr>
            <w:tcW w:w="3330" w:type="dxa"/>
            <w:vAlign w:val="center"/>
            <w:hideMark/>
          </w:tcPr>
          <w:p w14:paraId="5E6ADDE4" w14:textId="77777777" w:rsidR="00381D44" w:rsidRPr="00674606" w:rsidRDefault="00381D44" w:rsidP="00451822">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674606">
              <w:rPr>
                <w:rFonts w:eastAsia="Times New Roman" w:cs="Calibri"/>
                <w:i/>
                <w:color w:val="000000"/>
                <w:sz w:val="18"/>
                <w:szCs w:val="20"/>
              </w:rPr>
              <w:t>%-ով՝ ՀՆԱ-ի նկատմամբ</w:t>
            </w:r>
          </w:p>
        </w:tc>
        <w:tc>
          <w:tcPr>
            <w:tcW w:w="1160" w:type="dxa"/>
            <w:noWrap/>
            <w:vAlign w:val="center"/>
            <w:hideMark/>
          </w:tcPr>
          <w:p w14:paraId="44CF51B7"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ascii="Calibri" w:eastAsia="Times New Roman" w:hAnsi="Calibri" w:cs="Calibri"/>
                <w:i/>
                <w:color w:val="000000"/>
                <w:sz w:val="18"/>
                <w:szCs w:val="20"/>
              </w:rPr>
              <w:t> </w:t>
            </w:r>
          </w:p>
        </w:tc>
        <w:tc>
          <w:tcPr>
            <w:tcW w:w="840" w:type="dxa"/>
            <w:noWrap/>
            <w:vAlign w:val="center"/>
            <w:hideMark/>
          </w:tcPr>
          <w:p w14:paraId="607EA3CF" w14:textId="77777777" w:rsidR="00381D44" w:rsidRPr="00F50547"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F50547">
              <w:rPr>
                <w:rFonts w:eastAsia="Times New Roman" w:cs="Calibri"/>
                <w:i/>
                <w:color w:val="000000"/>
                <w:sz w:val="18"/>
                <w:szCs w:val="20"/>
              </w:rPr>
              <w:t>5.6%</w:t>
            </w:r>
            <w:r w:rsidRPr="00F50547">
              <w:rPr>
                <w:rFonts w:ascii="Calibri" w:eastAsia="Times New Roman" w:hAnsi="Calibri" w:cs="Calibri"/>
                <w:i/>
                <w:color w:val="000000"/>
                <w:sz w:val="18"/>
                <w:szCs w:val="20"/>
              </w:rPr>
              <w:t> </w:t>
            </w:r>
          </w:p>
        </w:tc>
        <w:tc>
          <w:tcPr>
            <w:tcW w:w="1000" w:type="dxa"/>
            <w:vAlign w:val="center"/>
            <w:hideMark/>
          </w:tcPr>
          <w:p w14:paraId="755F1D3A"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eastAsia="Times New Roman" w:cs="Calibri"/>
                <w:i/>
                <w:color w:val="000000"/>
                <w:sz w:val="18"/>
                <w:szCs w:val="20"/>
              </w:rPr>
              <w:t>2.9%</w:t>
            </w:r>
          </w:p>
        </w:tc>
        <w:tc>
          <w:tcPr>
            <w:tcW w:w="1000" w:type="dxa"/>
            <w:vAlign w:val="center"/>
            <w:hideMark/>
          </w:tcPr>
          <w:p w14:paraId="5CF142E3"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eastAsia="Times New Roman" w:cs="Calibri"/>
                <w:i/>
                <w:color w:val="000000"/>
                <w:sz w:val="18"/>
                <w:szCs w:val="20"/>
              </w:rPr>
              <w:t>1.8%</w:t>
            </w:r>
          </w:p>
        </w:tc>
        <w:tc>
          <w:tcPr>
            <w:tcW w:w="960" w:type="dxa"/>
            <w:vAlign w:val="center"/>
            <w:hideMark/>
          </w:tcPr>
          <w:p w14:paraId="2E9FF261" w14:textId="77777777" w:rsidR="00381D44" w:rsidRPr="001B2D9C" w:rsidRDefault="00381D44" w:rsidP="00451822">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i/>
                <w:color w:val="000000"/>
                <w:sz w:val="18"/>
                <w:szCs w:val="20"/>
              </w:rPr>
            </w:pPr>
            <w:r w:rsidRPr="001B2D9C">
              <w:rPr>
                <w:rFonts w:eastAsia="Times New Roman" w:cs="Calibri"/>
                <w:i/>
                <w:color w:val="000000"/>
                <w:sz w:val="18"/>
                <w:szCs w:val="20"/>
              </w:rPr>
              <w:t>1.8%</w:t>
            </w:r>
          </w:p>
        </w:tc>
      </w:tr>
    </w:tbl>
    <w:p w14:paraId="73EB722A" w14:textId="77777777" w:rsidR="00381D44" w:rsidRPr="00381D44" w:rsidRDefault="00381D44" w:rsidP="003D2D87">
      <w:pPr>
        <w:rPr>
          <w:iCs/>
          <w:lang w:val="hy-AM"/>
        </w:rPr>
      </w:pPr>
    </w:p>
    <w:p w14:paraId="47953971" w14:textId="77777777" w:rsidR="00173FEB" w:rsidRPr="006D5674" w:rsidRDefault="00FB2891" w:rsidP="0035033F">
      <w:pPr>
        <w:pStyle w:val="Heading2"/>
        <w:ind w:left="450"/>
        <w:rPr>
          <w:sz w:val="28"/>
          <w:szCs w:val="28"/>
        </w:rPr>
      </w:pPr>
      <w:bookmarkStart w:id="240" w:name="_Toc519513624"/>
      <w:bookmarkStart w:id="241" w:name="_Toc13837282"/>
      <w:bookmarkEnd w:id="209"/>
      <w:bookmarkEnd w:id="210"/>
      <w:bookmarkEnd w:id="211"/>
      <w:bookmarkEnd w:id="212"/>
      <w:r>
        <w:rPr>
          <w:lang w:val="hy-AM"/>
        </w:rPr>
        <w:br w:type="page"/>
      </w:r>
      <w:bookmarkStart w:id="242" w:name="_Toc45838528"/>
      <w:r w:rsidR="004B6B0F">
        <w:rPr>
          <w:lang w:val="hy-AM"/>
        </w:rPr>
        <w:lastRenderedPageBreak/>
        <w:t xml:space="preserve"> </w:t>
      </w:r>
      <w:bookmarkStart w:id="243" w:name="_Toc46154357"/>
      <w:r w:rsidR="00684692" w:rsidRPr="006D5674">
        <w:rPr>
          <w:sz w:val="28"/>
          <w:szCs w:val="28"/>
        </w:rPr>
        <w:t>ՀՀ 202</w:t>
      </w:r>
      <w:r w:rsidR="006207BC" w:rsidRPr="006E30B3">
        <w:rPr>
          <w:sz w:val="28"/>
          <w:szCs w:val="28"/>
        </w:rPr>
        <w:t>1</w:t>
      </w:r>
      <w:r w:rsidR="00684692" w:rsidRPr="006D5674">
        <w:rPr>
          <w:sz w:val="28"/>
          <w:szCs w:val="28"/>
        </w:rPr>
        <w:t>–202</w:t>
      </w:r>
      <w:r w:rsidR="006207BC" w:rsidRPr="006E30B3">
        <w:rPr>
          <w:sz w:val="28"/>
          <w:szCs w:val="28"/>
        </w:rPr>
        <w:t>3</w:t>
      </w:r>
      <w:r w:rsidR="00684692" w:rsidRPr="006D5674">
        <w:rPr>
          <w:sz w:val="28"/>
          <w:szCs w:val="28"/>
        </w:rPr>
        <w:t>ԹԹ ՊԵՏԱԿԱՆ ԲՅՈՒՋԵՆԵՐԻ ԵԿԱՄՈՒՏՆԵՐԻ ՔԱՂԱՔԱԿԱՆՈՒԹՅՈՒՆ ԵՎ ԿԱՆԽԱՏԵՍՈՒՄ</w:t>
      </w:r>
      <w:bookmarkEnd w:id="240"/>
      <w:bookmarkEnd w:id="241"/>
      <w:bookmarkEnd w:id="242"/>
      <w:bookmarkEnd w:id="243"/>
    </w:p>
    <w:p w14:paraId="42C98994" w14:textId="77777777" w:rsidR="00173FEB" w:rsidRPr="00EB1197" w:rsidRDefault="00684692" w:rsidP="0035033F">
      <w:pPr>
        <w:pStyle w:val="Heading3"/>
        <w:numPr>
          <w:ilvl w:val="0"/>
          <w:numId w:val="0"/>
        </w:numPr>
        <w:ind w:left="720"/>
        <w:rPr>
          <w:rFonts w:eastAsia="Times New Roman" w:cs="Times New Roman"/>
          <w:color w:val="1F497D" w:themeColor="text2"/>
          <w:sz w:val="28"/>
          <w:szCs w:val="28"/>
          <w:lang w:val="es-ES"/>
        </w:rPr>
      </w:pPr>
      <w:bookmarkStart w:id="244" w:name="_Toc519513625"/>
      <w:bookmarkStart w:id="245" w:name="_Toc13837283"/>
      <w:bookmarkStart w:id="246" w:name="_Toc45838529"/>
      <w:bookmarkStart w:id="247" w:name="_Toc46154358"/>
      <w:r w:rsidRPr="00EB1197">
        <w:rPr>
          <w:rFonts w:eastAsia="Times New Roman" w:cs="Times New Roman"/>
          <w:caps w:val="0"/>
          <w:color w:val="1F497D" w:themeColor="text2"/>
          <w:sz w:val="28"/>
          <w:szCs w:val="28"/>
          <w:lang w:val="es-ES"/>
        </w:rPr>
        <w:t>3.1</w:t>
      </w:r>
      <w:r w:rsidR="004B6B0F">
        <w:rPr>
          <w:rFonts w:eastAsia="Times New Roman" w:cs="Times New Roman"/>
          <w:caps w:val="0"/>
          <w:color w:val="1F497D" w:themeColor="text2"/>
          <w:sz w:val="28"/>
          <w:szCs w:val="28"/>
        </w:rPr>
        <w:t>.</w:t>
      </w:r>
      <w:r w:rsidRPr="00EB1197">
        <w:rPr>
          <w:rFonts w:eastAsia="Times New Roman" w:cs="Times New Roman"/>
          <w:caps w:val="0"/>
          <w:color w:val="1F497D" w:themeColor="text2"/>
          <w:sz w:val="28"/>
          <w:szCs w:val="28"/>
          <w:lang w:val="es-ES"/>
        </w:rPr>
        <w:t xml:space="preserve"> </w:t>
      </w:r>
      <w:r w:rsidRPr="006D5674">
        <w:rPr>
          <w:rFonts w:eastAsia="Times New Roman" w:cs="Times New Roman"/>
          <w:caps w:val="0"/>
          <w:color w:val="1F497D" w:themeColor="text2"/>
          <w:sz w:val="28"/>
          <w:szCs w:val="28"/>
          <w:lang w:val="en-US"/>
        </w:rPr>
        <w:t>ՊԵՏԱԿԱՆ</w:t>
      </w:r>
      <w:r w:rsidRPr="00EB1197">
        <w:rPr>
          <w:rFonts w:eastAsia="Times New Roman" w:cs="Times New Roman"/>
          <w:caps w:val="0"/>
          <w:color w:val="1F497D" w:themeColor="text2"/>
          <w:sz w:val="28"/>
          <w:szCs w:val="28"/>
          <w:lang w:val="es-ES"/>
        </w:rPr>
        <w:t xml:space="preserve"> </w:t>
      </w:r>
      <w:r w:rsidRPr="006D5674">
        <w:rPr>
          <w:rFonts w:eastAsia="Times New Roman" w:cs="Times New Roman"/>
          <w:caps w:val="0"/>
          <w:color w:val="1F497D" w:themeColor="text2"/>
          <w:sz w:val="28"/>
          <w:szCs w:val="28"/>
          <w:lang w:val="en-US"/>
        </w:rPr>
        <w:t>ԵԿԱՄՈՒՏՆԵՐԻ</w:t>
      </w:r>
      <w:r w:rsidRPr="00EB1197">
        <w:rPr>
          <w:rFonts w:eastAsia="Times New Roman" w:cs="Times New Roman"/>
          <w:caps w:val="0"/>
          <w:color w:val="1F497D" w:themeColor="text2"/>
          <w:sz w:val="28"/>
          <w:szCs w:val="28"/>
          <w:lang w:val="es-ES"/>
        </w:rPr>
        <w:t xml:space="preserve"> </w:t>
      </w:r>
      <w:r w:rsidRPr="006D5674">
        <w:rPr>
          <w:rFonts w:eastAsia="Times New Roman" w:cs="Times New Roman"/>
          <w:caps w:val="0"/>
          <w:color w:val="1F497D" w:themeColor="text2"/>
          <w:sz w:val="28"/>
          <w:szCs w:val="28"/>
          <w:lang w:val="en-US"/>
        </w:rPr>
        <w:t>ՔԱՂԱՔԱԿԱՆՈՒԹՅԱՆ</w:t>
      </w:r>
      <w:r w:rsidRPr="00EB1197">
        <w:rPr>
          <w:rFonts w:eastAsia="Times New Roman" w:cs="Times New Roman"/>
          <w:caps w:val="0"/>
          <w:color w:val="1F497D" w:themeColor="text2"/>
          <w:sz w:val="28"/>
          <w:szCs w:val="28"/>
          <w:lang w:val="es-ES"/>
        </w:rPr>
        <w:t xml:space="preserve"> </w:t>
      </w:r>
      <w:r w:rsidRPr="006D5674">
        <w:rPr>
          <w:rFonts w:eastAsia="Times New Roman" w:cs="Times New Roman"/>
          <w:caps w:val="0"/>
          <w:color w:val="1F497D" w:themeColor="text2"/>
          <w:sz w:val="28"/>
          <w:szCs w:val="28"/>
          <w:lang w:val="en-US"/>
        </w:rPr>
        <w:t>ՀԻՄՆԱԿԱՆ</w:t>
      </w:r>
      <w:r w:rsidRPr="00EB1197">
        <w:rPr>
          <w:rFonts w:eastAsia="Times New Roman" w:cs="Times New Roman"/>
          <w:caps w:val="0"/>
          <w:color w:val="1F497D" w:themeColor="text2"/>
          <w:sz w:val="28"/>
          <w:szCs w:val="28"/>
          <w:lang w:val="es-ES"/>
        </w:rPr>
        <w:t xml:space="preserve"> </w:t>
      </w:r>
      <w:r w:rsidRPr="006D5674">
        <w:rPr>
          <w:rFonts w:eastAsia="Times New Roman" w:cs="Times New Roman"/>
          <w:caps w:val="0"/>
          <w:color w:val="1F497D" w:themeColor="text2"/>
          <w:sz w:val="28"/>
          <w:szCs w:val="28"/>
          <w:lang w:val="en-US"/>
        </w:rPr>
        <w:t>ԱՌԱՆՁՆԱՀԱՏԿՈՒԹՅՈՒՆՆԵՐԸ</w:t>
      </w:r>
      <w:r w:rsidRPr="00EB1197">
        <w:rPr>
          <w:rFonts w:eastAsia="Times New Roman" w:cs="Times New Roman"/>
          <w:caps w:val="0"/>
          <w:color w:val="1F497D" w:themeColor="text2"/>
          <w:sz w:val="28"/>
          <w:szCs w:val="28"/>
          <w:lang w:val="es-ES"/>
        </w:rPr>
        <w:t xml:space="preserve"> 202</w:t>
      </w:r>
      <w:r w:rsidR="00760D81" w:rsidRPr="00EB1197">
        <w:rPr>
          <w:rFonts w:eastAsia="Times New Roman" w:cs="Times New Roman"/>
          <w:caps w:val="0"/>
          <w:color w:val="1F497D" w:themeColor="text2"/>
          <w:sz w:val="28"/>
          <w:szCs w:val="28"/>
          <w:lang w:val="es-ES"/>
        </w:rPr>
        <w:t>1</w:t>
      </w:r>
      <w:r w:rsidRPr="00EB1197">
        <w:rPr>
          <w:rFonts w:eastAsia="Times New Roman" w:cs="Times New Roman"/>
          <w:caps w:val="0"/>
          <w:color w:val="1F497D" w:themeColor="text2"/>
          <w:sz w:val="28"/>
          <w:szCs w:val="28"/>
          <w:lang w:val="es-ES"/>
        </w:rPr>
        <w:t>-</w:t>
      </w:r>
      <w:proofErr w:type="gramStart"/>
      <w:r w:rsidRPr="00EB1197">
        <w:rPr>
          <w:rFonts w:eastAsia="Times New Roman" w:cs="Times New Roman"/>
          <w:caps w:val="0"/>
          <w:color w:val="1F497D" w:themeColor="text2"/>
          <w:sz w:val="28"/>
          <w:szCs w:val="28"/>
          <w:lang w:val="es-ES"/>
        </w:rPr>
        <w:t>202</w:t>
      </w:r>
      <w:r w:rsidR="00760D81" w:rsidRPr="00EB1197">
        <w:rPr>
          <w:rFonts w:eastAsia="Times New Roman" w:cs="Times New Roman"/>
          <w:caps w:val="0"/>
          <w:color w:val="1F497D" w:themeColor="text2"/>
          <w:sz w:val="28"/>
          <w:szCs w:val="28"/>
          <w:lang w:val="es-ES"/>
        </w:rPr>
        <w:t>3</w:t>
      </w:r>
      <w:r w:rsidRPr="00EB1197">
        <w:rPr>
          <w:rFonts w:eastAsia="Times New Roman" w:cs="Times New Roman"/>
          <w:caps w:val="0"/>
          <w:color w:val="1F497D" w:themeColor="text2"/>
          <w:sz w:val="28"/>
          <w:szCs w:val="28"/>
          <w:lang w:val="es-ES"/>
        </w:rPr>
        <w:t xml:space="preserve">  </w:t>
      </w:r>
      <w:r w:rsidRPr="006D5674">
        <w:rPr>
          <w:rFonts w:eastAsia="Times New Roman" w:cs="Times New Roman"/>
          <w:caps w:val="0"/>
          <w:color w:val="1F497D" w:themeColor="text2"/>
          <w:sz w:val="28"/>
          <w:szCs w:val="28"/>
          <w:lang w:val="en-US"/>
        </w:rPr>
        <w:t>ԹՎԱԿԱՆՆԵՐԻՆ</w:t>
      </w:r>
      <w:bookmarkEnd w:id="244"/>
      <w:bookmarkEnd w:id="245"/>
      <w:bookmarkEnd w:id="246"/>
      <w:bookmarkEnd w:id="247"/>
      <w:proofErr w:type="gramEnd"/>
    </w:p>
    <w:p w14:paraId="48AFD153" w14:textId="77777777" w:rsidR="00344540" w:rsidRPr="003C716D" w:rsidRDefault="00344540" w:rsidP="008F525B">
      <w:pPr>
        <w:spacing w:line="276" w:lineRule="auto"/>
        <w:ind w:firstLine="562"/>
        <w:rPr>
          <w:rFonts w:cs="Sylfaen"/>
          <w:iCs/>
          <w:lang w:val="af-ZA" w:eastAsia="en-GB"/>
        </w:rPr>
      </w:pPr>
      <w:bookmarkStart w:id="248" w:name="_Toc14687620"/>
      <w:bookmarkStart w:id="249" w:name="_Toc45838530"/>
      <w:bookmarkStart w:id="250" w:name="_Toc519513627"/>
      <w:bookmarkStart w:id="251" w:name="_Toc13837285"/>
      <w:r w:rsidRPr="003C716D">
        <w:rPr>
          <w:rFonts w:cs="Sylfaen"/>
          <w:iCs/>
          <w:lang w:val="af-ZA" w:eastAsia="en-GB"/>
        </w:rPr>
        <w:t>ՄԺԾԾ առանցքային հարցերից են պետական եկամուտների քաղաքականության ուղղ</w:t>
      </w:r>
      <w:r w:rsidRPr="003C716D">
        <w:rPr>
          <w:rFonts w:cs="Sylfaen"/>
          <w:iCs/>
          <w:lang w:val="af-ZA" w:eastAsia="en-GB"/>
        </w:rPr>
        <w:softHyphen/>
        <w:t>վա</w:t>
      </w:r>
      <w:r w:rsidRPr="003C716D">
        <w:rPr>
          <w:rFonts w:cs="Sylfaen"/>
          <w:iCs/>
          <w:lang w:val="af-ZA" w:eastAsia="en-GB"/>
        </w:rPr>
        <w:softHyphen/>
        <w:t>ծու</w:t>
      </w:r>
      <w:r w:rsidRPr="003C716D">
        <w:rPr>
          <w:rFonts w:cs="Sylfaen"/>
          <w:iCs/>
          <w:lang w:val="af-ZA" w:eastAsia="en-GB"/>
        </w:rPr>
        <w:softHyphen/>
        <w:t>թյու</w:t>
      </w:r>
      <w:r w:rsidRPr="003C716D">
        <w:rPr>
          <w:rFonts w:cs="Sylfaen"/>
          <w:iCs/>
          <w:lang w:val="af-ZA" w:eastAsia="en-GB"/>
        </w:rPr>
        <w:softHyphen/>
      </w:r>
      <w:r w:rsidRPr="003C716D">
        <w:rPr>
          <w:rFonts w:cs="Sylfaen"/>
          <w:iCs/>
          <w:lang w:val="af-ZA" w:eastAsia="en-GB"/>
        </w:rPr>
        <w:softHyphen/>
        <w:t>նը և դրանց կանխատեսելիությունը միջնաժամկետ հեռանկարում: Պետական ծախ</w:t>
      </w:r>
      <w:r w:rsidRPr="003C716D">
        <w:rPr>
          <w:rFonts w:cs="Sylfaen"/>
          <w:iCs/>
          <w:lang w:val="af-ZA" w:eastAsia="en-GB"/>
        </w:rPr>
        <w:softHyphen/>
        <w:t>սե</w:t>
      </w:r>
      <w:r w:rsidRPr="003C716D">
        <w:rPr>
          <w:rFonts w:cs="Sylfaen"/>
          <w:iCs/>
          <w:lang w:val="af-ZA" w:eastAsia="en-GB"/>
        </w:rPr>
        <w:softHyphen/>
        <w:t>րը ներքին ֆի</w:t>
      </w:r>
      <w:r w:rsidRPr="003C716D">
        <w:rPr>
          <w:rFonts w:cs="Sylfaen"/>
          <w:iCs/>
          <w:lang w:val="af-ZA" w:eastAsia="en-GB"/>
        </w:rPr>
        <w:softHyphen/>
        <w:t>նան</w:t>
      </w:r>
      <w:r w:rsidRPr="003C716D">
        <w:rPr>
          <w:rFonts w:cs="Sylfaen"/>
          <w:iCs/>
          <w:lang w:val="af-ZA" w:eastAsia="en-GB"/>
        </w:rPr>
        <w:softHyphen/>
        <w:t>սական ռե</w:t>
      </w:r>
      <w:r w:rsidRPr="003C716D">
        <w:rPr>
          <w:rFonts w:cs="Sylfaen"/>
          <w:iCs/>
          <w:lang w:val="af-ZA" w:eastAsia="en-GB"/>
        </w:rPr>
        <w:softHyphen/>
        <w:t>սուրս</w:t>
      </w:r>
      <w:r w:rsidRPr="003C716D">
        <w:rPr>
          <w:rFonts w:cs="Sylfaen"/>
          <w:iCs/>
          <w:lang w:val="af-ZA" w:eastAsia="en-GB"/>
        </w:rPr>
        <w:softHyphen/>
      </w:r>
      <w:r w:rsidRPr="003C716D">
        <w:rPr>
          <w:rFonts w:cs="Sylfaen"/>
          <w:iCs/>
          <w:lang w:val="af-ZA" w:eastAsia="en-GB"/>
        </w:rPr>
        <w:softHyphen/>
        <w:t>ներով ապահովելու պահանջը, ինչպես և նախորդ տարիներին, պե</w:t>
      </w:r>
      <w:r w:rsidRPr="003C716D">
        <w:rPr>
          <w:rFonts w:cs="Sylfaen"/>
          <w:iCs/>
          <w:lang w:val="af-ZA" w:eastAsia="en-GB"/>
        </w:rPr>
        <w:softHyphen/>
      </w:r>
      <w:r w:rsidRPr="003C716D">
        <w:rPr>
          <w:rFonts w:cs="Sylfaen"/>
          <w:iCs/>
          <w:lang w:val="af-ZA" w:eastAsia="en-GB"/>
        </w:rPr>
        <w:softHyphen/>
      </w:r>
      <w:r w:rsidRPr="003C716D">
        <w:rPr>
          <w:rFonts w:cs="Sylfaen"/>
          <w:iCs/>
          <w:lang w:val="af-ZA" w:eastAsia="en-GB"/>
        </w:rPr>
        <w:softHyphen/>
        <w:t>տա</w:t>
      </w:r>
      <w:r w:rsidRPr="003C716D">
        <w:rPr>
          <w:rFonts w:cs="Sylfaen"/>
          <w:iCs/>
          <w:lang w:val="af-ZA" w:eastAsia="en-GB"/>
        </w:rPr>
        <w:softHyphen/>
        <w:t>կան եկա</w:t>
      </w:r>
      <w:r w:rsidRPr="003C716D">
        <w:rPr>
          <w:rFonts w:cs="Sylfaen"/>
          <w:iCs/>
          <w:lang w:val="af-ZA" w:eastAsia="en-GB"/>
        </w:rPr>
        <w:softHyphen/>
      </w:r>
      <w:r w:rsidRPr="003C716D">
        <w:rPr>
          <w:rFonts w:cs="Sylfaen"/>
          <w:iCs/>
          <w:lang w:val="af-ZA" w:eastAsia="en-GB"/>
        </w:rPr>
        <w:softHyphen/>
        <w:t>մուտների քաղա</w:t>
      </w:r>
      <w:r w:rsidRPr="003C716D">
        <w:rPr>
          <w:rFonts w:cs="Sylfaen"/>
          <w:iCs/>
          <w:lang w:val="af-ZA" w:eastAsia="en-GB"/>
        </w:rPr>
        <w:softHyphen/>
        <w:t>քա</w:t>
      </w:r>
      <w:r w:rsidRPr="003C716D">
        <w:rPr>
          <w:rFonts w:cs="Sylfaen"/>
          <w:iCs/>
          <w:lang w:val="af-ZA" w:eastAsia="en-GB"/>
        </w:rPr>
        <w:softHyphen/>
        <w:t>կա</w:t>
      </w:r>
      <w:r w:rsidRPr="003C716D">
        <w:rPr>
          <w:rFonts w:cs="Sylfaen"/>
          <w:iCs/>
          <w:lang w:val="af-ZA" w:eastAsia="en-GB"/>
        </w:rPr>
        <w:softHyphen/>
        <w:t>նության հիմնական խնդիրն է, որի լուծումը հնարավո</w:t>
      </w:r>
      <w:r w:rsidRPr="003C716D">
        <w:rPr>
          <w:rFonts w:cs="Sylfaen"/>
          <w:iCs/>
          <w:lang w:val="af-ZA" w:eastAsia="en-GB"/>
        </w:rPr>
        <w:softHyphen/>
        <w:t>րություն է ընձեռում ՀՀ կառավարությանն ի հաշիվ սե</w:t>
      </w:r>
      <w:r w:rsidRPr="003C716D">
        <w:rPr>
          <w:rFonts w:cs="Sylfaen"/>
          <w:iCs/>
          <w:lang w:val="af-ZA" w:eastAsia="en-GB"/>
        </w:rPr>
        <w:softHyphen/>
        <w:t>փա</w:t>
      </w:r>
      <w:r w:rsidRPr="003C716D">
        <w:rPr>
          <w:rFonts w:cs="Sylfaen"/>
          <w:iCs/>
          <w:lang w:val="af-ZA" w:eastAsia="en-GB"/>
        </w:rPr>
        <w:softHyphen/>
        <w:t>կան ռեսուրսների իրականացնել արդ</w:t>
      </w:r>
      <w:r w:rsidRPr="003C716D">
        <w:rPr>
          <w:rFonts w:cs="Sylfaen"/>
          <w:iCs/>
          <w:lang w:val="af-ZA" w:eastAsia="en-GB"/>
        </w:rPr>
        <w:softHyphen/>
        <w:t>յու</w:t>
      </w:r>
      <w:r w:rsidRPr="003C716D">
        <w:rPr>
          <w:rFonts w:cs="Sylfaen"/>
          <w:iCs/>
          <w:lang w:val="af-ZA" w:eastAsia="en-GB"/>
        </w:rPr>
        <w:softHyphen/>
        <w:t>նա</w:t>
      </w:r>
      <w:r w:rsidRPr="003C716D">
        <w:rPr>
          <w:rFonts w:cs="Sylfaen"/>
          <w:iCs/>
          <w:lang w:val="af-ZA" w:eastAsia="en-GB"/>
        </w:rPr>
        <w:softHyphen/>
      </w:r>
      <w:r w:rsidRPr="003C716D">
        <w:rPr>
          <w:rFonts w:cs="Sylfaen"/>
          <w:iCs/>
          <w:lang w:val="af-ZA" w:eastAsia="en-GB"/>
        </w:rPr>
        <w:softHyphen/>
        <w:t>վետ ծախ</w:t>
      </w:r>
      <w:r w:rsidRPr="003C716D">
        <w:rPr>
          <w:rFonts w:cs="Sylfaen"/>
          <w:iCs/>
          <w:lang w:val="af-ZA" w:eastAsia="en-GB"/>
        </w:rPr>
        <w:softHyphen/>
        <w:t>սային քաղաքականություն: Այս թիրախի հա</w:t>
      </w:r>
      <w:r w:rsidRPr="003C716D">
        <w:rPr>
          <w:rFonts w:cs="Sylfaen"/>
          <w:iCs/>
          <w:lang w:val="af-ZA" w:eastAsia="en-GB"/>
        </w:rPr>
        <w:softHyphen/>
        <w:t>սանելիության տե</w:t>
      </w:r>
      <w:r w:rsidRPr="003C716D">
        <w:rPr>
          <w:rFonts w:cs="Sylfaen"/>
          <w:iCs/>
          <w:lang w:val="af-ZA" w:eastAsia="en-GB"/>
        </w:rPr>
        <w:softHyphen/>
        <w:t>սանկ</w:t>
      </w:r>
      <w:r w:rsidRPr="003C716D">
        <w:rPr>
          <w:rFonts w:cs="Sylfaen"/>
          <w:iCs/>
          <w:lang w:val="af-ZA" w:eastAsia="en-GB"/>
        </w:rPr>
        <w:softHyphen/>
        <w:t>յու</w:t>
      </w:r>
      <w:r w:rsidRPr="003C716D">
        <w:rPr>
          <w:rFonts w:cs="Sylfaen"/>
          <w:iCs/>
          <w:lang w:val="af-ZA" w:eastAsia="en-GB"/>
        </w:rPr>
        <w:softHyphen/>
        <w:t>նից առավել ընդ</w:t>
      </w:r>
      <w:r w:rsidRPr="003C716D">
        <w:rPr>
          <w:rFonts w:cs="Sylfaen"/>
          <w:iCs/>
          <w:lang w:val="af-ZA" w:eastAsia="en-GB"/>
        </w:rPr>
        <w:softHyphen/>
        <w:t>գծ</w:t>
      </w:r>
      <w:r w:rsidRPr="003C716D">
        <w:rPr>
          <w:rFonts w:cs="Sylfaen"/>
          <w:iCs/>
          <w:lang w:val="af-ZA" w:eastAsia="en-GB"/>
        </w:rPr>
        <w:softHyphen/>
        <w:t xml:space="preserve">վում է հարկային քաղաքականության դերը: </w:t>
      </w:r>
    </w:p>
    <w:p w14:paraId="1BFE3FD6" w14:textId="77777777" w:rsidR="00344540" w:rsidRPr="003C716D" w:rsidRDefault="00344540" w:rsidP="008F525B">
      <w:pPr>
        <w:spacing w:line="276" w:lineRule="auto"/>
        <w:ind w:firstLine="562"/>
        <w:rPr>
          <w:rFonts w:cs="Sylfaen"/>
          <w:iCs/>
          <w:lang w:val="af-ZA" w:eastAsia="en-GB"/>
        </w:rPr>
      </w:pPr>
      <w:r w:rsidRPr="003C716D">
        <w:rPr>
          <w:rFonts w:cs="Sylfaen"/>
          <w:iCs/>
          <w:lang w:val="af-ZA" w:eastAsia="en-GB"/>
        </w:rPr>
        <w:t xml:space="preserve">Հարկային եկամուտների </w:t>
      </w:r>
      <w:r>
        <w:rPr>
          <w:rFonts w:cs="Sylfaen"/>
          <w:iCs/>
          <w:lang w:val="hy-AM" w:eastAsia="en-GB"/>
        </w:rPr>
        <w:t>չափը</w:t>
      </w:r>
      <w:r w:rsidRPr="003C716D">
        <w:rPr>
          <w:rFonts w:cs="Sylfaen"/>
          <w:iCs/>
          <w:lang w:val="af-ZA" w:eastAsia="en-GB"/>
        </w:rPr>
        <w:t xml:space="preserve"> մե</w:t>
      </w:r>
      <w:r w:rsidRPr="003C716D">
        <w:rPr>
          <w:rFonts w:cs="Sylfaen"/>
          <w:iCs/>
          <w:lang w:val="af-ZA" w:eastAsia="en-GB"/>
        </w:rPr>
        <w:softHyphen/>
        <w:t>ծա</w:t>
      </w:r>
      <w:r w:rsidRPr="003C716D">
        <w:rPr>
          <w:rFonts w:cs="Sylfaen"/>
          <w:iCs/>
          <w:lang w:val="af-ZA" w:eastAsia="en-GB"/>
        </w:rPr>
        <w:softHyphen/>
        <w:t>պես կախվածության մեջ կլինի մի կող</w:t>
      </w:r>
      <w:r w:rsidRPr="003C716D">
        <w:rPr>
          <w:rFonts w:cs="Sylfaen"/>
          <w:iCs/>
          <w:lang w:val="af-ZA" w:eastAsia="en-GB"/>
        </w:rPr>
        <w:softHyphen/>
        <w:t>մից մակրոտնտե</w:t>
      </w:r>
      <w:r w:rsidRPr="003C716D">
        <w:rPr>
          <w:rFonts w:cs="Sylfaen"/>
          <w:iCs/>
          <w:lang w:val="af-ZA" w:eastAsia="en-GB"/>
        </w:rPr>
        <w:softHyphen/>
        <w:t>սական զար</w:t>
      </w:r>
      <w:r w:rsidRPr="003C716D">
        <w:rPr>
          <w:rFonts w:cs="Sylfaen"/>
          <w:iCs/>
          <w:lang w:val="af-ZA" w:eastAsia="en-GB"/>
        </w:rPr>
        <w:softHyphen/>
        <w:t>գացում</w:t>
      </w:r>
      <w:r w:rsidRPr="003C716D">
        <w:rPr>
          <w:rFonts w:cs="Sylfaen"/>
          <w:iCs/>
          <w:lang w:val="af-ZA" w:eastAsia="en-GB"/>
        </w:rPr>
        <w:softHyphen/>
        <w:t>նե</w:t>
      </w:r>
      <w:r w:rsidRPr="003C716D">
        <w:rPr>
          <w:rFonts w:cs="Sylfaen"/>
          <w:iCs/>
          <w:lang w:val="af-ZA" w:eastAsia="en-GB"/>
        </w:rPr>
        <w:softHyphen/>
        <w:t>րի կանխա</w:t>
      </w:r>
      <w:r w:rsidRPr="003C716D">
        <w:rPr>
          <w:rFonts w:cs="Sylfaen"/>
          <w:iCs/>
          <w:lang w:val="af-ZA" w:eastAsia="en-GB"/>
        </w:rPr>
        <w:softHyphen/>
        <w:t>տեսվող և արձանագրվելիք միտումների հա</w:t>
      </w:r>
      <w:r w:rsidRPr="003C716D">
        <w:rPr>
          <w:rFonts w:cs="Sylfaen"/>
          <w:iCs/>
          <w:lang w:val="af-ZA" w:eastAsia="en-GB"/>
        </w:rPr>
        <w:softHyphen/>
        <w:t>մա</w:t>
      </w:r>
      <w:r w:rsidRPr="003C716D">
        <w:rPr>
          <w:rFonts w:cs="Sylfaen"/>
          <w:iCs/>
          <w:lang w:val="af-ZA" w:eastAsia="en-GB"/>
        </w:rPr>
        <w:softHyphen/>
        <w:t>պա</w:t>
      </w:r>
      <w:r w:rsidRPr="003C716D">
        <w:rPr>
          <w:rFonts w:cs="Sylfaen"/>
          <w:iCs/>
          <w:lang w:val="af-ZA" w:eastAsia="en-GB"/>
        </w:rPr>
        <w:softHyphen/>
        <w:t>տասխանու</w:t>
      </w:r>
      <w:r w:rsidRPr="003C716D">
        <w:rPr>
          <w:rFonts w:cs="Sylfaen"/>
          <w:iCs/>
          <w:lang w:val="af-ZA" w:eastAsia="en-GB"/>
        </w:rPr>
        <w:softHyphen/>
        <w:t>թյունից, իսկ մյուս կողմից` դրանց հա</w:t>
      </w:r>
      <w:r w:rsidRPr="003C716D">
        <w:rPr>
          <w:rFonts w:cs="Sylfaen"/>
          <w:iCs/>
          <w:lang w:val="af-ZA" w:eastAsia="en-GB"/>
        </w:rPr>
        <w:softHyphen/>
        <w:t>վա</w:t>
      </w:r>
      <w:r w:rsidRPr="003C716D">
        <w:rPr>
          <w:rFonts w:cs="Sylfaen"/>
          <w:iCs/>
          <w:lang w:val="af-ZA" w:eastAsia="en-GB"/>
        </w:rPr>
        <w:softHyphen/>
        <w:t>քագր</w:t>
      </w:r>
      <w:r w:rsidRPr="003C716D">
        <w:rPr>
          <w:rFonts w:cs="Sylfaen"/>
          <w:iCs/>
          <w:lang w:val="af-ZA" w:eastAsia="en-GB"/>
        </w:rPr>
        <w:softHyphen/>
        <w:t>ման բնագավառում ՀՀ կա</w:t>
      </w:r>
      <w:r w:rsidRPr="003C716D">
        <w:rPr>
          <w:rFonts w:cs="Sylfaen"/>
          <w:iCs/>
          <w:lang w:val="af-ZA" w:eastAsia="en-GB"/>
        </w:rPr>
        <w:softHyphen/>
        <w:t>ռա</w:t>
      </w:r>
      <w:r w:rsidRPr="003C716D">
        <w:rPr>
          <w:rFonts w:cs="Sylfaen"/>
          <w:iCs/>
          <w:lang w:val="af-ZA" w:eastAsia="en-GB"/>
        </w:rPr>
        <w:softHyphen/>
        <w:t>վա</w:t>
      </w:r>
      <w:r w:rsidRPr="003C716D">
        <w:rPr>
          <w:rFonts w:cs="Sylfaen"/>
          <w:iCs/>
          <w:lang w:val="af-ZA" w:eastAsia="en-GB"/>
        </w:rPr>
        <w:softHyphen/>
        <w:t>րու</w:t>
      </w:r>
      <w:r w:rsidRPr="003C716D">
        <w:rPr>
          <w:rFonts w:cs="Sylfaen"/>
          <w:iCs/>
          <w:lang w:val="af-ZA" w:eastAsia="en-GB"/>
        </w:rPr>
        <w:softHyphen/>
        <w:t>թյան վար</w:t>
      </w:r>
      <w:r w:rsidRPr="003C716D">
        <w:rPr>
          <w:rFonts w:cs="Sylfaen"/>
          <w:iCs/>
          <w:lang w:val="af-ZA" w:eastAsia="en-GB"/>
        </w:rPr>
        <w:softHyphen/>
        <w:t>չարարական միջոցա</w:t>
      </w:r>
      <w:r w:rsidRPr="003C716D">
        <w:rPr>
          <w:rFonts w:cs="Sylfaen"/>
          <w:iCs/>
          <w:lang w:val="af-ZA" w:eastAsia="en-GB"/>
        </w:rPr>
        <w:softHyphen/>
        <w:t>ռում</w:t>
      </w:r>
      <w:r w:rsidRPr="003C716D">
        <w:rPr>
          <w:rFonts w:cs="Sylfaen"/>
          <w:iCs/>
          <w:lang w:val="af-ZA" w:eastAsia="en-GB"/>
        </w:rPr>
        <w:softHyphen/>
        <w:t>նե</w:t>
      </w:r>
      <w:r w:rsidRPr="003C716D">
        <w:rPr>
          <w:rFonts w:cs="Sylfaen"/>
          <w:iCs/>
          <w:lang w:val="af-ZA" w:eastAsia="en-GB"/>
        </w:rPr>
        <w:softHyphen/>
        <w:t>րի և օրենսդրական փոփոխությունների իրա</w:t>
      </w:r>
      <w:r w:rsidRPr="003C716D">
        <w:rPr>
          <w:rFonts w:cs="Sylfaen"/>
          <w:iCs/>
          <w:lang w:val="af-ZA" w:eastAsia="en-GB"/>
        </w:rPr>
        <w:softHyphen/>
        <w:t>կա</w:t>
      </w:r>
      <w:r w:rsidRPr="003C716D">
        <w:rPr>
          <w:rFonts w:cs="Sylfaen"/>
          <w:iCs/>
          <w:lang w:val="af-ZA" w:eastAsia="en-GB"/>
        </w:rPr>
        <w:softHyphen/>
        <w:t>նացման արդ</w:t>
      </w:r>
      <w:r w:rsidRPr="003C716D">
        <w:rPr>
          <w:rFonts w:cs="Sylfaen"/>
          <w:iCs/>
          <w:lang w:val="af-ZA" w:eastAsia="en-GB"/>
        </w:rPr>
        <w:softHyphen/>
        <w:t>յու</w:t>
      </w:r>
      <w:r w:rsidRPr="003C716D">
        <w:rPr>
          <w:rFonts w:cs="Sylfaen"/>
          <w:iCs/>
          <w:lang w:val="af-ZA" w:eastAsia="en-GB"/>
        </w:rPr>
        <w:softHyphen/>
        <w:t>նա</w:t>
      </w:r>
      <w:r w:rsidRPr="003C716D">
        <w:rPr>
          <w:rFonts w:cs="Sylfaen"/>
          <w:iCs/>
          <w:lang w:val="af-ZA" w:eastAsia="en-GB"/>
        </w:rPr>
        <w:softHyphen/>
        <w:t xml:space="preserve">վետությունից: </w:t>
      </w:r>
    </w:p>
    <w:p w14:paraId="4AA85E86" w14:textId="43255C38" w:rsidR="00AA51B2" w:rsidRPr="00AA51B2" w:rsidRDefault="00AA51B2" w:rsidP="00AA51B2">
      <w:pPr>
        <w:spacing w:line="276" w:lineRule="auto"/>
        <w:ind w:firstLine="562"/>
        <w:rPr>
          <w:rFonts w:ascii="Cambria Math" w:hAnsi="Cambria Math" w:cs="Sylfaen"/>
          <w:b/>
          <w:bCs/>
          <w:iCs/>
          <w:lang w:val="hy-AM" w:eastAsia="en-GB"/>
        </w:rPr>
      </w:pPr>
      <w:r w:rsidRPr="00AA51B2">
        <w:rPr>
          <w:rFonts w:cs="Sylfaen"/>
          <w:b/>
          <w:bCs/>
          <w:iCs/>
          <w:lang w:val="af-ZA" w:eastAsia="en-GB"/>
        </w:rPr>
        <w:t>Եկամուտների քաղաքականության հիմնական նպատակները</w:t>
      </w:r>
      <w:r w:rsidRPr="00AA51B2">
        <w:rPr>
          <w:rFonts w:ascii="Cambria Math" w:hAnsi="Cambria Math" w:cs="Sylfaen"/>
          <w:b/>
          <w:bCs/>
          <w:iCs/>
          <w:lang w:val="hy-AM" w:eastAsia="en-GB"/>
        </w:rPr>
        <w:t>․</w:t>
      </w:r>
    </w:p>
    <w:p w14:paraId="383F22AE" w14:textId="07569DED" w:rsidR="00AA51B2" w:rsidRDefault="00AA51B2" w:rsidP="00AA51B2">
      <w:pPr>
        <w:spacing w:line="276" w:lineRule="auto"/>
        <w:ind w:firstLine="562"/>
        <w:rPr>
          <w:rFonts w:cs="Sylfaen"/>
          <w:iCs/>
          <w:lang w:val="af-ZA" w:eastAsia="en-GB"/>
        </w:rPr>
      </w:pPr>
      <w:r w:rsidRPr="003C716D">
        <w:rPr>
          <w:rFonts w:cs="Sylfaen"/>
          <w:iCs/>
          <w:lang w:val="af-ZA" w:eastAsia="en-GB"/>
        </w:rPr>
        <w:t>202</w:t>
      </w:r>
      <w:r w:rsidRPr="00AA51B2">
        <w:rPr>
          <w:rFonts w:cs="Sylfaen"/>
          <w:iCs/>
          <w:lang w:val="af-ZA" w:eastAsia="en-GB"/>
        </w:rPr>
        <w:t>1</w:t>
      </w:r>
      <w:r w:rsidRPr="003C716D">
        <w:rPr>
          <w:rFonts w:cs="Sylfaen"/>
          <w:iCs/>
          <w:lang w:val="af-ZA" w:eastAsia="en-GB"/>
        </w:rPr>
        <w:t>-202</w:t>
      </w:r>
      <w:r w:rsidRPr="00AA51B2">
        <w:rPr>
          <w:rFonts w:cs="Sylfaen"/>
          <w:iCs/>
          <w:lang w:val="af-ZA" w:eastAsia="en-GB"/>
        </w:rPr>
        <w:t>3</w:t>
      </w:r>
      <w:r w:rsidRPr="003C716D">
        <w:rPr>
          <w:rFonts w:cs="Sylfaen"/>
          <w:iCs/>
          <w:lang w:val="af-ZA" w:eastAsia="en-GB"/>
        </w:rPr>
        <w:t xml:space="preserve"> թվականների պետական եկամուտների քա</w:t>
      </w:r>
      <w:r w:rsidRPr="003C716D">
        <w:rPr>
          <w:rFonts w:cs="Sylfaen"/>
          <w:iCs/>
          <w:lang w:val="af-ZA" w:eastAsia="en-GB"/>
        </w:rPr>
        <w:softHyphen/>
      </w:r>
      <w:r w:rsidRPr="003C716D">
        <w:rPr>
          <w:rFonts w:cs="Sylfaen"/>
          <w:iCs/>
          <w:lang w:val="af-ZA" w:eastAsia="en-GB"/>
        </w:rPr>
        <w:softHyphen/>
        <w:t>ղաքականությունը կիրականացվի ՀՀ կա</w:t>
      </w:r>
      <w:r w:rsidRPr="003C716D">
        <w:rPr>
          <w:rFonts w:cs="Sylfaen"/>
          <w:iCs/>
          <w:lang w:val="af-ZA" w:eastAsia="en-GB"/>
        </w:rPr>
        <w:softHyphen/>
        <w:t>ռավարության 2019 թվականի մայիսի 16-ի N 650-Լ որոշմամբ հաստատված</w:t>
      </w:r>
      <w:r w:rsidRPr="00AA51B2">
        <w:rPr>
          <w:rFonts w:cs="Sylfaen"/>
          <w:iCs/>
          <w:lang w:val="af-ZA" w:eastAsia="en-GB"/>
        </w:rPr>
        <w:t>՝</w:t>
      </w:r>
      <w:r w:rsidRPr="003C716D">
        <w:rPr>
          <w:rFonts w:cs="Sylfaen"/>
          <w:iCs/>
          <w:lang w:val="af-ZA" w:eastAsia="en-GB"/>
        </w:rPr>
        <w:t xml:space="preserve"> 2019-2023 թվա</w:t>
      </w:r>
      <w:r w:rsidRPr="003C716D">
        <w:rPr>
          <w:rFonts w:cs="Sylfaen"/>
          <w:iCs/>
          <w:lang w:val="af-ZA" w:eastAsia="en-GB"/>
        </w:rPr>
        <w:softHyphen/>
        <w:t>կան</w:t>
      </w:r>
      <w:r w:rsidRPr="003C716D">
        <w:rPr>
          <w:rFonts w:cs="Sylfaen"/>
          <w:iCs/>
          <w:lang w:val="af-ZA" w:eastAsia="en-GB"/>
        </w:rPr>
        <w:softHyphen/>
        <w:t>նե</w:t>
      </w:r>
      <w:r w:rsidRPr="003C716D">
        <w:rPr>
          <w:rFonts w:cs="Sylfaen"/>
          <w:iCs/>
          <w:lang w:val="af-ZA" w:eastAsia="en-GB"/>
        </w:rPr>
        <w:softHyphen/>
        <w:t>րի գործունեության միջոցառումների ծրագրով ամրագրված սկզբունք</w:t>
      </w:r>
      <w:r w:rsidRPr="003C716D">
        <w:rPr>
          <w:rFonts w:cs="Sylfaen"/>
          <w:iCs/>
          <w:lang w:val="af-ZA" w:eastAsia="en-GB"/>
        </w:rPr>
        <w:softHyphen/>
        <w:t>նե</w:t>
      </w:r>
      <w:r w:rsidRPr="003C716D">
        <w:rPr>
          <w:rFonts w:cs="Sylfaen"/>
          <w:iCs/>
          <w:lang w:val="af-ZA" w:eastAsia="en-GB"/>
        </w:rPr>
        <w:softHyphen/>
        <w:t>րին համապատասխան</w:t>
      </w:r>
      <w:r w:rsidRPr="00AA51B2">
        <w:rPr>
          <w:rFonts w:cs="Sylfaen"/>
          <w:iCs/>
          <w:lang w:val="af-ZA" w:eastAsia="en-GB"/>
        </w:rPr>
        <w:t xml:space="preserve">, ինչպես նաև 2019 թվականի նոյեմբերի 28-ի </w:t>
      </w:r>
      <w:r w:rsidRPr="00241E62">
        <w:rPr>
          <w:rFonts w:cs="Sylfaen"/>
          <w:iCs/>
          <w:lang w:val="af-ZA" w:eastAsia="en-GB"/>
        </w:rPr>
        <w:t>N</w:t>
      </w:r>
      <w:r w:rsidRPr="00AA51B2">
        <w:rPr>
          <w:rFonts w:cs="Sylfaen"/>
          <w:iCs/>
          <w:lang w:val="af-ZA" w:eastAsia="en-GB"/>
        </w:rPr>
        <w:t xml:space="preserve"> 1716-Լ որոշմամբ հաստատված՝ պետական ֆինանսների կառավարման համակարգի բարեփոխումների 2019-2023 թվականների գործողությունների ծրագ</w:t>
      </w:r>
      <w:r w:rsidR="007724F4">
        <w:rPr>
          <w:rFonts w:cs="Sylfaen"/>
          <w:iCs/>
          <w:lang w:val="hy-AM" w:eastAsia="en-GB"/>
        </w:rPr>
        <w:t>ր</w:t>
      </w:r>
      <w:r w:rsidRPr="00AA51B2">
        <w:rPr>
          <w:rFonts w:cs="Sylfaen"/>
          <w:iCs/>
          <w:lang w:val="af-ZA" w:eastAsia="en-GB"/>
        </w:rPr>
        <w:t>ով ամրագրված միջոցառումներին և 2020 թվականի փետրվարի 18-ին ՀՀ վարչապետի մոտ կայացած խորհրդակցության արդյունքներով հավանության արժանացած՝ Հարկային համակարգի բարեփոխումների հայեցակարգով ամրագրված ուղղություններին համապատասխան</w:t>
      </w:r>
      <w:r w:rsidRPr="003C716D">
        <w:rPr>
          <w:rFonts w:cs="Sylfaen"/>
          <w:iCs/>
          <w:lang w:val="af-ZA" w:eastAsia="en-GB"/>
        </w:rPr>
        <w:t>:</w:t>
      </w:r>
    </w:p>
    <w:p w14:paraId="69224B8B" w14:textId="5577CCB0" w:rsidR="00AA51B2" w:rsidRPr="00AA51B2" w:rsidRDefault="00AA51B2" w:rsidP="00AA51B2">
      <w:pPr>
        <w:spacing w:line="276" w:lineRule="auto"/>
        <w:ind w:firstLine="562"/>
        <w:rPr>
          <w:rFonts w:cs="Sylfaen"/>
          <w:iCs/>
          <w:lang w:val="af-ZA" w:eastAsia="en-GB"/>
        </w:rPr>
      </w:pPr>
      <w:r w:rsidRPr="00AA51B2">
        <w:rPr>
          <w:rFonts w:cs="Sylfaen"/>
          <w:iCs/>
          <w:lang w:val="af-ZA" w:eastAsia="en-GB"/>
        </w:rPr>
        <w:t>Մասնավորապես, կարևորվելու են եկամուտների քաղաքականության հետևյալ ուղղու</w:t>
      </w:r>
      <w:r>
        <w:rPr>
          <w:rFonts w:cs="Sylfaen"/>
          <w:iCs/>
          <w:lang w:val="af-ZA" w:eastAsia="en-GB"/>
        </w:rPr>
        <w:softHyphen/>
      </w:r>
      <w:r w:rsidRPr="00AA51B2">
        <w:rPr>
          <w:rFonts w:cs="Sylfaen"/>
          <w:iCs/>
          <w:lang w:val="af-ZA" w:eastAsia="en-GB"/>
        </w:rPr>
        <w:t>թյուն</w:t>
      </w:r>
      <w:r>
        <w:rPr>
          <w:rFonts w:cs="Sylfaen"/>
          <w:iCs/>
          <w:lang w:val="af-ZA" w:eastAsia="en-GB"/>
        </w:rPr>
        <w:softHyphen/>
      </w:r>
      <w:r w:rsidRPr="00AA51B2">
        <w:rPr>
          <w:rFonts w:cs="Sylfaen"/>
          <w:iCs/>
          <w:lang w:val="af-ZA" w:eastAsia="en-GB"/>
        </w:rPr>
        <w:t>ները</w:t>
      </w:r>
      <w:r w:rsidRPr="00AA51B2">
        <w:rPr>
          <w:rFonts w:ascii="Cambria Math" w:hAnsi="Cambria Math" w:cs="Cambria Math"/>
          <w:iCs/>
          <w:lang w:val="af-ZA" w:eastAsia="en-GB"/>
        </w:rPr>
        <w:t>․</w:t>
      </w:r>
    </w:p>
    <w:p w14:paraId="42858869" w14:textId="6FF47206" w:rsidR="00AA51B2" w:rsidRDefault="00AA51B2" w:rsidP="00AA51B2">
      <w:pPr>
        <w:pStyle w:val="ListParagraph"/>
        <w:numPr>
          <w:ilvl w:val="0"/>
          <w:numId w:val="139"/>
        </w:numPr>
        <w:spacing w:line="276" w:lineRule="auto"/>
        <w:ind w:left="0" w:firstLine="567"/>
        <w:rPr>
          <w:rFonts w:cs="Sylfaen"/>
          <w:iCs/>
          <w:lang w:val="af-ZA" w:eastAsia="en-GB"/>
        </w:rPr>
      </w:pPr>
      <w:r>
        <w:rPr>
          <w:rFonts w:cs="Sylfaen"/>
          <w:iCs/>
          <w:lang w:val="hy-AM" w:eastAsia="en-GB"/>
        </w:rPr>
        <w:t xml:space="preserve"> </w:t>
      </w:r>
      <w:r w:rsidRPr="00AA51B2">
        <w:rPr>
          <w:rFonts w:cs="Sylfaen"/>
          <w:iCs/>
          <w:lang w:val="af-ZA" w:eastAsia="en-GB"/>
        </w:rPr>
        <w:t>հարկային արտոնությունների շրջանակի և հարկային ծախսերի կրճատման ուղղու</w:t>
      </w:r>
      <w:r w:rsidRPr="00AA51B2">
        <w:rPr>
          <w:rFonts w:cs="Sylfaen"/>
          <w:iCs/>
          <w:lang w:val="af-ZA" w:eastAsia="en-GB"/>
        </w:rPr>
        <w:softHyphen/>
        <w:t>թյամբ վերլուծությունների իրականացում և արդյունավետ չգնահատված հարկային արտո</w:t>
      </w:r>
      <w:r w:rsidRPr="00AA51B2">
        <w:rPr>
          <w:rFonts w:cs="Sylfaen"/>
          <w:iCs/>
          <w:lang w:val="af-ZA" w:eastAsia="en-GB"/>
        </w:rPr>
        <w:softHyphen/>
        <w:t>նու</w:t>
      </w:r>
      <w:r w:rsidRPr="00AA51B2">
        <w:rPr>
          <w:rFonts w:cs="Sylfaen"/>
          <w:iCs/>
          <w:lang w:val="af-ZA" w:eastAsia="en-GB"/>
        </w:rPr>
        <w:softHyphen/>
        <w:t>թյունները վերացնելու նպատակով առաջարկությունների ներկայացում,</w:t>
      </w:r>
    </w:p>
    <w:p w14:paraId="5C514AC5" w14:textId="0FC73436" w:rsidR="00AA51B2" w:rsidRDefault="00AA51B2" w:rsidP="00AA51B2">
      <w:pPr>
        <w:pStyle w:val="ListParagraph"/>
        <w:numPr>
          <w:ilvl w:val="0"/>
          <w:numId w:val="139"/>
        </w:numPr>
        <w:spacing w:line="276" w:lineRule="auto"/>
        <w:ind w:left="0" w:firstLine="567"/>
        <w:rPr>
          <w:rFonts w:cs="Sylfaen"/>
          <w:iCs/>
          <w:lang w:val="af-ZA" w:eastAsia="en-GB"/>
        </w:rPr>
      </w:pPr>
      <w:r>
        <w:rPr>
          <w:rFonts w:cs="Sylfaen"/>
          <w:iCs/>
          <w:lang w:val="hy-AM" w:eastAsia="en-GB"/>
        </w:rPr>
        <w:t xml:space="preserve"> </w:t>
      </w:r>
      <w:r w:rsidRPr="00AA51B2">
        <w:rPr>
          <w:rFonts w:cs="Sylfaen"/>
          <w:iCs/>
          <w:lang w:val="af-ZA" w:eastAsia="en-GB"/>
        </w:rPr>
        <w:t>շրջանառության հարկի գծով  հարկային բեռի վերանայում՝ նպատակ ունենալով վերաց</w:t>
      </w:r>
      <w:r w:rsidRPr="00AA51B2">
        <w:rPr>
          <w:rFonts w:cs="Sylfaen"/>
          <w:iCs/>
          <w:lang w:val="af-ZA" w:eastAsia="en-GB"/>
        </w:rPr>
        <w:softHyphen/>
        <w:t>նել հարկման տարբեր համակարգերի միջև գոյություն ունեցող հարկային բեռի տարբերու</w:t>
      </w:r>
      <w:r w:rsidRPr="00AA51B2">
        <w:rPr>
          <w:rFonts w:cs="Sylfaen"/>
          <w:iCs/>
          <w:lang w:val="af-ZA" w:eastAsia="en-GB"/>
        </w:rPr>
        <w:softHyphen/>
        <w:t>թյունները,</w:t>
      </w:r>
    </w:p>
    <w:p w14:paraId="0FD7C078" w14:textId="682AC1F9" w:rsidR="00AA51B2" w:rsidRDefault="00AA51B2" w:rsidP="00AA51B2">
      <w:pPr>
        <w:pStyle w:val="ListParagraph"/>
        <w:numPr>
          <w:ilvl w:val="0"/>
          <w:numId w:val="139"/>
        </w:numPr>
        <w:spacing w:line="276" w:lineRule="auto"/>
        <w:ind w:left="0" w:firstLine="567"/>
        <w:rPr>
          <w:rFonts w:cs="Sylfaen"/>
          <w:iCs/>
          <w:lang w:val="af-ZA" w:eastAsia="en-GB"/>
        </w:rPr>
      </w:pPr>
      <w:r>
        <w:rPr>
          <w:rFonts w:cs="Sylfaen"/>
          <w:iCs/>
          <w:lang w:val="hy-AM" w:eastAsia="en-GB"/>
        </w:rPr>
        <w:t xml:space="preserve"> </w:t>
      </w:r>
      <w:r w:rsidRPr="00AA51B2">
        <w:rPr>
          <w:rFonts w:cs="Sylfaen"/>
          <w:iCs/>
          <w:lang w:val="af-ZA" w:eastAsia="en-GB"/>
        </w:rPr>
        <w:t>գյուղատնտեսական արտադրանքի իրացման գործարքների փաստաթղթավորման հետ կապված խնդիրների կարգավորում՝ նպատակ ունենալով ստեղծել գյուղատնտեսական արտադրանքի իրացման գործարքների փաս</w:t>
      </w:r>
      <w:r w:rsidRPr="00AA51B2">
        <w:rPr>
          <w:rFonts w:cs="Sylfaen"/>
          <w:iCs/>
          <w:lang w:val="af-ZA" w:eastAsia="en-GB"/>
        </w:rPr>
        <w:softHyphen/>
        <w:t>տա</w:t>
      </w:r>
      <w:r w:rsidRPr="00AA51B2">
        <w:rPr>
          <w:rFonts w:cs="Sylfaen"/>
          <w:iCs/>
          <w:lang w:val="af-ZA" w:eastAsia="en-GB"/>
        </w:rPr>
        <w:softHyphen/>
        <w:t>թղթա</w:t>
      </w:r>
      <w:r w:rsidRPr="00AA51B2">
        <w:rPr>
          <w:rFonts w:cs="Sylfaen"/>
          <w:iCs/>
          <w:lang w:val="af-ZA" w:eastAsia="en-GB"/>
        </w:rPr>
        <w:softHyphen/>
        <w:t>վոր</w:t>
      </w:r>
      <w:r w:rsidRPr="00AA51B2">
        <w:rPr>
          <w:rFonts w:cs="Sylfaen"/>
          <w:iCs/>
          <w:lang w:val="af-ZA" w:eastAsia="en-GB"/>
        </w:rPr>
        <w:softHyphen/>
        <w:t>ման համար նոր՝ գործնականում կիրառելի փաստաթղթավորման համակարգ,</w:t>
      </w:r>
    </w:p>
    <w:p w14:paraId="6DB90573" w14:textId="20F533EA" w:rsidR="00AA51B2" w:rsidRPr="00AA51B2" w:rsidRDefault="00AA51B2" w:rsidP="00AA51B2">
      <w:pPr>
        <w:pStyle w:val="ListParagraph"/>
        <w:numPr>
          <w:ilvl w:val="0"/>
          <w:numId w:val="139"/>
        </w:numPr>
        <w:spacing w:line="276" w:lineRule="auto"/>
        <w:ind w:left="0" w:firstLine="567"/>
        <w:rPr>
          <w:rFonts w:cs="Sylfaen"/>
          <w:iCs/>
          <w:lang w:val="af-ZA" w:eastAsia="en-GB"/>
        </w:rPr>
      </w:pPr>
      <w:r>
        <w:rPr>
          <w:rFonts w:cs="Sylfaen"/>
          <w:iCs/>
          <w:lang w:val="hy-AM" w:eastAsia="en-GB"/>
        </w:rPr>
        <w:lastRenderedPageBreak/>
        <w:t xml:space="preserve"> </w:t>
      </w:r>
      <w:r w:rsidRPr="00AA51B2">
        <w:rPr>
          <w:rFonts w:cs="Sylfaen"/>
          <w:iCs/>
          <w:lang w:val="af-ZA" w:eastAsia="en-GB"/>
        </w:rPr>
        <w:t>տնտեսական շարժառիթների հիման վրա գործող՝ եկամուտների հայտարարագրման համակարգի ներդրում, որի շրջանակներում ֆիզիկական անձինք, հարկման բազայից որոշակի նվազեցումներ կատարելու և տարվա ընթացքում այս</w:t>
      </w:r>
      <w:r w:rsidRPr="00AA51B2">
        <w:rPr>
          <w:rFonts w:cs="Sylfaen"/>
          <w:iCs/>
          <w:lang w:val="af-ZA" w:eastAsia="en-GB"/>
        </w:rPr>
        <w:softHyphen/>
        <w:t>պես կոչված «ավել վճարված» հարկի գումարը հետ ստանալու իրենց իրավունքից օգտվելու համար, տարե</w:t>
      </w:r>
      <w:r w:rsidRPr="00AA51B2">
        <w:rPr>
          <w:rFonts w:cs="Sylfaen"/>
          <w:iCs/>
          <w:lang w:val="af-ZA" w:eastAsia="en-GB"/>
        </w:rPr>
        <w:softHyphen/>
        <w:t>կան մեկ անգամ կներկայացնեն իրենց համախառն եկամուտների (այդ թվում՝ տարվա ընթաց</w:t>
      </w:r>
      <w:r w:rsidRPr="00AA51B2">
        <w:rPr>
          <w:rFonts w:cs="Sylfaen"/>
          <w:iCs/>
          <w:lang w:val="af-ZA" w:eastAsia="en-GB"/>
        </w:rPr>
        <w:softHyphen/>
        <w:t>քում հարկային գործակալի կողմից հարկված) վերաբերյալ համա</w:t>
      </w:r>
      <w:r w:rsidRPr="00AA51B2">
        <w:rPr>
          <w:rFonts w:cs="Sylfaen"/>
          <w:iCs/>
          <w:lang w:val="af-ZA" w:eastAsia="en-GB"/>
        </w:rPr>
        <w:softHyphen/>
      </w:r>
      <w:r w:rsidRPr="00AA51B2">
        <w:rPr>
          <w:rFonts w:cs="Sylfaen"/>
          <w:iCs/>
          <w:lang w:val="af-ZA" w:eastAsia="en-GB"/>
        </w:rPr>
        <w:softHyphen/>
        <w:t>խմբված հայտա</w:t>
      </w:r>
      <w:r w:rsidRPr="00AA51B2">
        <w:rPr>
          <w:rFonts w:cs="Sylfaen"/>
          <w:iCs/>
          <w:lang w:val="af-ZA" w:eastAsia="en-GB"/>
        </w:rPr>
        <w:softHyphen/>
        <w:t>րա</w:t>
      </w:r>
      <w:r w:rsidRPr="00AA51B2">
        <w:rPr>
          <w:rFonts w:cs="Sylfaen"/>
          <w:iCs/>
          <w:lang w:val="af-ZA" w:eastAsia="en-GB"/>
        </w:rPr>
        <w:softHyphen/>
        <w:t>րա</w:t>
      </w:r>
      <w:r w:rsidRPr="00AA51B2">
        <w:rPr>
          <w:rFonts w:cs="Sylfaen"/>
          <w:iCs/>
          <w:lang w:val="af-ZA" w:eastAsia="en-GB"/>
        </w:rPr>
        <w:softHyphen/>
        <w:t>գիր:</w:t>
      </w:r>
    </w:p>
    <w:p w14:paraId="6E12F66C" w14:textId="0B4FB5BA" w:rsidR="00AA51B2" w:rsidRPr="00AA51B2" w:rsidRDefault="00AA51B2" w:rsidP="00AA51B2">
      <w:pPr>
        <w:spacing w:before="240" w:line="276" w:lineRule="auto"/>
        <w:ind w:firstLine="562"/>
        <w:rPr>
          <w:rFonts w:ascii="Cambria Math" w:hAnsi="Cambria Math" w:cs="Sylfaen"/>
          <w:b/>
          <w:bCs/>
          <w:iCs/>
          <w:lang w:val="hy-AM" w:eastAsia="en-GB"/>
        </w:rPr>
      </w:pPr>
      <w:r w:rsidRPr="00AA51B2">
        <w:rPr>
          <w:rFonts w:cs="Sylfaen"/>
          <w:b/>
          <w:bCs/>
          <w:iCs/>
          <w:lang w:val="af-ZA" w:eastAsia="en-GB"/>
        </w:rPr>
        <w:t>Հարկային և մաքսային մարմինների ռազմավարական նպատակները</w:t>
      </w:r>
      <w:r>
        <w:rPr>
          <w:rFonts w:ascii="Cambria Math" w:hAnsi="Cambria Math" w:cs="Sylfaen"/>
          <w:b/>
          <w:bCs/>
          <w:iCs/>
          <w:lang w:val="hy-AM" w:eastAsia="en-GB"/>
        </w:rPr>
        <w:t>․</w:t>
      </w:r>
    </w:p>
    <w:p w14:paraId="688491EE" w14:textId="77777777" w:rsidR="00AA51B2" w:rsidRPr="00AA51B2" w:rsidRDefault="00AA51B2" w:rsidP="00AA51B2">
      <w:pPr>
        <w:spacing w:line="276" w:lineRule="auto"/>
        <w:ind w:firstLine="562"/>
        <w:rPr>
          <w:rFonts w:cs="Sylfaen"/>
          <w:iCs/>
          <w:lang w:val="af-ZA" w:eastAsia="en-GB"/>
        </w:rPr>
      </w:pPr>
      <w:r w:rsidRPr="00AA51B2">
        <w:rPr>
          <w:rFonts w:cs="Sylfaen"/>
          <w:iCs/>
          <w:lang w:val="af-ZA" w:eastAsia="en-GB"/>
        </w:rPr>
        <w:t>ՊԵԿ  հիմնական խնդիրներն են հարկային և մաքսային օրենսդրության ամբողջական և համահավասար կիրառումը, ՀՀ պետական բյուջեի եկամուտների ապահովումը, արդյունավետ հարկային և մաքսային հսկողության իրականացումը, ՀՀ տնտեսական անվտանգությանը նպաստումը, հարկ վճարողների և արտաքին տնտեսական գործունեություն իրականացնողների կողմից պարտավորությունների օրինաչափ և հարմարավետ կատարման նպատակով` ժամանակակից և մրցունակ համակարգերի միջոցով որակյալ ծառայությունների մատուցումը և սպասարկումը:</w:t>
      </w:r>
    </w:p>
    <w:p w14:paraId="40DF4BAD" w14:textId="77777777" w:rsidR="00AA51B2" w:rsidRPr="00AA51B2" w:rsidRDefault="00AA51B2" w:rsidP="00AA51B2">
      <w:pPr>
        <w:spacing w:line="276" w:lineRule="auto"/>
        <w:ind w:firstLine="562"/>
        <w:rPr>
          <w:rFonts w:cs="Sylfaen"/>
          <w:iCs/>
          <w:lang w:val="af-ZA" w:eastAsia="en-GB"/>
        </w:rPr>
      </w:pPr>
      <w:r w:rsidRPr="00AA51B2">
        <w:rPr>
          <w:rFonts w:cs="Sylfaen"/>
          <w:iCs/>
          <w:lang w:val="af-ZA" w:eastAsia="en-GB"/>
        </w:rPr>
        <w:t>Կարևորվելու են հետևյալ ուղղությունները.</w:t>
      </w:r>
    </w:p>
    <w:p w14:paraId="02A2B35B" w14:textId="4AD4FB2A" w:rsidR="00AA51B2" w:rsidRDefault="00AA51B2" w:rsidP="00AA51B2">
      <w:pPr>
        <w:pStyle w:val="ListParagraph"/>
        <w:numPr>
          <w:ilvl w:val="1"/>
          <w:numId w:val="138"/>
        </w:numPr>
        <w:spacing w:line="276" w:lineRule="auto"/>
        <w:ind w:left="0" w:firstLine="567"/>
        <w:rPr>
          <w:rFonts w:cs="Sylfaen"/>
          <w:iCs/>
          <w:lang w:val="af-ZA" w:eastAsia="en-GB"/>
        </w:rPr>
      </w:pPr>
      <w:r>
        <w:rPr>
          <w:rFonts w:cs="Sylfaen"/>
          <w:iCs/>
          <w:lang w:val="hy-AM" w:eastAsia="en-GB"/>
        </w:rPr>
        <w:t xml:space="preserve"> </w:t>
      </w:r>
      <w:r w:rsidRPr="00AA51B2">
        <w:rPr>
          <w:rFonts w:cs="Sylfaen"/>
          <w:iCs/>
          <w:lang w:val="af-ZA" w:eastAsia="en-GB"/>
        </w:rPr>
        <w:t xml:space="preserve">Ստվերային տնտեսության կրճատմանն ու մրցունակ բիզնես միջավայրի ձևավորմանն ուղղված հարկային քաղաքականության ուղղում տնտեսության ներդրումային գրավչության բարձրացմանն ու տնտեսական ակտիվության մակարդակի բարելավմանը: </w:t>
      </w:r>
    </w:p>
    <w:p w14:paraId="7ACEC8C4" w14:textId="67B45A2A" w:rsidR="00AA51B2" w:rsidRPr="00AA51B2" w:rsidRDefault="00AA51B2" w:rsidP="00AA51B2">
      <w:pPr>
        <w:pStyle w:val="ListParagraph"/>
        <w:numPr>
          <w:ilvl w:val="1"/>
          <w:numId w:val="138"/>
        </w:numPr>
        <w:spacing w:line="276" w:lineRule="auto"/>
        <w:ind w:left="0" w:firstLine="567"/>
        <w:rPr>
          <w:rFonts w:cs="Sylfaen"/>
          <w:iCs/>
          <w:lang w:val="af-ZA" w:eastAsia="en-GB"/>
        </w:rPr>
      </w:pPr>
      <w:r>
        <w:rPr>
          <w:rFonts w:cs="Sylfaen"/>
          <w:iCs/>
          <w:lang w:val="hy-AM" w:eastAsia="en-GB"/>
        </w:rPr>
        <w:t xml:space="preserve"> </w:t>
      </w:r>
      <w:r w:rsidRPr="00AA51B2">
        <w:rPr>
          <w:rFonts w:cs="Sylfaen"/>
          <w:iCs/>
          <w:lang w:val="af-ZA" w:eastAsia="en-GB"/>
        </w:rPr>
        <w:t>Հարկային քաղաքականությանը զուգահեռ՝ հարկային վարչարարության պարզեցման միջոցով ստվերի կրճատում և Հայաստանի Հանրապետության պետական բյուջեի եկամուտների գեներացում</w:t>
      </w:r>
      <w:r>
        <w:rPr>
          <w:rFonts w:cs="Sylfaen"/>
          <w:iCs/>
          <w:lang w:val="hy-AM" w:eastAsia="en-GB"/>
        </w:rPr>
        <w:t>։</w:t>
      </w:r>
    </w:p>
    <w:p w14:paraId="016DABBC" w14:textId="0CF3EA48" w:rsidR="00AA51B2" w:rsidRPr="00AA51B2" w:rsidRDefault="00AA51B2" w:rsidP="00AA51B2">
      <w:pPr>
        <w:pStyle w:val="ListParagraph"/>
        <w:numPr>
          <w:ilvl w:val="1"/>
          <w:numId w:val="138"/>
        </w:numPr>
        <w:spacing w:line="276" w:lineRule="auto"/>
        <w:ind w:left="0" w:firstLine="567"/>
        <w:rPr>
          <w:rFonts w:cs="Sylfaen"/>
          <w:iCs/>
          <w:lang w:val="af-ZA" w:eastAsia="en-GB"/>
        </w:rPr>
      </w:pPr>
      <w:r>
        <w:rPr>
          <w:rFonts w:cs="Sylfaen"/>
          <w:iCs/>
          <w:lang w:val="hy-AM" w:eastAsia="en-GB"/>
        </w:rPr>
        <w:t xml:space="preserve"> </w:t>
      </w:r>
      <w:r w:rsidRPr="00AA51B2">
        <w:rPr>
          <w:rFonts w:cs="Sylfaen"/>
          <w:iCs/>
          <w:lang w:val="af-ZA" w:eastAsia="en-GB"/>
        </w:rPr>
        <w:t>Հարկային վարչարարության խտրականության բացառում</w:t>
      </w:r>
      <w:r w:rsidRPr="00AA51B2">
        <w:rPr>
          <w:rFonts w:cs="Sylfaen"/>
          <w:iCs/>
          <w:lang w:val="hy-AM" w:eastAsia="en-GB"/>
        </w:rPr>
        <w:t>։</w:t>
      </w:r>
    </w:p>
    <w:p w14:paraId="4F837C8D" w14:textId="046F8AA7" w:rsidR="008F525B" w:rsidRDefault="00AA51B2" w:rsidP="00AA51B2">
      <w:pPr>
        <w:pStyle w:val="ListParagraph"/>
        <w:numPr>
          <w:ilvl w:val="1"/>
          <w:numId w:val="138"/>
        </w:numPr>
        <w:spacing w:line="276" w:lineRule="auto"/>
        <w:ind w:left="0" w:firstLine="567"/>
        <w:rPr>
          <w:rFonts w:cs="Sylfaen"/>
          <w:iCs/>
          <w:lang w:val="af-ZA" w:eastAsia="en-GB"/>
        </w:rPr>
      </w:pPr>
      <w:r>
        <w:rPr>
          <w:rFonts w:cs="Sylfaen"/>
          <w:iCs/>
          <w:lang w:val="hy-AM" w:eastAsia="en-GB"/>
        </w:rPr>
        <w:t xml:space="preserve"> </w:t>
      </w:r>
      <w:r w:rsidRPr="00AA51B2">
        <w:rPr>
          <w:rFonts w:cs="Sylfaen"/>
          <w:iCs/>
          <w:lang w:val="af-ZA" w:eastAsia="en-GB"/>
        </w:rPr>
        <w:t>Ստվերային շրջանառությունների կրճատման նպատակով տնտեսությունում բոլոր գործարքների լիարժեք փաստաթղթավորման ապահովում:</w:t>
      </w:r>
    </w:p>
    <w:p w14:paraId="3527473A" w14:textId="5D48DDCD" w:rsidR="00AA51B2" w:rsidRPr="00AA51B2" w:rsidRDefault="00AA51B2" w:rsidP="00AA51B2">
      <w:pPr>
        <w:pStyle w:val="ListParagraph"/>
        <w:numPr>
          <w:ilvl w:val="0"/>
          <w:numId w:val="138"/>
        </w:numPr>
        <w:spacing w:line="276" w:lineRule="auto"/>
        <w:ind w:left="0" w:firstLine="567"/>
        <w:rPr>
          <w:rFonts w:cs="Sylfaen"/>
          <w:iCs/>
          <w:lang w:val="af-ZA" w:eastAsia="en-GB"/>
        </w:rPr>
      </w:pPr>
      <w:r w:rsidRPr="003C716D">
        <w:rPr>
          <w:rFonts w:cs="Sylfaen"/>
        </w:rPr>
        <w:t>Ներդրումային</w:t>
      </w:r>
      <w:r w:rsidRPr="003C716D">
        <w:rPr>
          <w:lang w:val="af-ZA"/>
        </w:rPr>
        <w:t xml:space="preserve"> </w:t>
      </w:r>
      <w:r w:rsidRPr="003C716D">
        <w:rPr>
          <w:rFonts w:cs="Sylfaen"/>
        </w:rPr>
        <w:t>գրավչության</w:t>
      </w:r>
      <w:r w:rsidRPr="003C716D">
        <w:rPr>
          <w:lang w:val="af-ZA"/>
        </w:rPr>
        <w:t xml:space="preserve"> </w:t>
      </w:r>
      <w:r w:rsidRPr="003C716D">
        <w:rPr>
          <w:rFonts w:cs="Sylfaen"/>
        </w:rPr>
        <w:t>բարձրացման</w:t>
      </w:r>
      <w:r w:rsidRPr="003C716D">
        <w:rPr>
          <w:lang w:val="af-ZA"/>
        </w:rPr>
        <w:t xml:space="preserve"> </w:t>
      </w:r>
      <w:r w:rsidRPr="003C716D">
        <w:rPr>
          <w:rFonts w:cs="Sylfaen"/>
        </w:rPr>
        <w:t>նպատակով</w:t>
      </w:r>
      <w:r w:rsidRPr="003C716D">
        <w:rPr>
          <w:lang w:val="af-ZA"/>
        </w:rPr>
        <w:t xml:space="preserve"> </w:t>
      </w:r>
      <w:r w:rsidRPr="003C716D">
        <w:rPr>
          <w:rFonts w:cs="Sylfaen"/>
        </w:rPr>
        <w:t>մաքսային</w:t>
      </w:r>
      <w:r w:rsidRPr="003C716D">
        <w:rPr>
          <w:lang w:val="af-ZA"/>
        </w:rPr>
        <w:t xml:space="preserve"> </w:t>
      </w:r>
      <w:r w:rsidRPr="003C716D">
        <w:rPr>
          <w:rFonts w:cs="Sylfaen"/>
        </w:rPr>
        <w:t>սահմանի</w:t>
      </w:r>
      <w:r w:rsidRPr="003C716D">
        <w:rPr>
          <w:lang w:val="af-ZA"/>
        </w:rPr>
        <w:t xml:space="preserve"> </w:t>
      </w:r>
      <w:r w:rsidRPr="003C716D">
        <w:rPr>
          <w:rFonts w:cs="Sylfaen"/>
        </w:rPr>
        <w:t>անցման</w:t>
      </w:r>
      <w:r w:rsidRPr="003C716D">
        <w:rPr>
          <w:lang w:val="af-ZA"/>
        </w:rPr>
        <w:t xml:space="preserve"> </w:t>
      </w:r>
      <w:r w:rsidRPr="003C716D">
        <w:rPr>
          <w:rFonts w:cs="Sylfaen"/>
        </w:rPr>
        <w:t>գործընթացի</w:t>
      </w:r>
      <w:r w:rsidRPr="003C716D">
        <w:rPr>
          <w:rFonts w:cs="Sylfaen"/>
          <w:lang w:val="af-ZA"/>
        </w:rPr>
        <w:t xml:space="preserve"> </w:t>
      </w:r>
      <w:r w:rsidRPr="003C716D">
        <w:rPr>
          <w:rFonts w:cs="Sylfaen"/>
        </w:rPr>
        <w:t>հնարավորին</w:t>
      </w:r>
      <w:r w:rsidRPr="003C716D">
        <w:rPr>
          <w:lang w:val="af-ZA"/>
        </w:rPr>
        <w:t xml:space="preserve"> </w:t>
      </w:r>
      <w:r w:rsidRPr="003C716D">
        <w:rPr>
          <w:rFonts w:cs="Sylfaen"/>
        </w:rPr>
        <w:t>չափ</w:t>
      </w:r>
      <w:r w:rsidRPr="00241E62">
        <w:rPr>
          <w:rFonts w:cs="Sylfaen"/>
          <w:lang w:val="af-ZA"/>
        </w:rPr>
        <w:t xml:space="preserve"> </w:t>
      </w:r>
      <w:r w:rsidRPr="003C716D">
        <w:rPr>
          <w:rFonts w:cs="Sylfaen"/>
        </w:rPr>
        <w:t>պարզեցում</w:t>
      </w:r>
      <w:r w:rsidRPr="003C716D">
        <w:rPr>
          <w:rFonts w:cs="Sylfaen"/>
          <w:lang w:val="af-ZA"/>
        </w:rPr>
        <w:t xml:space="preserve">, </w:t>
      </w:r>
      <w:r w:rsidRPr="003C716D">
        <w:rPr>
          <w:lang w:val="af-ZA"/>
        </w:rPr>
        <w:t>&lt;&lt;</w:t>
      </w:r>
      <w:r w:rsidRPr="003C716D">
        <w:rPr>
          <w:rFonts w:cs="Sylfaen"/>
        </w:rPr>
        <w:t>Մեկ</w:t>
      </w:r>
      <w:r w:rsidRPr="003C716D">
        <w:rPr>
          <w:lang w:val="af-ZA"/>
        </w:rPr>
        <w:t xml:space="preserve"> </w:t>
      </w:r>
      <w:r w:rsidRPr="003C716D">
        <w:rPr>
          <w:rFonts w:cs="Sylfaen"/>
        </w:rPr>
        <w:t>կանգառ</w:t>
      </w:r>
      <w:r w:rsidRPr="003C716D">
        <w:rPr>
          <w:lang w:val="af-ZA"/>
        </w:rPr>
        <w:t xml:space="preserve">, </w:t>
      </w:r>
      <w:r w:rsidRPr="003C716D">
        <w:rPr>
          <w:rFonts w:cs="Sylfaen"/>
        </w:rPr>
        <w:t>մեկ</w:t>
      </w:r>
      <w:r w:rsidRPr="003C716D">
        <w:rPr>
          <w:lang w:val="af-ZA"/>
        </w:rPr>
        <w:t xml:space="preserve"> </w:t>
      </w:r>
      <w:r w:rsidRPr="003C716D">
        <w:rPr>
          <w:rFonts w:cs="Sylfaen"/>
        </w:rPr>
        <w:t>պատուհան</w:t>
      </w:r>
      <w:r w:rsidRPr="003C716D">
        <w:rPr>
          <w:lang w:val="af-ZA"/>
        </w:rPr>
        <w:t xml:space="preserve">&gt;&gt; </w:t>
      </w:r>
      <w:r w:rsidRPr="003C716D">
        <w:rPr>
          <w:rFonts w:cs="Sylfaen"/>
        </w:rPr>
        <w:t>համակարգի</w:t>
      </w:r>
      <w:r w:rsidRPr="003C716D">
        <w:rPr>
          <w:lang w:val="af-ZA"/>
        </w:rPr>
        <w:t xml:space="preserve"> </w:t>
      </w:r>
      <w:r w:rsidRPr="003C716D">
        <w:rPr>
          <w:rFonts w:cs="Sylfaen"/>
        </w:rPr>
        <w:t>ներդրում</w:t>
      </w:r>
      <w:r w:rsidRPr="003C716D">
        <w:rPr>
          <w:rFonts w:cs="Sylfaen"/>
          <w:lang w:val="af-ZA"/>
        </w:rPr>
        <w:t>:</w:t>
      </w:r>
    </w:p>
    <w:p w14:paraId="4F71E893" w14:textId="4626C883" w:rsidR="00AA51B2" w:rsidRPr="00AA51B2" w:rsidRDefault="00AA51B2" w:rsidP="00AA51B2">
      <w:pPr>
        <w:pStyle w:val="ListParagraph"/>
        <w:numPr>
          <w:ilvl w:val="0"/>
          <w:numId w:val="138"/>
        </w:numPr>
        <w:spacing w:line="276" w:lineRule="auto"/>
        <w:ind w:left="0" w:firstLine="567"/>
        <w:rPr>
          <w:rFonts w:cs="Sylfaen"/>
          <w:iCs/>
          <w:lang w:val="af-ZA" w:eastAsia="en-GB"/>
        </w:rPr>
      </w:pPr>
      <w:r>
        <w:rPr>
          <w:rFonts w:cs="Sylfaen"/>
          <w:lang w:val="hy-AM"/>
        </w:rPr>
        <w:t xml:space="preserve"> </w:t>
      </w:r>
      <w:r w:rsidRPr="00FA2D14">
        <w:rPr>
          <w:rFonts w:cs="Sylfaen"/>
          <w:lang w:val="hy-AM"/>
        </w:rPr>
        <w:t>Հարկեր</w:t>
      </w:r>
      <w:r w:rsidRPr="003C716D">
        <w:rPr>
          <w:lang w:val="af-ZA"/>
        </w:rPr>
        <w:t>/</w:t>
      </w:r>
      <w:r w:rsidRPr="00FA2D14">
        <w:rPr>
          <w:rFonts w:cs="Sylfaen"/>
          <w:lang w:val="hy-AM"/>
        </w:rPr>
        <w:t>ՀՆԱ</w:t>
      </w:r>
      <w:r w:rsidRPr="003C716D">
        <w:rPr>
          <w:lang w:val="af-ZA"/>
        </w:rPr>
        <w:t xml:space="preserve"> </w:t>
      </w:r>
      <w:r w:rsidRPr="00FA2D14">
        <w:rPr>
          <w:rFonts w:cs="Sylfaen"/>
          <w:lang w:val="hy-AM"/>
        </w:rPr>
        <w:t>ցուցանիշի</w:t>
      </w:r>
      <w:r w:rsidRPr="003C716D">
        <w:rPr>
          <w:lang w:val="af-ZA"/>
        </w:rPr>
        <w:t xml:space="preserve"> </w:t>
      </w:r>
      <w:r w:rsidRPr="00FA2D14">
        <w:rPr>
          <w:rFonts w:cs="Sylfaen"/>
          <w:lang w:val="hy-AM"/>
        </w:rPr>
        <w:t>շարունակական</w:t>
      </w:r>
      <w:r w:rsidRPr="003C716D">
        <w:rPr>
          <w:lang w:val="af-ZA"/>
        </w:rPr>
        <w:t xml:space="preserve"> </w:t>
      </w:r>
      <w:r w:rsidRPr="00FA2D14">
        <w:rPr>
          <w:rFonts w:cs="Sylfaen"/>
          <w:lang w:val="hy-AM"/>
        </w:rPr>
        <w:t>աճի</w:t>
      </w:r>
      <w:r w:rsidRPr="003C716D">
        <w:rPr>
          <w:rFonts w:cs="Sylfaen"/>
          <w:lang w:val="af-ZA"/>
        </w:rPr>
        <w:t xml:space="preserve"> </w:t>
      </w:r>
      <w:r w:rsidRPr="00FA2D14">
        <w:rPr>
          <w:rFonts w:cs="Sylfaen"/>
          <w:lang w:val="hy-AM"/>
        </w:rPr>
        <w:t>ապահովում</w:t>
      </w:r>
      <w:r w:rsidRPr="003C716D">
        <w:rPr>
          <w:lang w:val="af-ZA"/>
        </w:rPr>
        <w:t xml:space="preserve"> </w:t>
      </w:r>
      <w:r w:rsidRPr="00FA2D14">
        <w:rPr>
          <w:rFonts w:cs="Sylfaen"/>
          <w:lang w:val="hy-AM"/>
        </w:rPr>
        <w:t>առավելագույն</w:t>
      </w:r>
      <w:r w:rsidRPr="003C716D">
        <w:rPr>
          <w:lang w:val="af-ZA"/>
        </w:rPr>
        <w:t xml:space="preserve"> </w:t>
      </w:r>
      <w:r w:rsidRPr="00FA2D14">
        <w:rPr>
          <w:rFonts w:cs="Sylfaen"/>
          <w:lang w:val="hy-AM"/>
        </w:rPr>
        <w:t>հնարավորի</w:t>
      </w:r>
      <w:r w:rsidRPr="003C716D">
        <w:rPr>
          <w:lang w:val="af-ZA"/>
        </w:rPr>
        <w:t xml:space="preserve"> </w:t>
      </w:r>
      <w:r w:rsidRPr="00FA2D14">
        <w:rPr>
          <w:rFonts w:cs="Sylfaen"/>
          <w:lang w:val="hy-AM"/>
        </w:rPr>
        <w:t>սահմաններում</w:t>
      </w:r>
      <w:r w:rsidRPr="003C716D">
        <w:rPr>
          <w:lang w:val="af-ZA"/>
        </w:rPr>
        <w:t>:</w:t>
      </w:r>
    </w:p>
    <w:p w14:paraId="3A653CA1" w14:textId="77777777" w:rsidR="00AA51B2" w:rsidRPr="00AA51B2" w:rsidRDefault="00AA51B2" w:rsidP="00AA51B2">
      <w:pPr>
        <w:spacing w:line="276" w:lineRule="auto"/>
        <w:ind w:firstLine="562"/>
        <w:rPr>
          <w:rFonts w:cs="Sylfaen"/>
          <w:iCs/>
          <w:lang w:val="af-ZA" w:eastAsia="en-GB"/>
        </w:rPr>
      </w:pPr>
    </w:p>
    <w:p w14:paraId="024E171A" w14:textId="77777777" w:rsidR="00173FEB" w:rsidRDefault="001D0413" w:rsidP="0035033F">
      <w:pPr>
        <w:pStyle w:val="Heading3"/>
        <w:numPr>
          <w:ilvl w:val="0"/>
          <w:numId w:val="0"/>
        </w:numPr>
        <w:ind w:left="720"/>
      </w:pPr>
      <w:bookmarkStart w:id="252" w:name="_Toc46154359"/>
      <w:r w:rsidRPr="00EB1197">
        <w:rPr>
          <w:rFonts w:eastAsia="Times New Roman" w:cs="Times New Roman"/>
          <w:caps w:val="0"/>
          <w:color w:val="1F497D" w:themeColor="text2"/>
          <w:sz w:val="28"/>
          <w:szCs w:val="28"/>
        </w:rPr>
        <w:t>3.2</w:t>
      </w:r>
      <w:r w:rsidR="004B6B0F">
        <w:rPr>
          <w:rFonts w:eastAsia="Times New Roman" w:cs="Times New Roman"/>
          <w:caps w:val="0"/>
          <w:color w:val="1F497D" w:themeColor="text2"/>
          <w:sz w:val="28"/>
          <w:szCs w:val="28"/>
        </w:rPr>
        <w:t>.</w:t>
      </w:r>
      <w:r w:rsidRPr="00EB1197">
        <w:rPr>
          <w:rFonts w:eastAsia="Times New Roman" w:cs="Times New Roman"/>
          <w:caps w:val="0"/>
          <w:color w:val="1F497D" w:themeColor="text2"/>
          <w:sz w:val="28"/>
          <w:szCs w:val="28"/>
        </w:rPr>
        <w:t xml:space="preserve"> ՀՀ 2021-2023 ԹՎԱԿԱՆՆԵՐԻ ՊԵՏԱԿԱՆ ԲՅՈՒՋԵՆԵՐԻ ԵԿԱՄՈՒՏՆԵՐԻ ԿԱՆԽԱՏԵՍՈՒՄԸ</w:t>
      </w:r>
      <w:bookmarkEnd w:id="248"/>
      <w:bookmarkEnd w:id="249"/>
      <w:bookmarkEnd w:id="252"/>
    </w:p>
    <w:p w14:paraId="08D8FDD1" w14:textId="77777777" w:rsidR="003D408A" w:rsidRDefault="001D0413" w:rsidP="003D408A">
      <w:pPr>
        <w:spacing w:before="120" w:after="120" w:line="360" w:lineRule="auto"/>
        <w:ind w:firstLine="562"/>
        <w:rPr>
          <w:rFonts w:cs="Sylfaen"/>
          <w:iCs/>
          <w:lang w:val="hy-AM" w:eastAsia="en-GB"/>
        </w:rPr>
      </w:pPr>
      <w:r>
        <w:rPr>
          <w:rFonts w:cs="Sylfaen"/>
          <w:iCs/>
          <w:lang w:val="af-ZA" w:eastAsia="en-GB"/>
        </w:rPr>
        <w:t>ՀՀ 2021-2023 թվականների պետական բյուջեների եկամուտները կանխատեսվել են հա</w:t>
      </w:r>
      <w:r>
        <w:rPr>
          <w:rFonts w:cs="Sylfaen"/>
          <w:iCs/>
          <w:lang w:val="af-ZA" w:eastAsia="en-GB"/>
        </w:rPr>
        <w:softHyphen/>
        <w:t>մա</w:t>
      </w:r>
      <w:r>
        <w:rPr>
          <w:rFonts w:cs="Sylfaen"/>
          <w:iCs/>
          <w:lang w:val="af-ZA" w:eastAsia="en-GB"/>
        </w:rPr>
        <w:softHyphen/>
        <w:t>պա</w:t>
      </w:r>
      <w:r>
        <w:rPr>
          <w:rFonts w:cs="Sylfaen"/>
          <w:iCs/>
          <w:lang w:val="af-ZA" w:eastAsia="en-GB"/>
        </w:rPr>
        <w:softHyphen/>
      </w:r>
      <w:r>
        <w:rPr>
          <w:rFonts w:cs="Sylfaen"/>
          <w:iCs/>
          <w:lang w:val="af-ZA" w:eastAsia="en-GB"/>
        </w:rPr>
        <w:softHyphen/>
        <w:t>տաս</w:t>
      </w:r>
      <w:r>
        <w:rPr>
          <w:rFonts w:cs="Sylfaen"/>
          <w:iCs/>
          <w:lang w:val="af-ZA" w:eastAsia="en-GB"/>
        </w:rPr>
        <w:softHyphen/>
        <w:t>խա</w:t>
      </w:r>
      <w:r>
        <w:rPr>
          <w:rFonts w:cs="Sylfaen"/>
          <w:iCs/>
          <w:lang w:val="af-ZA" w:eastAsia="en-GB"/>
        </w:rPr>
        <w:softHyphen/>
        <w:t>նա</w:t>
      </w:r>
      <w:r>
        <w:rPr>
          <w:rFonts w:cs="Sylfaen"/>
          <w:iCs/>
          <w:lang w:val="af-ZA" w:eastAsia="en-GB"/>
        </w:rPr>
        <w:softHyphen/>
        <w:t>բար` 1,669.9, 1,885.9 և 2,089.9 մլրդ դրամի չափով: Եկա</w:t>
      </w:r>
      <w:r>
        <w:rPr>
          <w:rFonts w:cs="Sylfaen"/>
          <w:iCs/>
          <w:lang w:val="af-ZA" w:eastAsia="en-GB"/>
        </w:rPr>
        <w:softHyphen/>
        <w:t>մուտ</w:t>
      </w:r>
      <w:r>
        <w:rPr>
          <w:rFonts w:cs="Sylfaen"/>
          <w:iCs/>
          <w:lang w:val="af-ZA" w:eastAsia="en-GB"/>
        </w:rPr>
        <w:softHyphen/>
      </w:r>
      <w:r>
        <w:rPr>
          <w:rFonts w:cs="Sylfaen"/>
          <w:iCs/>
          <w:lang w:val="af-ZA" w:eastAsia="en-GB"/>
        </w:rPr>
        <w:softHyphen/>
      </w:r>
      <w:r>
        <w:rPr>
          <w:rFonts w:cs="Sylfaen"/>
          <w:iCs/>
          <w:lang w:val="af-ZA" w:eastAsia="en-GB"/>
        </w:rPr>
        <w:softHyphen/>
        <w:t>ների տա</w:t>
      </w:r>
      <w:r>
        <w:rPr>
          <w:rFonts w:cs="Sylfaen"/>
          <w:iCs/>
          <w:lang w:val="af-ZA" w:eastAsia="en-GB"/>
        </w:rPr>
        <w:softHyphen/>
      </w:r>
      <w:r>
        <w:rPr>
          <w:rFonts w:cs="Sylfaen"/>
          <w:iCs/>
          <w:lang w:val="af-ZA" w:eastAsia="en-GB"/>
        </w:rPr>
        <w:softHyphen/>
        <w:t>րեկան ծրա</w:t>
      </w:r>
      <w:r>
        <w:rPr>
          <w:rFonts w:cs="Sylfaen"/>
          <w:iCs/>
          <w:lang w:val="af-ZA" w:eastAsia="en-GB"/>
        </w:rPr>
        <w:softHyphen/>
        <w:t>գրա</w:t>
      </w:r>
      <w:r>
        <w:rPr>
          <w:rFonts w:cs="Sylfaen"/>
          <w:iCs/>
          <w:lang w:val="af-ZA" w:eastAsia="en-GB"/>
        </w:rPr>
        <w:softHyphen/>
        <w:t>յին ծավալները կապահովվեն հիմնականում ի հաշիվ հար</w:t>
      </w:r>
      <w:r>
        <w:rPr>
          <w:rFonts w:cs="Sylfaen"/>
          <w:iCs/>
          <w:lang w:val="af-ZA" w:eastAsia="en-GB"/>
        </w:rPr>
        <w:softHyphen/>
        <w:t>կային եկա</w:t>
      </w:r>
      <w:r>
        <w:rPr>
          <w:rFonts w:cs="Sylfaen"/>
          <w:iCs/>
          <w:lang w:val="af-ZA" w:eastAsia="en-GB"/>
        </w:rPr>
        <w:softHyphen/>
        <w:t>մուտ</w:t>
      </w:r>
      <w:r>
        <w:rPr>
          <w:rFonts w:cs="Sylfaen"/>
          <w:iCs/>
          <w:lang w:val="af-ZA" w:eastAsia="en-GB"/>
        </w:rPr>
        <w:softHyphen/>
        <w:t>ների:</w:t>
      </w:r>
    </w:p>
    <w:p w14:paraId="078DE557" w14:textId="77777777" w:rsidR="009D66F0" w:rsidRPr="009D66F0" w:rsidRDefault="009D66F0" w:rsidP="003D408A">
      <w:pPr>
        <w:spacing w:before="120" w:after="120" w:line="360" w:lineRule="auto"/>
        <w:ind w:firstLine="562"/>
        <w:rPr>
          <w:rFonts w:cs="Sylfaen"/>
          <w:iCs/>
          <w:lang w:val="hy-AM" w:eastAsia="en-GB"/>
        </w:rPr>
      </w:pPr>
      <w:r w:rsidRPr="009D66F0">
        <w:rPr>
          <w:b/>
          <w:sz w:val="20"/>
          <w:szCs w:val="20"/>
          <w:lang w:val="hy-AM"/>
        </w:rPr>
        <w:t>Աղյուսակ</w:t>
      </w:r>
      <w:r w:rsidRPr="0035033F">
        <w:rPr>
          <w:b/>
          <w:sz w:val="20"/>
          <w:szCs w:val="20"/>
          <w:lang w:val="af-ZA"/>
        </w:rPr>
        <w:t xml:space="preserve"> 3.2.</w:t>
      </w:r>
      <w:r>
        <w:rPr>
          <w:b/>
          <w:sz w:val="20"/>
          <w:szCs w:val="20"/>
          <w:lang w:val="hy-AM"/>
        </w:rPr>
        <w:t>1</w:t>
      </w:r>
      <w:r w:rsidRPr="0035033F">
        <w:rPr>
          <w:b/>
          <w:sz w:val="20"/>
          <w:szCs w:val="20"/>
          <w:lang w:val="af-ZA"/>
        </w:rPr>
        <w:t xml:space="preserve">.  </w:t>
      </w:r>
      <w:r w:rsidRPr="008F525B">
        <w:rPr>
          <w:i/>
          <w:sz w:val="20"/>
          <w:szCs w:val="20"/>
          <w:lang w:val="af-ZA"/>
        </w:rPr>
        <w:t>2021-2023</w:t>
      </w:r>
      <w:r w:rsidRPr="009D66F0">
        <w:rPr>
          <w:i/>
          <w:sz w:val="20"/>
          <w:szCs w:val="20"/>
          <w:lang w:val="hy-AM"/>
        </w:rPr>
        <w:t>թթ</w:t>
      </w:r>
      <w:r w:rsidRPr="008F525B">
        <w:rPr>
          <w:i/>
          <w:sz w:val="20"/>
          <w:szCs w:val="20"/>
          <w:lang w:val="af-ZA"/>
        </w:rPr>
        <w:t xml:space="preserve"> </w:t>
      </w:r>
      <w:r w:rsidRPr="009D66F0">
        <w:rPr>
          <w:i/>
          <w:sz w:val="20"/>
          <w:szCs w:val="20"/>
          <w:lang w:val="hy-AM"/>
        </w:rPr>
        <w:t>ծրագրված</w:t>
      </w:r>
      <w:r w:rsidRPr="008F525B">
        <w:rPr>
          <w:i/>
          <w:sz w:val="20"/>
          <w:szCs w:val="20"/>
          <w:lang w:val="af-ZA"/>
        </w:rPr>
        <w:t xml:space="preserve"> </w:t>
      </w:r>
      <w:r>
        <w:rPr>
          <w:i/>
          <w:sz w:val="20"/>
          <w:szCs w:val="20"/>
          <w:lang w:val="hy-AM"/>
        </w:rPr>
        <w:t>եկամուտները</w:t>
      </w:r>
      <w:r w:rsidRPr="008F525B">
        <w:rPr>
          <w:i/>
          <w:sz w:val="20"/>
          <w:szCs w:val="20"/>
          <w:lang w:val="af-ZA"/>
        </w:rPr>
        <w:t xml:space="preserve"> (</w:t>
      </w:r>
      <w:r w:rsidRPr="009D66F0">
        <w:rPr>
          <w:i/>
          <w:sz w:val="20"/>
          <w:szCs w:val="20"/>
          <w:lang w:val="hy-AM"/>
        </w:rPr>
        <w:t>մլրդ</w:t>
      </w:r>
      <w:r w:rsidRPr="008F525B">
        <w:rPr>
          <w:i/>
          <w:sz w:val="20"/>
          <w:szCs w:val="20"/>
          <w:lang w:val="af-ZA"/>
        </w:rPr>
        <w:t xml:space="preserve"> </w:t>
      </w:r>
      <w:r w:rsidRPr="009D66F0">
        <w:rPr>
          <w:i/>
          <w:sz w:val="20"/>
          <w:szCs w:val="20"/>
          <w:lang w:val="hy-AM"/>
        </w:rPr>
        <w:t>դրամ</w:t>
      </w:r>
      <w:r w:rsidRPr="008F525B">
        <w:rPr>
          <w:i/>
          <w:sz w:val="20"/>
          <w:szCs w:val="20"/>
          <w:lang w:val="af-ZA"/>
        </w:rPr>
        <w:softHyphen/>
        <w:t>)</w:t>
      </w:r>
    </w:p>
    <w:tbl>
      <w:tblPr>
        <w:tblW w:w="9920" w:type="dxa"/>
        <w:tblInd w:w="108" w:type="dxa"/>
        <w:tblLook w:val="04A0" w:firstRow="1" w:lastRow="0" w:firstColumn="1" w:lastColumn="0" w:noHBand="0" w:noVBand="1"/>
      </w:tblPr>
      <w:tblGrid>
        <w:gridCol w:w="3200"/>
        <w:gridCol w:w="960"/>
        <w:gridCol w:w="960"/>
        <w:gridCol w:w="960"/>
        <w:gridCol w:w="960"/>
        <w:gridCol w:w="960"/>
        <w:gridCol w:w="960"/>
        <w:gridCol w:w="960"/>
      </w:tblGrid>
      <w:tr w:rsidR="003D408A" w:rsidRPr="003D408A" w14:paraId="0F83AE8C" w14:textId="77777777" w:rsidTr="003D408A">
        <w:trPr>
          <w:trHeight w:val="300"/>
        </w:trPr>
        <w:tc>
          <w:tcPr>
            <w:tcW w:w="3200" w:type="dxa"/>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14:paraId="69A3FDBB" w14:textId="77777777" w:rsidR="003D408A" w:rsidRPr="003D408A" w:rsidRDefault="003D408A" w:rsidP="003D408A">
            <w:pPr>
              <w:spacing w:after="0" w:line="240" w:lineRule="auto"/>
              <w:ind w:firstLine="0"/>
              <w:jc w:val="left"/>
              <w:rPr>
                <w:bCs/>
                <w:color w:val="FFFFFF" w:themeColor="background1"/>
                <w:sz w:val="20"/>
                <w:szCs w:val="20"/>
              </w:rPr>
            </w:pPr>
            <w:r w:rsidRPr="003D408A">
              <w:rPr>
                <w:bCs/>
                <w:color w:val="FFFFFF" w:themeColor="background1"/>
                <w:sz w:val="20"/>
                <w:szCs w:val="20"/>
              </w:rPr>
              <w:lastRenderedPageBreak/>
              <w:t>Եկամտատեսակը</w:t>
            </w:r>
          </w:p>
        </w:tc>
        <w:tc>
          <w:tcPr>
            <w:tcW w:w="9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14:paraId="5349D649" w14:textId="77777777" w:rsidR="003D408A" w:rsidRPr="003D408A" w:rsidRDefault="003D408A" w:rsidP="004B6B0F">
            <w:pPr>
              <w:spacing w:after="0" w:line="240" w:lineRule="auto"/>
              <w:ind w:firstLine="0"/>
              <w:jc w:val="center"/>
              <w:rPr>
                <w:bCs/>
                <w:color w:val="FFFFFF" w:themeColor="background1"/>
                <w:sz w:val="20"/>
                <w:szCs w:val="20"/>
              </w:rPr>
            </w:pPr>
            <w:r w:rsidRPr="003D408A">
              <w:rPr>
                <w:bCs/>
                <w:color w:val="FFFFFF" w:themeColor="background1"/>
                <w:sz w:val="20"/>
                <w:szCs w:val="20"/>
              </w:rPr>
              <w:t>2017թ</w:t>
            </w:r>
          </w:p>
        </w:tc>
        <w:tc>
          <w:tcPr>
            <w:tcW w:w="9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14:paraId="52AEA248" w14:textId="77777777" w:rsidR="003D408A" w:rsidRPr="003D408A" w:rsidRDefault="003D408A" w:rsidP="004B6B0F">
            <w:pPr>
              <w:spacing w:after="0" w:line="240" w:lineRule="auto"/>
              <w:ind w:firstLine="0"/>
              <w:jc w:val="center"/>
              <w:rPr>
                <w:bCs/>
                <w:color w:val="FFFFFF" w:themeColor="background1"/>
                <w:sz w:val="20"/>
                <w:szCs w:val="20"/>
              </w:rPr>
            </w:pPr>
            <w:r w:rsidRPr="003D408A">
              <w:rPr>
                <w:bCs/>
                <w:color w:val="FFFFFF" w:themeColor="background1"/>
                <w:sz w:val="20"/>
                <w:szCs w:val="20"/>
              </w:rPr>
              <w:t>2018թ</w:t>
            </w:r>
          </w:p>
        </w:tc>
        <w:tc>
          <w:tcPr>
            <w:tcW w:w="9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14:paraId="1094965A" w14:textId="77777777" w:rsidR="003D408A" w:rsidRPr="003D408A" w:rsidRDefault="003D408A" w:rsidP="004B6B0F">
            <w:pPr>
              <w:spacing w:after="0" w:line="240" w:lineRule="auto"/>
              <w:ind w:firstLine="0"/>
              <w:jc w:val="center"/>
              <w:rPr>
                <w:bCs/>
                <w:color w:val="FFFFFF" w:themeColor="background1"/>
                <w:sz w:val="20"/>
                <w:szCs w:val="20"/>
              </w:rPr>
            </w:pPr>
            <w:r w:rsidRPr="003D408A">
              <w:rPr>
                <w:bCs/>
                <w:color w:val="FFFFFF" w:themeColor="background1"/>
                <w:sz w:val="20"/>
                <w:szCs w:val="20"/>
              </w:rPr>
              <w:t>2019թ</w:t>
            </w:r>
          </w:p>
        </w:tc>
        <w:tc>
          <w:tcPr>
            <w:tcW w:w="9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14:paraId="2F58A747" w14:textId="77777777" w:rsidR="003D408A" w:rsidRPr="003D408A" w:rsidRDefault="003D408A" w:rsidP="004B6B0F">
            <w:pPr>
              <w:spacing w:after="0" w:line="240" w:lineRule="auto"/>
              <w:ind w:firstLine="0"/>
              <w:jc w:val="center"/>
              <w:rPr>
                <w:bCs/>
                <w:color w:val="FFFFFF" w:themeColor="background1"/>
                <w:sz w:val="20"/>
                <w:szCs w:val="20"/>
              </w:rPr>
            </w:pPr>
            <w:r w:rsidRPr="003D408A">
              <w:rPr>
                <w:bCs/>
                <w:color w:val="FFFFFF" w:themeColor="background1"/>
                <w:sz w:val="20"/>
                <w:szCs w:val="20"/>
              </w:rPr>
              <w:t>2020թ</w:t>
            </w:r>
          </w:p>
        </w:tc>
        <w:tc>
          <w:tcPr>
            <w:tcW w:w="9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14:paraId="77162B8D" w14:textId="77777777" w:rsidR="003D408A" w:rsidRPr="003D408A" w:rsidRDefault="003D408A" w:rsidP="004B6B0F">
            <w:pPr>
              <w:spacing w:after="0" w:line="240" w:lineRule="auto"/>
              <w:ind w:firstLine="0"/>
              <w:jc w:val="center"/>
              <w:rPr>
                <w:bCs/>
                <w:color w:val="FFFFFF" w:themeColor="background1"/>
                <w:sz w:val="20"/>
                <w:szCs w:val="20"/>
              </w:rPr>
            </w:pPr>
            <w:r w:rsidRPr="003D408A">
              <w:rPr>
                <w:bCs/>
                <w:color w:val="FFFFFF" w:themeColor="background1"/>
                <w:sz w:val="20"/>
                <w:szCs w:val="20"/>
              </w:rPr>
              <w:t>2021թ</w:t>
            </w:r>
          </w:p>
        </w:tc>
        <w:tc>
          <w:tcPr>
            <w:tcW w:w="9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14:paraId="2891BB7B" w14:textId="77777777" w:rsidR="003D408A" w:rsidRPr="003D408A" w:rsidRDefault="003D408A" w:rsidP="004B6B0F">
            <w:pPr>
              <w:spacing w:after="0" w:line="240" w:lineRule="auto"/>
              <w:ind w:firstLine="0"/>
              <w:jc w:val="center"/>
              <w:rPr>
                <w:bCs/>
                <w:color w:val="FFFFFF" w:themeColor="background1"/>
                <w:sz w:val="20"/>
                <w:szCs w:val="20"/>
              </w:rPr>
            </w:pPr>
            <w:r w:rsidRPr="003D408A">
              <w:rPr>
                <w:bCs/>
                <w:color w:val="FFFFFF" w:themeColor="background1"/>
                <w:sz w:val="20"/>
                <w:szCs w:val="20"/>
              </w:rPr>
              <w:t>2022թ</w:t>
            </w:r>
          </w:p>
        </w:tc>
        <w:tc>
          <w:tcPr>
            <w:tcW w:w="9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14:paraId="79D22FE0" w14:textId="77777777" w:rsidR="003D408A" w:rsidRPr="003D408A" w:rsidRDefault="003D408A" w:rsidP="004B6B0F">
            <w:pPr>
              <w:spacing w:after="0" w:line="240" w:lineRule="auto"/>
              <w:ind w:firstLine="0"/>
              <w:jc w:val="center"/>
              <w:rPr>
                <w:bCs/>
                <w:color w:val="FFFFFF" w:themeColor="background1"/>
                <w:sz w:val="20"/>
                <w:szCs w:val="20"/>
              </w:rPr>
            </w:pPr>
            <w:r w:rsidRPr="003D408A">
              <w:rPr>
                <w:bCs/>
                <w:color w:val="FFFFFF" w:themeColor="background1"/>
                <w:sz w:val="20"/>
                <w:szCs w:val="20"/>
              </w:rPr>
              <w:t>2023թ</w:t>
            </w:r>
          </w:p>
        </w:tc>
      </w:tr>
      <w:tr w:rsidR="003D408A" w:rsidRPr="003D408A" w14:paraId="74D0C493" w14:textId="77777777" w:rsidTr="003D408A">
        <w:trPr>
          <w:trHeight w:val="300"/>
        </w:trPr>
        <w:tc>
          <w:tcPr>
            <w:tcW w:w="3200" w:type="dxa"/>
            <w:vMerge/>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49CBE23D" w14:textId="77777777" w:rsidR="003D408A" w:rsidRPr="003D408A" w:rsidRDefault="003D408A" w:rsidP="003D408A">
            <w:pPr>
              <w:spacing w:after="0" w:line="240" w:lineRule="auto"/>
              <w:ind w:firstLine="0"/>
              <w:jc w:val="left"/>
              <w:rPr>
                <w:bCs/>
                <w:color w:val="FFFFFF" w:themeColor="background1"/>
                <w:sz w:val="20"/>
                <w:szCs w:val="20"/>
              </w:rPr>
            </w:pPr>
          </w:p>
        </w:tc>
        <w:tc>
          <w:tcPr>
            <w:tcW w:w="2880" w:type="dxa"/>
            <w:gridSpan w:val="3"/>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14:paraId="2DB30C89" w14:textId="77777777" w:rsidR="003D408A" w:rsidRPr="003D408A" w:rsidRDefault="009D66F0" w:rsidP="004B6B0F">
            <w:pPr>
              <w:spacing w:after="0" w:line="240" w:lineRule="auto"/>
              <w:ind w:firstLine="0"/>
              <w:jc w:val="center"/>
              <w:rPr>
                <w:bCs/>
                <w:color w:val="FFFFFF" w:themeColor="background1"/>
                <w:sz w:val="20"/>
                <w:szCs w:val="20"/>
              </w:rPr>
            </w:pPr>
            <w:r w:rsidRPr="003D408A">
              <w:rPr>
                <w:bCs/>
                <w:color w:val="FFFFFF" w:themeColor="background1"/>
                <w:sz w:val="20"/>
                <w:szCs w:val="20"/>
              </w:rPr>
              <w:t>Փ</w:t>
            </w:r>
            <w:r w:rsidR="003D408A" w:rsidRPr="003D408A">
              <w:rPr>
                <w:bCs/>
                <w:color w:val="FFFFFF" w:themeColor="background1"/>
                <w:sz w:val="20"/>
                <w:szCs w:val="20"/>
              </w:rPr>
              <w:t>աստ</w:t>
            </w:r>
          </w:p>
        </w:tc>
        <w:tc>
          <w:tcPr>
            <w:tcW w:w="960" w:type="dxa"/>
            <w:tcBorders>
              <w:top w:val="nil"/>
              <w:left w:val="nil"/>
              <w:bottom w:val="single" w:sz="4" w:space="0" w:color="auto"/>
              <w:right w:val="single" w:sz="4" w:space="0" w:color="auto"/>
            </w:tcBorders>
            <w:shd w:val="clear" w:color="auto" w:fill="548DD4" w:themeFill="text2" w:themeFillTint="99"/>
            <w:vAlign w:val="center"/>
            <w:hideMark/>
          </w:tcPr>
          <w:p w14:paraId="48F4BD75" w14:textId="77777777" w:rsidR="003D408A" w:rsidRPr="003D408A" w:rsidRDefault="003D408A" w:rsidP="004B6B0F">
            <w:pPr>
              <w:spacing w:after="0" w:line="240" w:lineRule="auto"/>
              <w:ind w:firstLine="0"/>
              <w:jc w:val="center"/>
              <w:rPr>
                <w:bCs/>
                <w:color w:val="FFFFFF" w:themeColor="background1"/>
                <w:sz w:val="20"/>
                <w:szCs w:val="20"/>
              </w:rPr>
            </w:pPr>
            <w:r w:rsidRPr="003D408A">
              <w:rPr>
                <w:bCs/>
                <w:color w:val="FFFFFF" w:themeColor="background1"/>
                <w:sz w:val="20"/>
                <w:szCs w:val="20"/>
              </w:rPr>
              <w:t>բյուջե</w:t>
            </w:r>
          </w:p>
        </w:tc>
        <w:tc>
          <w:tcPr>
            <w:tcW w:w="2880" w:type="dxa"/>
            <w:gridSpan w:val="3"/>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14:paraId="70151B9A" w14:textId="77777777" w:rsidR="003D408A" w:rsidRPr="003D408A" w:rsidRDefault="009D66F0" w:rsidP="004B6B0F">
            <w:pPr>
              <w:spacing w:after="0" w:line="240" w:lineRule="auto"/>
              <w:ind w:firstLine="0"/>
              <w:jc w:val="center"/>
              <w:rPr>
                <w:bCs/>
                <w:color w:val="FFFFFF" w:themeColor="background1"/>
                <w:sz w:val="20"/>
                <w:szCs w:val="20"/>
              </w:rPr>
            </w:pPr>
            <w:r w:rsidRPr="003D408A">
              <w:rPr>
                <w:bCs/>
                <w:color w:val="FFFFFF" w:themeColor="background1"/>
                <w:sz w:val="20"/>
                <w:szCs w:val="20"/>
              </w:rPr>
              <w:t>Կ</w:t>
            </w:r>
            <w:r w:rsidR="003D408A" w:rsidRPr="003D408A">
              <w:rPr>
                <w:bCs/>
                <w:color w:val="FFFFFF" w:themeColor="background1"/>
                <w:sz w:val="20"/>
                <w:szCs w:val="20"/>
              </w:rPr>
              <w:t>անխատեսում</w:t>
            </w:r>
          </w:p>
        </w:tc>
      </w:tr>
      <w:tr w:rsidR="003D408A" w:rsidRPr="003D408A" w14:paraId="1B29A68F" w14:textId="77777777" w:rsidTr="003D408A">
        <w:trPr>
          <w:trHeight w:val="540"/>
        </w:trPr>
        <w:tc>
          <w:tcPr>
            <w:tcW w:w="320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08122F52" w14:textId="77777777" w:rsidR="003D408A" w:rsidRPr="003D408A" w:rsidRDefault="003D408A" w:rsidP="003D408A">
            <w:pPr>
              <w:spacing w:after="0" w:line="240" w:lineRule="auto"/>
              <w:ind w:firstLine="0"/>
              <w:jc w:val="left"/>
              <w:rPr>
                <w:rFonts w:cs="Calibri"/>
                <w:color w:val="000000"/>
                <w:sz w:val="20"/>
                <w:szCs w:val="20"/>
              </w:rPr>
            </w:pPr>
            <w:r w:rsidRPr="003D408A">
              <w:rPr>
                <w:rFonts w:cs="Calibri"/>
                <w:color w:val="000000"/>
                <w:sz w:val="20"/>
                <w:szCs w:val="20"/>
              </w:rPr>
              <w:t xml:space="preserve"> Պետական բյուջեի եկամուտներ, որից` </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3CAE1044" w14:textId="77777777" w:rsidR="003D408A" w:rsidRPr="003D408A" w:rsidRDefault="003D408A" w:rsidP="003D408A">
            <w:pPr>
              <w:spacing w:after="0" w:line="240" w:lineRule="auto"/>
              <w:ind w:firstLine="0"/>
              <w:jc w:val="left"/>
              <w:rPr>
                <w:rFonts w:cs="Calibri"/>
                <w:color w:val="000000"/>
                <w:sz w:val="20"/>
                <w:szCs w:val="20"/>
              </w:rPr>
            </w:pPr>
            <w:r w:rsidRPr="003D408A">
              <w:rPr>
                <w:rFonts w:cs="Calibri"/>
                <w:color w:val="000000"/>
                <w:sz w:val="20"/>
                <w:szCs w:val="20"/>
              </w:rPr>
              <w:t>1,237.8</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7CB2D25F" w14:textId="77777777" w:rsidR="003D408A" w:rsidRPr="003D408A" w:rsidRDefault="003D408A" w:rsidP="003D408A">
            <w:pPr>
              <w:spacing w:after="0" w:line="240" w:lineRule="auto"/>
              <w:ind w:firstLine="0"/>
              <w:jc w:val="left"/>
              <w:rPr>
                <w:rFonts w:cs="Calibri"/>
                <w:color w:val="000000"/>
                <w:sz w:val="20"/>
                <w:szCs w:val="20"/>
              </w:rPr>
            </w:pPr>
            <w:r w:rsidRPr="003D408A">
              <w:rPr>
                <w:rFonts w:cs="Calibri"/>
                <w:color w:val="000000"/>
                <w:sz w:val="20"/>
                <w:szCs w:val="20"/>
              </w:rPr>
              <w:t>1,341.7</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733D8643" w14:textId="77777777" w:rsidR="003D408A" w:rsidRPr="003D408A" w:rsidRDefault="003D408A" w:rsidP="003D408A">
            <w:pPr>
              <w:spacing w:after="0" w:line="240" w:lineRule="auto"/>
              <w:ind w:firstLine="0"/>
              <w:jc w:val="left"/>
              <w:rPr>
                <w:rFonts w:cs="Calibri"/>
                <w:color w:val="000000"/>
                <w:sz w:val="20"/>
                <w:szCs w:val="20"/>
              </w:rPr>
            </w:pPr>
            <w:r w:rsidRPr="003D408A">
              <w:rPr>
                <w:rFonts w:cs="Calibri"/>
                <w:color w:val="000000"/>
                <w:sz w:val="20"/>
                <w:szCs w:val="20"/>
              </w:rPr>
              <w:t>1,565.5</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1A54AD01" w14:textId="77777777" w:rsidR="003D408A" w:rsidRPr="003D408A" w:rsidRDefault="003D408A" w:rsidP="003D408A">
            <w:pPr>
              <w:spacing w:after="0" w:line="240" w:lineRule="auto"/>
              <w:ind w:firstLine="0"/>
              <w:jc w:val="left"/>
              <w:rPr>
                <w:rFonts w:cs="Calibri"/>
                <w:color w:val="000000"/>
                <w:sz w:val="20"/>
                <w:szCs w:val="20"/>
              </w:rPr>
            </w:pPr>
            <w:r w:rsidRPr="003D408A">
              <w:rPr>
                <w:rFonts w:cs="Calibri"/>
                <w:color w:val="000000"/>
                <w:sz w:val="20"/>
                <w:szCs w:val="20"/>
              </w:rPr>
              <w:t>1,488.7</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3D7DD229" w14:textId="77777777" w:rsidR="003D408A" w:rsidRPr="003D408A" w:rsidRDefault="003D408A" w:rsidP="003D408A">
            <w:pPr>
              <w:spacing w:after="0" w:line="240" w:lineRule="auto"/>
              <w:ind w:firstLine="0"/>
              <w:jc w:val="left"/>
              <w:rPr>
                <w:rFonts w:cs="Calibri"/>
                <w:color w:val="000000"/>
                <w:sz w:val="20"/>
                <w:szCs w:val="20"/>
              </w:rPr>
            </w:pPr>
            <w:r w:rsidRPr="003D408A">
              <w:rPr>
                <w:rFonts w:cs="Calibri"/>
                <w:color w:val="000000"/>
                <w:sz w:val="20"/>
                <w:szCs w:val="20"/>
              </w:rPr>
              <w:t>1,669.9</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1EF43DB9" w14:textId="77777777" w:rsidR="003D408A" w:rsidRPr="003D408A" w:rsidRDefault="003D408A" w:rsidP="003D408A">
            <w:pPr>
              <w:spacing w:after="0" w:line="240" w:lineRule="auto"/>
              <w:ind w:firstLine="0"/>
              <w:jc w:val="left"/>
              <w:rPr>
                <w:rFonts w:cs="Calibri"/>
                <w:color w:val="000000"/>
                <w:sz w:val="20"/>
                <w:szCs w:val="20"/>
              </w:rPr>
            </w:pPr>
            <w:r w:rsidRPr="003D408A">
              <w:rPr>
                <w:rFonts w:cs="Calibri"/>
                <w:color w:val="000000"/>
                <w:sz w:val="20"/>
                <w:szCs w:val="20"/>
              </w:rPr>
              <w:t>1,885.9</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1AF098FB" w14:textId="77777777" w:rsidR="003D408A" w:rsidRPr="003D408A" w:rsidRDefault="003D408A" w:rsidP="003D408A">
            <w:pPr>
              <w:spacing w:after="0" w:line="240" w:lineRule="auto"/>
              <w:ind w:firstLine="0"/>
              <w:jc w:val="left"/>
              <w:rPr>
                <w:rFonts w:cs="Calibri"/>
                <w:color w:val="000000"/>
                <w:sz w:val="20"/>
                <w:szCs w:val="20"/>
              </w:rPr>
            </w:pPr>
            <w:r w:rsidRPr="003D408A">
              <w:rPr>
                <w:rFonts w:cs="Calibri"/>
                <w:color w:val="000000"/>
                <w:sz w:val="20"/>
                <w:szCs w:val="20"/>
              </w:rPr>
              <w:t>2,082.9</w:t>
            </w:r>
          </w:p>
        </w:tc>
      </w:tr>
      <w:tr w:rsidR="003D408A" w:rsidRPr="003D408A" w14:paraId="45876741" w14:textId="77777777" w:rsidTr="003D408A">
        <w:trPr>
          <w:trHeight w:val="5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7E77978" w14:textId="77777777" w:rsidR="003D408A" w:rsidRPr="003D408A" w:rsidRDefault="003D408A" w:rsidP="003D408A">
            <w:pPr>
              <w:spacing w:before="0" w:after="0" w:line="240" w:lineRule="auto"/>
              <w:ind w:firstLine="0"/>
              <w:jc w:val="left"/>
              <w:rPr>
                <w:rFonts w:eastAsia="Times New Roman" w:cs="Times New Roman"/>
                <w:i/>
                <w:iCs/>
                <w:color w:val="000000"/>
                <w:sz w:val="20"/>
                <w:szCs w:val="20"/>
              </w:rPr>
            </w:pPr>
            <w:r w:rsidRPr="003D408A">
              <w:rPr>
                <w:rFonts w:eastAsia="Times New Roman" w:cs="Times New Roman"/>
                <w:i/>
                <w:iCs/>
                <w:color w:val="000000"/>
                <w:sz w:val="20"/>
                <w:szCs w:val="20"/>
              </w:rPr>
              <w:t xml:space="preserve"> հարաբերությունը ՀՆԱ-ի նկատմամբ (%-ով) </w:t>
            </w:r>
          </w:p>
        </w:tc>
        <w:tc>
          <w:tcPr>
            <w:tcW w:w="960" w:type="dxa"/>
            <w:tcBorders>
              <w:top w:val="nil"/>
              <w:left w:val="nil"/>
              <w:bottom w:val="single" w:sz="4" w:space="0" w:color="auto"/>
              <w:right w:val="single" w:sz="4" w:space="0" w:color="auto"/>
            </w:tcBorders>
            <w:shd w:val="clear" w:color="auto" w:fill="auto"/>
            <w:noWrap/>
            <w:vAlign w:val="center"/>
            <w:hideMark/>
          </w:tcPr>
          <w:p w14:paraId="762BA8F0"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22.2%</w:t>
            </w:r>
          </w:p>
        </w:tc>
        <w:tc>
          <w:tcPr>
            <w:tcW w:w="960" w:type="dxa"/>
            <w:tcBorders>
              <w:top w:val="nil"/>
              <w:left w:val="nil"/>
              <w:bottom w:val="single" w:sz="4" w:space="0" w:color="auto"/>
              <w:right w:val="single" w:sz="4" w:space="0" w:color="auto"/>
            </w:tcBorders>
            <w:shd w:val="clear" w:color="auto" w:fill="auto"/>
            <w:noWrap/>
            <w:vAlign w:val="center"/>
            <w:hideMark/>
          </w:tcPr>
          <w:p w14:paraId="03FCEFCF"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22.3%</w:t>
            </w:r>
          </w:p>
        </w:tc>
        <w:tc>
          <w:tcPr>
            <w:tcW w:w="960" w:type="dxa"/>
            <w:tcBorders>
              <w:top w:val="nil"/>
              <w:left w:val="nil"/>
              <w:bottom w:val="single" w:sz="4" w:space="0" w:color="auto"/>
              <w:right w:val="single" w:sz="4" w:space="0" w:color="auto"/>
            </w:tcBorders>
            <w:shd w:val="clear" w:color="auto" w:fill="auto"/>
            <w:noWrap/>
            <w:vAlign w:val="center"/>
            <w:hideMark/>
          </w:tcPr>
          <w:p w14:paraId="19888BFA"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23.8%</w:t>
            </w:r>
          </w:p>
        </w:tc>
        <w:tc>
          <w:tcPr>
            <w:tcW w:w="960" w:type="dxa"/>
            <w:tcBorders>
              <w:top w:val="nil"/>
              <w:left w:val="nil"/>
              <w:bottom w:val="single" w:sz="4" w:space="0" w:color="auto"/>
              <w:right w:val="single" w:sz="4" w:space="0" w:color="auto"/>
            </w:tcBorders>
            <w:shd w:val="clear" w:color="auto" w:fill="auto"/>
            <w:noWrap/>
            <w:vAlign w:val="center"/>
            <w:hideMark/>
          </w:tcPr>
          <w:p w14:paraId="266EBD01"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22.9%</w:t>
            </w:r>
          </w:p>
        </w:tc>
        <w:tc>
          <w:tcPr>
            <w:tcW w:w="960" w:type="dxa"/>
            <w:tcBorders>
              <w:top w:val="nil"/>
              <w:left w:val="nil"/>
              <w:bottom w:val="single" w:sz="4" w:space="0" w:color="auto"/>
              <w:right w:val="single" w:sz="4" w:space="0" w:color="auto"/>
            </w:tcBorders>
            <w:shd w:val="clear" w:color="auto" w:fill="auto"/>
            <w:noWrap/>
            <w:vAlign w:val="center"/>
            <w:hideMark/>
          </w:tcPr>
          <w:p w14:paraId="01559846"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23.4%</w:t>
            </w:r>
          </w:p>
        </w:tc>
        <w:tc>
          <w:tcPr>
            <w:tcW w:w="960" w:type="dxa"/>
            <w:tcBorders>
              <w:top w:val="nil"/>
              <w:left w:val="nil"/>
              <w:bottom w:val="single" w:sz="4" w:space="0" w:color="auto"/>
              <w:right w:val="single" w:sz="4" w:space="0" w:color="auto"/>
            </w:tcBorders>
            <w:shd w:val="clear" w:color="auto" w:fill="auto"/>
            <w:noWrap/>
            <w:vAlign w:val="center"/>
            <w:hideMark/>
          </w:tcPr>
          <w:p w14:paraId="4BBF5ECA"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24.0%</w:t>
            </w:r>
          </w:p>
        </w:tc>
        <w:tc>
          <w:tcPr>
            <w:tcW w:w="960" w:type="dxa"/>
            <w:tcBorders>
              <w:top w:val="nil"/>
              <w:left w:val="nil"/>
              <w:bottom w:val="single" w:sz="4" w:space="0" w:color="auto"/>
              <w:right w:val="single" w:sz="4" w:space="0" w:color="auto"/>
            </w:tcBorders>
            <w:shd w:val="clear" w:color="auto" w:fill="auto"/>
            <w:noWrap/>
            <w:vAlign w:val="center"/>
            <w:hideMark/>
          </w:tcPr>
          <w:p w14:paraId="07A44F6B"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24.3%</w:t>
            </w:r>
          </w:p>
        </w:tc>
      </w:tr>
      <w:tr w:rsidR="003D408A" w:rsidRPr="003D408A" w14:paraId="024A07F2" w14:textId="77777777" w:rsidTr="003D408A">
        <w:trPr>
          <w:trHeight w:val="540"/>
        </w:trPr>
        <w:tc>
          <w:tcPr>
            <w:tcW w:w="320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769108F8" w14:textId="77777777" w:rsidR="003D408A" w:rsidRPr="003D408A" w:rsidRDefault="003D408A" w:rsidP="003D408A">
            <w:pPr>
              <w:spacing w:before="0" w:after="0" w:line="240" w:lineRule="auto"/>
              <w:ind w:firstLine="0"/>
              <w:jc w:val="left"/>
              <w:rPr>
                <w:rFonts w:eastAsia="Times New Roman" w:cs="Times New Roman"/>
                <w:color w:val="000000"/>
                <w:sz w:val="20"/>
                <w:szCs w:val="20"/>
              </w:rPr>
            </w:pPr>
            <w:r w:rsidRPr="003D408A">
              <w:rPr>
                <w:rFonts w:eastAsia="Times New Roman" w:cs="Times New Roman"/>
                <w:bCs/>
                <w:color w:val="000000"/>
                <w:sz w:val="20"/>
                <w:szCs w:val="20"/>
              </w:rPr>
              <w:t xml:space="preserve"> 1. Հարկային եկամուտներ և պետական տուրքեր</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35120290"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1,158.0</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0EF91A85"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1,258.1</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057B0962"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1,464.3</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5C239665"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1,395.9</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5C4D7775"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1,600.3</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22ECAA62"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1,819.7</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6C513423"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2,027.1</w:t>
            </w:r>
          </w:p>
        </w:tc>
      </w:tr>
      <w:tr w:rsidR="003D408A" w:rsidRPr="003D408A" w14:paraId="5D08B6A0" w14:textId="77777777" w:rsidTr="003D408A">
        <w:trPr>
          <w:trHeight w:val="5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D1F91AC" w14:textId="77777777" w:rsidR="003D408A" w:rsidRPr="003D408A" w:rsidRDefault="003D408A" w:rsidP="003D408A">
            <w:pPr>
              <w:spacing w:before="0" w:after="0" w:line="240" w:lineRule="auto"/>
              <w:ind w:firstLine="0"/>
              <w:jc w:val="left"/>
              <w:rPr>
                <w:rFonts w:eastAsia="Times New Roman" w:cs="Times New Roman"/>
                <w:i/>
                <w:iCs/>
                <w:color w:val="000000"/>
                <w:sz w:val="20"/>
                <w:szCs w:val="20"/>
              </w:rPr>
            </w:pPr>
            <w:r w:rsidRPr="003D408A">
              <w:rPr>
                <w:rFonts w:eastAsia="Times New Roman" w:cs="Times New Roman"/>
                <w:i/>
                <w:iCs/>
                <w:color w:val="000000"/>
                <w:sz w:val="20"/>
                <w:szCs w:val="20"/>
              </w:rPr>
              <w:t xml:space="preserve"> հարաբերությունը ՀՆԱ-ի նկատմամբ (%-ով) </w:t>
            </w:r>
          </w:p>
        </w:tc>
        <w:tc>
          <w:tcPr>
            <w:tcW w:w="960" w:type="dxa"/>
            <w:tcBorders>
              <w:top w:val="nil"/>
              <w:left w:val="nil"/>
              <w:bottom w:val="single" w:sz="4" w:space="0" w:color="auto"/>
              <w:right w:val="single" w:sz="4" w:space="0" w:color="auto"/>
            </w:tcBorders>
            <w:shd w:val="clear" w:color="auto" w:fill="auto"/>
            <w:noWrap/>
            <w:vAlign w:val="center"/>
            <w:hideMark/>
          </w:tcPr>
          <w:p w14:paraId="6F246D9E"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20.8%</w:t>
            </w:r>
          </w:p>
        </w:tc>
        <w:tc>
          <w:tcPr>
            <w:tcW w:w="960" w:type="dxa"/>
            <w:tcBorders>
              <w:top w:val="nil"/>
              <w:left w:val="nil"/>
              <w:bottom w:val="single" w:sz="4" w:space="0" w:color="auto"/>
              <w:right w:val="single" w:sz="4" w:space="0" w:color="auto"/>
            </w:tcBorders>
            <w:shd w:val="clear" w:color="auto" w:fill="auto"/>
            <w:noWrap/>
            <w:vAlign w:val="center"/>
            <w:hideMark/>
          </w:tcPr>
          <w:p w14:paraId="638E3A29"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20.9%</w:t>
            </w:r>
          </w:p>
        </w:tc>
        <w:tc>
          <w:tcPr>
            <w:tcW w:w="960" w:type="dxa"/>
            <w:tcBorders>
              <w:top w:val="nil"/>
              <w:left w:val="nil"/>
              <w:bottom w:val="single" w:sz="4" w:space="0" w:color="auto"/>
              <w:right w:val="single" w:sz="4" w:space="0" w:color="auto"/>
            </w:tcBorders>
            <w:shd w:val="clear" w:color="auto" w:fill="auto"/>
            <w:noWrap/>
            <w:vAlign w:val="center"/>
            <w:hideMark/>
          </w:tcPr>
          <w:p w14:paraId="625A2929"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22.3%</w:t>
            </w:r>
          </w:p>
        </w:tc>
        <w:tc>
          <w:tcPr>
            <w:tcW w:w="960" w:type="dxa"/>
            <w:tcBorders>
              <w:top w:val="nil"/>
              <w:left w:val="nil"/>
              <w:bottom w:val="single" w:sz="4" w:space="0" w:color="auto"/>
              <w:right w:val="single" w:sz="4" w:space="0" w:color="auto"/>
            </w:tcBorders>
            <w:shd w:val="clear" w:color="auto" w:fill="auto"/>
            <w:noWrap/>
            <w:vAlign w:val="center"/>
            <w:hideMark/>
          </w:tcPr>
          <w:p w14:paraId="37E9E3CF"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21.5%</w:t>
            </w:r>
          </w:p>
        </w:tc>
        <w:tc>
          <w:tcPr>
            <w:tcW w:w="960" w:type="dxa"/>
            <w:tcBorders>
              <w:top w:val="nil"/>
              <w:left w:val="nil"/>
              <w:bottom w:val="single" w:sz="4" w:space="0" w:color="auto"/>
              <w:right w:val="single" w:sz="4" w:space="0" w:color="auto"/>
            </w:tcBorders>
            <w:shd w:val="clear" w:color="auto" w:fill="auto"/>
            <w:noWrap/>
            <w:vAlign w:val="center"/>
            <w:hideMark/>
          </w:tcPr>
          <w:p w14:paraId="22D554D7"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22.4%</w:t>
            </w:r>
          </w:p>
        </w:tc>
        <w:tc>
          <w:tcPr>
            <w:tcW w:w="960" w:type="dxa"/>
            <w:tcBorders>
              <w:top w:val="nil"/>
              <w:left w:val="nil"/>
              <w:bottom w:val="single" w:sz="4" w:space="0" w:color="auto"/>
              <w:right w:val="single" w:sz="4" w:space="0" w:color="auto"/>
            </w:tcBorders>
            <w:shd w:val="clear" w:color="auto" w:fill="auto"/>
            <w:noWrap/>
            <w:vAlign w:val="center"/>
            <w:hideMark/>
          </w:tcPr>
          <w:p w14:paraId="6D24915F"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23.2%</w:t>
            </w:r>
          </w:p>
        </w:tc>
        <w:tc>
          <w:tcPr>
            <w:tcW w:w="960" w:type="dxa"/>
            <w:tcBorders>
              <w:top w:val="nil"/>
              <w:left w:val="nil"/>
              <w:bottom w:val="single" w:sz="4" w:space="0" w:color="auto"/>
              <w:right w:val="single" w:sz="4" w:space="0" w:color="auto"/>
            </w:tcBorders>
            <w:shd w:val="clear" w:color="auto" w:fill="auto"/>
            <w:noWrap/>
            <w:vAlign w:val="center"/>
            <w:hideMark/>
          </w:tcPr>
          <w:p w14:paraId="2EE9DE7A"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23.6%</w:t>
            </w:r>
          </w:p>
        </w:tc>
      </w:tr>
      <w:tr w:rsidR="003D408A" w:rsidRPr="003D408A" w14:paraId="64DA8173" w14:textId="77777777" w:rsidTr="003D408A">
        <w:trPr>
          <w:trHeight w:val="5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252FCD4" w14:textId="77777777" w:rsidR="003D408A" w:rsidRPr="003D408A" w:rsidRDefault="003D408A" w:rsidP="003D408A">
            <w:pPr>
              <w:spacing w:before="0" w:after="0" w:line="240" w:lineRule="auto"/>
              <w:ind w:firstLine="0"/>
              <w:jc w:val="left"/>
              <w:rPr>
                <w:rFonts w:eastAsia="Times New Roman" w:cs="Times New Roman"/>
                <w:i/>
                <w:iCs/>
                <w:color w:val="000000"/>
                <w:sz w:val="20"/>
                <w:szCs w:val="20"/>
              </w:rPr>
            </w:pPr>
            <w:r w:rsidRPr="003D408A">
              <w:rPr>
                <w:rFonts w:eastAsia="Times New Roman" w:cs="Times New Roman"/>
                <w:i/>
                <w:iCs/>
                <w:color w:val="000000"/>
                <w:sz w:val="20"/>
                <w:szCs w:val="20"/>
              </w:rPr>
              <w:t xml:space="preserve"> տոկոսով ընդհանուրի նկատմամբ </w:t>
            </w:r>
          </w:p>
        </w:tc>
        <w:tc>
          <w:tcPr>
            <w:tcW w:w="960" w:type="dxa"/>
            <w:tcBorders>
              <w:top w:val="nil"/>
              <w:left w:val="nil"/>
              <w:bottom w:val="single" w:sz="4" w:space="0" w:color="auto"/>
              <w:right w:val="single" w:sz="4" w:space="0" w:color="auto"/>
            </w:tcBorders>
            <w:shd w:val="clear" w:color="auto" w:fill="auto"/>
            <w:noWrap/>
            <w:vAlign w:val="center"/>
            <w:hideMark/>
          </w:tcPr>
          <w:p w14:paraId="34BA2FA7"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93.6%</w:t>
            </w:r>
          </w:p>
        </w:tc>
        <w:tc>
          <w:tcPr>
            <w:tcW w:w="960" w:type="dxa"/>
            <w:tcBorders>
              <w:top w:val="nil"/>
              <w:left w:val="nil"/>
              <w:bottom w:val="single" w:sz="4" w:space="0" w:color="auto"/>
              <w:right w:val="single" w:sz="4" w:space="0" w:color="auto"/>
            </w:tcBorders>
            <w:shd w:val="clear" w:color="auto" w:fill="auto"/>
            <w:noWrap/>
            <w:vAlign w:val="center"/>
            <w:hideMark/>
          </w:tcPr>
          <w:p w14:paraId="65C2DCF4"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93.8%</w:t>
            </w:r>
          </w:p>
        </w:tc>
        <w:tc>
          <w:tcPr>
            <w:tcW w:w="960" w:type="dxa"/>
            <w:tcBorders>
              <w:top w:val="nil"/>
              <w:left w:val="nil"/>
              <w:bottom w:val="single" w:sz="4" w:space="0" w:color="auto"/>
              <w:right w:val="single" w:sz="4" w:space="0" w:color="auto"/>
            </w:tcBorders>
            <w:shd w:val="clear" w:color="auto" w:fill="auto"/>
            <w:noWrap/>
            <w:vAlign w:val="center"/>
            <w:hideMark/>
          </w:tcPr>
          <w:p w14:paraId="7FA35AD2"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93.5%</w:t>
            </w:r>
          </w:p>
        </w:tc>
        <w:tc>
          <w:tcPr>
            <w:tcW w:w="960" w:type="dxa"/>
            <w:tcBorders>
              <w:top w:val="nil"/>
              <w:left w:val="nil"/>
              <w:bottom w:val="single" w:sz="4" w:space="0" w:color="auto"/>
              <w:right w:val="single" w:sz="4" w:space="0" w:color="auto"/>
            </w:tcBorders>
            <w:shd w:val="clear" w:color="auto" w:fill="auto"/>
            <w:noWrap/>
            <w:vAlign w:val="center"/>
            <w:hideMark/>
          </w:tcPr>
          <w:p w14:paraId="38E036DB"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93.8%</w:t>
            </w:r>
          </w:p>
        </w:tc>
        <w:tc>
          <w:tcPr>
            <w:tcW w:w="960" w:type="dxa"/>
            <w:tcBorders>
              <w:top w:val="nil"/>
              <w:left w:val="nil"/>
              <w:bottom w:val="single" w:sz="4" w:space="0" w:color="auto"/>
              <w:right w:val="single" w:sz="4" w:space="0" w:color="auto"/>
            </w:tcBorders>
            <w:shd w:val="clear" w:color="auto" w:fill="auto"/>
            <w:noWrap/>
            <w:vAlign w:val="center"/>
            <w:hideMark/>
          </w:tcPr>
          <w:p w14:paraId="0CA5401C"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95.8%</w:t>
            </w:r>
          </w:p>
        </w:tc>
        <w:tc>
          <w:tcPr>
            <w:tcW w:w="960" w:type="dxa"/>
            <w:tcBorders>
              <w:top w:val="nil"/>
              <w:left w:val="nil"/>
              <w:bottom w:val="single" w:sz="4" w:space="0" w:color="auto"/>
              <w:right w:val="single" w:sz="4" w:space="0" w:color="auto"/>
            </w:tcBorders>
            <w:shd w:val="clear" w:color="auto" w:fill="auto"/>
            <w:noWrap/>
            <w:vAlign w:val="center"/>
            <w:hideMark/>
          </w:tcPr>
          <w:p w14:paraId="3A992FC3"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96.5%</w:t>
            </w:r>
          </w:p>
        </w:tc>
        <w:tc>
          <w:tcPr>
            <w:tcW w:w="960" w:type="dxa"/>
            <w:tcBorders>
              <w:top w:val="nil"/>
              <w:left w:val="nil"/>
              <w:bottom w:val="single" w:sz="4" w:space="0" w:color="auto"/>
              <w:right w:val="single" w:sz="4" w:space="0" w:color="auto"/>
            </w:tcBorders>
            <w:shd w:val="clear" w:color="auto" w:fill="auto"/>
            <w:noWrap/>
            <w:vAlign w:val="center"/>
            <w:hideMark/>
          </w:tcPr>
          <w:p w14:paraId="21CA3185"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97.3%</w:t>
            </w:r>
          </w:p>
        </w:tc>
      </w:tr>
      <w:tr w:rsidR="003D408A" w:rsidRPr="003D408A" w14:paraId="0D51D82D" w14:textId="77777777" w:rsidTr="003D408A">
        <w:trPr>
          <w:trHeight w:val="300"/>
        </w:trPr>
        <w:tc>
          <w:tcPr>
            <w:tcW w:w="320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2DA4F338" w14:textId="77777777" w:rsidR="003D408A" w:rsidRPr="003D408A" w:rsidRDefault="003D408A" w:rsidP="003D408A">
            <w:pPr>
              <w:spacing w:before="0" w:after="0" w:line="240" w:lineRule="auto"/>
              <w:ind w:firstLine="0"/>
              <w:jc w:val="left"/>
              <w:rPr>
                <w:rFonts w:eastAsia="Times New Roman" w:cs="Times New Roman"/>
                <w:color w:val="000000"/>
                <w:sz w:val="20"/>
                <w:szCs w:val="20"/>
              </w:rPr>
            </w:pPr>
            <w:r w:rsidRPr="003D408A">
              <w:rPr>
                <w:rFonts w:eastAsia="Times New Roman" w:cs="Times New Roman"/>
                <w:bCs/>
                <w:color w:val="000000"/>
                <w:sz w:val="20"/>
                <w:szCs w:val="20"/>
              </w:rPr>
              <w:t xml:space="preserve"> 2. Այլ եկամուտներ </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2C13680A"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65.2</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7F8B000D"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72.4</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128DEA50"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88.8</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6962AEA4"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57.5</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09D2B089"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45.3</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72CB1AE8"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47.9</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74D43DC0"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48.7</w:t>
            </w:r>
          </w:p>
        </w:tc>
      </w:tr>
      <w:tr w:rsidR="003D408A" w:rsidRPr="003D408A" w14:paraId="1C5B2557" w14:textId="77777777" w:rsidTr="003D408A">
        <w:trPr>
          <w:trHeight w:val="5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7DEFFB5" w14:textId="77777777" w:rsidR="003D408A" w:rsidRPr="003D408A" w:rsidRDefault="003D408A" w:rsidP="003D408A">
            <w:pPr>
              <w:spacing w:before="0" w:after="0" w:line="240" w:lineRule="auto"/>
              <w:ind w:firstLine="0"/>
              <w:jc w:val="left"/>
              <w:rPr>
                <w:rFonts w:eastAsia="Times New Roman" w:cs="Times New Roman"/>
                <w:i/>
                <w:iCs/>
                <w:color w:val="000000"/>
                <w:sz w:val="20"/>
                <w:szCs w:val="20"/>
              </w:rPr>
            </w:pPr>
            <w:r w:rsidRPr="003D408A">
              <w:rPr>
                <w:rFonts w:eastAsia="Times New Roman" w:cs="Times New Roman"/>
                <w:i/>
                <w:iCs/>
                <w:color w:val="000000"/>
                <w:sz w:val="20"/>
                <w:szCs w:val="20"/>
              </w:rPr>
              <w:t xml:space="preserve"> հարաբերությունը ՀՆԱ-ի նկատմամբ (%-ով) </w:t>
            </w:r>
          </w:p>
        </w:tc>
        <w:tc>
          <w:tcPr>
            <w:tcW w:w="960" w:type="dxa"/>
            <w:tcBorders>
              <w:top w:val="nil"/>
              <w:left w:val="nil"/>
              <w:bottom w:val="single" w:sz="4" w:space="0" w:color="auto"/>
              <w:right w:val="single" w:sz="4" w:space="0" w:color="auto"/>
            </w:tcBorders>
            <w:shd w:val="clear" w:color="auto" w:fill="auto"/>
            <w:noWrap/>
            <w:vAlign w:val="center"/>
            <w:hideMark/>
          </w:tcPr>
          <w:p w14:paraId="61046F8F"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0238B29F"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54291FEE"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1.4%</w:t>
            </w:r>
          </w:p>
        </w:tc>
        <w:tc>
          <w:tcPr>
            <w:tcW w:w="960" w:type="dxa"/>
            <w:tcBorders>
              <w:top w:val="nil"/>
              <w:left w:val="nil"/>
              <w:bottom w:val="single" w:sz="4" w:space="0" w:color="auto"/>
              <w:right w:val="single" w:sz="4" w:space="0" w:color="auto"/>
            </w:tcBorders>
            <w:shd w:val="clear" w:color="auto" w:fill="auto"/>
            <w:noWrap/>
            <w:vAlign w:val="center"/>
            <w:hideMark/>
          </w:tcPr>
          <w:p w14:paraId="48BAC0B5"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0.9%</w:t>
            </w:r>
          </w:p>
        </w:tc>
        <w:tc>
          <w:tcPr>
            <w:tcW w:w="960" w:type="dxa"/>
            <w:tcBorders>
              <w:top w:val="nil"/>
              <w:left w:val="nil"/>
              <w:bottom w:val="single" w:sz="4" w:space="0" w:color="auto"/>
              <w:right w:val="single" w:sz="4" w:space="0" w:color="auto"/>
            </w:tcBorders>
            <w:shd w:val="clear" w:color="auto" w:fill="auto"/>
            <w:noWrap/>
            <w:vAlign w:val="center"/>
            <w:hideMark/>
          </w:tcPr>
          <w:p w14:paraId="3F7FC907"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0.6%</w:t>
            </w:r>
          </w:p>
        </w:tc>
        <w:tc>
          <w:tcPr>
            <w:tcW w:w="960" w:type="dxa"/>
            <w:tcBorders>
              <w:top w:val="nil"/>
              <w:left w:val="nil"/>
              <w:bottom w:val="single" w:sz="4" w:space="0" w:color="auto"/>
              <w:right w:val="single" w:sz="4" w:space="0" w:color="auto"/>
            </w:tcBorders>
            <w:shd w:val="clear" w:color="auto" w:fill="auto"/>
            <w:noWrap/>
            <w:vAlign w:val="center"/>
            <w:hideMark/>
          </w:tcPr>
          <w:p w14:paraId="244FF340"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0.6%</w:t>
            </w:r>
          </w:p>
        </w:tc>
        <w:tc>
          <w:tcPr>
            <w:tcW w:w="960" w:type="dxa"/>
            <w:tcBorders>
              <w:top w:val="nil"/>
              <w:left w:val="nil"/>
              <w:bottom w:val="single" w:sz="4" w:space="0" w:color="auto"/>
              <w:right w:val="single" w:sz="4" w:space="0" w:color="auto"/>
            </w:tcBorders>
            <w:shd w:val="clear" w:color="auto" w:fill="auto"/>
            <w:noWrap/>
            <w:vAlign w:val="center"/>
            <w:hideMark/>
          </w:tcPr>
          <w:p w14:paraId="2A33B2B2"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0.6%</w:t>
            </w:r>
          </w:p>
        </w:tc>
      </w:tr>
      <w:tr w:rsidR="003D408A" w:rsidRPr="003D408A" w14:paraId="4434DBBC" w14:textId="77777777" w:rsidTr="003D408A">
        <w:trPr>
          <w:trHeight w:val="5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FB449CD" w14:textId="77777777" w:rsidR="003D408A" w:rsidRPr="003D408A" w:rsidRDefault="003D408A" w:rsidP="003D408A">
            <w:pPr>
              <w:spacing w:before="0" w:after="0" w:line="240" w:lineRule="auto"/>
              <w:ind w:firstLine="0"/>
              <w:jc w:val="left"/>
              <w:rPr>
                <w:rFonts w:eastAsia="Times New Roman" w:cs="Times New Roman"/>
                <w:i/>
                <w:iCs/>
                <w:color w:val="000000"/>
                <w:sz w:val="20"/>
                <w:szCs w:val="20"/>
              </w:rPr>
            </w:pPr>
            <w:r w:rsidRPr="003D408A">
              <w:rPr>
                <w:rFonts w:eastAsia="Times New Roman" w:cs="Times New Roman"/>
                <w:i/>
                <w:iCs/>
                <w:color w:val="000000"/>
                <w:sz w:val="20"/>
                <w:szCs w:val="20"/>
              </w:rPr>
              <w:t xml:space="preserve"> տոկոսով ընդհանուրի նկատմամբ </w:t>
            </w:r>
          </w:p>
        </w:tc>
        <w:tc>
          <w:tcPr>
            <w:tcW w:w="960" w:type="dxa"/>
            <w:tcBorders>
              <w:top w:val="nil"/>
              <w:left w:val="nil"/>
              <w:bottom w:val="single" w:sz="4" w:space="0" w:color="auto"/>
              <w:right w:val="single" w:sz="4" w:space="0" w:color="auto"/>
            </w:tcBorders>
            <w:shd w:val="clear" w:color="auto" w:fill="auto"/>
            <w:noWrap/>
            <w:vAlign w:val="center"/>
            <w:hideMark/>
          </w:tcPr>
          <w:p w14:paraId="72803D73"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5.3%</w:t>
            </w:r>
          </w:p>
        </w:tc>
        <w:tc>
          <w:tcPr>
            <w:tcW w:w="960" w:type="dxa"/>
            <w:tcBorders>
              <w:top w:val="nil"/>
              <w:left w:val="nil"/>
              <w:bottom w:val="single" w:sz="4" w:space="0" w:color="auto"/>
              <w:right w:val="single" w:sz="4" w:space="0" w:color="auto"/>
            </w:tcBorders>
            <w:shd w:val="clear" w:color="auto" w:fill="auto"/>
            <w:noWrap/>
            <w:vAlign w:val="center"/>
            <w:hideMark/>
          </w:tcPr>
          <w:p w14:paraId="3CC247E8"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5.4%</w:t>
            </w:r>
          </w:p>
        </w:tc>
        <w:tc>
          <w:tcPr>
            <w:tcW w:w="960" w:type="dxa"/>
            <w:tcBorders>
              <w:top w:val="nil"/>
              <w:left w:val="nil"/>
              <w:bottom w:val="single" w:sz="4" w:space="0" w:color="auto"/>
              <w:right w:val="single" w:sz="4" w:space="0" w:color="auto"/>
            </w:tcBorders>
            <w:shd w:val="clear" w:color="auto" w:fill="auto"/>
            <w:noWrap/>
            <w:vAlign w:val="center"/>
            <w:hideMark/>
          </w:tcPr>
          <w:p w14:paraId="044D751D"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5.7%</w:t>
            </w:r>
          </w:p>
        </w:tc>
        <w:tc>
          <w:tcPr>
            <w:tcW w:w="960" w:type="dxa"/>
            <w:tcBorders>
              <w:top w:val="nil"/>
              <w:left w:val="nil"/>
              <w:bottom w:val="single" w:sz="4" w:space="0" w:color="auto"/>
              <w:right w:val="single" w:sz="4" w:space="0" w:color="auto"/>
            </w:tcBorders>
            <w:shd w:val="clear" w:color="auto" w:fill="auto"/>
            <w:noWrap/>
            <w:vAlign w:val="center"/>
            <w:hideMark/>
          </w:tcPr>
          <w:p w14:paraId="2A92873E"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3.9%</w:t>
            </w:r>
          </w:p>
        </w:tc>
        <w:tc>
          <w:tcPr>
            <w:tcW w:w="960" w:type="dxa"/>
            <w:tcBorders>
              <w:top w:val="nil"/>
              <w:left w:val="nil"/>
              <w:bottom w:val="single" w:sz="4" w:space="0" w:color="auto"/>
              <w:right w:val="single" w:sz="4" w:space="0" w:color="auto"/>
            </w:tcBorders>
            <w:shd w:val="clear" w:color="auto" w:fill="auto"/>
            <w:noWrap/>
            <w:vAlign w:val="center"/>
            <w:hideMark/>
          </w:tcPr>
          <w:p w14:paraId="525B27B8"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2.7%</w:t>
            </w:r>
          </w:p>
        </w:tc>
        <w:tc>
          <w:tcPr>
            <w:tcW w:w="960" w:type="dxa"/>
            <w:tcBorders>
              <w:top w:val="nil"/>
              <w:left w:val="nil"/>
              <w:bottom w:val="single" w:sz="4" w:space="0" w:color="auto"/>
              <w:right w:val="single" w:sz="4" w:space="0" w:color="auto"/>
            </w:tcBorders>
            <w:shd w:val="clear" w:color="auto" w:fill="auto"/>
            <w:noWrap/>
            <w:vAlign w:val="center"/>
            <w:hideMark/>
          </w:tcPr>
          <w:p w14:paraId="0E0FA1A7"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2.5%</w:t>
            </w:r>
          </w:p>
        </w:tc>
        <w:tc>
          <w:tcPr>
            <w:tcW w:w="960" w:type="dxa"/>
            <w:tcBorders>
              <w:top w:val="nil"/>
              <w:left w:val="nil"/>
              <w:bottom w:val="single" w:sz="4" w:space="0" w:color="auto"/>
              <w:right w:val="single" w:sz="4" w:space="0" w:color="auto"/>
            </w:tcBorders>
            <w:shd w:val="clear" w:color="auto" w:fill="auto"/>
            <w:noWrap/>
            <w:vAlign w:val="center"/>
            <w:hideMark/>
          </w:tcPr>
          <w:p w14:paraId="08B9350D"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2.3%</w:t>
            </w:r>
          </w:p>
        </w:tc>
      </w:tr>
      <w:tr w:rsidR="003D408A" w:rsidRPr="003D408A" w14:paraId="348F1193" w14:textId="77777777" w:rsidTr="003D408A">
        <w:trPr>
          <w:trHeight w:val="540"/>
        </w:trPr>
        <w:tc>
          <w:tcPr>
            <w:tcW w:w="320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ADE94FD" w14:textId="77777777" w:rsidR="003D408A" w:rsidRPr="003D408A" w:rsidRDefault="003D408A" w:rsidP="003D408A">
            <w:pPr>
              <w:spacing w:before="0" w:after="0" w:line="240" w:lineRule="auto"/>
              <w:ind w:firstLine="0"/>
              <w:jc w:val="left"/>
              <w:rPr>
                <w:rFonts w:eastAsia="Times New Roman" w:cs="Times New Roman"/>
                <w:color w:val="000000"/>
                <w:sz w:val="20"/>
                <w:szCs w:val="20"/>
              </w:rPr>
            </w:pPr>
            <w:r w:rsidRPr="003D408A">
              <w:rPr>
                <w:rFonts w:eastAsia="Times New Roman" w:cs="Times New Roman"/>
                <w:bCs/>
                <w:color w:val="000000"/>
                <w:sz w:val="20"/>
                <w:szCs w:val="20"/>
              </w:rPr>
              <w:t xml:space="preserve"> 3. Պաշտոնական դրամաշնորհներ </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080671A6"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14.6</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7A42A892"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11.2</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6A49DCE0"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12.4</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2EAB76AF"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35.3</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02F4F457"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24.3</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0A4E5C24"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18.4</w:t>
            </w:r>
          </w:p>
        </w:tc>
        <w:tc>
          <w:tcPr>
            <w:tcW w:w="960" w:type="dxa"/>
            <w:tcBorders>
              <w:top w:val="nil"/>
              <w:left w:val="nil"/>
              <w:bottom w:val="single" w:sz="4" w:space="0" w:color="auto"/>
              <w:right w:val="single" w:sz="4" w:space="0" w:color="auto"/>
            </w:tcBorders>
            <w:shd w:val="clear" w:color="auto" w:fill="C6D9F1" w:themeFill="text2" w:themeFillTint="33"/>
            <w:noWrap/>
            <w:vAlign w:val="center"/>
            <w:hideMark/>
          </w:tcPr>
          <w:p w14:paraId="7B317CD6"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7.1</w:t>
            </w:r>
          </w:p>
        </w:tc>
      </w:tr>
      <w:tr w:rsidR="003D408A" w:rsidRPr="003D408A" w14:paraId="2FDB9440" w14:textId="77777777" w:rsidTr="003D408A">
        <w:trPr>
          <w:trHeight w:val="5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FA1F80F" w14:textId="77777777" w:rsidR="003D408A" w:rsidRPr="003D408A" w:rsidRDefault="003D408A" w:rsidP="003D408A">
            <w:pPr>
              <w:spacing w:before="0" w:after="0" w:line="240" w:lineRule="auto"/>
              <w:ind w:firstLine="0"/>
              <w:jc w:val="left"/>
              <w:rPr>
                <w:rFonts w:eastAsia="Times New Roman" w:cs="Times New Roman"/>
                <w:i/>
                <w:iCs/>
                <w:color w:val="000000"/>
                <w:sz w:val="20"/>
                <w:szCs w:val="20"/>
              </w:rPr>
            </w:pPr>
            <w:r w:rsidRPr="003D408A">
              <w:rPr>
                <w:rFonts w:eastAsia="Times New Roman" w:cs="Times New Roman"/>
                <w:i/>
                <w:iCs/>
                <w:color w:val="000000"/>
                <w:sz w:val="20"/>
                <w:szCs w:val="20"/>
              </w:rPr>
              <w:t xml:space="preserve"> հարաբերությունը ՀՆԱ-ի նկատմամբ (%-ով) </w:t>
            </w:r>
          </w:p>
        </w:tc>
        <w:tc>
          <w:tcPr>
            <w:tcW w:w="960" w:type="dxa"/>
            <w:tcBorders>
              <w:top w:val="nil"/>
              <w:left w:val="nil"/>
              <w:bottom w:val="single" w:sz="4" w:space="0" w:color="auto"/>
              <w:right w:val="single" w:sz="4" w:space="0" w:color="auto"/>
            </w:tcBorders>
            <w:shd w:val="clear" w:color="auto" w:fill="auto"/>
            <w:noWrap/>
            <w:vAlign w:val="center"/>
            <w:hideMark/>
          </w:tcPr>
          <w:p w14:paraId="33B6587A"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0.3%</w:t>
            </w:r>
          </w:p>
        </w:tc>
        <w:tc>
          <w:tcPr>
            <w:tcW w:w="960" w:type="dxa"/>
            <w:tcBorders>
              <w:top w:val="nil"/>
              <w:left w:val="nil"/>
              <w:bottom w:val="single" w:sz="4" w:space="0" w:color="auto"/>
              <w:right w:val="single" w:sz="4" w:space="0" w:color="auto"/>
            </w:tcBorders>
            <w:shd w:val="clear" w:color="auto" w:fill="auto"/>
            <w:noWrap/>
            <w:vAlign w:val="center"/>
            <w:hideMark/>
          </w:tcPr>
          <w:p w14:paraId="756D1210"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0.2%</w:t>
            </w:r>
          </w:p>
        </w:tc>
        <w:tc>
          <w:tcPr>
            <w:tcW w:w="960" w:type="dxa"/>
            <w:tcBorders>
              <w:top w:val="nil"/>
              <w:left w:val="nil"/>
              <w:bottom w:val="single" w:sz="4" w:space="0" w:color="auto"/>
              <w:right w:val="single" w:sz="4" w:space="0" w:color="auto"/>
            </w:tcBorders>
            <w:shd w:val="clear" w:color="auto" w:fill="auto"/>
            <w:noWrap/>
            <w:vAlign w:val="center"/>
            <w:hideMark/>
          </w:tcPr>
          <w:p w14:paraId="745AF688"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0.2%</w:t>
            </w:r>
          </w:p>
        </w:tc>
        <w:tc>
          <w:tcPr>
            <w:tcW w:w="960" w:type="dxa"/>
            <w:tcBorders>
              <w:top w:val="nil"/>
              <w:left w:val="nil"/>
              <w:bottom w:val="single" w:sz="4" w:space="0" w:color="auto"/>
              <w:right w:val="single" w:sz="4" w:space="0" w:color="auto"/>
            </w:tcBorders>
            <w:shd w:val="clear" w:color="auto" w:fill="auto"/>
            <w:noWrap/>
            <w:vAlign w:val="center"/>
            <w:hideMark/>
          </w:tcPr>
          <w:p w14:paraId="60B0B006"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0.5%</w:t>
            </w:r>
          </w:p>
        </w:tc>
        <w:tc>
          <w:tcPr>
            <w:tcW w:w="960" w:type="dxa"/>
            <w:tcBorders>
              <w:top w:val="nil"/>
              <w:left w:val="nil"/>
              <w:bottom w:val="single" w:sz="4" w:space="0" w:color="auto"/>
              <w:right w:val="single" w:sz="4" w:space="0" w:color="auto"/>
            </w:tcBorders>
            <w:shd w:val="clear" w:color="auto" w:fill="auto"/>
            <w:noWrap/>
            <w:vAlign w:val="center"/>
            <w:hideMark/>
          </w:tcPr>
          <w:p w14:paraId="755DB051"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0.3%</w:t>
            </w:r>
          </w:p>
        </w:tc>
        <w:tc>
          <w:tcPr>
            <w:tcW w:w="960" w:type="dxa"/>
            <w:tcBorders>
              <w:top w:val="nil"/>
              <w:left w:val="nil"/>
              <w:bottom w:val="single" w:sz="4" w:space="0" w:color="auto"/>
              <w:right w:val="single" w:sz="4" w:space="0" w:color="auto"/>
            </w:tcBorders>
            <w:shd w:val="clear" w:color="auto" w:fill="auto"/>
            <w:noWrap/>
            <w:vAlign w:val="center"/>
            <w:hideMark/>
          </w:tcPr>
          <w:p w14:paraId="264200F9"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0.2%</w:t>
            </w:r>
          </w:p>
        </w:tc>
        <w:tc>
          <w:tcPr>
            <w:tcW w:w="960" w:type="dxa"/>
            <w:tcBorders>
              <w:top w:val="nil"/>
              <w:left w:val="nil"/>
              <w:bottom w:val="single" w:sz="4" w:space="0" w:color="auto"/>
              <w:right w:val="single" w:sz="4" w:space="0" w:color="auto"/>
            </w:tcBorders>
            <w:shd w:val="clear" w:color="auto" w:fill="auto"/>
            <w:noWrap/>
            <w:vAlign w:val="center"/>
            <w:hideMark/>
          </w:tcPr>
          <w:p w14:paraId="4D2C1983"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0.1%</w:t>
            </w:r>
          </w:p>
        </w:tc>
      </w:tr>
      <w:tr w:rsidR="003D408A" w:rsidRPr="003D408A" w14:paraId="05AE809A" w14:textId="77777777" w:rsidTr="003D408A">
        <w:trPr>
          <w:trHeight w:val="540"/>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5D3370A" w14:textId="77777777" w:rsidR="003D408A" w:rsidRPr="003D408A" w:rsidRDefault="003D408A" w:rsidP="003D408A">
            <w:pPr>
              <w:spacing w:before="0" w:after="0" w:line="240" w:lineRule="auto"/>
              <w:ind w:firstLine="0"/>
              <w:jc w:val="left"/>
              <w:rPr>
                <w:rFonts w:eastAsia="Times New Roman" w:cs="Times New Roman"/>
                <w:i/>
                <w:iCs/>
                <w:color w:val="000000"/>
                <w:sz w:val="20"/>
                <w:szCs w:val="20"/>
              </w:rPr>
            </w:pPr>
            <w:r w:rsidRPr="003D408A">
              <w:rPr>
                <w:rFonts w:eastAsia="Times New Roman" w:cs="Times New Roman"/>
                <w:i/>
                <w:iCs/>
                <w:color w:val="000000"/>
                <w:sz w:val="20"/>
                <w:szCs w:val="20"/>
              </w:rPr>
              <w:t xml:space="preserve"> տոկոսով ընդհանուրի նկատմամբ </w:t>
            </w:r>
          </w:p>
        </w:tc>
        <w:tc>
          <w:tcPr>
            <w:tcW w:w="960" w:type="dxa"/>
            <w:tcBorders>
              <w:top w:val="nil"/>
              <w:left w:val="nil"/>
              <w:bottom w:val="single" w:sz="4" w:space="0" w:color="auto"/>
              <w:right w:val="single" w:sz="4" w:space="0" w:color="auto"/>
            </w:tcBorders>
            <w:shd w:val="clear" w:color="auto" w:fill="auto"/>
            <w:noWrap/>
            <w:vAlign w:val="center"/>
            <w:hideMark/>
          </w:tcPr>
          <w:p w14:paraId="62F341AA"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292AF817"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0.8%</w:t>
            </w:r>
          </w:p>
        </w:tc>
        <w:tc>
          <w:tcPr>
            <w:tcW w:w="960" w:type="dxa"/>
            <w:tcBorders>
              <w:top w:val="nil"/>
              <w:left w:val="nil"/>
              <w:bottom w:val="single" w:sz="4" w:space="0" w:color="auto"/>
              <w:right w:val="single" w:sz="4" w:space="0" w:color="auto"/>
            </w:tcBorders>
            <w:shd w:val="clear" w:color="auto" w:fill="auto"/>
            <w:noWrap/>
            <w:vAlign w:val="center"/>
            <w:hideMark/>
          </w:tcPr>
          <w:p w14:paraId="707C6252"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0.8%</w:t>
            </w:r>
          </w:p>
        </w:tc>
        <w:tc>
          <w:tcPr>
            <w:tcW w:w="960" w:type="dxa"/>
            <w:tcBorders>
              <w:top w:val="nil"/>
              <w:left w:val="nil"/>
              <w:bottom w:val="single" w:sz="4" w:space="0" w:color="auto"/>
              <w:right w:val="single" w:sz="4" w:space="0" w:color="auto"/>
            </w:tcBorders>
            <w:shd w:val="clear" w:color="auto" w:fill="auto"/>
            <w:noWrap/>
            <w:vAlign w:val="center"/>
            <w:hideMark/>
          </w:tcPr>
          <w:p w14:paraId="6ED4C711"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2.4%</w:t>
            </w:r>
          </w:p>
        </w:tc>
        <w:tc>
          <w:tcPr>
            <w:tcW w:w="960" w:type="dxa"/>
            <w:tcBorders>
              <w:top w:val="nil"/>
              <w:left w:val="nil"/>
              <w:bottom w:val="single" w:sz="4" w:space="0" w:color="auto"/>
              <w:right w:val="single" w:sz="4" w:space="0" w:color="auto"/>
            </w:tcBorders>
            <w:shd w:val="clear" w:color="auto" w:fill="auto"/>
            <w:noWrap/>
            <w:vAlign w:val="center"/>
            <w:hideMark/>
          </w:tcPr>
          <w:p w14:paraId="73E5CAF0"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1.5%</w:t>
            </w:r>
          </w:p>
        </w:tc>
        <w:tc>
          <w:tcPr>
            <w:tcW w:w="960" w:type="dxa"/>
            <w:tcBorders>
              <w:top w:val="nil"/>
              <w:left w:val="nil"/>
              <w:bottom w:val="single" w:sz="4" w:space="0" w:color="auto"/>
              <w:right w:val="single" w:sz="4" w:space="0" w:color="auto"/>
            </w:tcBorders>
            <w:shd w:val="clear" w:color="auto" w:fill="auto"/>
            <w:noWrap/>
            <w:vAlign w:val="center"/>
            <w:hideMark/>
          </w:tcPr>
          <w:p w14:paraId="51A74B74"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1.0%</w:t>
            </w:r>
          </w:p>
        </w:tc>
        <w:tc>
          <w:tcPr>
            <w:tcW w:w="960" w:type="dxa"/>
            <w:tcBorders>
              <w:top w:val="nil"/>
              <w:left w:val="nil"/>
              <w:bottom w:val="single" w:sz="4" w:space="0" w:color="auto"/>
              <w:right w:val="single" w:sz="4" w:space="0" w:color="auto"/>
            </w:tcBorders>
            <w:shd w:val="clear" w:color="auto" w:fill="auto"/>
            <w:noWrap/>
            <w:vAlign w:val="center"/>
            <w:hideMark/>
          </w:tcPr>
          <w:p w14:paraId="1A067B22" w14:textId="77777777" w:rsidR="003D408A" w:rsidRPr="003D408A" w:rsidRDefault="003D408A" w:rsidP="003D408A">
            <w:pPr>
              <w:spacing w:before="0" w:after="0" w:line="240" w:lineRule="auto"/>
              <w:ind w:firstLine="0"/>
              <w:jc w:val="right"/>
              <w:rPr>
                <w:rFonts w:eastAsia="Times New Roman" w:cs="Times New Roman"/>
                <w:color w:val="000000"/>
                <w:sz w:val="20"/>
                <w:szCs w:val="20"/>
              </w:rPr>
            </w:pPr>
            <w:r w:rsidRPr="003D408A">
              <w:rPr>
                <w:rFonts w:eastAsia="Times New Roman" w:cs="Times New Roman"/>
                <w:color w:val="000000"/>
                <w:sz w:val="20"/>
                <w:szCs w:val="20"/>
              </w:rPr>
              <w:t>0.3%</w:t>
            </w:r>
          </w:p>
        </w:tc>
      </w:tr>
    </w:tbl>
    <w:p w14:paraId="12883EBC" w14:textId="77777777" w:rsidR="001D0413" w:rsidRDefault="003D408A" w:rsidP="008F525B">
      <w:pPr>
        <w:spacing w:before="120" w:after="120" w:line="276" w:lineRule="auto"/>
        <w:ind w:firstLine="562"/>
        <w:rPr>
          <w:rFonts w:cs="Sylfaen"/>
          <w:iCs/>
          <w:lang w:val="af-ZA" w:eastAsia="en-GB"/>
        </w:rPr>
      </w:pPr>
      <w:r>
        <w:rPr>
          <w:rFonts w:cs="Sylfaen"/>
          <w:iCs/>
          <w:lang w:val="af-ZA" w:eastAsia="en-GB"/>
        </w:rPr>
        <w:t xml:space="preserve"> </w:t>
      </w:r>
      <w:r w:rsidR="00EB1197">
        <w:rPr>
          <w:rFonts w:cs="Sylfaen"/>
          <w:iCs/>
          <w:lang w:val="af-ZA" w:eastAsia="en-GB"/>
        </w:rPr>
        <w:t xml:space="preserve"> </w:t>
      </w:r>
      <w:r w:rsidR="001D0413">
        <w:rPr>
          <w:rFonts w:cs="Sylfaen"/>
          <w:iCs/>
          <w:lang w:val="af-ZA" w:eastAsia="en-GB"/>
        </w:rPr>
        <w:t>ՀՀ 2021-2023 թվականների պետական բյուջեների եկամուտները ծրագրելիս օգտագործվել են այն մակ</w:t>
      </w:r>
      <w:r w:rsidR="001D0413">
        <w:rPr>
          <w:rFonts w:cs="Sylfaen"/>
          <w:iCs/>
          <w:lang w:val="af-ZA" w:eastAsia="en-GB"/>
        </w:rPr>
        <w:softHyphen/>
        <w:t>րո</w:t>
      </w:r>
      <w:r w:rsidR="001D0413">
        <w:rPr>
          <w:rFonts w:cs="Sylfaen"/>
          <w:iCs/>
          <w:lang w:val="af-ZA" w:eastAsia="en-GB"/>
        </w:rPr>
        <w:softHyphen/>
      </w:r>
      <w:r w:rsidR="001D0413">
        <w:rPr>
          <w:rFonts w:cs="Sylfaen"/>
          <w:iCs/>
          <w:lang w:val="af-ZA" w:eastAsia="en-GB"/>
        </w:rPr>
        <w:softHyphen/>
        <w:t>տնտեսական ցուցանիշների կանխատեսումները, որոնք էական ազդեցություն ունեն ա</w:t>
      </w:r>
      <w:r w:rsidR="001D0413">
        <w:rPr>
          <w:rFonts w:cs="Sylfaen"/>
          <w:iCs/>
          <w:lang w:val="af-ZA" w:eastAsia="en-GB"/>
        </w:rPr>
        <w:softHyphen/>
        <w:t>ռան</w:t>
      </w:r>
      <w:r w:rsidR="001D0413">
        <w:rPr>
          <w:rFonts w:cs="Sylfaen"/>
          <w:iCs/>
          <w:lang w:val="af-ZA" w:eastAsia="en-GB"/>
        </w:rPr>
        <w:softHyphen/>
      </w:r>
      <w:r w:rsidR="001D0413">
        <w:rPr>
          <w:rFonts w:cs="Sylfaen"/>
          <w:iCs/>
          <w:lang w:val="af-ZA" w:eastAsia="en-GB"/>
        </w:rPr>
        <w:softHyphen/>
      </w:r>
      <w:r w:rsidR="001D0413">
        <w:rPr>
          <w:rFonts w:cs="Sylfaen"/>
          <w:iCs/>
          <w:lang w:val="af-ZA" w:eastAsia="en-GB"/>
        </w:rPr>
        <w:softHyphen/>
        <w:t>ձին եկամտա</w:t>
      </w:r>
      <w:r w:rsidR="001D0413">
        <w:rPr>
          <w:rFonts w:cs="Sylfaen"/>
          <w:iCs/>
          <w:lang w:val="af-ZA" w:eastAsia="en-GB"/>
        </w:rPr>
        <w:softHyphen/>
        <w:t>տե</w:t>
      </w:r>
      <w:r w:rsidR="001D0413">
        <w:rPr>
          <w:rFonts w:cs="Sylfaen"/>
          <w:iCs/>
          <w:lang w:val="af-ZA" w:eastAsia="en-GB"/>
        </w:rPr>
        <w:softHyphen/>
        <w:t>սակ</w:t>
      </w:r>
      <w:r w:rsidR="001D0413">
        <w:rPr>
          <w:rFonts w:cs="Sylfaen"/>
          <w:iCs/>
          <w:lang w:val="af-ZA" w:eastAsia="en-GB"/>
        </w:rPr>
        <w:softHyphen/>
      </w:r>
      <w:r w:rsidR="001D0413">
        <w:rPr>
          <w:rFonts w:cs="Sylfaen"/>
          <w:iCs/>
          <w:lang w:val="af-ZA" w:eastAsia="en-GB"/>
        </w:rPr>
        <w:softHyphen/>
        <w:t>ների բազայի ձևավորման կամ հաշվարկման վրա: Առանձին դեպքերում հաշ</w:t>
      </w:r>
      <w:r w:rsidR="001D0413">
        <w:rPr>
          <w:rFonts w:cs="Sylfaen"/>
          <w:iCs/>
          <w:lang w:val="af-ZA" w:eastAsia="en-GB"/>
        </w:rPr>
        <w:softHyphen/>
      </w:r>
      <w:r w:rsidR="001D0413">
        <w:rPr>
          <w:rFonts w:cs="Sylfaen"/>
          <w:iCs/>
          <w:lang w:val="af-ZA" w:eastAsia="en-GB"/>
        </w:rPr>
        <w:softHyphen/>
      </w:r>
      <w:r w:rsidR="001D0413">
        <w:rPr>
          <w:rFonts w:cs="Sylfaen"/>
          <w:iCs/>
          <w:lang w:val="af-ZA" w:eastAsia="en-GB"/>
        </w:rPr>
        <w:softHyphen/>
        <w:t>վի են առնվել նաև պայմանա</w:t>
      </w:r>
      <w:r w:rsidR="001D0413">
        <w:rPr>
          <w:rFonts w:cs="Sylfaen"/>
          <w:iCs/>
          <w:lang w:val="af-ZA" w:eastAsia="en-GB"/>
        </w:rPr>
        <w:softHyphen/>
      </w:r>
      <w:r w:rsidR="001D0413">
        <w:rPr>
          <w:rFonts w:cs="Sylfaen"/>
          <w:iCs/>
          <w:lang w:val="af-ZA" w:eastAsia="en-GB"/>
        </w:rPr>
        <w:softHyphen/>
        <w:t>գրային հարաբերություններով կարգավորվող ցու</w:t>
      </w:r>
      <w:r w:rsidR="001D0413">
        <w:rPr>
          <w:rFonts w:cs="Sylfaen"/>
          <w:iCs/>
          <w:lang w:val="af-ZA" w:eastAsia="en-GB"/>
        </w:rPr>
        <w:softHyphen/>
        <w:t xml:space="preserve">ցանիշները: </w:t>
      </w:r>
    </w:p>
    <w:p w14:paraId="0FDB5AE9" w14:textId="77777777" w:rsidR="001D0413" w:rsidRDefault="001D0413" w:rsidP="008F525B">
      <w:pPr>
        <w:spacing w:line="276" w:lineRule="auto"/>
        <w:ind w:firstLine="562"/>
        <w:rPr>
          <w:rFonts w:cs="Sylfaen"/>
          <w:iCs/>
          <w:lang w:val="af-ZA" w:eastAsia="en-GB"/>
        </w:rPr>
      </w:pPr>
      <w:r>
        <w:rPr>
          <w:rFonts w:cs="Sylfaen"/>
          <w:b/>
          <w:iCs/>
          <w:spacing w:val="40"/>
          <w:lang w:val="af-ZA" w:eastAsia="en-GB"/>
        </w:rPr>
        <w:t>Հարկային եկամուտների գծով</w:t>
      </w:r>
      <w:r>
        <w:rPr>
          <w:rFonts w:cs="Sylfaen"/>
          <w:iCs/>
          <w:lang w:val="af-ZA" w:eastAsia="en-GB"/>
        </w:rPr>
        <w:t xml:space="preserve"> 2021-2023թթ բյու</w:t>
      </w:r>
      <w:r>
        <w:rPr>
          <w:rFonts w:cs="Sylfaen"/>
          <w:iCs/>
          <w:lang w:val="af-ZA" w:eastAsia="en-GB"/>
        </w:rPr>
        <w:softHyphen/>
      </w:r>
      <w:r>
        <w:rPr>
          <w:rFonts w:cs="Sylfaen"/>
          <w:iCs/>
          <w:lang w:val="af-ZA" w:eastAsia="en-GB"/>
        </w:rPr>
        <w:softHyphen/>
        <w:t>ջետային մուտքերը ծրագր</w:t>
      </w:r>
      <w:r>
        <w:rPr>
          <w:rFonts w:cs="Sylfaen"/>
          <w:iCs/>
          <w:lang w:val="af-ZA" w:eastAsia="en-GB"/>
        </w:rPr>
        <w:softHyphen/>
        <w:t>վել են հարկային եկամուտներ/ՀՆԱ ցուցանիշի տա</w:t>
      </w:r>
      <w:r>
        <w:rPr>
          <w:rFonts w:cs="Sylfaen"/>
          <w:iCs/>
          <w:lang w:val="af-ZA" w:eastAsia="en-GB"/>
        </w:rPr>
        <w:softHyphen/>
        <w:t>րե</w:t>
      </w:r>
      <w:r>
        <w:rPr>
          <w:rFonts w:cs="Sylfaen"/>
          <w:iCs/>
          <w:lang w:val="af-ZA" w:eastAsia="en-GB"/>
        </w:rPr>
        <w:softHyphen/>
        <w:t xml:space="preserve">կան </w:t>
      </w:r>
      <w:r w:rsidRPr="00CD32FC">
        <w:rPr>
          <w:rFonts w:cs="Sylfaen"/>
          <w:iCs/>
          <w:lang w:val="af-ZA" w:eastAsia="en-GB"/>
        </w:rPr>
        <w:t>0.</w:t>
      </w:r>
      <w:r w:rsidR="00C5149D">
        <w:rPr>
          <w:rFonts w:cs="Sylfaen"/>
          <w:iCs/>
          <w:lang w:val="af-ZA" w:eastAsia="en-GB"/>
        </w:rPr>
        <w:t>7</w:t>
      </w:r>
      <w:r>
        <w:rPr>
          <w:rFonts w:cs="Sylfaen"/>
          <w:iCs/>
          <w:lang w:val="af-ZA" w:eastAsia="en-GB"/>
        </w:rPr>
        <w:t xml:space="preserve"> տոկոսային կետ աճ ապա</w:t>
      </w:r>
      <w:r>
        <w:rPr>
          <w:rFonts w:cs="Sylfaen"/>
          <w:iCs/>
          <w:lang w:val="af-ZA" w:eastAsia="en-GB"/>
        </w:rPr>
        <w:softHyphen/>
      </w:r>
      <w:r>
        <w:rPr>
          <w:rFonts w:cs="Sylfaen"/>
          <w:iCs/>
          <w:lang w:val="af-ZA" w:eastAsia="en-GB"/>
        </w:rPr>
        <w:softHyphen/>
        <w:t>հովելու սկզբուն</w:t>
      </w:r>
      <w:r>
        <w:rPr>
          <w:rFonts w:cs="Sylfaen"/>
          <w:iCs/>
          <w:lang w:val="af-ZA" w:eastAsia="en-GB"/>
        </w:rPr>
        <w:softHyphen/>
        <w:t>քի հիման վրա:</w:t>
      </w:r>
      <w:r w:rsidR="008F525B">
        <w:rPr>
          <w:rFonts w:cs="Sylfaen"/>
          <w:iCs/>
          <w:lang w:val="af-ZA" w:eastAsia="en-GB"/>
        </w:rPr>
        <w:t xml:space="preserve"> </w:t>
      </w:r>
      <w:r>
        <w:rPr>
          <w:rFonts w:cs="Sylfaen"/>
          <w:iCs/>
          <w:lang w:val="af-ZA" w:eastAsia="en-GB"/>
        </w:rPr>
        <w:t>Հաշվարկներում լրացուցիչ ենթադրվել է, որ հարկերի գծով 2020 թվականի համար հարկային եկամուտներ/ՀՆԱ</w:t>
      </w:r>
      <w:r>
        <w:rPr>
          <w:rFonts w:cs="Sylfaen"/>
          <w:b/>
          <w:iCs/>
          <w:lang w:val="af-ZA" w:eastAsia="en-GB"/>
        </w:rPr>
        <w:t xml:space="preserve"> </w:t>
      </w:r>
      <w:r>
        <w:rPr>
          <w:rFonts w:cs="Sylfaen"/>
          <w:iCs/>
          <w:lang w:val="af-ZA" w:eastAsia="en-GB"/>
        </w:rPr>
        <w:t>ցուցանիշի սպասողական մակարդակը ապա</w:t>
      </w:r>
      <w:r>
        <w:rPr>
          <w:rFonts w:cs="Sylfaen"/>
          <w:iCs/>
          <w:lang w:val="af-ZA" w:eastAsia="en-GB"/>
        </w:rPr>
        <w:softHyphen/>
        <w:t>հո</w:t>
      </w:r>
      <w:r>
        <w:rPr>
          <w:rFonts w:cs="Sylfaen"/>
          <w:iCs/>
          <w:lang w:val="af-ZA" w:eastAsia="en-GB"/>
        </w:rPr>
        <w:softHyphen/>
        <w:t>վե</w:t>
      </w:r>
      <w:r>
        <w:rPr>
          <w:rFonts w:cs="Sylfaen"/>
          <w:iCs/>
          <w:lang w:val="af-ZA" w:eastAsia="en-GB"/>
        </w:rPr>
        <w:softHyphen/>
        <w:t>լու համար բա</w:t>
      </w:r>
      <w:r>
        <w:rPr>
          <w:rFonts w:cs="Sylfaen"/>
          <w:iCs/>
          <w:lang w:val="af-ZA" w:eastAsia="en-GB"/>
        </w:rPr>
        <w:softHyphen/>
      </w:r>
      <w:r>
        <w:rPr>
          <w:rFonts w:cs="Sylfaen"/>
          <w:iCs/>
          <w:lang w:val="af-ZA" w:eastAsia="en-GB"/>
        </w:rPr>
        <w:softHyphen/>
        <w:t>վարար հիմքեր կստեղծեն առկա օրենս</w:t>
      </w:r>
      <w:r>
        <w:rPr>
          <w:rFonts w:cs="Sylfaen"/>
          <w:iCs/>
          <w:lang w:val="af-ZA" w:eastAsia="en-GB"/>
        </w:rPr>
        <w:softHyphen/>
        <w:t>դրա</w:t>
      </w:r>
      <w:r>
        <w:rPr>
          <w:rFonts w:cs="Sylfaen"/>
          <w:iCs/>
          <w:lang w:val="af-ZA" w:eastAsia="en-GB"/>
        </w:rPr>
        <w:softHyphen/>
      </w:r>
      <w:r>
        <w:rPr>
          <w:rFonts w:cs="Sylfaen"/>
          <w:iCs/>
          <w:lang w:val="af-ZA" w:eastAsia="en-GB"/>
        </w:rPr>
        <w:softHyphen/>
        <w:t>կան նա</w:t>
      </w:r>
      <w:r>
        <w:rPr>
          <w:rFonts w:cs="Sylfaen"/>
          <w:iCs/>
          <w:lang w:val="af-ZA" w:eastAsia="en-GB"/>
        </w:rPr>
        <w:softHyphen/>
        <w:t>խադրյալները, կի</w:t>
      </w:r>
      <w:r>
        <w:rPr>
          <w:rFonts w:cs="Sylfaen"/>
          <w:iCs/>
          <w:lang w:val="af-ZA" w:eastAsia="en-GB"/>
        </w:rPr>
        <w:softHyphen/>
        <w:t>րառ</w:t>
      </w:r>
      <w:r>
        <w:rPr>
          <w:rFonts w:cs="Sylfaen"/>
          <w:iCs/>
          <w:lang w:val="af-ZA" w:eastAsia="en-GB"/>
        </w:rPr>
        <w:softHyphen/>
      </w:r>
      <w:r>
        <w:rPr>
          <w:rFonts w:cs="Sylfaen"/>
          <w:iCs/>
          <w:lang w:val="af-ZA" w:eastAsia="en-GB"/>
        </w:rPr>
        <w:softHyphen/>
        <w:t>վելիք վարչարարական միջոցա</w:t>
      </w:r>
      <w:r>
        <w:rPr>
          <w:rFonts w:cs="Sylfaen"/>
          <w:iCs/>
          <w:lang w:val="af-ZA" w:eastAsia="en-GB"/>
        </w:rPr>
        <w:softHyphen/>
        <w:t>ռում</w:t>
      </w:r>
      <w:r>
        <w:rPr>
          <w:rFonts w:cs="Sylfaen"/>
          <w:iCs/>
          <w:lang w:val="af-ZA" w:eastAsia="en-GB"/>
        </w:rPr>
        <w:softHyphen/>
        <w:t>ները, ինչպես նաև մակ</w:t>
      </w:r>
      <w:r>
        <w:rPr>
          <w:rFonts w:cs="Sylfaen"/>
          <w:iCs/>
          <w:lang w:val="af-ZA" w:eastAsia="en-GB"/>
        </w:rPr>
        <w:softHyphen/>
        <w:t>րո</w:t>
      </w:r>
      <w:r>
        <w:rPr>
          <w:rFonts w:cs="Sylfaen"/>
          <w:iCs/>
          <w:lang w:val="af-ZA" w:eastAsia="en-GB"/>
        </w:rPr>
        <w:softHyphen/>
        <w:t>տնտե</w:t>
      </w:r>
      <w:r>
        <w:rPr>
          <w:rFonts w:cs="Sylfaen"/>
          <w:iCs/>
          <w:lang w:val="af-ZA" w:eastAsia="en-GB"/>
        </w:rPr>
        <w:softHyphen/>
        <w:t>սական զար</w:t>
      </w:r>
      <w:r>
        <w:rPr>
          <w:rFonts w:cs="Sylfaen"/>
          <w:iCs/>
          <w:lang w:val="af-ZA" w:eastAsia="en-GB"/>
        </w:rPr>
        <w:softHyphen/>
        <w:t>գա</w:t>
      </w:r>
      <w:r>
        <w:rPr>
          <w:rFonts w:cs="Sylfaen"/>
          <w:iCs/>
          <w:lang w:val="af-ZA" w:eastAsia="en-GB"/>
        </w:rPr>
        <w:softHyphen/>
        <w:t>ցում</w:t>
      </w:r>
      <w:r>
        <w:rPr>
          <w:rFonts w:cs="Sylfaen"/>
          <w:iCs/>
          <w:lang w:val="af-ZA" w:eastAsia="en-GB"/>
        </w:rPr>
        <w:softHyphen/>
        <w:t>նե</w:t>
      </w:r>
      <w:r>
        <w:rPr>
          <w:rFonts w:cs="Sylfaen"/>
          <w:iCs/>
          <w:lang w:val="af-ZA" w:eastAsia="en-GB"/>
        </w:rPr>
        <w:softHyphen/>
        <w:t xml:space="preserve">րը: </w:t>
      </w:r>
    </w:p>
    <w:p w14:paraId="6D3B615A" w14:textId="77777777" w:rsidR="00173FEB" w:rsidRDefault="001D0413" w:rsidP="0035033F">
      <w:pPr>
        <w:keepNext/>
        <w:keepLines/>
        <w:jc w:val="left"/>
        <w:rPr>
          <w:rFonts w:cs="Sylfaen"/>
          <w:b/>
          <w:sz w:val="20"/>
          <w:szCs w:val="20"/>
          <w:lang w:val="af-ZA"/>
        </w:rPr>
      </w:pPr>
      <w:r w:rsidRPr="00D83548">
        <w:rPr>
          <w:rFonts w:cs="Sylfaen"/>
          <w:b/>
          <w:sz w:val="20"/>
          <w:szCs w:val="20"/>
          <w:lang w:val="fr-FR"/>
        </w:rPr>
        <w:lastRenderedPageBreak/>
        <w:t>Գծապատկեր</w:t>
      </w:r>
      <w:r w:rsidRPr="00D83548">
        <w:rPr>
          <w:rFonts w:cs="Sylfaen"/>
          <w:b/>
          <w:sz w:val="20"/>
          <w:szCs w:val="20"/>
          <w:lang w:val="af-ZA"/>
        </w:rPr>
        <w:t xml:space="preserve"> 3.</w:t>
      </w:r>
      <w:r w:rsidR="00D83548">
        <w:rPr>
          <w:rFonts w:cs="Sylfaen"/>
          <w:b/>
          <w:sz w:val="20"/>
          <w:szCs w:val="20"/>
          <w:lang w:val="af-ZA"/>
        </w:rPr>
        <w:t>2.</w:t>
      </w:r>
      <w:r w:rsidRPr="00D83548">
        <w:rPr>
          <w:rFonts w:cs="Sylfaen"/>
          <w:b/>
          <w:sz w:val="20"/>
          <w:szCs w:val="20"/>
          <w:lang w:val="af-ZA"/>
        </w:rPr>
        <w:t>1</w:t>
      </w:r>
      <w:r w:rsidR="00D83548">
        <w:rPr>
          <w:rFonts w:cs="Sylfaen"/>
          <w:b/>
          <w:sz w:val="20"/>
          <w:szCs w:val="20"/>
          <w:lang w:val="af-ZA"/>
        </w:rPr>
        <w:t>.</w:t>
      </w:r>
      <w:r w:rsidRPr="00D83548">
        <w:rPr>
          <w:rFonts w:cs="Sylfaen"/>
          <w:b/>
          <w:sz w:val="20"/>
          <w:szCs w:val="20"/>
          <w:lang w:val="af-ZA"/>
        </w:rPr>
        <w:t xml:space="preserve"> </w:t>
      </w:r>
      <w:r w:rsidRPr="00D83548">
        <w:rPr>
          <w:rFonts w:cs="Sylfaen"/>
          <w:b/>
          <w:sz w:val="20"/>
          <w:szCs w:val="20"/>
          <w:lang w:val="fr-FR"/>
        </w:rPr>
        <w:t>ՀՀ</w:t>
      </w:r>
      <w:r w:rsidRPr="00D83548">
        <w:rPr>
          <w:rFonts w:cs="Sylfaen"/>
          <w:b/>
          <w:sz w:val="20"/>
          <w:szCs w:val="20"/>
          <w:lang w:val="af-ZA"/>
        </w:rPr>
        <w:t xml:space="preserve"> 2017-2023</w:t>
      </w:r>
      <w:r w:rsidRPr="00D83548">
        <w:rPr>
          <w:rFonts w:cs="Sylfaen"/>
          <w:b/>
          <w:sz w:val="20"/>
          <w:szCs w:val="20"/>
          <w:lang w:val="fr-FR"/>
        </w:rPr>
        <w:t>թթ</w:t>
      </w:r>
      <w:r w:rsidRPr="00D83548">
        <w:rPr>
          <w:rFonts w:cs="Sylfaen"/>
          <w:b/>
          <w:sz w:val="20"/>
          <w:szCs w:val="20"/>
          <w:lang w:val="af-ZA"/>
        </w:rPr>
        <w:t xml:space="preserve"> </w:t>
      </w:r>
      <w:r w:rsidRPr="00D83548">
        <w:rPr>
          <w:rFonts w:cs="Sylfaen"/>
          <w:b/>
          <w:sz w:val="20"/>
          <w:szCs w:val="20"/>
          <w:lang w:val="fr-FR"/>
        </w:rPr>
        <w:t>հարկային</w:t>
      </w:r>
      <w:r w:rsidRPr="00D83548">
        <w:rPr>
          <w:rFonts w:cs="Sylfaen"/>
          <w:b/>
          <w:sz w:val="20"/>
          <w:szCs w:val="20"/>
          <w:lang w:val="af-ZA"/>
        </w:rPr>
        <w:t xml:space="preserve"> </w:t>
      </w:r>
      <w:r w:rsidRPr="00D83548">
        <w:rPr>
          <w:rFonts w:cs="Sylfaen"/>
          <w:b/>
          <w:sz w:val="20"/>
          <w:szCs w:val="20"/>
          <w:lang w:val="fr-FR"/>
        </w:rPr>
        <w:t>եկամուտները</w:t>
      </w:r>
      <w:r w:rsidRPr="00D83548">
        <w:rPr>
          <w:rFonts w:cs="Sylfaen"/>
          <w:b/>
          <w:sz w:val="20"/>
          <w:szCs w:val="20"/>
          <w:lang w:val="af-ZA"/>
        </w:rPr>
        <w:t xml:space="preserve"> </w:t>
      </w:r>
      <w:r w:rsidRPr="00D83548">
        <w:rPr>
          <w:rFonts w:cs="Sylfaen"/>
          <w:b/>
          <w:sz w:val="20"/>
          <w:szCs w:val="20"/>
          <w:lang w:val="fr-FR"/>
        </w:rPr>
        <w:t>մլրդ</w:t>
      </w:r>
      <w:r w:rsidRPr="00D83548">
        <w:rPr>
          <w:rFonts w:cs="Sylfaen"/>
          <w:b/>
          <w:sz w:val="20"/>
          <w:szCs w:val="20"/>
          <w:lang w:val="af-ZA"/>
        </w:rPr>
        <w:t xml:space="preserve"> </w:t>
      </w:r>
      <w:r w:rsidRPr="00D83548">
        <w:rPr>
          <w:rFonts w:cs="Sylfaen"/>
          <w:b/>
          <w:sz w:val="20"/>
          <w:szCs w:val="20"/>
          <w:lang w:val="fr-FR"/>
        </w:rPr>
        <w:t>դրամով</w:t>
      </w:r>
      <w:r w:rsidRPr="00D83548">
        <w:rPr>
          <w:rFonts w:cs="Sylfaen"/>
          <w:b/>
          <w:sz w:val="20"/>
          <w:szCs w:val="20"/>
          <w:lang w:val="af-ZA"/>
        </w:rPr>
        <w:t xml:space="preserve"> </w:t>
      </w:r>
      <w:r w:rsidRPr="00D83548">
        <w:rPr>
          <w:rFonts w:cs="Sylfaen"/>
          <w:b/>
          <w:sz w:val="20"/>
          <w:szCs w:val="20"/>
          <w:lang w:val="fr-FR"/>
        </w:rPr>
        <w:t>և</w:t>
      </w:r>
      <w:r w:rsidRPr="00D83548">
        <w:rPr>
          <w:rFonts w:cs="Sylfaen"/>
          <w:b/>
          <w:sz w:val="20"/>
          <w:szCs w:val="20"/>
          <w:lang w:val="af-ZA"/>
        </w:rPr>
        <w:t xml:space="preserve"> </w:t>
      </w:r>
      <w:r w:rsidRPr="00D83548">
        <w:rPr>
          <w:rFonts w:cs="Sylfaen"/>
          <w:b/>
          <w:sz w:val="20"/>
          <w:szCs w:val="20"/>
          <w:lang w:val="fr-FR"/>
        </w:rPr>
        <w:t>կշիռը</w:t>
      </w:r>
      <w:r w:rsidRPr="00D83548">
        <w:rPr>
          <w:rFonts w:cs="Sylfaen"/>
          <w:b/>
          <w:sz w:val="20"/>
          <w:szCs w:val="20"/>
          <w:lang w:val="af-ZA"/>
        </w:rPr>
        <w:t xml:space="preserve"> </w:t>
      </w:r>
      <w:r w:rsidRPr="00D83548">
        <w:rPr>
          <w:rFonts w:cs="Sylfaen"/>
          <w:b/>
          <w:sz w:val="20"/>
          <w:szCs w:val="20"/>
          <w:lang w:val="fr-FR"/>
        </w:rPr>
        <w:t>ՀՆԱ</w:t>
      </w:r>
      <w:r w:rsidRPr="00D83548">
        <w:rPr>
          <w:rFonts w:cs="Sylfaen"/>
          <w:b/>
          <w:sz w:val="20"/>
          <w:szCs w:val="20"/>
          <w:lang w:val="af-ZA"/>
        </w:rPr>
        <w:t>-</w:t>
      </w:r>
      <w:r w:rsidRPr="00D83548">
        <w:rPr>
          <w:rFonts w:cs="Sylfaen"/>
          <w:b/>
          <w:sz w:val="20"/>
          <w:szCs w:val="20"/>
          <w:lang w:val="fr-FR"/>
        </w:rPr>
        <w:t>ի</w:t>
      </w:r>
      <w:r w:rsidRPr="00D83548">
        <w:rPr>
          <w:rFonts w:cs="Sylfaen"/>
          <w:b/>
          <w:sz w:val="20"/>
          <w:szCs w:val="20"/>
          <w:lang w:val="af-ZA"/>
        </w:rPr>
        <w:t xml:space="preserve"> </w:t>
      </w:r>
      <w:r w:rsidRPr="00D83548">
        <w:rPr>
          <w:rFonts w:cs="Sylfaen"/>
          <w:b/>
          <w:sz w:val="20"/>
          <w:szCs w:val="20"/>
          <w:lang w:val="fr-FR"/>
        </w:rPr>
        <w:t>նկատմամբ</w:t>
      </w:r>
    </w:p>
    <w:p w14:paraId="1A12A931" w14:textId="77777777" w:rsidR="001D0413" w:rsidRDefault="00217137" w:rsidP="001D0413">
      <w:pPr>
        <w:keepNext/>
        <w:keepLines/>
        <w:widowControl w:val="0"/>
        <w:rPr>
          <w:rFonts w:cs="Sylfaen"/>
          <w:b/>
          <w:lang w:val="fr-FR"/>
        </w:rPr>
      </w:pPr>
      <w:r>
        <w:rPr>
          <w:noProof/>
        </w:rPr>
        <w:drawing>
          <wp:inline distT="0" distB="0" distL="0" distR="0" wp14:anchorId="08A202D2" wp14:editId="4A52E95C">
            <wp:extent cx="5895975" cy="4210050"/>
            <wp:effectExtent l="0" t="0" r="9525" b="0"/>
            <wp:docPr id="54"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95975" cy="4210050"/>
                    </a:xfrm>
                    <a:prstGeom prst="rect">
                      <a:avLst/>
                    </a:prstGeom>
                    <a:noFill/>
                    <a:ln>
                      <a:noFill/>
                    </a:ln>
                  </pic:spPr>
                </pic:pic>
              </a:graphicData>
            </a:graphic>
          </wp:inline>
        </w:drawing>
      </w:r>
    </w:p>
    <w:p w14:paraId="58F17B11" w14:textId="77777777" w:rsidR="001D0413" w:rsidRDefault="001D0413" w:rsidP="001D0413">
      <w:pPr>
        <w:pStyle w:val="BodyText"/>
        <w:tabs>
          <w:tab w:val="left" w:pos="9120"/>
        </w:tabs>
        <w:spacing w:after="0" w:line="360" w:lineRule="auto"/>
        <w:rPr>
          <w:noProof/>
        </w:rPr>
      </w:pPr>
    </w:p>
    <w:p w14:paraId="430B12D8" w14:textId="77777777" w:rsidR="00FF390E" w:rsidRPr="00D83548" w:rsidRDefault="00FF390E" w:rsidP="001D0413">
      <w:pPr>
        <w:pStyle w:val="BodyText"/>
        <w:tabs>
          <w:tab w:val="left" w:pos="9120"/>
        </w:tabs>
        <w:spacing w:after="0" w:line="360" w:lineRule="auto"/>
        <w:ind w:firstLine="562"/>
        <w:rPr>
          <w:noProof/>
          <w:lang w:val="af-ZA"/>
        </w:rPr>
      </w:pPr>
    </w:p>
    <w:p w14:paraId="1ADEAFE1" w14:textId="77777777" w:rsidR="001D0413" w:rsidRDefault="001D0413" w:rsidP="008F525B">
      <w:pPr>
        <w:pStyle w:val="BodyText"/>
        <w:tabs>
          <w:tab w:val="left" w:pos="9120"/>
        </w:tabs>
        <w:spacing w:after="0" w:line="276" w:lineRule="auto"/>
        <w:ind w:firstLine="562"/>
        <w:rPr>
          <w:rFonts w:cs="Sylfaen"/>
          <w:iCs/>
          <w:lang w:val="af-ZA" w:eastAsia="en-GB"/>
        </w:rPr>
      </w:pPr>
      <w:r w:rsidRPr="00EB1197">
        <w:rPr>
          <w:noProof/>
          <w:lang w:val="af-ZA"/>
        </w:rPr>
        <w:t xml:space="preserve"> </w:t>
      </w:r>
      <w:r>
        <w:rPr>
          <w:rFonts w:cs="Sylfaen"/>
          <w:b/>
          <w:iCs/>
          <w:spacing w:val="40"/>
          <w:lang w:val="af-ZA" w:eastAsia="en-GB"/>
        </w:rPr>
        <w:t>Պաշտոնական դրամաշնորհները</w:t>
      </w:r>
      <w:r>
        <w:rPr>
          <w:rFonts w:cs="Sylfaen"/>
          <w:iCs/>
          <w:lang w:val="af-ZA" w:eastAsia="en-GB"/>
        </w:rPr>
        <w:t xml:space="preserve"> 2021-2023թթ համար ծրագրվել են` հաշվի առ</w:t>
      </w:r>
      <w:r>
        <w:rPr>
          <w:rFonts w:cs="Sylfaen"/>
          <w:iCs/>
          <w:lang w:val="af-ZA" w:eastAsia="en-GB"/>
        </w:rPr>
        <w:softHyphen/>
        <w:t>նե</w:t>
      </w:r>
      <w:r>
        <w:rPr>
          <w:rFonts w:cs="Sylfaen"/>
          <w:iCs/>
          <w:lang w:val="af-ZA" w:eastAsia="en-GB"/>
        </w:rPr>
        <w:softHyphen/>
      </w:r>
      <w:r>
        <w:rPr>
          <w:rFonts w:cs="Sylfaen"/>
          <w:iCs/>
          <w:lang w:val="af-ZA" w:eastAsia="en-GB"/>
        </w:rPr>
        <w:softHyphen/>
        <w:t>լով առկա պայմանագրերը, դո</w:t>
      </w:r>
      <w:r>
        <w:rPr>
          <w:rFonts w:cs="Sylfaen"/>
          <w:iCs/>
          <w:lang w:val="af-ZA" w:eastAsia="en-GB"/>
        </w:rPr>
        <w:softHyphen/>
        <w:t>նոր</w:t>
      </w:r>
      <w:r>
        <w:rPr>
          <w:rFonts w:cs="Sylfaen"/>
          <w:iCs/>
          <w:lang w:val="af-ZA" w:eastAsia="en-GB"/>
        </w:rPr>
        <w:softHyphen/>
        <w:t>նե</w:t>
      </w:r>
      <w:r>
        <w:rPr>
          <w:rFonts w:cs="Sylfaen"/>
          <w:iCs/>
          <w:lang w:val="af-ZA" w:eastAsia="en-GB"/>
        </w:rPr>
        <w:softHyphen/>
        <w:t>րի հետ ձեռքբերված նախնական համաձայնությունները և Եվրամիությունից ակնկալվող դրամաշնորհների դեպքում` սպա</w:t>
      </w:r>
      <w:r>
        <w:rPr>
          <w:rFonts w:cs="Sylfaen"/>
          <w:iCs/>
          <w:lang w:val="af-ZA" w:eastAsia="en-GB"/>
        </w:rPr>
        <w:softHyphen/>
        <w:t>սում</w:t>
      </w:r>
      <w:r>
        <w:rPr>
          <w:rFonts w:cs="Sylfaen"/>
          <w:iCs/>
          <w:lang w:val="af-ZA" w:eastAsia="en-GB"/>
        </w:rPr>
        <w:softHyphen/>
      </w:r>
      <w:r>
        <w:rPr>
          <w:rFonts w:cs="Sylfaen"/>
          <w:iCs/>
          <w:lang w:val="af-ZA" w:eastAsia="en-GB"/>
        </w:rPr>
        <w:softHyphen/>
        <w:t>նե</w:t>
      </w:r>
      <w:r>
        <w:rPr>
          <w:rFonts w:cs="Sylfaen"/>
          <w:iCs/>
          <w:lang w:val="af-ZA" w:eastAsia="en-GB"/>
        </w:rPr>
        <w:softHyphen/>
        <w:t>րը:</w:t>
      </w:r>
    </w:p>
    <w:p w14:paraId="6C0E022F" w14:textId="77777777" w:rsidR="004B6B0F" w:rsidRPr="004B6B0F" w:rsidRDefault="004B6B0F" w:rsidP="004B6B0F">
      <w:pPr>
        <w:rPr>
          <w:lang w:val="af-ZA"/>
        </w:rPr>
      </w:pPr>
    </w:p>
    <w:p w14:paraId="7076AECC" w14:textId="77777777" w:rsidR="00173FEB" w:rsidRPr="0035033F" w:rsidRDefault="001D0413" w:rsidP="0035033F">
      <w:pPr>
        <w:keepNext/>
        <w:keepLines/>
        <w:rPr>
          <w:b/>
          <w:sz w:val="20"/>
          <w:szCs w:val="20"/>
          <w:lang w:val="af-ZA"/>
        </w:rPr>
      </w:pPr>
      <w:r w:rsidRPr="00D83548">
        <w:rPr>
          <w:b/>
          <w:sz w:val="20"/>
          <w:szCs w:val="20"/>
        </w:rPr>
        <w:t>Աղյուսակ</w:t>
      </w:r>
      <w:r w:rsidR="00595A2D" w:rsidRPr="0035033F">
        <w:rPr>
          <w:b/>
          <w:sz w:val="20"/>
          <w:szCs w:val="20"/>
          <w:lang w:val="af-ZA"/>
        </w:rPr>
        <w:t xml:space="preserve"> 3.2.2.  </w:t>
      </w:r>
      <w:r w:rsidR="00595A2D" w:rsidRPr="008F525B">
        <w:rPr>
          <w:i/>
          <w:sz w:val="20"/>
          <w:szCs w:val="20"/>
          <w:lang w:val="af-ZA"/>
        </w:rPr>
        <w:t>2021-2023</w:t>
      </w:r>
      <w:r w:rsidRPr="008F525B">
        <w:rPr>
          <w:i/>
          <w:sz w:val="20"/>
          <w:szCs w:val="20"/>
        </w:rPr>
        <w:t>թթ</w:t>
      </w:r>
      <w:r w:rsidR="00595A2D" w:rsidRPr="008F525B">
        <w:rPr>
          <w:i/>
          <w:sz w:val="20"/>
          <w:szCs w:val="20"/>
          <w:lang w:val="af-ZA"/>
        </w:rPr>
        <w:t xml:space="preserve"> </w:t>
      </w:r>
      <w:r w:rsidRPr="008F525B">
        <w:rPr>
          <w:i/>
          <w:sz w:val="20"/>
          <w:szCs w:val="20"/>
        </w:rPr>
        <w:t>ծրագրված</w:t>
      </w:r>
      <w:r w:rsidR="00595A2D" w:rsidRPr="008F525B">
        <w:rPr>
          <w:i/>
          <w:sz w:val="20"/>
          <w:szCs w:val="20"/>
          <w:lang w:val="af-ZA"/>
        </w:rPr>
        <w:t xml:space="preserve"> </w:t>
      </w:r>
      <w:r w:rsidRPr="008F525B">
        <w:rPr>
          <w:i/>
          <w:sz w:val="20"/>
          <w:szCs w:val="20"/>
        </w:rPr>
        <w:t>պաշտոնական</w:t>
      </w:r>
      <w:r w:rsidR="00595A2D" w:rsidRPr="008F525B">
        <w:rPr>
          <w:i/>
          <w:sz w:val="20"/>
          <w:szCs w:val="20"/>
          <w:lang w:val="af-ZA"/>
        </w:rPr>
        <w:t xml:space="preserve"> </w:t>
      </w:r>
      <w:r w:rsidRPr="008F525B">
        <w:rPr>
          <w:i/>
          <w:sz w:val="20"/>
          <w:szCs w:val="20"/>
        </w:rPr>
        <w:t>դրամաշնորհները</w:t>
      </w:r>
      <w:r w:rsidR="00595A2D" w:rsidRPr="008F525B">
        <w:rPr>
          <w:i/>
          <w:sz w:val="20"/>
          <w:szCs w:val="20"/>
          <w:lang w:val="af-ZA"/>
        </w:rPr>
        <w:t xml:space="preserve"> (</w:t>
      </w:r>
      <w:r w:rsidRPr="008F525B">
        <w:rPr>
          <w:i/>
          <w:sz w:val="20"/>
          <w:szCs w:val="20"/>
        </w:rPr>
        <w:t>մլրդ</w:t>
      </w:r>
      <w:r w:rsidR="00595A2D" w:rsidRPr="008F525B">
        <w:rPr>
          <w:i/>
          <w:sz w:val="20"/>
          <w:szCs w:val="20"/>
          <w:lang w:val="af-ZA"/>
        </w:rPr>
        <w:t xml:space="preserve"> </w:t>
      </w:r>
      <w:r w:rsidRPr="008F525B">
        <w:rPr>
          <w:i/>
          <w:sz w:val="20"/>
          <w:szCs w:val="20"/>
        </w:rPr>
        <w:t>դրամ</w:t>
      </w:r>
      <w:r w:rsidR="00595A2D" w:rsidRPr="008F525B">
        <w:rPr>
          <w:i/>
          <w:sz w:val="20"/>
          <w:szCs w:val="20"/>
          <w:lang w:val="af-ZA"/>
        </w:rPr>
        <w:softHyphen/>
        <w:t>)</w:t>
      </w:r>
    </w:p>
    <w:tbl>
      <w:tblPr>
        <w:tblW w:w="9355" w:type="dxa"/>
        <w:tblLook w:val="04A0" w:firstRow="1" w:lastRow="0" w:firstColumn="1" w:lastColumn="0" w:noHBand="0" w:noVBand="1"/>
      </w:tblPr>
      <w:tblGrid>
        <w:gridCol w:w="5305"/>
        <w:gridCol w:w="1350"/>
        <w:gridCol w:w="1350"/>
        <w:gridCol w:w="1350"/>
      </w:tblGrid>
      <w:tr w:rsidR="001D0413" w:rsidRPr="001D0413" w14:paraId="03897B61" w14:textId="77777777" w:rsidTr="0035033F">
        <w:trPr>
          <w:trHeight w:val="345"/>
          <w:tblHeader/>
        </w:trPr>
        <w:tc>
          <w:tcPr>
            <w:tcW w:w="5305" w:type="dxa"/>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141CAD57" w14:textId="77777777" w:rsidR="001D0413" w:rsidRPr="0035033F" w:rsidRDefault="00595A2D" w:rsidP="00B121C0">
            <w:pPr>
              <w:spacing w:after="0" w:line="240" w:lineRule="auto"/>
              <w:ind w:firstLine="0"/>
              <w:jc w:val="left"/>
              <w:rPr>
                <w:bCs/>
                <w:color w:val="FFFFFF" w:themeColor="background1"/>
                <w:sz w:val="20"/>
                <w:szCs w:val="20"/>
              </w:rPr>
            </w:pPr>
            <w:r w:rsidRPr="0035033F">
              <w:rPr>
                <w:bCs/>
                <w:color w:val="FFFFFF" w:themeColor="background1"/>
                <w:sz w:val="20"/>
                <w:szCs w:val="20"/>
              </w:rPr>
              <w:t>Պաշտոնական դրամաշնորհներ</w:t>
            </w:r>
          </w:p>
        </w:tc>
        <w:tc>
          <w:tcPr>
            <w:tcW w:w="1350" w:type="dxa"/>
            <w:tcBorders>
              <w:top w:val="single" w:sz="4" w:space="0" w:color="auto"/>
              <w:left w:val="nil"/>
              <w:bottom w:val="single" w:sz="4" w:space="0" w:color="auto"/>
              <w:right w:val="single" w:sz="4" w:space="0" w:color="auto"/>
            </w:tcBorders>
            <w:shd w:val="clear" w:color="auto" w:fill="0070C0"/>
            <w:noWrap/>
            <w:vAlign w:val="center"/>
            <w:hideMark/>
          </w:tcPr>
          <w:p w14:paraId="2B32A55E" w14:textId="77777777" w:rsidR="001D0413" w:rsidRPr="0035033F" w:rsidRDefault="00595A2D" w:rsidP="00B121C0">
            <w:pPr>
              <w:spacing w:after="0" w:line="240" w:lineRule="auto"/>
              <w:ind w:firstLine="0"/>
              <w:jc w:val="center"/>
              <w:rPr>
                <w:rFonts w:eastAsia="Times New Roman" w:cs="Times New Roman"/>
                <w:color w:val="FFFFFF" w:themeColor="background1"/>
                <w:sz w:val="20"/>
                <w:szCs w:val="20"/>
              </w:rPr>
            </w:pPr>
            <w:r w:rsidRPr="0035033F">
              <w:rPr>
                <w:color w:val="FFFFFF" w:themeColor="background1"/>
                <w:sz w:val="20"/>
                <w:szCs w:val="20"/>
              </w:rPr>
              <w:t>2021թ</w:t>
            </w:r>
          </w:p>
        </w:tc>
        <w:tc>
          <w:tcPr>
            <w:tcW w:w="1350" w:type="dxa"/>
            <w:tcBorders>
              <w:top w:val="single" w:sz="4" w:space="0" w:color="auto"/>
              <w:left w:val="nil"/>
              <w:bottom w:val="single" w:sz="4" w:space="0" w:color="auto"/>
              <w:right w:val="single" w:sz="4" w:space="0" w:color="auto"/>
            </w:tcBorders>
            <w:shd w:val="clear" w:color="auto" w:fill="0070C0"/>
            <w:noWrap/>
            <w:vAlign w:val="center"/>
            <w:hideMark/>
          </w:tcPr>
          <w:p w14:paraId="50FEDAEB" w14:textId="77777777" w:rsidR="001D0413" w:rsidRPr="0035033F" w:rsidRDefault="00595A2D" w:rsidP="00B121C0">
            <w:pPr>
              <w:spacing w:after="0" w:line="240" w:lineRule="auto"/>
              <w:ind w:firstLine="0"/>
              <w:jc w:val="center"/>
              <w:rPr>
                <w:rFonts w:eastAsia="Times New Roman" w:cs="Times New Roman"/>
                <w:color w:val="FFFFFF" w:themeColor="background1"/>
                <w:sz w:val="20"/>
                <w:szCs w:val="20"/>
              </w:rPr>
            </w:pPr>
            <w:r w:rsidRPr="0035033F">
              <w:rPr>
                <w:color w:val="FFFFFF" w:themeColor="background1"/>
                <w:sz w:val="20"/>
                <w:szCs w:val="20"/>
              </w:rPr>
              <w:t>2022թ</w:t>
            </w:r>
          </w:p>
        </w:tc>
        <w:tc>
          <w:tcPr>
            <w:tcW w:w="1350" w:type="dxa"/>
            <w:tcBorders>
              <w:top w:val="single" w:sz="4" w:space="0" w:color="auto"/>
              <w:left w:val="nil"/>
              <w:bottom w:val="single" w:sz="4" w:space="0" w:color="auto"/>
              <w:right w:val="single" w:sz="4" w:space="0" w:color="auto"/>
            </w:tcBorders>
            <w:shd w:val="clear" w:color="auto" w:fill="0070C0"/>
            <w:noWrap/>
            <w:vAlign w:val="center"/>
            <w:hideMark/>
          </w:tcPr>
          <w:p w14:paraId="5C21460E" w14:textId="77777777" w:rsidR="001D0413" w:rsidRPr="0035033F" w:rsidRDefault="00595A2D" w:rsidP="00B121C0">
            <w:pPr>
              <w:spacing w:after="0" w:line="240" w:lineRule="auto"/>
              <w:ind w:firstLine="0"/>
              <w:jc w:val="center"/>
              <w:rPr>
                <w:rFonts w:eastAsia="Times New Roman" w:cs="Times New Roman"/>
                <w:color w:val="FFFFFF" w:themeColor="background1"/>
                <w:sz w:val="20"/>
                <w:szCs w:val="20"/>
              </w:rPr>
            </w:pPr>
            <w:r w:rsidRPr="0035033F">
              <w:rPr>
                <w:color w:val="FFFFFF" w:themeColor="background1"/>
                <w:sz w:val="20"/>
                <w:szCs w:val="20"/>
              </w:rPr>
              <w:t>2023թ</w:t>
            </w:r>
          </w:p>
        </w:tc>
      </w:tr>
      <w:tr w:rsidR="001D0413" w:rsidRPr="001D0413" w14:paraId="4726DFCE" w14:textId="77777777" w:rsidTr="0035033F">
        <w:trPr>
          <w:trHeight w:val="345"/>
          <w:tblHeader/>
        </w:trPr>
        <w:tc>
          <w:tcPr>
            <w:tcW w:w="0" w:type="auto"/>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4C4EE81E" w14:textId="77777777" w:rsidR="001D0413" w:rsidRPr="0035033F" w:rsidRDefault="001D0413" w:rsidP="00B121C0">
            <w:pPr>
              <w:spacing w:after="0" w:line="240" w:lineRule="auto"/>
              <w:ind w:firstLine="0"/>
              <w:rPr>
                <w:bCs/>
                <w:color w:val="FFFFFF" w:themeColor="background1"/>
                <w:sz w:val="20"/>
                <w:szCs w:val="20"/>
              </w:rPr>
            </w:pPr>
          </w:p>
        </w:tc>
        <w:tc>
          <w:tcPr>
            <w:tcW w:w="4050" w:type="dxa"/>
            <w:gridSpan w:val="3"/>
            <w:tcBorders>
              <w:top w:val="single" w:sz="4" w:space="0" w:color="auto"/>
              <w:left w:val="nil"/>
              <w:bottom w:val="single" w:sz="4" w:space="0" w:color="auto"/>
              <w:right w:val="single" w:sz="4" w:space="0" w:color="auto"/>
            </w:tcBorders>
            <w:shd w:val="clear" w:color="auto" w:fill="0070C0"/>
            <w:noWrap/>
            <w:vAlign w:val="center"/>
            <w:hideMark/>
          </w:tcPr>
          <w:p w14:paraId="0A2BA35D" w14:textId="77777777" w:rsidR="001D0413" w:rsidRPr="0035033F" w:rsidRDefault="00595A2D" w:rsidP="00B121C0">
            <w:pPr>
              <w:spacing w:after="0" w:line="240" w:lineRule="auto"/>
              <w:ind w:firstLine="0"/>
              <w:jc w:val="center"/>
              <w:rPr>
                <w:rFonts w:eastAsia="Times New Roman" w:cs="Times New Roman"/>
                <w:color w:val="FFFFFF" w:themeColor="background1"/>
                <w:sz w:val="20"/>
                <w:szCs w:val="20"/>
              </w:rPr>
            </w:pPr>
            <w:r w:rsidRPr="0035033F">
              <w:rPr>
                <w:color w:val="FFFFFF" w:themeColor="background1"/>
                <w:sz w:val="20"/>
                <w:szCs w:val="20"/>
              </w:rPr>
              <w:t xml:space="preserve"> </w:t>
            </w:r>
            <w:r w:rsidR="000A39B3" w:rsidRPr="000C0A42">
              <w:rPr>
                <w:color w:val="FFFFFF" w:themeColor="background1"/>
                <w:sz w:val="20"/>
                <w:szCs w:val="20"/>
              </w:rPr>
              <w:t>Կ</w:t>
            </w:r>
            <w:r w:rsidRPr="0035033F">
              <w:rPr>
                <w:color w:val="FFFFFF" w:themeColor="background1"/>
                <w:sz w:val="20"/>
                <w:szCs w:val="20"/>
              </w:rPr>
              <w:t>անխատեսում</w:t>
            </w:r>
          </w:p>
        </w:tc>
      </w:tr>
      <w:tr w:rsidR="001D0413" w:rsidRPr="001D0413" w14:paraId="0EB6901D" w14:textId="77777777" w:rsidTr="0035033F">
        <w:trPr>
          <w:trHeight w:val="701"/>
        </w:trPr>
        <w:tc>
          <w:tcPr>
            <w:tcW w:w="530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964C471" w14:textId="77777777" w:rsidR="001D0413" w:rsidRPr="0035033F" w:rsidRDefault="00595A2D" w:rsidP="00B121C0">
            <w:pPr>
              <w:spacing w:after="0" w:line="240" w:lineRule="auto"/>
              <w:ind w:firstLine="0"/>
              <w:jc w:val="left"/>
              <w:rPr>
                <w:b/>
                <w:bCs/>
                <w:color w:val="000000"/>
                <w:sz w:val="20"/>
                <w:szCs w:val="20"/>
              </w:rPr>
            </w:pPr>
            <w:r w:rsidRPr="0035033F">
              <w:rPr>
                <w:rFonts w:cs="Calibri"/>
                <w:b/>
                <w:bCs/>
                <w:color w:val="000000"/>
                <w:sz w:val="20"/>
                <w:szCs w:val="20"/>
              </w:rPr>
              <w:t>Ընդամենը, այդ թվում՝</w:t>
            </w:r>
          </w:p>
        </w:tc>
        <w:tc>
          <w:tcPr>
            <w:tcW w:w="1350" w:type="dxa"/>
            <w:tcBorders>
              <w:top w:val="nil"/>
              <w:left w:val="nil"/>
              <w:bottom w:val="single" w:sz="4" w:space="0" w:color="auto"/>
              <w:right w:val="single" w:sz="4" w:space="0" w:color="auto"/>
            </w:tcBorders>
            <w:shd w:val="clear" w:color="auto" w:fill="C6D9F1" w:themeFill="text2" w:themeFillTint="33"/>
            <w:noWrap/>
            <w:vAlign w:val="center"/>
            <w:hideMark/>
          </w:tcPr>
          <w:p w14:paraId="69D0FE63" w14:textId="77777777" w:rsidR="001D0413" w:rsidRPr="0035033F" w:rsidRDefault="00595A2D" w:rsidP="00B121C0">
            <w:pPr>
              <w:spacing w:after="0" w:line="240" w:lineRule="auto"/>
              <w:ind w:firstLine="0"/>
              <w:jc w:val="center"/>
              <w:rPr>
                <w:rFonts w:eastAsia="Times New Roman" w:cs="Times New Roman"/>
                <w:b/>
                <w:color w:val="000000"/>
                <w:sz w:val="20"/>
                <w:szCs w:val="20"/>
              </w:rPr>
            </w:pPr>
            <w:r w:rsidRPr="0035033F">
              <w:rPr>
                <w:b/>
                <w:color w:val="000000"/>
                <w:sz w:val="20"/>
                <w:szCs w:val="20"/>
              </w:rPr>
              <w:t xml:space="preserve">       24.</w:t>
            </w:r>
            <w:r w:rsidR="00C5149D">
              <w:rPr>
                <w:b/>
                <w:color w:val="000000"/>
                <w:sz w:val="20"/>
                <w:szCs w:val="20"/>
              </w:rPr>
              <w:t>3</w:t>
            </w:r>
            <w:r w:rsidRPr="0035033F">
              <w:rPr>
                <w:b/>
                <w:color w:val="000000"/>
                <w:sz w:val="20"/>
                <w:szCs w:val="20"/>
              </w:rPr>
              <w:t xml:space="preserve"> </w:t>
            </w:r>
          </w:p>
        </w:tc>
        <w:tc>
          <w:tcPr>
            <w:tcW w:w="1350" w:type="dxa"/>
            <w:tcBorders>
              <w:top w:val="nil"/>
              <w:left w:val="nil"/>
              <w:bottom w:val="single" w:sz="4" w:space="0" w:color="auto"/>
              <w:right w:val="single" w:sz="4" w:space="0" w:color="auto"/>
            </w:tcBorders>
            <w:shd w:val="clear" w:color="auto" w:fill="C6D9F1" w:themeFill="text2" w:themeFillTint="33"/>
            <w:noWrap/>
            <w:vAlign w:val="center"/>
            <w:hideMark/>
          </w:tcPr>
          <w:p w14:paraId="11BC05EB" w14:textId="77777777" w:rsidR="001D0413" w:rsidRPr="0035033F" w:rsidRDefault="00595A2D" w:rsidP="00B121C0">
            <w:pPr>
              <w:spacing w:after="0" w:line="240" w:lineRule="auto"/>
              <w:ind w:firstLine="0"/>
              <w:jc w:val="center"/>
              <w:rPr>
                <w:rFonts w:eastAsia="Times New Roman" w:cs="Times New Roman"/>
                <w:b/>
                <w:color w:val="000000"/>
                <w:sz w:val="20"/>
                <w:szCs w:val="20"/>
              </w:rPr>
            </w:pPr>
            <w:r w:rsidRPr="0035033F">
              <w:rPr>
                <w:b/>
                <w:color w:val="000000"/>
                <w:sz w:val="20"/>
                <w:szCs w:val="20"/>
              </w:rPr>
              <w:t xml:space="preserve">       18.4 </w:t>
            </w:r>
          </w:p>
        </w:tc>
        <w:tc>
          <w:tcPr>
            <w:tcW w:w="1350" w:type="dxa"/>
            <w:tcBorders>
              <w:top w:val="nil"/>
              <w:left w:val="nil"/>
              <w:bottom w:val="single" w:sz="4" w:space="0" w:color="auto"/>
              <w:right w:val="single" w:sz="4" w:space="0" w:color="auto"/>
            </w:tcBorders>
            <w:shd w:val="clear" w:color="auto" w:fill="C6D9F1" w:themeFill="text2" w:themeFillTint="33"/>
            <w:noWrap/>
            <w:vAlign w:val="center"/>
            <w:hideMark/>
          </w:tcPr>
          <w:p w14:paraId="753BB5B3" w14:textId="77777777" w:rsidR="001D0413" w:rsidRPr="0035033F" w:rsidRDefault="00595A2D" w:rsidP="00B121C0">
            <w:pPr>
              <w:spacing w:after="0" w:line="240" w:lineRule="auto"/>
              <w:ind w:firstLine="0"/>
              <w:jc w:val="center"/>
              <w:rPr>
                <w:rFonts w:eastAsia="Times New Roman" w:cs="Times New Roman"/>
                <w:b/>
                <w:color w:val="000000"/>
                <w:sz w:val="20"/>
                <w:szCs w:val="20"/>
              </w:rPr>
            </w:pPr>
            <w:r w:rsidRPr="0035033F">
              <w:rPr>
                <w:b/>
                <w:color w:val="000000"/>
                <w:sz w:val="20"/>
                <w:szCs w:val="20"/>
              </w:rPr>
              <w:t xml:space="preserve">          7.1 </w:t>
            </w:r>
          </w:p>
        </w:tc>
      </w:tr>
      <w:tr w:rsidR="001D0413" w:rsidRPr="001D0413" w14:paraId="3E6023C6" w14:textId="77777777" w:rsidTr="001D0413">
        <w:trPr>
          <w:trHeight w:val="1259"/>
        </w:trPr>
        <w:tc>
          <w:tcPr>
            <w:tcW w:w="5305" w:type="dxa"/>
            <w:tcBorders>
              <w:top w:val="nil"/>
              <w:left w:val="single" w:sz="4" w:space="0" w:color="auto"/>
              <w:bottom w:val="single" w:sz="4" w:space="0" w:color="auto"/>
              <w:right w:val="single" w:sz="4" w:space="0" w:color="auto"/>
            </w:tcBorders>
            <w:vAlign w:val="center"/>
            <w:hideMark/>
          </w:tcPr>
          <w:p w14:paraId="0CC35439" w14:textId="77777777" w:rsidR="001D0413" w:rsidRDefault="001D0413" w:rsidP="00B121C0">
            <w:pPr>
              <w:spacing w:after="0" w:line="240" w:lineRule="auto"/>
              <w:ind w:firstLine="0"/>
              <w:jc w:val="left"/>
              <w:rPr>
                <w:color w:val="000000"/>
                <w:sz w:val="20"/>
                <w:szCs w:val="20"/>
              </w:rPr>
            </w:pPr>
            <w:r>
              <w:rPr>
                <w:color w:val="000000"/>
                <w:sz w:val="20"/>
                <w:szCs w:val="20"/>
              </w:rPr>
              <w:t>1. ԵՄ (Եվրոպական հարևանության շրջանակներում ՀՀ-ԵՄ գործողությունների ծրագրով նախատեսված դրամաշնորհային ծրագրեր)</w:t>
            </w:r>
          </w:p>
        </w:tc>
        <w:tc>
          <w:tcPr>
            <w:tcW w:w="1350" w:type="dxa"/>
            <w:tcBorders>
              <w:top w:val="nil"/>
              <w:left w:val="nil"/>
              <w:bottom w:val="single" w:sz="4" w:space="0" w:color="auto"/>
              <w:right w:val="single" w:sz="4" w:space="0" w:color="auto"/>
            </w:tcBorders>
            <w:noWrap/>
            <w:vAlign w:val="center"/>
            <w:hideMark/>
          </w:tcPr>
          <w:p w14:paraId="3C82BE36" w14:textId="77777777" w:rsidR="001D0413" w:rsidRDefault="001D0413" w:rsidP="00B121C0">
            <w:pPr>
              <w:spacing w:after="0" w:line="240" w:lineRule="auto"/>
              <w:ind w:firstLine="0"/>
              <w:jc w:val="center"/>
              <w:rPr>
                <w:color w:val="000000"/>
                <w:sz w:val="20"/>
                <w:szCs w:val="20"/>
              </w:rPr>
            </w:pPr>
            <w:r>
              <w:rPr>
                <w:color w:val="000000"/>
                <w:sz w:val="20"/>
                <w:szCs w:val="20"/>
              </w:rPr>
              <w:t xml:space="preserve">         3.244 </w:t>
            </w:r>
          </w:p>
        </w:tc>
        <w:tc>
          <w:tcPr>
            <w:tcW w:w="1350" w:type="dxa"/>
            <w:tcBorders>
              <w:top w:val="nil"/>
              <w:left w:val="nil"/>
              <w:bottom w:val="single" w:sz="4" w:space="0" w:color="auto"/>
              <w:right w:val="single" w:sz="4" w:space="0" w:color="auto"/>
            </w:tcBorders>
            <w:noWrap/>
            <w:vAlign w:val="center"/>
            <w:hideMark/>
          </w:tcPr>
          <w:p w14:paraId="7EC7FD99" w14:textId="77777777" w:rsidR="001D0413" w:rsidRDefault="001D0413" w:rsidP="00B121C0">
            <w:pPr>
              <w:spacing w:after="0" w:line="240" w:lineRule="auto"/>
              <w:ind w:firstLine="0"/>
              <w:jc w:val="center"/>
              <w:rPr>
                <w:color w:val="000000"/>
                <w:sz w:val="20"/>
                <w:szCs w:val="20"/>
              </w:rPr>
            </w:pPr>
            <w:r>
              <w:rPr>
                <w:color w:val="000000"/>
                <w:sz w:val="20"/>
                <w:szCs w:val="20"/>
              </w:rPr>
              <w:t xml:space="preserve">        3.792 </w:t>
            </w:r>
          </w:p>
        </w:tc>
        <w:tc>
          <w:tcPr>
            <w:tcW w:w="1350" w:type="dxa"/>
            <w:tcBorders>
              <w:top w:val="nil"/>
              <w:left w:val="nil"/>
              <w:bottom w:val="single" w:sz="4" w:space="0" w:color="auto"/>
              <w:right w:val="single" w:sz="4" w:space="0" w:color="auto"/>
            </w:tcBorders>
            <w:noWrap/>
            <w:vAlign w:val="center"/>
            <w:hideMark/>
          </w:tcPr>
          <w:p w14:paraId="5958CA92" w14:textId="77777777" w:rsidR="001D0413" w:rsidRDefault="001D0413" w:rsidP="00B121C0">
            <w:pPr>
              <w:spacing w:after="0" w:line="240" w:lineRule="auto"/>
              <w:ind w:firstLine="0"/>
              <w:jc w:val="center"/>
              <w:rPr>
                <w:color w:val="000000"/>
                <w:sz w:val="20"/>
                <w:szCs w:val="20"/>
              </w:rPr>
            </w:pPr>
            <w:r>
              <w:rPr>
                <w:color w:val="000000"/>
                <w:sz w:val="20"/>
                <w:szCs w:val="20"/>
              </w:rPr>
              <w:t xml:space="preserve">           -   </w:t>
            </w:r>
          </w:p>
        </w:tc>
      </w:tr>
      <w:tr w:rsidR="001D0413" w:rsidRPr="001D0413" w14:paraId="7839F8B2" w14:textId="77777777" w:rsidTr="0035033F">
        <w:trPr>
          <w:trHeight w:val="674"/>
        </w:trPr>
        <w:tc>
          <w:tcPr>
            <w:tcW w:w="5305"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9492984" w14:textId="77777777" w:rsidR="001D0413" w:rsidRDefault="001D0413" w:rsidP="00B121C0">
            <w:pPr>
              <w:spacing w:after="0" w:line="240" w:lineRule="auto"/>
              <w:ind w:firstLine="0"/>
              <w:jc w:val="left"/>
              <w:rPr>
                <w:color w:val="000000"/>
                <w:sz w:val="20"/>
                <w:szCs w:val="20"/>
              </w:rPr>
            </w:pPr>
            <w:r>
              <w:rPr>
                <w:color w:val="000000"/>
                <w:sz w:val="20"/>
                <w:szCs w:val="20"/>
              </w:rPr>
              <w:t>2. Այլ նպատակային դրամաշնորհներ</w:t>
            </w:r>
          </w:p>
        </w:tc>
        <w:tc>
          <w:tcPr>
            <w:tcW w:w="1350" w:type="dxa"/>
            <w:tcBorders>
              <w:top w:val="nil"/>
              <w:left w:val="nil"/>
              <w:bottom w:val="single" w:sz="4" w:space="0" w:color="auto"/>
              <w:right w:val="single" w:sz="4" w:space="0" w:color="auto"/>
            </w:tcBorders>
            <w:shd w:val="clear" w:color="auto" w:fill="DBE5F1" w:themeFill="accent1" w:themeFillTint="33"/>
            <w:noWrap/>
            <w:vAlign w:val="center"/>
            <w:hideMark/>
          </w:tcPr>
          <w:p w14:paraId="56CA6479" w14:textId="77777777" w:rsidR="001D0413" w:rsidRDefault="001D0413" w:rsidP="00B121C0">
            <w:pPr>
              <w:spacing w:after="0" w:line="240" w:lineRule="auto"/>
              <w:ind w:firstLine="0"/>
              <w:jc w:val="center"/>
              <w:rPr>
                <w:color w:val="000000"/>
                <w:sz w:val="20"/>
                <w:szCs w:val="20"/>
              </w:rPr>
            </w:pPr>
            <w:r>
              <w:rPr>
                <w:color w:val="000000"/>
                <w:sz w:val="20"/>
                <w:szCs w:val="20"/>
              </w:rPr>
              <w:t xml:space="preserve">        21.035 </w:t>
            </w:r>
          </w:p>
        </w:tc>
        <w:tc>
          <w:tcPr>
            <w:tcW w:w="1350" w:type="dxa"/>
            <w:tcBorders>
              <w:top w:val="nil"/>
              <w:left w:val="nil"/>
              <w:bottom w:val="single" w:sz="4" w:space="0" w:color="auto"/>
              <w:right w:val="single" w:sz="4" w:space="0" w:color="auto"/>
            </w:tcBorders>
            <w:shd w:val="clear" w:color="auto" w:fill="DBE5F1" w:themeFill="accent1" w:themeFillTint="33"/>
            <w:noWrap/>
            <w:vAlign w:val="center"/>
            <w:hideMark/>
          </w:tcPr>
          <w:p w14:paraId="2D7D66A7" w14:textId="77777777" w:rsidR="001D0413" w:rsidRDefault="001D0413" w:rsidP="00B121C0">
            <w:pPr>
              <w:spacing w:after="0" w:line="240" w:lineRule="auto"/>
              <w:ind w:firstLine="0"/>
              <w:jc w:val="center"/>
              <w:rPr>
                <w:color w:val="000000"/>
                <w:sz w:val="20"/>
                <w:szCs w:val="20"/>
              </w:rPr>
            </w:pPr>
            <w:r>
              <w:rPr>
                <w:color w:val="000000"/>
                <w:sz w:val="20"/>
                <w:szCs w:val="20"/>
              </w:rPr>
              <w:t xml:space="preserve">       14.597 </w:t>
            </w:r>
          </w:p>
        </w:tc>
        <w:tc>
          <w:tcPr>
            <w:tcW w:w="1350" w:type="dxa"/>
            <w:tcBorders>
              <w:top w:val="nil"/>
              <w:left w:val="nil"/>
              <w:bottom w:val="single" w:sz="4" w:space="0" w:color="auto"/>
              <w:right w:val="single" w:sz="4" w:space="0" w:color="auto"/>
            </w:tcBorders>
            <w:shd w:val="clear" w:color="auto" w:fill="DBE5F1" w:themeFill="accent1" w:themeFillTint="33"/>
            <w:noWrap/>
            <w:vAlign w:val="center"/>
            <w:hideMark/>
          </w:tcPr>
          <w:p w14:paraId="3ED7CF56" w14:textId="77777777" w:rsidR="001D0413" w:rsidRDefault="001D0413" w:rsidP="00B121C0">
            <w:pPr>
              <w:spacing w:after="0" w:line="240" w:lineRule="auto"/>
              <w:ind w:firstLine="0"/>
              <w:jc w:val="center"/>
              <w:rPr>
                <w:color w:val="000000"/>
                <w:sz w:val="20"/>
                <w:szCs w:val="20"/>
              </w:rPr>
            </w:pPr>
            <w:r>
              <w:rPr>
                <w:color w:val="000000"/>
                <w:sz w:val="20"/>
                <w:szCs w:val="20"/>
              </w:rPr>
              <w:t xml:space="preserve">          7.084 </w:t>
            </w:r>
          </w:p>
        </w:tc>
      </w:tr>
    </w:tbl>
    <w:p w14:paraId="6306B86D" w14:textId="77777777" w:rsidR="001D0413" w:rsidRDefault="001D0413" w:rsidP="001D0413">
      <w:pPr>
        <w:rPr>
          <w:lang w:val="af-ZA"/>
        </w:rPr>
      </w:pPr>
    </w:p>
    <w:p w14:paraId="13DE1FDE" w14:textId="77777777" w:rsidR="001D0413" w:rsidRDefault="001D0413" w:rsidP="008F525B">
      <w:pPr>
        <w:tabs>
          <w:tab w:val="left" w:pos="9120"/>
        </w:tabs>
        <w:spacing w:line="276" w:lineRule="auto"/>
        <w:ind w:firstLine="562"/>
        <w:rPr>
          <w:rFonts w:cs="Sylfaen"/>
          <w:iCs/>
          <w:lang w:val="af-ZA" w:eastAsia="en-GB"/>
        </w:rPr>
      </w:pPr>
      <w:r>
        <w:rPr>
          <w:rFonts w:cs="Sylfaen"/>
          <w:b/>
          <w:iCs/>
          <w:spacing w:val="40"/>
          <w:lang w:val="af-ZA" w:eastAsia="en-GB"/>
        </w:rPr>
        <w:lastRenderedPageBreak/>
        <w:t>Այլ եկամուտները</w:t>
      </w:r>
      <w:r>
        <w:rPr>
          <w:rFonts w:cs="Sylfaen"/>
          <w:iCs/>
          <w:lang w:val="af-ZA" w:eastAsia="en-GB"/>
        </w:rPr>
        <w:t xml:space="preserve"> ներառում են բանկերում և ֆինանսավարկային հաս</w:t>
      </w:r>
      <w:r>
        <w:rPr>
          <w:rFonts w:cs="Sylfaen"/>
          <w:iCs/>
          <w:lang w:val="af-ZA" w:eastAsia="en-GB"/>
        </w:rPr>
        <w:softHyphen/>
        <w:t>տա</w:t>
      </w:r>
      <w:r>
        <w:rPr>
          <w:rFonts w:cs="Sylfaen"/>
          <w:iCs/>
          <w:lang w:val="af-ZA" w:eastAsia="en-GB"/>
        </w:rPr>
        <w:softHyphen/>
        <w:t>տու</w:t>
      </w:r>
      <w:r>
        <w:rPr>
          <w:rFonts w:cs="Sylfaen"/>
          <w:iCs/>
          <w:lang w:val="af-ZA" w:eastAsia="en-GB"/>
        </w:rPr>
        <w:softHyphen/>
        <w:t>թյուն</w:t>
      </w:r>
      <w:r>
        <w:rPr>
          <w:rFonts w:cs="Sylfaen"/>
          <w:iCs/>
          <w:lang w:val="af-ZA" w:eastAsia="en-GB"/>
        </w:rPr>
        <w:softHyphen/>
        <w:t>նե</w:t>
      </w:r>
      <w:r>
        <w:rPr>
          <w:rFonts w:cs="Sylfaen"/>
          <w:iCs/>
          <w:lang w:val="af-ZA" w:eastAsia="en-GB"/>
        </w:rPr>
        <w:softHyphen/>
        <w:t>րում պե</w:t>
      </w:r>
      <w:r>
        <w:rPr>
          <w:rFonts w:cs="Sylfaen"/>
          <w:iCs/>
          <w:lang w:val="af-ZA" w:eastAsia="en-GB"/>
        </w:rPr>
        <w:softHyphen/>
        <w:t>տա</w:t>
      </w:r>
      <w:r>
        <w:rPr>
          <w:rFonts w:cs="Sylfaen"/>
          <w:iCs/>
          <w:lang w:val="af-ZA" w:eastAsia="en-GB"/>
        </w:rPr>
        <w:softHyphen/>
        <w:t>կան բյուջեի ժամանակավոր ազատ միջոցների տեղաբաշխումից և դեպոզիտներից ստաց</w:t>
      </w:r>
      <w:r>
        <w:rPr>
          <w:rFonts w:cs="Sylfaen"/>
          <w:iCs/>
          <w:lang w:val="af-ZA" w:eastAsia="en-GB"/>
        </w:rPr>
        <w:softHyphen/>
      </w:r>
      <w:r>
        <w:rPr>
          <w:rFonts w:cs="Sylfaen"/>
          <w:iCs/>
          <w:lang w:val="af-ZA" w:eastAsia="en-GB"/>
        </w:rPr>
        <w:softHyphen/>
        <w:t>վող տո</w:t>
      </w:r>
      <w:r>
        <w:rPr>
          <w:rFonts w:cs="Sylfaen"/>
          <w:iCs/>
          <w:lang w:val="af-ZA" w:eastAsia="en-GB"/>
        </w:rPr>
        <w:softHyphen/>
        <w:t>կո</w:t>
      </w:r>
      <w:r>
        <w:rPr>
          <w:rFonts w:cs="Sylfaen"/>
          <w:iCs/>
          <w:lang w:val="af-ZA" w:eastAsia="en-GB"/>
        </w:rPr>
        <w:softHyphen/>
        <w:t>սա</w:t>
      </w:r>
      <w:r>
        <w:rPr>
          <w:rFonts w:cs="Sylfaen"/>
          <w:iCs/>
          <w:lang w:val="af-ZA" w:eastAsia="en-GB"/>
        </w:rPr>
        <w:softHyphen/>
        <w:t>վճար</w:t>
      </w:r>
      <w:r>
        <w:rPr>
          <w:rFonts w:cs="Sylfaen"/>
          <w:iCs/>
          <w:lang w:val="af-ZA" w:eastAsia="en-GB"/>
        </w:rPr>
        <w:softHyphen/>
        <w:t>ները, իրավաբանական անձանց կապիտալում կատարված ներդրում</w:t>
      </w:r>
      <w:r>
        <w:rPr>
          <w:rFonts w:cs="Sylfaen"/>
          <w:iCs/>
          <w:lang w:val="af-ZA" w:eastAsia="en-GB"/>
        </w:rPr>
        <w:softHyphen/>
        <w:t>ներից ստաց</w:t>
      </w:r>
      <w:r>
        <w:rPr>
          <w:rFonts w:cs="Sylfaen"/>
          <w:iCs/>
          <w:lang w:val="af-ZA" w:eastAsia="en-GB"/>
        </w:rPr>
        <w:softHyphen/>
      </w:r>
      <w:r>
        <w:rPr>
          <w:rFonts w:cs="Sylfaen"/>
          <w:iCs/>
          <w:lang w:val="af-ZA" w:eastAsia="en-GB"/>
        </w:rPr>
        <w:softHyphen/>
        <w:t>վող շահաբաժինները, պե</w:t>
      </w:r>
      <w:r>
        <w:rPr>
          <w:rFonts w:cs="Sylfaen"/>
          <w:iCs/>
          <w:lang w:val="af-ZA" w:eastAsia="en-GB"/>
        </w:rPr>
        <w:softHyphen/>
        <w:t>տա</w:t>
      </w:r>
      <w:r>
        <w:rPr>
          <w:rFonts w:cs="Sylfaen"/>
          <w:iCs/>
          <w:lang w:val="af-ZA" w:eastAsia="en-GB"/>
        </w:rPr>
        <w:softHyphen/>
        <w:t>կան ձեռնարկությունների գույքի օգտագործման վճար</w:t>
      </w:r>
      <w:r>
        <w:rPr>
          <w:rFonts w:cs="Sylfaen"/>
          <w:iCs/>
          <w:lang w:val="af-ZA" w:eastAsia="en-GB"/>
        </w:rPr>
        <w:softHyphen/>
        <w:t>ները, պետության կողմից տրված վարկերի օգտագործ</w:t>
      </w:r>
      <w:r>
        <w:rPr>
          <w:rFonts w:cs="Sylfaen"/>
          <w:iCs/>
          <w:lang w:val="af-ZA" w:eastAsia="en-GB"/>
        </w:rPr>
        <w:softHyphen/>
        <w:t>ման դի</w:t>
      </w:r>
      <w:r>
        <w:rPr>
          <w:rFonts w:cs="Sylfaen"/>
          <w:iCs/>
          <w:lang w:val="af-ZA" w:eastAsia="en-GB"/>
        </w:rPr>
        <w:softHyphen/>
        <w:t>մաց վճարները (տոկոսավճար</w:t>
      </w:r>
      <w:r>
        <w:rPr>
          <w:rFonts w:cs="Sylfaen"/>
          <w:iCs/>
          <w:lang w:val="af-ZA" w:eastAsia="en-GB"/>
        </w:rPr>
        <w:softHyphen/>
        <w:t>ները), իրա</w:t>
      </w:r>
      <w:r>
        <w:rPr>
          <w:rFonts w:cs="Sylfaen"/>
          <w:iCs/>
          <w:lang w:val="af-ZA" w:eastAsia="en-GB"/>
        </w:rPr>
        <w:softHyphen/>
        <w:t>վա</w:t>
      </w:r>
      <w:r>
        <w:rPr>
          <w:rFonts w:cs="Sylfaen"/>
          <w:iCs/>
          <w:lang w:val="af-ZA" w:eastAsia="en-GB"/>
        </w:rPr>
        <w:softHyphen/>
        <w:t>խախտումների համար գոր</w:t>
      </w:r>
      <w:r>
        <w:rPr>
          <w:rFonts w:cs="Sylfaen"/>
          <w:iCs/>
          <w:lang w:val="af-ZA" w:eastAsia="en-GB"/>
        </w:rPr>
        <w:softHyphen/>
        <w:t>ծա</w:t>
      </w:r>
      <w:r>
        <w:rPr>
          <w:rFonts w:cs="Sylfaen"/>
          <w:iCs/>
          <w:lang w:val="af-ZA" w:eastAsia="en-GB"/>
        </w:rPr>
        <w:softHyphen/>
        <w:t>դիր և դատական մար</w:t>
      </w:r>
      <w:r>
        <w:rPr>
          <w:rFonts w:cs="Sylfaen"/>
          <w:iCs/>
          <w:lang w:val="af-ZA" w:eastAsia="en-GB"/>
        </w:rPr>
        <w:softHyphen/>
      </w:r>
      <w:r>
        <w:rPr>
          <w:rFonts w:cs="Sylfaen"/>
          <w:iCs/>
          <w:lang w:val="af-ZA" w:eastAsia="en-GB"/>
        </w:rPr>
        <w:softHyphen/>
        <w:t>մին</w:t>
      </w:r>
      <w:r>
        <w:rPr>
          <w:rFonts w:cs="Sylfaen"/>
          <w:iCs/>
          <w:lang w:val="af-ZA" w:eastAsia="en-GB"/>
        </w:rPr>
        <w:softHyphen/>
        <w:t>նե</w:t>
      </w:r>
      <w:r>
        <w:rPr>
          <w:rFonts w:cs="Sylfaen"/>
          <w:iCs/>
          <w:lang w:val="af-ZA" w:eastAsia="en-GB"/>
        </w:rPr>
        <w:softHyphen/>
        <w:t>րի կողմից կիրառվող պատժամի</w:t>
      </w:r>
      <w:r>
        <w:rPr>
          <w:rFonts w:cs="Sylfaen"/>
          <w:iCs/>
          <w:lang w:val="af-ZA" w:eastAsia="en-GB"/>
        </w:rPr>
        <w:softHyphen/>
        <w:t>ջոցներից ստացվող մուտքերը, պետական մարմինների կողմից ապրանքների մա</w:t>
      </w:r>
      <w:r>
        <w:rPr>
          <w:rFonts w:cs="Sylfaen"/>
          <w:iCs/>
          <w:lang w:val="af-ZA" w:eastAsia="en-GB"/>
        </w:rPr>
        <w:softHyphen/>
        <w:t>տա</w:t>
      </w:r>
      <w:r>
        <w:rPr>
          <w:rFonts w:cs="Sylfaen"/>
          <w:iCs/>
          <w:lang w:val="af-ZA" w:eastAsia="en-GB"/>
        </w:rPr>
        <w:softHyphen/>
        <w:t>կա</w:t>
      </w:r>
      <w:r>
        <w:rPr>
          <w:rFonts w:cs="Sylfaen"/>
          <w:iCs/>
          <w:lang w:val="af-ZA" w:eastAsia="en-GB"/>
        </w:rPr>
        <w:softHyphen/>
        <w:t>րա</w:t>
      </w:r>
      <w:r>
        <w:rPr>
          <w:rFonts w:cs="Sylfaen"/>
          <w:iCs/>
          <w:lang w:val="af-ZA" w:eastAsia="en-GB"/>
        </w:rPr>
        <w:softHyphen/>
        <w:t>րումից և ծառայությունների մատուցումից մուտքերը և այլ եկա</w:t>
      </w:r>
      <w:r>
        <w:rPr>
          <w:rFonts w:cs="Sylfaen"/>
          <w:iCs/>
          <w:lang w:val="af-ZA" w:eastAsia="en-GB"/>
        </w:rPr>
        <w:softHyphen/>
        <w:t>մուտ</w:t>
      </w:r>
      <w:r>
        <w:rPr>
          <w:rFonts w:cs="Sylfaen"/>
          <w:iCs/>
          <w:lang w:val="af-ZA" w:eastAsia="en-GB"/>
        </w:rPr>
        <w:softHyphen/>
        <w:t>ները:</w:t>
      </w:r>
    </w:p>
    <w:p w14:paraId="4B793B33" w14:textId="77777777" w:rsidR="001D0413" w:rsidRDefault="001D0413" w:rsidP="008F525B">
      <w:pPr>
        <w:spacing w:line="276" w:lineRule="auto"/>
        <w:ind w:firstLine="562"/>
        <w:rPr>
          <w:rFonts w:cs="Sylfaen"/>
          <w:iCs/>
          <w:lang w:val="af-ZA" w:eastAsia="en-GB"/>
        </w:rPr>
      </w:pPr>
      <w:r>
        <w:rPr>
          <w:rFonts w:cs="Sylfaen"/>
          <w:iCs/>
          <w:lang w:val="af-ZA" w:eastAsia="en-GB"/>
        </w:rPr>
        <w:t>Այլ եկամուտները 2021-2023թթ համար ծրագրվել են համապատասխանաբար 45.3 մլրդ դրա</w:t>
      </w:r>
      <w:r>
        <w:rPr>
          <w:rFonts w:cs="Sylfaen"/>
          <w:iCs/>
          <w:lang w:val="af-ZA" w:eastAsia="en-GB"/>
        </w:rPr>
        <w:softHyphen/>
        <w:t>մի, 47.9 մլրդ դրամի և 48.7 մլրդ դրամի չափով, հաշվի առնելով գանձման համար պատաս</w:t>
      </w:r>
      <w:r>
        <w:rPr>
          <w:rFonts w:cs="Sylfaen"/>
          <w:iCs/>
          <w:lang w:val="af-ZA" w:eastAsia="en-GB"/>
        </w:rPr>
        <w:softHyphen/>
        <w:t>խա</w:t>
      </w:r>
      <w:r>
        <w:rPr>
          <w:rFonts w:cs="Sylfaen"/>
          <w:iCs/>
          <w:lang w:val="af-ZA" w:eastAsia="en-GB"/>
        </w:rPr>
        <w:softHyphen/>
        <w:t>նա</w:t>
      </w:r>
      <w:r>
        <w:rPr>
          <w:rFonts w:cs="Sylfaen"/>
          <w:iCs/>
          <w:lang w:val="af-ZA" w:eastAsia="en-GB"/>
        </w:rPr>
        <w:softHyphen/>
        <w:t>տու պետական կա</w:t>
      </w:r>
      <w:r>
        <w:rPr>
          <w:rFonts w:cs="Sylfaen"/>
          <w:iCs/>
          <w:lang w:val="af-ZA" w:eastAsia="en-GB"/>
        </w:rPr>
        <w:softHyphen/>
        <w:t>ռավարման մարմինների կողմից ՀՀ 2021 թվականի բյուջետային գործ</w:t>
      </w:r>
      <w:r>
        <w:rPr>
          <w:rFonts w:cs="Sylfaen"/>
          <w:iCs/>
          <w:lang w:val="af-ZA" w:eastAsia="en-GB"/>
        </w:rPr>
        <w:softHyphen/>
        <w:t>ըն</w:t>
      </w:r>
      <w:r>
        <w:rPr>
          <w:rFonts w:cs="Sylfaen"/>
          <w:iCs/>
          <w:lang w:val="af-ZA" w:eastAsia="en-GB"/>
        </w:rPr>
        <w:softHyphen/>
      </w:r>
      <w:r>
        <w:rPr>
          <w:rFonts w:cs="Sylfaen"/>
          <w:iCs/>
          <w:lang w:val="af-ZA" w:eastAsia="en-GB"/>
        </w:rPr>
        <w:softHyphen/>
        <w:t>թացի շրջա</w:t>
      </w:r>
      <w:r>
        <w:rPr>
          <w:rFonts w:cs="Sylfaen"/>
          <w:iCs/>
          <w:lang w:val="af-ZA" w:eastAsia="en-GB"/>
        </w:rPr>
        <w:softHyphen/>
      </w:r>
      <w:r>
        <w:rPr>
          <w:rFonts w:cs="Sylfaen"/>
          <w:iCs/>
          <w:lang w:val="af-ZA" w:eastAsia="en-GB"/>
        </w:rPr>
        <w:softHyphen/>
        <w:t>նակում հա</w:t>
      </w:r>
      <w:r>
        <w:rPr>
          <w:rFonts w:cs="Sylfaen"/>
          <w:iCs/>
          <w:lang w:val="af-ZA" w:eastAsia="en-GB"/>
        </w:rPr>
        <w:softHyphen/>
        <w:t>մա</w:t>
      </w:r>
      <w:r>
        <w:rPr>
          <w:rFonts w:cs="Sylfaen"/>
          <w:iCs/>
          <w:lang w:val="af-ZA" w:eastAsia="en-GB"/>
        </w:rPr>
        <w:softHyphen/>
        <w:t>պա</w:t>
      </w:r>
      <w:r>
        <w:rPr>
          <w:rFonts w:cs="Sylfaen"/>
          <w:iCs/>
          <w:lang w:val="af-ZA" w:eastAsia="en-GB"/>
        </w:rPr>
        <w:softHyphen/>
        <w:t>տաս</w:t>
      </w:r>
      <w:r>
        <w:rPr>
          <w:rFonts w:cs="Sylfaen"/>
          <w:iCs/>
          <w:lang w:val="af-ZA" w:eastAsia="en-GB"/>
        </w:rPr>
        <w:softHyphen/>
        <w:t>խան հայտերով ներկայացված կանխատեսումները, կատար</w:t>
      </w:r>
      <w:r>
        <w:rPr>
          <w:rFonts w:cs="Sylfaen"/>
          <w:iCs/>
          <w:lang w:val="af-ZA" w:eastAsia="en-GB"/>
        </w:rPr>
        <w:softHyphen/>
        <w:t>ված օրենս</w:t>
      </w:r>
      <w:r>
        <w:rPr>
          <w:rFonts w:cs="Sylfaen"/>
          <w:iCs/>
          <w:lang w:val="af-ZA" w:eastAsia="en-GB"/>
        </w:rPr>
        <w:softHyphen/>
        <w:t>դրա</w:t>
      </w:r>
      <w:r>
        <w:rPr>
          <w:rFonts w:cs="Sylfaen"/>
          <w:iCs/>
          <w:lang w:val="af-ZA" w:eastAsia="en-GB"/>
        </w:rPr>
        <w:softHyphen/>
        <w:t>կան փոփոխությունները, ինչ</w:t>
      </w:r>
      <w:r>
        <w:rPr>
          <w:rFonts w:cs="Sylfaen"/>
          <w:iCs/>
          <w:lang w:val="af-ZA" w:eastAsia="en-GB"/>
        </w:rPr>
        <w:softHyphen/>
        <w:t>պես նաև առանձին եկամտատեսակների գծով նա</w:t>
      </w:r>
      <w:r>
        <w:rPr>
          <w:rFonts w:cs="Sylfaen"/>
          <w:iCs/>
          <w:lang w:val="af-ZA" w:eastAsia="en-GB"/>
        </w:rPr>
        <w:softHyphen/>
        <w:t>խորդ տա</w:t>
      </w:r>
      <w:r>
        <w:rPr>
          <w:rFonts w:cs="Sylfaen"/>
          <w:iCs/>
          <w:lang w:val="af-ZA" w:eastAsia="en-GB"/>
        </w:rPr>
        <w:softHyphen/>
        <w:t>րի</w:t>
      </w:r>
      <w:r>
        <w:rPr>
          <w:rFonts w:cs="Sylfaen"/>
          <w:iCs/>
          <w:lang w:val="af-ZA" w:eastAsia="en-GB"/>
        </w:rPr>
        <w:softHyphen/>
        <w:t>նե</w:t>
      </w:r>
      <w:r>
        <w:rPr>
          <w:rFonts w:cs="Sylfaen"/>
          <w:iCs/>
          <w:lang w:val="af-ZA" w:eastAsia="en-GB"/>
        </w:rPr>
        <w:softHyphen/>
        <w:t>րին արձանագրված միտումները:</w:t>
      </w:r>
    </w:p>
    <w:p w14:paraId="04E0EC2C" w14:textId="77777777" w:rsidR="001D0413" w:rsidRDefault="001D0413" w:rsidP="008F525B">
      <w:pPr>
        <w:spacing w:line="276" w:lineRule="auto"/>
        <w:ind w:firstLine="360"/>
        <w:rPr>
          <w:rFonts w:cs="Sylfaen"/>
          <w:iCs/>
          <w:lang w:val="af-ZA" w:eastAsia="en-GB"/>
        </w:rPr>
      </w:pPr>
      <w:r>
        <w:rPr>
          <w:rFonts w:cs="Sylfaen"/>
          <w:iCs/>
          <w:lang w:val="af-ZA" w:eastAsia="en-GB"/>
        </w:rPr>
        <w:t>Այլ եկամուտների ՄԺԾԾ կանխատեսումների ընդհանուր պատկերն ըստ եկամտի հիմնական աղբյուրների հետևյալն է.</w:t>
      </w:r>
    </w:p>
    <w:p w14:paraId="43D102E4" w14:textId="77777777" w:rsidR="00173FEB" w:rsidRPr="008F525B" w:rsidRDefault="001D0413" w:rsidP="0035033F">
      <w:pPr>
        <w:keepNext/>
        <w:keepLines/>
        <w:spacing w:before="120"/>
        <w:rPr>
          <w:rFonts w:cs="Sylfaen"/>
          <w:i/>
          <w:iCs/>
          <w:sz w:val="20"/>
          <w:szCs w:val="20"/>
          <w:lang w:val="af-ZA" w:eastAsia="en-GB"/>
        </w:rPr>
      </w:pPr>
      <w:r w:rsidRPr="00D83548">
        <w:rPr>
          <w:rFonts w:cs="Sylfaen"/>
          <w:b/>
          <w:iCs/>
          <w:sz w:val="20"/>
          <w:szCs w:val="20"/>
          <w:lang w:val="af-ZA" w:eastAsia="en-GB"/>
        </w:rPr>
        <w:t>Աղյուսակ 3.</w:t>
      </w:r>
      <w:r w:rsidR="00D83548" w:rsidRPr="00D83548">
        <w:rPr>
          <w:rFonts w:cs="Sylfaen"/>
          <w:b/>
          <w:iCs/>
          <w:sz w:val="20"/>
          <w:szCs w:val="20"/>
          <w:lang w:val="af-ZA" w:eastAsia="en-GB"/>
        </w:rPr>
        <w:t>2.</w:t>
      </w:r>
      <w:r w:rsidRPr="00D83548">
        <w:rPr>
          <w:rFonts w:cs="Sylfaen"/>
          <w:b/>
          <w:iCs/>
          <w:sz w:val="20"/>
          <w:szCs w:val="20"/>
          <w:lang w:val="af-ZA" w:eastAsia="en-GB"/>
        </w:rPr>
        <w:t xml:space="preserve">3 </w:t>
      </w:r>
      <w:r w:rsidRPr="008F525B">
        <w:rPr>
          <w:rFonts w:cs="Sylfaen"/>
          <w:i/>
          <w:iCs/>
          <w:sz w:val="20"/>
          <w:szCs w:val="20"/>
          <w:lang w:val="af-ZA" w:eastAsia="en-GB"/>
        </w:rPr>
        <w:t>Այլ եկամուտների կազմում հաշվառվող եկամտատեսակների գծով ՀՀ 2021-2023թթ ՄԺԾԾ շրջանակներում կատարված կանխատեսումները (մլրդ դրամ)</w:t>
      </w:r>
    </w:p>
    <w:tbl>
      <w:tblPr>
        <w:tblW w:w="9356" w:type="dxa"/>
        <w:tblLook w:val="04A0" w:firstRow="1" w:lastRow="0" w:firstColumn="1" w:lastColumn="0" w:noHBand="0" w:noVBand="1"/>
      </w:tblPr>
      <w:tblGrid>
        <w:gridCol w:w="5575"/>
        <w:gridCol w:w="1360"/>
        <w:gridCol w:w="1200"/>
        <w:gridCol w:w="1221"/>
      </w:tblGrid>
      <w:tr w:rsidR="001D0413" w:rsidRPr="001D0413" w14:paraId="6F3373D2" w14:textId="77777777" w:rsidTr="0035033F">
        <w:trPr>
          <w:trHeight w:val="345"/>
        </w:trPr>
        <w:tc>
          <w:tcPr>
            <w:tcW w:w="5575" w:type="dxa"/>
            <w:vMerge w:val="restart"/>
            <w:tcBorders>
              <w:top w:val="single" w:sz="4" w:space="0" w:color="auto"/>
              <w:left w:val="single" w:sz="4" w:space="0" w:color="auto"/>
              <w:bottom w:val="single" w:sz="4" w:space="0" w:color="000000"/>
              <w:right w:val="single" w:sz="4" w:space="0" w:color="auto"/>
            </w:tcBorders>
            <w:shd w:val="clear" w:color="auto" w:fill="0070C0"/>
            <w:vAlign w:val="center"/>
            <w:hideMark/>
          </w:tcPr>
          <w:p w14:paraId="4468B36E" w14:textId="77777777" w:rsidR="001D0413" w:rsidRPr="0035033F" w:rsidRDefault="00595A2D" w:rsidP="00B121C0">
            <w:pPr>
              <w:spacing w:after="0" w:line="240" w:lineRule="auto"/>
              <w:ind w:firstLine="0"/>
              <w:jc w:val="left"/>
              <w:rPr>
                <w:rFonts w:cs="Calibri"/>
                <w:bCs/>
                <w:color w:val="FFFFFF" w:themeColor="background1"/>
                <w:sz w:val="20"/>
                <w:szCs w:val="20"/>
              </w:rPr>
            </w:pPr>
            <w:r w:rsidRPr="0035033F">
              <w:rPr>
                <w:rFonts w:cs="Calibri"/>
                <w:bCs/>
                <w:color w:val="FFFFFF" w:themeColor="background1"/>
                <w:sz w:val="20"/>
                <w:szCs w:val="20"/>
              </w:rPr>
              <w:t>Այլ եկամուտներ</w:t>
            </w:r>
          </w:p>
        </w:tc>
        <w:tc>
          <w:tcPr>
            <w:tcW w:w="1360" w:type="dxa"/>
            <w:tcBorders>
              <w:top w:val="single" w:sz="4" w:space="0" w:color="auto"/>
              <w:left w:val="nil"/>
              <w:bottom w:val="single" w:sz="4" w:space="0" w:color="auto"/>
              <w:right w:val="single" w:sz="4" w:space="0" w:color="auto"/>
            </w:tcBorders>
            <w:shd w:val="clear" w:color="auto" w:fill="0070C0"/>
            <w:noWrap/>
            <w:vAlign w:val="center"/>
            <w:hideMark/>
          </w:tcPr>
          <w:p w14:paraId="7FB84B30" w14:textId="77777777" w:rsidR="001D0413" w:rsidRPr="0035033F" w:rsidRDefault="00595A2D" w:rsidP="00B121C0">
            <w:pPr>
              <w:spacing w:after="0" w:line="240" w:lineRule="auto"/>
              <w:ind w:firstLine="0"/>
              <w:jc w:val="center"/>
              <w:rPr>
                <w:rFonts w:eastAsia="Times New Roman" w:cs="Calibri"/>
                <w:color w:val="FFFFFF" w:themeColor="background1"/>
                <w:sz w:val="20"/>
                <w:szCs w:val="20"/>
              </w:rPr>
            </w:pPr>
            <w:r w:rsidRPr="0035033F">
              <w:rPr>
                <w:rFonts w:cs="Calibri"/>
                <w:color w:val="FFFFFF" w:themeColor="background1"/>
                <w:sz w:val="20"/>
                <w:szCs w:val="20"/>
              </w:rPr>
              <w:t>2021թ</w:t>
            </w:r>
          </w:p>
        </w:tc>
        <w:tc>
          <w:tcPr>
            <w:tcW w:w="1200" w:type="dxa"/>
            <w:tcBorders>
              <w:top w:val="single" w:sz="4" w:space="0" w:color="auto"/>
              <w:left w:val="nil"/>
              <w:bottom w:val="single" w:sz="4" w:space="0" w:color="auto"/>
              <w:right w:val="single" w:sz="4" w:space="0" w:color="auto"/>
            </w:tcBorders>
            <w:shd w:val="clear" w:color="auto" w:fill="0070C0"/>
            <w:noWrap/>
            <w:vAlign w:val="center"/>
            <w:hideMark/>
          </w:tcPr>
          <w:p w14:paraId="5C297489" w14:textId="77777777" w:rsidR="001D0413" w:rsidRPr="0035033F" w:rsidRDefault="00595A2D" w:rsidP="00B121C0">
            <w:pPr>
              <w:spacing w:after="0" w:line="240" w:lineRule="auto"/>
              <w:ind w:firstLine="0"/>
              <w:jc w:val="center"/>
              <w:rPr>
                <w:rFonts w:eastAsia="Times New Roman" w:cs="Calibri"/>
                <w:color w:val="FFFFFF" w:themeColor="background1"/>
                <w:sz w:val="20"/>
                <w:szCs w:val="20"/>
              </w:rPr>
            </w:pPr>
            <w:r w:rsidRPr="0035033F">
              <w:rPr>
                <w:rFonts w:cs="Calibri"/>
                <w:color w:val="FFFFFF" w:themeColor="background1"/>
                <w:sz w:val="20"/>
                <w:szCs w:val="20"/>
              </w:rPr>
              <w:t>2022թ</w:t>
            </w:r>
          </w:p>
        </w:tc>
        <w:tc>
          <w:tcPr>
            <w:tcW w:w="1220" w:type="dxa"/>
            <w:tcBorders>
              <w:top w:val="single" w:sz="4" w:space="0" w:color="auto"/>
              <w:left w:val="nil"/>
              <w:bottom w:val="single" w:sz="4" w:space="0" w:color="auto"/>
              <w:right w:val="single" w:sz="4" w:space="0" w:color="auto"/>
            </w:tcBorders>
            <w:shd w:val="clear" w:color="auto" w:fill="0070C0"/>
            <w:noWrap/>
            <w:vAlign w:val="center"/>
            <w:hideMark/>
          </w:tcPr>
          <w:p w14:paraId="3D688E9A" w14:textId="77777777" w:rsidR="001D0413" w:rsidRPr="0035033F" w:rsidRDefault="00595A2D" w:rsidP="00B121C0">
            <w:pPr>
              <w:spacing w:after="0" w:line="240" w:lineRule="auto"/>
              <w:ind w:firstLine="0"/>
              <w:jc w:val="center"/>
              <w:rPr>
                <w:rFonts w:eastAsia="Times New Roman" w:cs="Calibri"/>
                <w:color w:val="FFFFFF" w:themeColor="background1"/>
                <w:sz w:val="20"/>
                <w:szCs w:val="20"/>
              </w:rPr>
            </w:pPr>
            <w:r w:rsidRPr="0035033F">
              <w:rPr>
                <w:rFonts w:cs="Calibri"/>
                <w:color w:val="FFFFFF" w:themeColor="background1"/>
                <w:sz w:val="20"/>
                <w:szCs w:val="20"/>
              </w:rPr>
              <w:t>2023թ</w:t>
            </w:r>
          </w:p>
        </w:tc>
      </w:tr>
      <w:tr w:rsidR="001D0413" w:rsidRPr="001D0413" w14:paraId="0D52FB36" w14:textId="77777777" w:rsidTr="0035033F">
        <w:trPr>
          <w:trHeight w:val="345"/>
        </w:trPr>
        <w:tc>
          <w:tcPr>
            <w:tcW w:w="0" w:type="auto"/>
            <w:vMerge/>
            <w:tcBorders>
              <w:top w:val="single" w:sz="4" w:space="0" w:color="auto"/>
              <w:left w:val="single" w:sz="4" w:space="0" w:color="auto"/>
              <w:bottom w:val="single" w:sz="4" w:space="0" w:color="000000"/>
              <w:right w:val="single" w:sz="4" w:space="0" w:color="auto"/>
            </w:tcBorders>
            <w:shd w:val="clear" w:color="auto" w:fill="0070C0"/>
            <w:vAlign w:val="center"/>
            <w:hideMark/>
          </w:tcPr>
          <w:p w14:paraId="23EF433D" w14:textId="77777777" w:rsidR="001D0413" w:rsidRPr="0035033F" w:rsidRDefault="001D0413" w:rsidP="00B121C0">
            <w:pPr>
              <w:spacing w:after="0" w:line="240" w:lineRule="auto"/>
              <w:ind w:firstLine="0"/>
              <w:jc w:val="left"/>
              <w:rPr>
                <w:rFonts w:cs="Calibri"/>
                <w:bCs/>
                <w:color w:val="FFFFFF" w:themeColor="background1"/>
                <w:sz w:val="20"/>
                <w:szCs w:val="20"/>
              </w:rPr>
            </w:pPr>
          </w:p>
        </w:tc>
        <w:tc>
          <w:tcPr>
            <w:tcW w:w="3781" w:type="dxa"/>
            <w:gridSpan w:val="3"/>
            <w:tcBorders>
              <w:top w:val="single" w:sz="4" w:space="0" w:color="auto"/>
              <w:left w:val="nil"/>
              <w:bottom w:val="single" w:sz="4" w:space="0" w:color="auto"/>
              <w:right w:val="single" w:sz="4" w:space="0" w:color="auto"/>
            </w:tcBorders>
            <w:shd w:val="clear" w:color="auto" w:fill="0070C0"/>
            <w:noWrap/>
            <w:vAlign w:val="center"/>
            <w:hideMark/>
          </w:tcPr>
          <w:p w14:paraId="2CF3500E" w14:textId="77777777" w:rsidR="001D0413" w:rsidRPr="0035033F" w:rsidRDefault="00595A2D" w:rsidP="00B121C0">
            <w:pPr>
              <w:spacing w:after="0" w:line="240" w:lineRule="auto"/>
              <w:ind w:firstLine="0"/>
              <w:jc w:val="center"/>
              <w:rPr>
                <w:rFonts w:eastAsia="Times New Roman" w:cs="Calibri"/>
                <w:color w:val="FFFFFF" w:themeColor="background1"/>
                <w:sz w:val="20"/>
                <w:szCs w:val="20"/>
              </w:rPr>
            </w:pPr>
            <w:r w:rsidRPr="0035033F">
              <w:rPr>
                <w:rFonts w:cs="Calibri"/>
                <w:color w:val="FFFFFF" w:themeColor="background1"/>
                <w:sz w:val="20"/>
                <w:szCs w:val="20"/>
              </w:rPr>
              <w:t xml:space="preserve"> </w:t>
            </w:r>
            <w:r w:rsidR="009D66F0" w:rsidRPr="0035033F">
              <w:rPr>
                <w:rFonts w:cs="Calibri"/>
                <w:color w:val="FFFFFF" w:themeColor="background1"/>
                <w:sz w:val="20"/>
                <w:szCs w:val="20"/>
              </w:rPr>
              <w:t>Կ</w:t>
            </w:r>
            <w:r w:rsidRPr="0035033F">
              <w:rPr>
                <w:rFonts w:cs="Calibri"/>
                <w:color w:val="FFFFFF" w:themeColor="background1"/>
                <w:sz w:val="20"/>
                <w:szCs w:val="20"/>
              </w:rPr>
              <w:t>անխատեսում</w:t>
            </w:r>
          </w:p>
        </w:tc>
      </w:tr>
      <w:tr w:rsidR="001D0413" w:rsidRPr="001D0413" w14:paraId="324CCB0D" w14:textId="77777777" w:rsidTr="0035033F">
        <w:trPr>
          <w:trHeight w:val="345"/>
        </w:trPr>
        <w:tc>
          <w:tcPr>
            <w:tcW w:w="5575"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37BFD17" w14:textId="77777777" w:rsidR="001D0413" w:rsidRPr="0035033F" w:rsidRDefault="00595A2D" w:rsidP="00B121C0">
            <w:pPr>
              <w:spacing w:after="0" w:line="240" w:lineRule="auto"/>
              <w:ind w:firstLine="0"/>
              <w:jc w:val="left"/>
              <w:rPr>
                <w:rFonts w:cs="Calibri"/>
                <w:b/>
                <w:bCs/>
                <w:color w:val="000000"/>
                <w:sz w:val="20"/>
                <w:szCs w:val="20"/>
              </w:rPr>
            </w:pPr>
            <w:r w:rsidRPr="0035033F">
              <w:rPr>
                <w:rFonts w:cs="Calibri"/>
                <w:b/>
                <w:bCs/>
                <w:color w:val="000000"/>
                <w:sz w:val="20"/>
                <w:szCs w:val="20"/>
              </w:rPr>
              <w:t>Ընդամենը, այդ թվում՝</w:t>
            </w:r>
          </w:p>
        </w:tc>
        <w:tc>
          <w:tcPr>
            <w:tcW w:w="1360" w:type="dxa"/>
            <w:tcBorders>
              <w:top w:val="nil"/>
              <w:left w:val="nil"/>
              <w:bottom w:val="single" w:sz="4" w:space="0" w:color="auto"/>
              <w:right w:val="single" w:sz="4" w:space="0" w:color="auto"/>
            </w:tcBorders>
            <w:shd w:val="clear" w:color="auto" w:fill="C6D9F1" w:themeFill="text2" w:themeFillTint="33"/>
            <w:noWrap/>
            <w:vAlign w:val="center"/>
            <w:hideMark/>
          </w:tcPr>
          <w:p w14:paraId="06A93739" w14:textId="77777777" w:rsidR="001D0413" w:rsidRPr="0035033F" w:rsidRDefault="00595A2D" w:rsidP="00B121C0">
            <w:pPr>
              <w:spacing w:after="0" w:line="240" w:lineRule="auto"/>
              <w:ind w:firstLine="0"/>
              <w:jc w:val="center"/>
              <w:rPr>
                <w:rFonts w:eastAsia="Times New Roman" w:cs="Calibri"/>
                <w:b/>
                <w:color w:val="000000"/>
                <w:sz w:val="20"/>
                <w:szCs w:val="20"/>
              </w:rPr>
            </w:pPr>
            <w:r w:rsidRPr="0035033F">
              <w:rPr>
                <w:rFonts w:cs="Calibri"/>
                <w:b/>
                <w:color w:val="000000"/>
                <w:sz w:val="20"/>
                <w:szCs w:val="20"/>
              </w:rPr>
              <w:t xml:space="preserve">         45.3 </w:t>
            </w:r>
          </w:p>
        </w:tc>
        <w:tc>
          <w:tcPr>
            <w:tcW w:w="1200" w:type="dxa"/>
            <w:tcBorders>
              <w:top w:val="nil"/>
              <w:left w:val="nil"/>
              <w:bottom w:val="single" w:sz="4" w:space="0" w:color="auto"/>
              <w:right w:val="single" w:sz="4" w:space="0" w:color="auto"/>
            </w:tcBorders>
            <w:shd w:val="clear" w:color="auto" w:fill="C6D9F1" w:themeFill="text2" w:themeFillTint="33"/>
            <w:noWrap/>
            <w:vAlign w:val="center"/>
            <w:hideMark/>
          </w:tcPr>
          <w:p w14:paraId="24B82D59" w14:textId="77777777" w:rsidR="001D0413" w:rsidRPr="0035033F" w:rsidRDefault="00595A2D" w:rsidP="00B121C0">
            <w:pPr>
              <w:spacing w:after="0" w:line="240" w:lineRule="auto"/>
              <w:ind w:firstLine="0"/>
              <w:jc w:val="center"/>
              <w:rPr>
                <w:rFonts w:eastAsia="Times New Roman" w:cs="Calibri"/>
                <w:b/>
                <w:color w:val="000000"/>
                <w:sz w:val="20"/>
                <w:szCs w:val="20"/>
              </w:rPr>
            </w:pPr>
            <w:r w:rsidRPr="0035033F">
              <w:rPr>
                <w:rFonts w:cs="Calibri"/>
                <w:b/>
                <w:color w:val="000000"/>
                <w:sz w:val="20"/>
                <w:szCs w:val="20"/>
              </w:rPr>
              <w:t xml:space="preserve">       47.9 </w:t>
            </w:r>
          </w:p>
        </w:tc>
        <w:tc>
          <w:tcPr>
            <w:tcW w:w="1220" w:type="dxa"/>
            <w:tcBorders>
              <w:top w:val="nil"/>
              <w:left w:val="nil"/>
              <w:bottom w:val="single" w:sz="4" w:space="0" w:color="auto"/>
              <w:right w:val="single" w:sz="4" w:space="0" w:color="auto"/>
            </w:tcBorders>
            <w:shd w:val="clear" w:color="auto" w:fill="C6D9F1" w:themeFill="text2" w:themeFillTint="33"/>
            <w:noWrap/>
            <w:vAlign w:val="center"/>
            <w:hideMark/>
          </w:tcPr>
          <w:p w14:paraId="48B0662E" w14:textId="77777777" w:rsidR="001D0413" w:rsidRPr="0035033F" w:rsidRDefault="00595A2D" w:rsidP="00B121C0">
            <w:pPr>
              <w:spacing w:after="0" w:line="240" w:lineRule="auto"/>
              <w:ind w:firstLine="0"/>
              <w:jc w:val="center"/>
              <w:rPr>
                <w:rFonts w:eastAsia="Times New Roman" w:cs="Calibri"/>
                <w:b/>
                <w:color w:val="000000"/>
                <w:sz w:val="20"/>
                <w:szCs w:val="20"/>
              </w:rPr>
            </w:pPr>
            <w:r w:rsidRPr="0035033F">
              <w:rPr>
                <w:rFonts w:cs="Calibri"/>
                <w:b/>
                <w:color w:val="000000"/>
                <w:sz w:val="20"/>
                <w:szCs w:val="20"/>
              </w:rPr>
              <w:t xml:space="preserve">       48.7 </w:t>
            </w:r>
          </w:p>
        </w:tc>
      </w:tr>
      <w:tr w:rsidR="001D0413" w:rsidRPr="001D0413" w14:paraId="0185A56A" w14:textId="77777777" w:rsidTr="001D0413">
        <w:trPr>
          <w:trHeight w:val="782"/>
        </w:trPr>
        <w:tc>
          <w:tcPr>
            <w:tcW w:w="5575" w:type="dxa"/>
            <w:tcBorders>
              <w:top w:val="nil"/>
              <w:left w:val="single" w:sz="4" w:space="0" w:color="auto"/>
              <w:bottom w:val="single" w:sz="4" w:space="0" w:color="auto"/>
              <w:right w:val="single" w:sz="4" w:space="0" w:color="auto"/>
            </w:tcBorders>
            <w:vAlign w:val="center"/>
            <w:hideMark/>
          </w:tcPr>
          <w:p w14:paraId="4716917B" w14:textId="77777777" w:rsidR="001D0413" w:rsidRDefault="001D0413" w:rsidP="00B121C0">
            <w:pPr>
              <w:spacing w:after="0" w:line="240" w:lineRule="auto"/>
              <w:ind w:firstLine="0"/>
              <w:jc w:val="left"/>
              <w:rPr>
                <w:rFonts w:cs="Calibri"/>
                <w:color w:val="000000"/>
                <w:sz w:val="20"/>
                <w:szCs w:val="20"/>
              </w:rPr>
            </w:pPr>
            <w:r>
              <w:rPr>
                <w:rFonts w:cs="Calibri"/>
                <w:color w:val="000000"/>
                <w:sz w:val="20"/>
                <w:szCs w:val="20"/>
              </w:rPr>
              <w:t>1. Պետական սեփականություն հանդիսացող գույքի վարձակալությունից եկամուտներ</w:t>
            </w:r>
          </w:p>
        </w:tc>
        <w:tc>
          <w:tcPr>
            <w:tcW w:w="1360" w:type="dxa"/>
            <w:tcBorders>
              <w:top w:val="nil"/>
              <w:left w:val="nil"/>
              <w:bottom w:val="single" w:sz="4" w:space="0" w:color="auto"/>
              <w:right w:val="single" w:sz="4" w:space="0" w:color="auto"/>
            </w:tcBorders>
            <w:noWrap/>
            <w:vAlign w:val="center"/>
            <w:hideMark/>
          </w:tcPr>
          <w:p w14:paraId="47D7FAC4"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1.1 </w:t>
            </w:r>
          </w:p>
        </w:tc>
        <w:tc>
          <w:tcPr>
            <w:tcW w:w="1200" w:type="dxa"/>
            <w:tcBorders>
              <w:top w:val="nil"/>
              <w:left w:val="nil"/>
              <w:bottom w:val="single" w:sz="4" w:space="0" w:color="auto"/>
              <w:right w:val="single" w:sz="4" w:space="0" w:color="auto"/>
            </w:tcBorders>
            <w:noWrap/>
            <w:vAlign w:val="center"/>
            <w:hideMark/>
          </w:tcPr>
          <w:p w14:paraId="43BC1E4C"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6.6 </w:t>
            </w:r>
          </w:p>
        </w:tc>
        <w:tc>
          <w:tcPr>
            <w:tcW w:w="1220" w:type="dxa"/>
            <w:tcBorders>
              <w:top w:val="nil"/>
              <w:left w:val="nil"/>
              <w:bottom w:val="single" w:sz="4" w:space="0" w:color="auto"/>
              <w:right w:val="single" w:sz="4" w:space="0" w:color="auto"/>
            </w:tcBorders>
            <w:noWrap/>
            <w:vAlign w:val="center"/>
            <w:hideMark/>
          </w:tcPr>
          <w:p w14:paraId="22E3356F"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7.5 </w:t>
            </w:r>
          </w:p>
        </w:tc>
      </w:tr>
      <w:tr w:rsidR="001D0413" w:rsidRPr="001D0413" w14:paraId="695DC6B5" w14:textId="77777777" w:rsidTr="0035033F">
        <w:trPr>
          <w:trHeight w:val="800"/>
        </w:trPr>
        <w:tc>
          <w:tcPr>
            <w:tcW w:w="5575"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F278EEC" w14:textId="77777777" w:rsidR="001D0413" w:rsidRDefault="001D0413" w:rsidP="00B121C0">
            <w:pPr>
              <w:spacing w:after="0" w:line="240" w:lineRule="auto"/>
              <w:ind w:firstLine="0"/>
              <w:jc w:val="left"/>
              <w:rPr>
                <w:rFonts w:cs="Calibri"/>
                <w:color w:val="000000"/>
                <w:sz w:val="20"/>
                <w:szCs w:val="20"/>
              </w:rPr>
            </w:pPr>
            <w:r>
              <w:rPr>
                <w:rFonts w:cs="Calibri"/>
                <w:color w:val="000000"/>
                <w:sz w:val="20"/>
                <w:szCs w:val="20"/>
              </w:rPr>
              <w:t>2. Տոկոսավճարների և շահաբաժինների տեսքով ստացվող եկամուտներ</w:t>
            </w:r>
          </w:p>
        </w:tc>
        <w:tc>
          <w:tcPr>
            <w:tcW w:w="1360" w:type="dxa"/>
            <w:tcBorders>
              <w:top w:val="nil"/>
              <w:left w:val="nil"/>
              <w:bottom w:val="single" w:sz="4" w:space="0" w:color="auto"/>
              <w:right w:val="single" w:sz="4" w:space="0" w:color="auto"/>
            </w:tcBorders>
            <w:shd w:val="clear" w:color="auto" w:fill="DBE5F1" w:themeFill="accent1" w:themeFillTint="33"/>
            <w:noWrap/>
            <w:vAlign w:val="center"/>
            <w:hideMark/>
          </w:tcPr>
          <w:p w14:paraId="2BA2F583"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19.8 </w:t>
            </w:r>
          </w:p>
        </w:tc>
        <w:tc>
          <w:tcPr>
            <w:tcW w:w="1200" w:type="dxa"/>
            <w:tcBorders>
              <w:top w:val="nil"/>
              <w:left w:val="nil"/>
              <w:bottom w:val="single" w:sz="4" w:space="0" w:color="auto"/>
              <w:right w:val="single" w:sz="4" w:space="0" w:color="auto"/>
            </w:tcBorders>
            <w:shd w:val="clear" w:color="auto" w:fill="DBE5F1" w:themeFill="accent1" w:themeFillTint="33"/>
            <w:noWrap/>
            <w:vAlign w:val="center"/>
            <w:hideMark/>
          </w:tcPr>
          <w:p w14:paraId="25B178AF"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16.3 </w:t>
            </w:r>
          </w:p>
        </w:tc>
        <w:tc>
          <w:tcPr>
            <w:tcW w:w="1220" w:type="dxa"/>
            <w:tcBorders>
              <w:top w:val="nil"/>
              <w:left w:val="nil"/>
              <w:bottom w:val="single" w:sz="4" w:space="0" w:color="auto"/>
              <w:right w:val="single" w:sz="4" w:space="0" w:color="auto"/>
            </w:tcBorders>
            <w:shd w:val="clear" w:color="auto" w:fill="DBE5F1" w:themeFill="accent1" w:themeFillTint="33"/>
            <w:noWrap/>
            <w:vAlign w:val="center"/>
            <w:hideMark/>
          </w:tcPr>
          <w:p w14:paraId="246FA01A"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16.2 </w:t>
            </w:r>
          </w:p>
        </w:tc>
      </w:tr>
      <w:tr w:rsidR="001D0413" w:rsidRPr="001D0413" w14:paraId="62D58E59" w14:textId="77777777" w:rsidTr="001D0413">
        <w:trPr>
          <w:trHeight w:val="971"/>
        </w:trPr>
        <w:tc>
          <w:tcPr>
            <w:tcW w:w="5575" w:type="dxa"/>
            <w:tcBorders>
              <w:top w:val="nil"/>
              <w:left w:val="single" w:sz="4" w:space="0" w:color="auto"/>
              <w:bottom w:val="single" w:sz="4" w:space="0" w:color="auto"/>
              <w:right w:val="single" w:sz="4" w:space="0" w:color="auto"/>
            </w:tcBorders>
            <w:vAlign w:val="center"/>
            <w:hideMark/>
          </w:tcPr>
          <w:p w14:paraId="4D9CEF9C" w14:textId="77777777" w:rsidR="001D0413" w:rsidRDefault="001D0413" w:rsidP="00B121C0">
            <w:pPr>
              <w:spacing w:after="0" w:line="240" w:lineRule="auto"/>
              <w:ind w:firstLine="0"/>
              <w:jc w:val="left"/>
              <w:rPr>
                <w:rFonts w:cs="Calibri"/>
                <w:color w:val="000000"/>
                <w:sz w:val="20"/>
                <w:szCs w:val="20"/>
              </w:rPr>
            </w:pPr>
            <w:r>
              <w:rPr>
                <w:rFonts w:cs="Calibri"/>
                <w:color w:val="000000"/>
                <w:sz w:val="20"/>
                <w:szCs w:val="20"/>
              </w:rPr>
              <w:t>3. Իրավախախտումների համար գործադիր, դատական մարմինների կողմից կիրառվող պատժամիջոցներից մուտքեր</w:t>
            </w:r>
          </w:p>
        </w:tc>
        <w:tc>
          <w:tcPr>
            <w:tcW w:w="1360" w:type="dxa"/>
            <w:tcBorders>
              <w:top w:val="nil"/>
              <w:left w:val="nil"/>
              <w:bottom w:val="single" w:sz="4" w:space="0" w:color="auto"/>
              <w:right w:val="single" w:sz="4" w:space="0" w:color="auto"/>
            </w:tcBorders>
            <w:noWrap/>
            <w:vAlign w:val="center"/>
            <w:hideMark/>
          </w:tcPr>
          <w:p w14:paraId="18A1160E"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10.6 </w:t>
            </w:r>
          </w:p>
        </w:tc>
        <w:tc>
          <w:tcPr>
            <w:tcW w:w="1200" w:type="dxa"/>
            <w:tcBorders>
              <w:top w:val="nil"/>
              <w:left w:val="nil"/>
              <w:bottom w:val="single" w:sz="4" w:space="0" w:color="auto"/>
              <w:right w:val="single" w:sz="4" w:space="0" w:color="auto"/>
            </w:tcBorders>
            <w:noWrap/>
            <w:vAlign w:val="center"/>
            <w:hideMark/>
          </w:tcPr>
          <w:p w14:paraId="76D7DD84"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10.7 </w:t>
            </w:r>
          </w:p>
        </w:tc>
        <w:tc>
          <w:tcPr>
            <w:tcW w:w="1220" w:type="dxa"/>
            <w:tcBorders>
              <w:top w:val="nil"/>
              <w:left w:val="nil"/>
              <w:bottom w:val="single" w:sz="4" w:space="0" w:color="auto"/>
              <w:right w:val="single" w:sz="4" w:space="0" w:color="auto"/>
            </w:tcBorders>
            <w:noWrap/>
            <w:vAlign w:val="center"/>
            <w:hideMark/>
          </w:tcPr>
          <w:p w14:paraId="525A0744"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10.7 </w:t>
            </w:r>
          </w:p>
        </w:tc>
      </w:tr>
      <w:tr w:rsidR="001D0413" w:rsidRPr="001D0413" w14:paraId="000A63AD" w14:textId="77777777" w:rsidTr="0035033F">
        <w:trPr>
          <w:trHeight w:val="890"/>
        </w:trPr>
        <w:tc>
          <w:tcPr>
            <w:tcW w:w="5575"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35C2D396" w14:textId="77777777" w:rsidR="001D0413" w:rsidRDefault="001D0413" w:rsidP="00B121C0">
            <w:pPr>
              <w:spacing w:after="0" w:line="240" w:lineRule="auto"/>
              <w:ind w:firstLine="0"/>
              <w:jc w:val="left"/>
              <w:rPr>
                <w:rFonts w:cs="Calibri"/>
                <w:color w:val="000000"/>
                <w:sz w:val="20"/>
                <w:szCs w:val="20"/>
              </w:rPr>
            </w:pPr>
            <w:r>
              <w:rPr>
                <w:rFonts w:cs="Calibri"/>
                <w:color w:val="000000"/>
                <w:sz w:val="20"/>
                <w:szCs w:val="20"/>
              </w:rPr>
              <w:t>4. Ապրանքների մատակարարումից և ծառայությունների մատուցումից եկամուտներ, որից`</w:t>
            </w:r>
          </w:p>
        </w:tc>
        <w:tc>
          <w:tcPr>
            <w:tcW w:w="1360" w:type="dxa"/>
            <w:tcBorders>
              <w:top w:val="nil"/>
              <w:left w:val="nil"/>
              <w:bottom w:val="single" w:sz="4" w:space="0" w:color="auto"/>
              <w:right w:val="single" w:sz="4" w:space="0" w:color="auto"/>
            </w:tcBorders>
            <w:shd w:val="clear" w:color="auto" w:fill="DBE5F1" w:themeFill="accent1" w:themeFillTint="33"/>
            <w:noWrap/>
            <w:vAlign w:val="center"/>
            <w:hideMark/>
          </w:tcPr>
          <w:p w14:paraId="0E3BE083"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12.5 </w:t>
            </w:r>
          </w:p>
        </w:tc>
        <w:tc>
          <w:tcPr>
            <w:tcW w:w="1200" w:type="dxa"/>
            <w:tcBorders>
              <w:top w:val="nil"/>
              <w:left w:val="nil"/>
              <w:bottom w:val="single" w:sz="4" w:space="0" w:color="auto"/>
              <w:right w:val="single" w:sz="4" w:space="0" w:color="auto"/>
            </w:tcBorders>
            <w:shd w:val="clear" w:color="auto" w:fill="DBE5F1" w:themeFill="accent1" w:themeFillTint="33"/>
            <w:noWrap/>
            <w:vAlign w:val="center"/>
            <w:hideMark/>
          </w:tcPr>
          <w:p w14:paraId="2A20ABDA"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13.0 </w:t>
            </w:r>
          </w:p>
        </w:tc>
        <w:tc>
          <w:tcPr>
            <w:tcW w:w="1220" w:type="dxa"/>
            <w:tcBorders>
              <w:top w:val="nil"/>
              <w:left w:val="nil"/>
              <w:bottom w:val="single" w:sz="4" w:space="0" w:color="auto"/>
              <w:right w:val="single" w:sz="4" w:space="0" w:color="auto"/>
            </w:tcBorders>
            <w:shd w:val="clear" w:color="auto" w:fill="DBE5F1" w:themeFill="accent1" w:themeFillTint="33"/>
            <w:noWrap/>
            <w:vAlign w:val="center"/>
            <w:hideMark/>
          </w:tcPr>
          <w:p w14:paraId="426D8EC1"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13.0 </w:t>
            </w:r>
          </w:p>
        </w:tc>
      </w:tr>
      <w:tr w:rsidR="001D0413" w:rsidRPr="001D0413" w14:paraId="7D86795B" w14:textId="77777777" w:rsidTr="001D0413">
        <w:trPr>
          <w:trHeight w:val="629"/>
        </w:trPr>
        <w:tc>
          <w:tcPr>
            <w:tcW w:w="5575" w:type="dxa"/>
            <w:tcBorders>
              <w:top w:val="nil"/>
              <w:left w:val="single" w:sz="4" w:space="0" w:color="auto"/>
              <w:bottom w:val="single" w:sz="4" w:space="0" w:color="auto"/>
              <w:right w:val="single" w:sz="4" w:space="0" w:color="auto"/>
            </w:tcBorders>
            <w:vAlign w:val="center"/>
            <w:hideMark/>
          </w:tcPr>
          <w:p w14:paraId="299E83FE" w14:textId="77777777" w:rsidR="001D0413" w:rsidRDefault="001D0413" w:rsidP="00B121C0">
            <w:pPr>
              <w:spacing w:after="0" w:line="240" w:lineRule="auto"/>
              <w:ind w:firstLine="0"/>
              <w:jc w:val="left"/>
              <w:rPr>
                <w:rFonts w:cs="Calibri"/>
                <w:color w:val="000000"/>
                <w:sz w:val="20"/>
                <w:szCs w:val="20"/>
              </w:rPr>
            </w:pPr>
            <w:r>
              <w:rPr>
                <w:rFonts w:cs="Calibri"/>
                <w:color w:val="000000"/>
                <w:sz w:val="20"/>
                <w:szCs w:val="20"/>
              </w:rPr>
              <w:t>5. Օրենքով և այլ իրավական ակտերով սահմանված` պետական բյուջե մուտքագրվող այլ եկամուտներ</w:t>
            </w:r>
          </w:p>
        </w:tc>
        <w:tc>
          <w:tcPr>
            <w:tcW w:w="1360" w:type="dxa"/>
            <w:tcBorders>
              <w:top w:val="nil"/>
              <w:left w:val="nil"/>
              <w:bottom w:val="single" w:sz="4" w:space="0" w:color="auto"/>
              <w:right w:val="single" w:sz="4" w:space="0" w:color="auto"/>
            </w:tcBorders>
            <w:noWrap/>
            <w:vAlign w:val="center"/>
            <w:hideMark/>
          </w:tcPr>
          <w:p w14:paraId="413A7E31"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1.3 </w:t>
            </w:r>
          </w:p>
        </w:tc>
        <w:tc>
          <w:tcPr>
            <w:tcW w:w="1200" w:type="dxa"/>
            <w:tcBorders>
              <w:top w:val="nil"/>
              <w:left w:val="nil"/>
              <w:bottom w:val="single" w:sz="4" w:space="0" w:color="auto"/>
              <w:right w:val="single" w:sz="4" w:space="0" w:color="auto"/>
            </w:tcBorders>
            <w:noWrap/>
            <w:vAlign w:val="center"/>
            <w:hideMark/>
          </w:tcPr>
          <w:p w14:paraId="7C07F9E2"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1.3 </w:t>
            </w:r>
          </w:p>
        </w:tc>
        <w:tc>
          <w:tcPr>
            <w:tcW w:w="1220" w:type="dxa"/>
            <w:tcBorders>
              <w:top w:val="nil"/>
              <w:left w:val="nil"/>
              <w:bottom w:val="single" w:sz="4" w:space="0" w:color="auto"/>
              <w:right w:val="single" w:sz="4" w:space="0" w:color="auto"/>
            </w:tcBorders>
            <w:noWrap/>
            <w:vAlign w:val="center"/>
            <w:hideMark/>
          </w:tcPr>
          <w:p w14:paraId="590A5C5E" w14:textId="77777777" w:rsidR="001D0413" w:rsidRDefault="001D0413" w:rsidP="00B121C0">
            <w:pPr>
              <w:spacing w:after="0" w:line="240" w:lineRule="auto"/>
              <w:ind w:firstLine="0"/>
              <w:jc w:val="center"/>
              <w:rPr>
                <w:rFonts w:cs="Calibri"/>
                <w:color w:val="000000"/>
                <w:sz w:val="20"/>
                <w:szCs w:val="20"/>
              </w:rPr>
            </w:pPr>
            <w:r>
              <w:rPr>
                <w:rFonts w:cs="Calibri"/>
                <w:color w:val="000000"/>
                <w:sz w:val="20"/>
                <w:szCs w:val="20"/>
              </w:rPr>
              <w:t xml:space="preserve">         1.3 </w:t>
            </w:r>
          </w:p>
        </w:tc>
      </w:tr>
    </w:tbl>
    <w:p w14:paraId="2AEA97E3" w14:textId="77777777" w:rsidR="001D0413" w:rsidRDefault="001D0413" w:rsidP="001D0413">
      <w:pPr>
        <w:spacing w:before="120"/>
        <w:rPr>
          <w:rFonts w:cs="Sylfaen"/>
          <w:iCs/>
          <w:sz w:val="20"/>
          <w:szCs w:val="20"/>
          <w:lang w:val="af-ZA" w:eastAsia="en-GB"/>
        </w:rPr>
      </w:pPr>
    </w:p>
    <w:p w14:paraId="04D1B4D0" w14:textId="77777777" w:rsidR="001D0413" w:rsidRDefault="001D0413" w:rsidP="001D0413">
      <w:pPr>
        <w:rPr>
          <w:lang w:val="af-ZA"/>
        </w:rPr>
      </w:pPr>
    </w:p>
    <w:p w14:paraId="7C123EC4" w14:textId="77777777" w:rsidR="001D0413" w:rsidRDefault="001D0413" w:rsidP="001D0413"/>
    <w:p w14:paraId="62FECFAD" w14:textId="77777777" w:rsidR="00760D81" w:rsidRDefault="00760D81" w:rsidP="00B57350">
      <w:pPr>
        <w:keepNext/>
        <w:spacing w:line="360" w:lineRule="auto"/>
        <w:outlineLvl w:val="0"/>
        <w:rPr>
          <w:b/>
          <w:bCs/>
          <w:spacing w:val="40"/>
          <w:kern w:val="32"/>
          <w:lang w:val="hy-AM"/>
        </w:rPr>
      </w:pPr>
    </w:p>
    <w:p w14:paraId="6471FE08" w14:textId="77777777" w:rsidR="00173FEB" w:rsidRPr="008C4E6F" w:rsidRDefault="00760D81" w:rsidP="0035033F">
      <w:pPr>
        <w:pStyle w:val="Heading2"/>
        <w:ind w:left="450"/>
        <w:rPr>
          <w:sz w:val="28"/>
          <w:szCs w:val="28"/>
        </w:rPr>
      </w:pPr>
      <w:r>
        <w:rPr>
          <w:lang w:val="hy-AM"/>
        </w:rPr>
        <w:br w:type="page"/>
      </w:r>
      <w:bookmarkStart w:id="253" w:name="_Toc45838531"/>
      <w:r w:rsidR="00376D1C" w:rsidRPr="008C4E6F">
        <w:rPr>
          <w:sz w:val="28"/>
          <w:szCs w:val="28"/>
        </w:rPr>
        <w:lastRenderedPageBreak/>
        <w:t xml:space="preserve"> </w:t>
      </w:r>
      <w:bookmarkStart w:id="254" w:name="_Toc46154360"/>
      <w:r w:rsidR="00376D1C" w:rsidRPr="008C4E6F">
        <w:rPr>
          <w:sz w:val="28"/>
          <w:szCs w:val="28"/>
        </w:rPr>
        <w:t>ԲՅՈՒՋԵՏԱՅԻՆ</w:t>
      </w:r>
      <w:r w:rsidR="00BA39A0" w:rsidRPr="008C4E6F">
        <w:rPr>
          <w:sz w:val="28"/>
          <w:szCs w:val="28"/>
        </w:rPr>
        <w:t xml:space="preserve"> </w:t>
      </w:r>
      <w:r w:rsidR="00376D1C" w:rsidRPr="008C4E6F">
        <w:rPr>
          <w:sz w:val="28"/>
          <w:szCs w:val="28"/>
        </w:rPr>
        <w:t>ՇՐՋԱՆԱԿ</w:t>
      </w:r>
      <w:bookmarkEnd w:id="213"/>
      <w:bookmarkEnd w:id="250"/>
      <w:bookmarkEnd w:id="251"/>
      <w:bookmarkEnd w:id="253"/>
      <w:bookmarkEnd w:id="254"/>
    </w:p>
    <w:p w14:paraId="042B5F1D" w14:textId="77777777" w:rsidR="00173FEB" w:rsidRPr="00566B79" w:rsidRDefault="00566B79" w:rsidP="0035033F">
      <w:pPr>
        <w:pStyle w:val="Heading3"/>
        <w:numPr>
          <w:ilvl w:val="0"/>
          <w:numId w:val="0"/>
        </w:numPr>
        <w:ind w:left="720"/>
        <w:rPr>
          <w:rFonts w:eastAsia="Times New Roman" w:cs="Times New Roman"/>
          <w:color w:val="1F497D" w:themeColor="text2"/>
          <w:sz w:val="28"/>
          <w:szCs w:val="28"/>
          <w:lang w:val="es-ES"/>
        </w:rPr>
      </w:pPr>
      <w:bookmarkStart w:id="255" w:name="_Toc46154361"/>
      <w:r w:rsidRPr="00566B79">
        <w:rPr>
          <w:rFonts w:eastAsia="Times New Roman" w:cs="Times New Roman"/>
          <w:caps w:val="0"/>
          <w:color w:val="1F497D" w:themeColor="text2"/>
          <w:sz w:val="28"/>
          <w:szCs w:val="28"/>
          <w:lang w:val="es-ES"/>
        </w:rPr>
        <w:t>4.</w:t>
      </w:r>
      <w:r>
        <w:rPr>
          <w:rFonts w:eastAsia="Times New Roman" w:cs="Times New Roman"/>
          <w:caps w:val="0"/>
          <w:color w:val="1F497D" w:themeColor="text2"/>
          <w:sz w:val="28"/>
          <w:szCs w:val="28"/>
        </w:rPr>
        <w:t xml:space="preserve">1. </w:t>
      </w:r>
      <w:bookmarkStart w:id="256" w:name="_Toc296702352"/>
      <w:bookmarkStart w:id="257" w:name="_Toc519513628"/>
      <w:bookmarkStart w:id="258" w:name="_Toc13837286"/>
      <w:bookmarkStart w:id="259" w:name="_Toc45838532"/>
      <w:r w:rsidR="00376D1C" w:rsidRPr="008C4E6F">
        <w:rPr>
          <w:rFonts w:eastAsia="Times New Roman" w:cs="Times New Roman"/>
          <w:caps w:val="0"/>
          <w:color w:val="1F497D" w:themeColor="text2"/>
          <w:sz w:val="28"/>
          <w:szCs w:val="28"/>
          <w:lang w:val="en-US"/>
        </w:rPr>
        <w:t>ՊԵՏԱԿԱՆ</w:t>
      </w:r>
      <w:r w:rsidR="00BA39A0" w:rsidRPr="00566B79">
        <w:rPr>
          <w:rFonts w:eastAsia="Times New Roman" w:cs="Times New Roman"/>
          <w:caps w:val="0"/>
          <w:color w:val="1F497D" w:themeColor="text2"/>
          <w:sz w:val="28"/>
          <w:szCs w:val="28"/>
          <w:lang w:val="es-ES"/>
        </w:rPr>
        <w:t xml:space="preserve"> </w:t>
      </w:r>
      <w:r w:rsidR="00376D1C" w:rsidRPr="008C4E6F">
        <w:rPr>
          <w:rFonts w:eastAsia="Times New Roman" w:cs="Times New Roman"/>
          <w:caps w:val="0"/>
          <w:color w:val="1F497D" w:themeColor="text2"/>
          <w:sz w:val="28"/>
          <w:szCs w:val="28"/>
          <w:lang w:val="en-US"/>
        </w:rPr>
        <w:t>ԲՅՈՒՋԵԻ</w:t>
      </w:r>
      <w:r w:rsidR="00BA39A0" w:rsidRPr="00566B79">
        <w:rPr>
          <w:rFonts w:eastAsia="Times New Roman" w:cs="Times New Roman"/>
          <w:caps w:val="0"/>
          <w:color w:val="1F497D" w:themeColor="text2"/>
          <w:sz w:val="28"/>
          <w:szCs w:val="28"/>
          <w:lang w:val="es-ES"/>
        </w:rPr>
        <w:t xml:space="preserve"> </w:t>
      </w:r>
      <w:r w:rsidR="00376D1C" w:rsidRPr="008C4E6F">
        <w:rPr>
          <w:rFonts w:eastAsia="Times New Roman" w:cs="Times New Roman"/>
          <w:caps w:val="0"/>
          <w:color w:val="1F497D" w:themeColor="text2"/>
          <w:sz w:val="28"/>
          <w:szCs w:val="28"/>
          <w:lang w:val="en-US"/>
        </w:rPr>
        <w:t>ԴԵՖԻՑԻՏԸ</w:t>
      </w:r>
      <w:bookmarkEnd w:id="255"/>
      <w:bookmarkEnd w:id="256"/>
      <w:bookmarkEnd w:id="257"/>
      <w:bookmarkEnd w:id="258"/>
      <w:bookmarkEnd w:id="259"/>
    </w:p>
    <w:p w14:paraId="0EEC85B9" w14:textId="77777777" w:rsidR="002D0678" w:rsidRPr="003C716D" w:rsidRDefault="002D0678" w:rsidP="008F525B">
      <w:pPr>
        <w:spacing w:line="276" w:lineRule="auto"/>
        <w:ind w:firstLine="600"/>
        <w:rPr>
          <w:lang w:val="hy-AM"/>
        </w:rPr>
      </w:pPr>
      <w:bookmarkStart w:id="260" w:name="_Toc296702357"/>
      <w:r w:rsidRPr="003C716D">
        <w:rPr>
          <w:rFonts w:cs="Sylfaen"/>
          <w:lang w:val="hy-AM"/>
        </w:rPr>
        <w:t>Պետական</w:t>
      </w:r>
      <w:r w:rsidRPr="003C716D">
        <w:rPr>
          <w:lang w:val="hy-AM"/>
        </w:rPr>
        <w:t xml:space="preserve">  </w:t>
      </w:r>
      <w:r w:rsidRPr="003C716D">
        <w:rPr>
          <w:rFonts w:cs="Sylfaen"/>
          <w:lang w:val="hy-AM"/>
        </w:rPr>
        <w:t>բյուջեի</w:t>
      </w:r>
      <w:r w:rsidRPr="003C716D">
        <w:rPr>
          <w:lang w:val="hy-AM"/>
        </w:rPr>
        <w:t xml:space="preserve"> </w:t>
      </w:r>
      <w:r w:rsidRPr="003C716D">
        <w:rPr>
          <w:rFonts w:cs="Sylfaen"/>
          <w:lang w:val="hy-AM"/>
        </w:rPr>
        <w:t xml:space="preserve">ձևավորումը առաջիկա տարիներին շարունակելու </w:t>
      </w:r>
      <w:r w:rsidRPr="003C716D">
        <w:rPr>
          <w:lang w:val="hy-AM"/>
        </w:rPr>
        <w:t xml:space="preserve"> </w:t>
      </w:r>
      <w:r w:rsidRPr="003C716D">
        <w:rPr>
          <w:rFonts w:cs="Sylfaen"/>
          <w:lang w:val="hy-AM"/>
        </w:rPr>
        <w:t>է</w:t>
      </w:r>
      <w:r w:rsidRPr="003C716D">
        <w:rPr>
          <w:lang w:val="hy-AM"/>
        </w:rPr>
        <w:t xml:space="preserve"> </w:t>
      </w:r>
      <w:r w:rsidRPr="003C716D">
        <w:rPr>
          <w:rFonts w:cs="Sylfaen"/>
          <w:lang w:val="hy-AM"/>
        </w:rPr>
        <w:t>ընթանալ</w:t>
      </w:r>
      <w:r w:rsidRPr="003C716D">
        <w:rPr>
          <w:lang w:val="hy-AM"/>
        </w:rPr>
        <w:t xml:space="preserve"> </w:t>
      </w:r>
      <w:r w:rsidRPr="003C716D">
        <w:rPr>
          <w:rFonts w:cs="Sylfaen"/>
          <w:lang w:val="hy-AM"/>
        </w:rPr>
        <w:t>բյուջե</w:t>
      </w:r>
      <w:r w:rsidRPr="003C716D">
        <w:rPr>
          <w:rFonts w:cs="Sylfaen"/>
          <w:lang w:val="hy-AM"/>
        </w:rPr>
        <w:softHyphen/>
        <w:t>տա</w:t>
      </w:r>
      <w:r w:rsidRPr="003C716D">
        <w:rPr>
          <w:rFonts w:cs="Sylfaen"/>
          <w:lang w:val="hy-AM"/>
        </w:rPr>
        <w:softHyphen/>
        <w:t>յին</w:t>
      </w:r>
      <w:r w:rsidRPr="003C716D">
        <w:rPr>
          <w:lang w:val="hy-AM"/>
        </w:rPr>
        <w:t xml:space="preserve"> </w:t>
      </w:r>
      <w:r w:rsidRPr="003C716D">
        <w:rPr>
          <w:rFonts w:cs="Sylfaen"/>
          <w:lang w:val="hy-AM"/>
        </w:rPr>
        <w:t>եկա</w:t>
      </w:r>
      <w:r w:rsidRPr="003C716D">
        <w:rPr>
          <w:rFonts w:cs="Sylfaen"/>
          <w:lang w:val="hy-AM"/>
        </w:rPr>
        <w:softHyphen/>
        <w:t>մուտների</w:t>
      </w:r>
      <w:r w:rsidRPr="003C716D">
        <w:rPr>
          <w:lang w:val="hy-AM"/>
        </w:rPr>
        <w:t xml:space="preserve"> </w:t>
      </w:r>
      <w:r w:rsidRPr="003C716D">
        <w:rPr>
          <w:rFonts w:cs="Sylfaen"/>
          <w:lang w:val="hy-AM"/>
        </w:rPr>
        <w:t>նկատ</w:t>
      </w:r>
      <w:r w:rsidRPr="003C716D">
        <w:rPr>
          <w:rFonts w:cs="Sylfaen"/>
          <w:lang w:val="hy-AM"/>
        </w:rPr>
        <w:softHyphen/>
        <w:t>մամբ</w:t>
      </w:r>
      <w:r w:rsidRPr="003C716D">
        <w:rPr>
          <w:lang w:val="hy-AM"/>
        </w:rPr>
        <w:t xml:space="preserve"> </w:t>
      </w:r>
      <w:r w:rsidRPr="003C716D">
        <w:rPr>
          <w:rFonts w:cs="Sylfaen"/>
          <w:lang w:val="hy-AM"/>
        </w:rPr>
        <w:t>ծախսերի</w:t>
      </w:r>
      <w:r w:rsidRPr="003C716D">
        <w:rPr>
          <w:lang w:val="hy-AM"/>
        </w:rPr>
        <w:t xml:space="preserve"> </w:t>
      </w:r>
      <w:r w:rsidRPr="003C716D">
        <w:rPr>
          <w:rFonts w:cs="Sylfaen"/>
          <w:lang w:val="hy-AM"/>
        </w:rPr>
        <w:t>գերազանցմամբ</w:t>
      </w:r>
      <w:r w:rsidRPr="003C716D">
        <w:rPr>
          <w:lang w:val="hy-AM"/>
        </w:rPr>
        <w:t xml:space="preserve">, </w:t>
      </w:r>
      <w:r w:rsidRPr="003C716D">
        <w:rPr>
          <w:rFonts w:cs="Sylfaen"/>
          <w:lang w:val="hy-AM"/>
        </w:rPr>
        <w:t>ընդ</w:t>
      </w:r>
      <w:r w:rsidRPr="003C716D">
        <w:rPr>
          <w:lang w:val="hy-AM"/>
        </w:rPr>
        <w:t xml:space="preserve"> </w:t>
      </w:r>
      <w:r w:rsidRPr="003C716D">
        <w:rPr>
          <w:rFonts w:cs="Sylfaen"/>
          <w:lang w:val="hy-AM"/>
        </w:rPr>
        <w:t>որում՝</w:t>
      </w:r>
      <w:r w:rsidRPr="003C716D">
        <w:rPr>
          <w:lang w:val="hy-AM"/>
        </w:rPr>
        <w:t xml:space="preserve"> </w:t>
      </w:r>
      <w:r w:rsidRPr="003C716D">
        <w:rPr>
          <w:rFonts w:cs="Sylfaen"/>
          <w:lang w:val="hy-AM"/>
        </w:rPr>
        <w:t>բյուջետային</w:t>
      </w:r>
      <w:r w:rsidRPr="003C716D">
        <w:rPr>
          <w:lang w:val="hy-AM"/>
        </w:rPr>
        <w:t xml:space="preserve"> </w:t>
      </w:r>
      <w:r w:rsidRPr="003C716D">
        <w:rPr>
          <w:rFonts w:cs="Sylfaen"/>
          <w:lang w:val="hy-AM"/>
        </w:rPr>
        <w:t>դեֆիցի</w:t>
      </w:r>
      <w:r w:rsidRPr="003C716D">
        <w:rPr>
          <w:rFonts w:cs="Sylfaen"/>
          <w:lang w:val="hy-AM"/>
        </w:rPr>
        <w:softHyphen/>
        <w:t>տի</w:t>
      </w:r>
      <w:r w:rsidRPr="003C716D">
        <w:rPr>
          <w:lang w:val="hy-AM"/>
        </w:rPr>
        <w:t xml:space="preserve"> </w:t>
      </w:r>
      <w:r w:rsidRPr="003C716D">
        <w:rPr>
          <w:rFonts w:cs="Sylfaen"/>
          <w:lang w:val="hy-AM"/>
        </w:rPr>
        <w:t>ֆինան</w:t>
      </w:r>
      <w:r w:rsidRPr="003C716D">
        <w:rPr>
          <w:rFonts w:cs="Sylfaen"/>
          <w:vertAlign w:val="subscript"/>
          <w:lang w:val="hy-AM"/>
        </w:rPr>
        <w:softHyphen/>
      </w:r>
      <w:r w:rsidRPr="003C716D">
        <w:rPr>
          <w:rFonts w:cs="Sylfaen"/>
          <w:lang w:val="hy-AM"/>
        </w:rPr>
        <w:softHyphen/>
        <w:t>սա</w:t>
      </w:r>
      <w:r w:rsidRPr="003C716D">
        <w:rPr>
          <w:rFonts w:cs="Sylfaen"/>
          <w:lang w:val="hy-AM"/>
        </w:rPr>
        <w:softHyphen/>
        <w:t>վորման</w:t>
      </w:r>
      <w:r w:rsidRPr="003C716D">
        <w:rPr>
          <w:lang w:val="hy-AM"/>
        </w:rPr>
        <w:t xml:space="preserve"> </w:t>
      </w:r>
      <w:r w:rsidRPr="003C716D">
        <w:rPr>
          <w:rFonts w:cs="Sylfaen"/>
          <w:lang w:val="hy-AM"/>
        </w:rPr>
        <w:t>համար</w:t>
      </w:r>
      <w:r w:rsidRPr="003C716D">
        <w:rPr>
          <w:lang w:val="hy-AM"/>
        </w:rPr>
        <w:t xml:space="preserve"> </w:t>
      </w:r>
      <w:r w:rsidRPr="003C716D">
        <w:rPr>
          <w:rFonts w:cs="Sylfaen"/>
          <w:lang w:val="hy-AM"/>
        </w:rPr>
        <w:t>միջոց</w:t>
      </w:r>
      <w:r w:rsidRPr="003C716D">
        <w:rPr>
          <w:rFonts w:cs="Sylfaen"/>
          <w:lang w:val="hy-AM"/>
        </w:rPr>
        <w:softHyphen/>
        <w:t>ների</w:t>
      </w:r>
      <w:r w:rsidRPr="003C716D">
        <w:rPr>
          <w:lang w:val="hy-AM"/>
        </w:rPr>
        <w:t xml:space="preserve"> </w:t>
      </w:r>
      <w:r w:rsidRPr="003C716D">
        <w:rPr>
          <w:rFonts w:cs="Sylfaen"/>
          <w:lang w:val="hy-AM"/>
        </w:rPr>
        <w:t>ներգրավումն</w:t>
      </w:r>
      <w:r w:rsidRPr="003C716D">
        <w:rPr>
          <w:lang w:val="hy-AM"/>
        </w:rPr>
        <w:t xml:space="preserve"> </w:t>
      </w:r>
      <w:r w:rsidRPr="003C716D">
        <w:rPr>
          <w:rFonts w:cs="Sylfaen"/>
          <w:lang w:val="hy-AM"/>
        </w:rPr>
        <w:t>իրականացվելու</w:t>
      </w:r>
      <w:r w:rsidRPr="003C716D">
        <w:rPr>
          <w:lang w:val="hy-AM"/>
        </w:rPr>
        <w:t xml:space="preserve"> </w:t>
      </w:r>
      <w:r w:rsidRPr="003C716D">
        <w:rPr>
          <w:rFonts w:cs="Sylfaen"/>
          <w:lang w:val="hy-AM"/>
        </w:rPr>
        <w:t>է</w:t>
      </w:r>
      <w:r w:rsidRPr="003C716D">
        <w:rPr>
          <w:lang w:val="hy-AM"/>
        </w:rPr>
        <w:t xml:space="preserve"> </w:t>
      </w:r>
      <w:r w:rsidRPr="003C716D">
        <w:rPr>
          <w:rFonts w:cs="Sylfaen"/>
          <w:lang w:val="hy-AM"/>
        </w:rPr>
        <w:t>ինչպես</w:t>
      </w:r>
      <w:r w:rsidRPr="003C716D">
        <w:rPr>
          <w:lang w:val="hy-AM"/>
        </w:rPr>
        <w:t xml:space="preserve"> </w:t>
      </w:r>
      <w:r w:rsidRPr="003C716D">
        <w:rPr>
          <w:rFonts w:cs="Sylfaen"/>
          <w:lang w:val="hy-AM"/>
        </w:rPr>
        <w:t>ներքին</w:t>
      </w:r>
      <w:r w:rsidRPr="003C716D">
        <w:rPr>
          <w:lang w:val="hy-AM"/>
        </w:rPr>
        <w:t xml:space="preserve">, </w:t>
      </w:r>
      <w:r w:rsidRPr="003C716D">
        <w:rPr>
          <w:rFonts w:cs="Sylfaen"/>
          <w:lang w:val="hy-AM"/>
        </w:rPr>
        <w:t>այն</w:t>
      </w:r>
      <w:r w:rsidRPr="003C716D">
        <w:rPr>
          <w:rFonts w:cs="Sylfaen"/>
          <w:lang w:val="hy-AM"/>
        </w:rPr>
        <w:softHyphen/>
        <w:t>պես</w:t>
      </w:r>
      <w:r w:rsidRPr="003C716D">
        <w:rPr>
          <w:lang w:val="hy-AM"/>
        </w:rPr>
        <w:t xml:space="preserve"> </w:t>
      </w:r>
      <w:r w:rsidRPr="003C716D">
        <w:rPr>
          <w:rFonts w:cs="Sylfaen"/>
          <w:lang w:val="hy-AM"/>
        </w:rPr>
        <w:t>էլ</w:t>
      </w:r>
      <w:r w:rsidRPr="003C716D">
        <w:rPr>
          <w:lang w:val="hy-AM"/>
        </w:rPr>
        <w:t xml:space="preserve"> </w:t>
      </w:r>
      <w:r w:rsidRPr="003C716D">
        <w:rPr>
          <w:rFonts w:cs="Sylfaen"/>
          <w:lang w:val="hy-AM"/>
        </w:rPr>
        <w:t>արտա</w:t>
      </w:r>
      <w:r w:rsidRPr="003C716D">
        <w:rPr>
          <w:rFonts w:cs="Sylfaen"/>
          <w:lang w:val="hy-AM"/>
        </w:rPr>
        <w:softHyphen/>
        <w:t>քին</w:t>
      </w:r>
      <w:r w:rsidRPr="003C716D">
        <w:rPr>
          <w:lang w:val="hy-AM"/>
        </w:rPr>
        <w:t xml:space="preserve"> </w:t>
      </w:r>
      <w:r w:rsidRPr="003C716D">
        <w:rPr>
          <w:rFonts w:cs="Sylfaen"/>
          <w:lang w:val="hy-AM"/>
        </w:rPr>
        <w:t>աղբյուր</w:t>
      </w:r>
      <w:r w:rsidRPr="003C716D">
        <w:rPr>
          <w:rFonts w:cs="Sylfaen"/>
          <w:lang w:val="hy-AM"/>
        </w:rPr>
        <w:softHyphen/>
        <w:t>ներից</w:t>
      </w:r>
      <w:r w:rsidRPr="003C716D">
        <w:rPr>
          <w:lang w:val="hy-AM"/>
        </w:rPr>
        <w:t xml:space="preserve">: </w:t>
      </w:r>
    </w:p>
    <w:p w14:paraId="22D2C7CD" w14:textId="77777777" w:rsidR="002D0678" w:rsidRPr="003C716D" w:rsidRDefault="002D0678" w:rsidP="008F525B">
      <w:pPr>
        <w:spacing w:line="276" w:lineRule="auto"/>
        <w:ind w:firstLine="238"/>
        <w:rPr>
          <w:lang w:val="hy-AM"/>
        </w:rPr>
      </w:pPr>
      <w:r w:rsidRPr="003C716D">
        <w:rPr>
          <w:rFonts w:cs="Sylfaen"/>
          <w:lang w:val="hy-AM"/>
        </w:rPr>
        <w:t>Ստորև</w:t>
      </w:r>
      <w:r w:rsidRPr="003C716D">
        <w:rPr>
          <w:lang w:val="hy-AM"/>
        </w:rPr>
        <w:t xml:space="preserve"> </w:t>
      </w:r>
      <w:r w:rsidRPr="003C716D">
        <w:rPr>
          <w:rFonts w:cs="Sylfaen"/>
          <w:lang w:val="hy-AM"/>
        </w:rPr>
        <w:t>ներկայացվում</w:t>
      </w:r>
      <w:r w:rsidRPr="003C716D">
        <w:rPr>
          <w:lang w:val="hy-AM"/>
        </w:rPr>
        <w:t xml:space="preserve"> են </w:t>
      </w:r>
      <w:r w:rsidRPr="003C716D">
        <w:rPr>
          <w:rFonts w:cs="Sylfaen"/>
          <w:lang w:val="hy-AM"/>
        </w:rPr>
        <w:t>ՀՀ</w:t>
      </w:r>
      <w:r w:rsidRPr="003C716D">
        <w:rPr>
          <w:lang w:val="hy-AM"/>
        </w:rPr>
        <w:t xml:space="preserve"> 20</w:t>
      </w:r>
      <w:r>
        <w:rPr>
          <w:lang w:val="hy-AM"/>
        </w:rPr>
        <w:t>17-2023</w:t>
      </w:r>
      <w:r w:rsidRPr="003C716D">
        <w:rPr>
          <w:lang w:val="hy-AM"/>
        </w:rPr>
        <w:t xml:space="preserve"> թվակա</w:t>
      </w:r>
      <w:r w:rsidRPr="003C716D">
        <w:rPr>
          <w:rFonts w:cs="Sylfaen"/>
          <w:lang w:val="hy-AM"/>
        </w:rPr>
        <w:t>նների</w:t>
      </w:r>
      <w:r w:rsidRPr="003C716D">
        <w:rPr>
          <w:lang w:val="hy-AM"/>
        </w:rPr>
        <w:t xml:space="preserve"> </w:t>
      </w:r>
      <w:r w:rsidRPr="003C716D">
        <w:rPr>
          <w:rFonts w:cs="Sylfaen"/>
          <w:lang w:val="hy-AM"/>
        </w:rPr>
        <w:t>պետական</w:t>
      </w:r>
      <w:r w:rsidRPr="003C716D">
        <w:rPr>
          <w:lang w:val="hy-AM"/>
        </w:rPr>
        <w:t xml:space="preserve"> </w:t>
      </w:r>
      <w:r w:rsidRPr="003C716D">
        <w:rPr>
          <w:rFonts w:cs="Sylfaen"/>
          <w:lang w:val="hy-AM"/>
        </w:rPr>
        <w:t>բյուջեների</w:t>
      </w:r>
      <w:r w:rsidRPr="003C716D">
        <w:rPr>
          <w:lang w:val="hy-AM"/>
        </w:rPr>
        <w:t xml:space="preserve"> </w:t>
      </w:r>
      <w:r w:rsidRPr="003C716D">
        <w:rPr>
          <w:rFonts w:cs="Sylfaen"/>
          <w:lang w:val="hy-AM"/>
        </w:rPr>
        <w:t>դեֆիցիտի</w:t>
      </w:r>
      <w:r w:rsidRPr="003C716D">
        <w:rPr>
          <w:lang w:val="hy-AM"/>
        </w:rPr>
        <w:t xml:space="preserve"> </w:t>
      </w:r>
      <w:r w:rsidRPr="003C716D">
        <w:rPr>
          <w:rFonts w:cs="Sylfaen"/>
          <w:lang w:val="hy-AM"/>
        </w:rPr>
        <w:t>ֆինան</w:t>
      </w:r>
      <w:r w:rsidRPr="003C716D">
        <w:rPr>
          <w:rFonts w:cs="Sylfaen"/>
          <w:lang w:val="hy-AM"/>
        </w:rPr>
        <w:softHyphen/>
        <w:t>սա</w:t>
      </w:r>
      <w:r w:rsidRPr="003C716D">
        <w:rPr>
          <w:rFonts w:cs="Sylfaen"/>
          <w:lang w:val="hy-AM"/>
        </w:rPr>
        <w:softHyphen/>
      </w:r>
      <w:r w:rsidRPr="003C716D">
        <w:rPr>
          <w:rFonts w:cs="Sylfaen"/>
          <w:lang w:val="hy-AM"/>
        </w:rPr>
        <w:softHyphen/>
        <w:t>վորման</w:t>
      </w:r>
      <w:r w:rsidRPr="003C716D">
        <w:rPr>
          <w:lang w:val="hy-AM"/>
        </w:rPr>
        <w:t xml:space="preserve"> </w:t>
      </w:r>
      <w:r w:rsidRPr="003C716D">
        <w:rPr>
          <w:rFonts w:cs="Sylfaen"/>
          <w:lang w:val="hy-AM"/>
        </w:rPr>
        <w:t>աղբյուրները</w:t>
      </w:r>
      <w:r w:rsidRPr="003C716D">
        <w:rPr>
          <w:lang w:val="hy-AM"/>
        </w:rPr>
        <w:t xml:space="preserve"> (</w:t>
      </w:r>
      <w:r>
        <w:rPr>
          <w:rFonts w:cs="Sylfaen"/>
          <w:lang w:val="hy-AM"/>
        </w:rPr>
        <w:t>տե</w:t>
      </w:r>
      <w:r w:rsidRPr="003C716D">
        <w:rPr>
          <w:rFonts w:cs="Sylfaen"/>
          <w:lang w:val="hy-AM"/>
        </w:rPr>
        <w:t>ս</w:t>
      </w:r>
      <w:r w:rsidRPr="003C716D">
        <w:rPr>
          <w:lang w:val="hy-AM"/>
        </w:rPr>
        <w:t xml:space="preserve"> </w:t>
      </w:r>
      <w:r w:rsidRPr="003C716D">
        <w:rPr>
          <w:rFonts w:cs="Sylfaen"/>
          <w:lang w:val="hy-AM"/>
        </w:rPr>
        <w:t>Աղյուսակ</w:t>
      </w:r>
      <w:r w:rsidRPr="003C716D">
        <w:rPr>
          <w:lang w:val="hy-AM"/>
        </w:rPr>
        <w:t xml:space="preserve"> 4.1</w:t>
      </w:r>
      <w:r w:rsidR="00231073">
        <w:rPr>
          <w:lang w:val="hy-AM"/>
        </w:rPr>
        <w:t>.1</w:t>
      </w:r>
      <w:r w:rsidRPr="003C716D">
        <w:rPr>
          <w:lang w:val="hy-AM"/>
        </w:rPr>
        <w:t>):</w:t>
      </w:r>
    </w:p>
    <w:p w14:paraId="0B47C2CA" w14:textId="77777777" w:rsidR="00173FEB" w:rsidRPr="008F525B" w:rsidRDefault="002D0678" w:rsidP="0035033F">
      <w:pPr>
        <w:keepNext/>
        <w:keepLines/>
        <w:jc w:val="left"/>
        <w:rPr>
          <w:i/>
          <w:sz w:val="20"/>
          <w:szCs w:val="20"/>
          <w:lang w:val="hy-AM"/>
        </w:rPr>
      </w:pPr>
      <w:r w:rsidRPr="00D83548">
        <w:rPr>
          <w:rFonts w:cs="Sylfaen"/>
          <w:b/>
          <w:sz w:val="20"/>
          <w:szCs w:val="20"/>
          <w:lang w:val="hy-AM"/>
        </w:rPr>
        <w:t>Աղյուսակ</w:t>
      </w:r>
      <w:r w:rsidRPr="00D83548">
        <w:rPr>
          <w:b/>
          <w:sz w:val="20"/>
          <w:szCs w:val="20"/>
          <w:lang w:val="hy-AM"/>
        </w:rPr>
        <w:t xml:space="preserve"> 4.1.</w:t>
      </w:r>
      <w:r w:rsidR="00D83548" w:rsidRPr="00D83548">
        <w:rPr>
          <w:b/>
          <w:sz w:val="20"/>
          <w:szCs w:val="20"/>
          <w:lang w:val="hy-AM"/>
        </w:rPr>
        <w:t>1.</w:t>
      </w:r>
      <w:r w:rsidRPr="00D83548">
        <w:rPr>
          <w:b/>
          <w:sz w:val="20"/>
          <w:szCs w:val="20"/>
          <w:lang w:val="hy-AM"/>
        </w:rPr>
        <w:t xml:space="preserve"> </w:t>
      </w:r>
      <w:r w:rsidRPr="008F525B">
        <w:rPr>
          <w:rFonts w:cs="Sylfaen"/>
          <w:i/>
          <w:sz w:val="20"/>
          <w:szCs w:val="20"/>
          <w:lang w:val="hy-AM"/>
        </w:rPr>
        <w:t>ՀՀ</w:t>
      </w:r>
      <w:r w:rsidRPr="008F525B">
        <w:rPr>
          <w:i/>
          <w:sz w:val="20"/>
          <w:szCs w:val="20"/>
          <w:lang w:val="hy-AM"/>
        </w:rPr>
        <w:t xml:space="preserve"> 2017-2023 թթ </w:t>
      </w:r>
      <w:r w:rsidRPr="008F525B">
        <w:rPr>
          <w:rFonts w:cs="Sylfaen"/>
          <w:i/>
          <w:sz w:val="20"/>
          <w:szCs w:val="20"/>
          <w:lang w:val="hy-AM"/>
        </w:rPr>
        <w:t>պետական</w:t>
      </w:r>
      <w:r w:rsidRPr="008F525B">
        <w:rPr>
          <w:i/>
          <w:sz w:val="20"/>
          <w:szCs w:val="20"/>
          <w:lang w:val="hy-AM"/>
        </w:rPr>
        <w:t xml:space="preserve"> </w:t>
      </w:r>
      <w:r w:rsidRPr="008F525B">
        <w:rPr>
          <w:rFonts w:cs="Sylfaen"/>
          <w:i/>
          <w:sz w:val="20"/>
          <w:szCs w:val="20"/>
          <w:lang w:val="hy-AM"/>
        </w:rPr>
        <w:t>բյուջեների</w:t>
      </w:r>
      <w:r w:rsidRPr="008F525B">
        <w:rPr>
          <w:i/>
          <w:sz w:val="20"/>
          <w:szCs w:val="20"/>
          <w:lang w:val="hy-AM"/>
        </w:rPr>
        <w:t xml:space="preserve"> </w:t>
      </w:r>
      <w:r w:rsidRPr="008F525B">
        <w:rPr>
          <w:rFonts w:cs="Sylfaen"/>
          <w:i/>
          <w:sz w:val="20"/>
          <w:szCs w:val="20"/>
          <w:lang w:val="hy-AM"/>
        </w:rPr>
        <w:t>դեֆիցիտի</w:t>
      </w:r>
      <w:r w:rsidRPr="008F525B">
        <w:rPr>
          <w:i/>
          <w:sz w:val="20"/>
          <w:szCs w:val="20"/>
          <w:lang w:val="hy-AM"/>
        </w:rPr>
        <w:t xml:space="preserve"> </w:t>
      </w:r>
      <w:r w:rsidRPr="008F525B">
        <w:rPr>
          <w:rFonts w:cs="Sylfaen"/>
          <w:i/>
          <w:sz w:val="20"/>
          <w:szCs w:val="20"/>
          <w:lang w:val="hy-AM"/>
        </w:rPr>
        <w:t>ֆինանսավորման</w:t>
      </w:r>
      <w:r w:rsidRPr="008F525B">
        <w:rPr>
          <w:i/>
          <w:sz w:val="20"/>
          <w:szCs w:val="20"/>
          <w:lang w:val="hy-AM"/>
        </w:rPr>
        <w:t xml:space="preserve"> </w:t>
      </w:r>
      <w:r w:rsidRPr="008F525B">
        <w:rPr>
          <w:rFonts w:cs="Sylfaen"/>
          <w:i/>
          <w:sz w:val="20"/>
          <w:szCs w:val="20"/>
          <w:lang w:val="hy-AM"/>
        </w:rPr>
        <w:t>աղբյուրները</w:t>
      </w:r>
      <w:r w:rsidRPr="008F525B">
        <w:rPr>
          <w:i/>
          <w:sz w:val="20"/>
          <w:szCs w:val="20"/>
          <w:lang w:val="hy-AM"/>
        </w:rPr>
        <w:t xml:space="preserve"> (</w:t>
      </w:r>
      <w:r w:rsidRPr="008F525B">
        <w:rPr>
          <w:rFonts w:cs="Sylfaen"/>
          <w:i/>
          <w:sz w:val="20"/>
          <w:szCs w:val="20"/>
          <w:lang w:val="hy-AM"/>
        </w:rPr>
        <w:t>մլն</w:t>
      </w:r>
      <w:r w:rsidRPr="008F525B">
        <w:rPr>
          <w:i/>
          <w:sz w:val="20"/>
          <w:szCs w:val="20"/>
          <w:lang w:val="hy-AM"/>
        </w:rPr>
        <w:t xml:space="preserve"> </w:t>
      </w:r>
      <w:r w:rsidRPr="008F525B">
        <w:rPr>
          <w:rFonts w:cs="Sylfaen"/>
          <w:i/>
          <w:sz w:val="20"/>
          <w:szCs w:val="20"/>
          <w:lang w:val="hy-AM"/>
        </w:rPr>
        <w:t>դրամ</w:t>
      </w:r>
      <w:r w:rsidRPr="008F525B">
        <w:rPr>
          <w:i/>
          <w:sz w:val="20"/>
          <w:szCs w:val="20"/>
          <w:lang w:val="hy-AM"/>
        </w:rPr>
        <w:t>)</w:t>
      </w:r>
    </w:p>
    <w:tbl>
      <w:tblPr>
        <w:tblW w:w="10140" w:type="dxa"/>
        <w:tblInd w:w="-10" w:type="dxa"/>
        <w:tblLook w:val="04A0" w:firstRow="1" w:lastRow="0" w:firstColumn="1" w:lastColumn="0" w:noHBand="0" w:noVBand="1"/>
      </w:tblPr>
      <w:tblGrid>
        <w:gridCol w:w="2160"/>
        <w:gridCol w:w="1102"/>
        <w:gridCol w:w="1109"/>
        <w:gridCol w:w="1068"/>
        <w:gridCol w:w="1176"/>
        <w:gridCol w:w="1143"/>
        <w:gridCol w:w="1133"/>
        <w:gridCol w:w="1249"/>
      </w:tblGrid>
      <w:tr w:rsidR="00FF2D29" w:rsidRPr="00FF2D29" w14:paraId="24E8AA42" w14:textId="77777777" w:rsidTr="008F525B">
        <w:trPr>
          <w:trHeight w:val="315"/>
        </w:trPr>
        <w:tc>
          <w:tcPr>
            <w:tcW w:w="2160" w:type="dxa"/>
            <w:vMerge w:val="restart"/>
            <w:tcBorders>
              <w:top w:val="single" w:sz="8" w:space="0" w:color="auto"/>
              <w:left w:val="single" w:sz="8" w:space="0" w:color="auto"/>
              <w:bottom w:val="single" w:sz="8" w:space="0" w:color="000000"/>
              <w:right w:val="single" w:sz="8" w:space="0" w:color="auto"/>
            </w:tcBorders>
            <w:shd w:val="clear" w:color="000000" w:fill="0070C0"/>
            <w:vAlign w:val="center"/>
            <w:hideMark/>
          </w:tcPr>
          <w:p w14:paraId="5B088584" w14:textId="77777777" w:rsidR="00FF2D29" w:rsidRPr="00FF2D29" w:rsidRDefault="00FF2D29"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Ցուցանիշներ</w:t>
            </w:r>
          </w:p>
        </w:tc>
        <w:tc>
          <w:tcPr>
            <w:tcW w:w="1102" w:type="dxa"/>
            <w:tcBorders>
              <w:top w:val="single" w:sz="8" w:space="0" w:color="auto"/>
              <w:left w:val="nil"/>
              <w:bottom w:val="single" w:sz="8" w:space="0" w:color="auto"/>
              <w:right w:val="single" w:sz="8" w:space="0" w:color="auto"/>
            </w:tcBorders>
            <w:shd w:val="clear" w:color="000000" w:fill="0070C0"/>
            <w:noWrap/>
            <w:vAlign w:val="center"/>
            <w:hideMark/>
          </w:tcPr>
          <w:p w14:paraId="70F6F364" w14:textId="77777777" w:rsidR="00FF2D29" w:rsidRPr="00FF2D29" w:rsidRDefault="00FF2D29"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2017թ</w:t>
            </w:r>
          </w:p>
        </w:tc>
        <w:tc>
          <w:tcPr>
            <w:tcW w:w="1109" w:type="dxa"/>
            <w:tcBorders>
              <w:top w:val="single" w:sz="8" w:space="0" w:color="auto"/>
              <w:left w:val="nil"/>
              <w:bottom w:val="single" w:sz="8" w:space="0" w:color="auto"/>
              <w:right w:val="single" w:sz="8" w:space="0" w:color="auto"/>
            </w:tcBorders>
            <w:shd w:val="clear" w:color="000000" w:fill="0070C0"/>
            <w:noWrap/>
            <w:vAlign w:val="center"/>
            <w:hideMark/>
          </w:tcPr>
          <w:p w14:paraId="4CE42662" w14:textId="77777777" w:rsidR="00FF2D29" w:rsidRPr="00FF2D29" w:rsidRDefault="00FF2D29"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2018թ</w:t>
            </w:r>
          </w:p>
        </w:tc>
        <w:tc>
          <w:tcPr>
            <w:tcW w:w="1068" w:type="dxa"/>
            <w:tcBorders>
              <w:top w:val="single" w:sz="8" w:space="0" w:color="auto"/>
              <w:left w:val="nil"/>
              <w:bottom w:val="single" w:sz="8" w:space="0" w:color="auto"/>
              <w:right w:val="single" w:sz="8" w:space="0" w:color="auto"/>
            </w:tcBorders>
            <w:shd w:val="clear" w:color="000000" w:fill="0070C0"/>
            <w:noWrap/>
            <w:vAlign w:val="center"/>
            <w:hideMark/>
          </w:tcPr>
          <w:p w14:paraId="67A15C89" w14:textId="77777777" w:rsidR="00FF2D29" w:rsidRPr="00FF2D29" w:rsidRDefault="00FF2D29"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2019թ</w:t>
            </w:r>
          </w:p>
        </w:tc>
        <w:tc>
          <w:tcPr>
            <w:tcW w:w="1176" w:type="dxa"/>
            <w:tcBorders>
              <w:top w:val="single" w:sz="8" w:space="0" w:color="auto"/>
              <w:left w:val="nil"/>
              <w:bottom w:val="single" w:sz="8" w:space="0" w:color="auto"/>
              <w:right w:val="single" w:sz="8" w:space="0" w:color="auto"/>
            </w:tcBorders>
            <w:shd w:val="clear" w:color="000000" w:fill="0070C0"/>
            <w:noWrap/>
            <w:vAlign w:val="center"/>
            <w:hideMark/>
          </w:tcPr>
          <w:p w14:paraId="3467D2EE" w14:textId="77777777" w:rsidR="00FF2D29" w:rsidRPr="00FF2D29" w:rsidRDefault="00FF2D29"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2020թ</w:t>
            </w:r>
          </w:p>
        </w:tc>
        <w:tc>
          <w:tcPr>
            <w:tcW w:w="1143" w:type="dxa"/>
            <w:tcBorders>
              <w:top w:val="single" w:sz="8" w:space="0" w:color="auto"/>
              <w:left w:val="nil"/>
              <w:bottom w:val="single" w:sz="8" w:space="0" w:color="auto"/>
              <w:right w:val="single" w:sz="8" w:space="0" w:color="auto"/>
            </w:tcBorders>
            <w:shd w:val="clear" w:color="000000" w:fill="0070C0"/>
            <w:noWrap/>
            <w:vAlign w:val="center"/>
            <w:hideMark/>
          </w:tcPr>
          <w:p w14:paraId="0E13C22A" w14:textId="77777777" w:rsidR="00FF2D29" w:rsidRPr="00FF2D29" w:rsidRDefault="00FF2D29"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2021թ</w:t>
            </w:r>
          </w:p>
        </w:tc>
        <w:tc>
          <w:tcPr>
            <w:tcW w:w="1133" w:type="dxa"/>
            <w:tcBorders>
              <w:top w:val="single" w:sz="8" w:space="0" w:color="auto"/>
              <w:left w:val="nil"/>
              <w:bottom w:val="single" w:sz="8" w:space="0" w:color="auto"/>
              <w:right w:val="single" w:sz="8" w:space="0" w:color="auto"/>
            </w:tcBorders>
            <w:shd w:val="clear" w:color="000000" w:fill="0070C0"/>
            <w:noWrap/>
            <w:vAlign w:val="center"/>
            <w:hideMark/>
          </w:tcPr>
          <w:p w14:paraId="270C8699" w14:textId="77777777" w:rsidR="00FF2D29" w:rsidRPr="00FF2D29" w:rsidRDefault="00FF2D29"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2022թ</w:t>
            </w:r>
          </w:p>
        </w:tc>
        <w:tc>
          <w:tcPr>
            <w:tcW w:w="1249" w:type="dxa"/>
            <w:tcBorders>
              <w:top w:val="single" w:sz="8" w:space="0" w:color="auto"/>
              <w:left w:val="nil"/>
              <w:bottom w:val="single" w:sz="8" w:space="0" w:color="auto"/>
              <w:right w:val="single" w:sz="8" w:space="0" w:color="auto"/>
            </w:tcBorders>
            <w:shd w:val="clear" w:color="000000" w:fill="0070C0"/>
            <w:noWrap/>
            <w:vAlign w:val="center"/>
            <w:hideMark/>
          </w:tcPr>
          <w:p w14:paraId="26945E0C" w14:textId="77777777" w:rsidR="00FF2D29" w:rsidRPr="00FF2D29" w:rsidRDefault="00FF2D29"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2023թ</w:t>
            </w:r>
          </w:p>
        </w:tc>
      </w:tr>
      <w:tr w:rsidR="00FF2D29" w:rsidRPr="00FF2D29" w14:paraId="1F8C0F9B" w14:textId="77777777" w:rsidTr="008F525B">
        <w:trPr>
          <w:trHeight w:val="315"/>
        </w:trPr>
        <w:tc>
          <w:tcPr>
            <w:tcW w:w="2160" w:type="dxa"/>
            <w:vMerge/>
            <w:tcBorders>
              <w:top w:val="single" w:sz="8" w:space="0" w:color="auto"/>
              <w:left w:val="single" w:sz="8" w:space="0" w:color="auto"/>
              <w:bottom w:val="single" w:sz="8" w:space="0" w:color="000000"/>
              <w:right w:val="single" w:sz="8" w:space="0" w:color="auto"/>
            </w:tcBorders>
            <w:vAlign w:val="center"/>
            <w:hideMark/>
          </w:tcPr>
          <w:p w14:paraId="0CD86CCA" w14:textId="77777777" w:rsidR="00FF2D29" w:rsidRPr="00FF2D29" w:rsidRDefault="00FF2D29" w:rsidP="00FF2D29">
            <w:pPr>
              <w:spacing w:before="0" w:after="0" w:line="240" w:lineRule="auto"/>
              <w:ind w:firstLine="0"/>
              <w:jc w:val="left"/>
              <w:rPr>
                <w:rFonts w:eastAsia="Times New Roman" w:cs="Times New Roman"/>
                <w:color w:val="FFFFFF"/>
                <w:sz w:val="20"/>
                <w:szCs w:val="20"/>
              </w:rPr>
            </w:pPr>
          </w:p>
        </w:tc>
        <w:tc>
          <w:tcPr>
            <w:tcW w:w="3279" w:type="dxa"/>
            <w:gridSpan w:val="3"/>
            <w:tcBorders>
              <w:top w:val="single" w:sz="8" w:space="0" w:color="auto"/>
              <w:left w:val="nil"/>
              <w:bottom w:val="single" w:sz="8" w:space="0" w:color="auto"/>
              <w:right w:val="single" w:sz="8" w:space="0" w:color="000000"/>
            </w:tcBorders>
            <w:shd w:val="clear" w:color="000000" w:fill="0070C0"/>
            <w:noWrap/>
            <w:vAlign w:val="center"/>
            <w:hideMark/>
          </w:tcPr>
          <w:p w14:paraId="65D22772" w14:textId="77777777" w:rsidR="00FF2D29" w:rsidRPr="00FF2D29" w:rsidRDefault="00FF2D29"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փաստ</w:t>
            </w:r>
          </w:p>
        </w:tc>
        <w:tc>
          <w:tcPr>
            <w:tcW w:w="1176" w:type="dxa"/>
            <w:tcBorders>
              <w:top w:val="nil"/>
              <w:left w:val="nil"/>
              <w:bottom w:val="single" w:sz="8" w:space="0" w:color="auto"/>
              <w:right w:val="single" w:sz="8" w:space="0" w:color="auto"/>
            </w:tcBorders>
            <w:shd w:val="clear" w:color="000000" w:fill="0070C0"/>
            <w:noWrap/>
            <w:vAlign w:val="center"/>
            <w:hideMark/>
          </w:tcPr>
          <w:p w14:paraId="4A4024BE" w14:textId="77777777" w:rsidR="00FF2D29" w:rsidRPr="00FF2D29" w:rsidRDefault="00343C12"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Բ</w:t>
            </w:r>
            <w:r w:rsidR="00FF2D29" w:rsidRPr="00FF2D29">
              <w:rPr>
                <w:rFonts w:eastAsia="Times New Roman" w:cs="Times New Roman"/>
                <w:color w:val="FFFFFF"/>
                <w:sz w:val="20"/>
                <w:szCs w:val="20"/>
                <w:lang w:val="hy-AM"/>
              </w:rPr>
              <w:t>յուջե</w:t>
            </w:r>
          </w:p>
        </w:tc>
        <w:tc>
          <w:tcPr>
            <w:tcW w:w="3525" w:type="dxa"/>
            <w:gridSpan w:val="3"/>
            <w:tcBorders>
              <w:top w:val="single" w:sz="8" w:space="0" w:color="auto"/>
              <w:left w:val="nil"/>
              <w:bottom w:val="single" w:sz="8" w:space="0" w:color="auto"/>
              <w:right w:val="single" w:sz="8" w:space="0" w:color="000000"/>
            </w:tcBorders>
            <w:shd w:val="clear" w:color="000000" w:fill="0070C0"/>
            <w:noWrap/>
            <w:vAlign w:val="center"/>
            <w:hideMark/>
          </w:tcPr>
          <w:p w14:paraId="19CE6F2F" w14:textId="77777777" w:rsidR="00FF2D29" w:rsidRPr="00FF2D29" w:rsidRDefault="00343C12" w:rsidP="00FF2D29">
            <w:pPr>
              <w:spacing w:before="0" w:after="0" w:line="240" w:lineRule="auto"/>
              <w:ind w:firstLine="0"/>
              <w:jc w:val="center"/>
              <w:rPr>
                <w:rFonts w:eastAsia="Times New Roman" w:cs="Times New Roman"/>
                <w:color w:val="FFFFFF"/>
                <w:sz w:val="20"/>
                <w:szCs w:val="20"/>
              </w:rPr>
            </w:pPr>
            <w:r w:rsidRPr="00FF2D29">
              <w:rPr>
                <w:rFonts w:eastAsia="Times New Roman" w:cs="Times New Roman"/>
                <w:color w:val="FFFFFF"/>
                <w:sz w:val="20"/>
                <w:szCs w:val="20"/>
                <w:lang w:val="hy-AM"/>
              </w:rPr>
              <w:t>Ծ</w:t>
            </w:r>
            <w:r w:rsidR="00FF2D29" w:rsidRPr="00FF2D29">
              <w:rPr>
                <w:rFonts w:eastAsia="Times New Roman" w:cs="Times New Roman"/>
                <w:color w:val="FFFFFF"/>
                <w:sz w:val="20"/>
                <w:szCs w:val="20"/>
                <w:lang w:val="hy-AM"/>
              </w:rPr>
              <w:t>րագիր</w:t>
            </w:r>
          </w:p>
        </w:tc>
      </w:tr>
      <w:tr w:rsidR="00FF2D29" w:rsidRPr="00FF2D29" w14:paraId="6B6ADA29" w14:textId="77777777" w:rsidTr="008F525B">
        <w:trPr>
          <w:trHeight w:val="555"/>
        </w:trPr>
        <w:tc>
          <w:tcPr>
            <w:tcW w:w="2160" w:type="dxa"/>
            <w:tcBorders>
              <w:top w:val="nil"/>
              <w:left w:val="single" w:sz="8" w:space="0" w:color="auto"/>
              <w:bottom w:val="single" w:sz="8" w:space="0" w:color="auto"/>
              <w:right w:val="single" w:sz="8" w:space="0" w:color="auto"/>
            </w:tcBorders>
            <w:shd w:val="clear" w:color="000000" w:fill="C6D9F1"/>
            <w:vAlign w:val="center"/>
            <w:hideMark/>
          </w:tcPr>
          <w:p w14:paraId="5B3F6341"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lang w:val="hy-AM"/>
              </w:rPr>
              <w:t xml:space="preserve"> Պետական  բյուջեի  դեֆիցիտի ֆինանսավորման աղբյուրները</w:t>
            </w:r>
          </w:p>
        </w:tc>
        <w:tc>
          <w:tcPr>
            <w:tcW w:w="1102" w:type="dxa"/>
            <w:tcBorders>
              <w:top w:val="nil"/>
              <w:left w:val="nil"/>
              <w:bottom w:val="single" w:sz="8" w:space="0" w:color="auto"/>
              <w:right w:val="single" w:sz="8" w:space="0" w:color="auto"/>
            </w:tcBorders>
            <w:shd w:val="clear" w:color="000000" w:fill="C6D9F1"/>
            <w:noWrap/>
            <w:vAlign w:val="center"/>
            <w:hideMark/>
          </w:tcPr>
          <w:p w14:paraId="29CFAC6D" w14:textId="77777777" w:rsidR="00FF2D29" w:rsidRPr="00FF2D29" w:rsidRDefault="00FF2D29" w:rsidP="00FF2D29">
            <w:pPr>
              <w:spacing w:before="0" w:after="0" w:line="240" w:lineRule="auto"/>
              <w:ind w:firstLine="0"/>
              <w:jc w:val="center"/>
              <w:rPr>
                <w:rFonts w:eastAsia="Times New Roman" w:cs="Times New Roman"/>
                <w:color w:val="000000"/>
                <w:sz w:val="20"/>
                <w:szCs w:val="20"/>
              </w:rPr>
            </w:pPr>
            <w:r w:rsidRPr="00FF2D29">
              <w:rPr>
                <w:rFonts w:eastAsia="Times New Roman" w:cs="Calibri"/>
                <w:color w:val="000000"/>
                <w:sz w:val="20"/>
                <w:szCs w:val="20"/>
              </w:rPr>
              <w:t xml:space="preserve">267,021.5 </w:t>
            </w:r>
          </w:p>
        </w:tc>
        <w:tc>
          <w:tcPr>
            <w:tcW w:w="1109" w:type="dxa"/>
            <w:tcBorders>
              <w:top w:val="nil"/>
              <w:left w:val="nil"/>
              <w:bottom w:val="single" w:sz="8" w:space="0" w:color="auto"/>
              <w:right w:val="single" w:sz="8" w:space="0" w:color="auto"/>
            </w:tcBorders>
            <w:shd w:val="clear" w:color="000000" w:fill="C6D9F1"/>
            <w:noWrap/>
            <w:vAlign w:val="center"/>
            <w:hideMark/>
          </w:tcPr>
          <w:p w14:paraId="1F169616" w14:textId="77777777" w:rsidR="00FF2D29" w:rsidRPr="00FF2D29" w:rsidRDefault="00FF2D29" w:rsidP="00FF2D29">
            <w:pPr>
              <w:spacing w:before="0" w:after="0" w:line="240" w:lineRule="auto"/>
              <w:ind w:firstLine="0"/>
              <w:jc w:val="center"/>
              <w:rPr>
                <w:rFonts w:eastAsia="Times New Roman" w:cs="Times New Roman"/>
                <w:color w:val="000000"/>
                <w:sz w:val="20"/>
                <w:szCs w:val="20"/>
              </w:rPr>
            </w:pPr>
            <w:r w:rsidRPr="00FF2D29">
              <w:rPr>
                <w:rFonts w:eastAsia="Times New Roman" w:cs="Calibri"/>
                <w:color w:val="000000"/>
                <w:sz w:val="20"/>
                <w:szCs w:val="20"/>
              </w:rPr>
              <w:t xml:space="preserve">105,392.4 </w:t>
            </w:r>
          </w:p>
        </w:tc>
        <w:tc>
          <w:tcPr>
            <w:tcW w:w="1068" w:type="dxa"/>
            <w:tcBorders>
              <w:top w:val="nil"/>
              <w:left w:val="nil"/>
              <w:bottom w:val="single" w:sz="8" w:space="0" w:color="auto"/>
              <w:right w:val="single" w:sz="8" w:space="0" w:color="auto"/>
            </w:tcBorders>
            <w:shd w:val="clear" w:color="000000" w:fill="C6D9F1"/>
            <w:noWrap/>
            <w:vAlign w:val="center"/>
            <w:hideMark/>
          </w:tcPr>
          <w:p w14:paraId="40887E38" w14:textId="77777777" w:rsidR="00FF2D29" w:rsidRPr="00FF2D29" w:rsidRDefault="00FF2D29" w:rsidP="00FF2D29">
            <w:pPr>
              <w:spacing w:before="0" w:after="0" w:line="240" w:lineRule="auto"/>
              <w:ind w:firstLine="0"/>
              <w:jc w:val="center"/>
              <w:rPr>
                <w:rFonts w:eastAsia="Times New Roman" w:cs="Times New Roman"/>
                <w:color w:val="000000"/>
                <w:sz w:val="20"/>
                <w:szCs w:val="20"/>
              </w:rPr>
            </w:pPr>
            <w:r w:rsidRPr="00FF2D29">
              <w:rPr>
                <w:rFonts w:eastAsia="Times New Roman" w:cs="Calibri"/>
                <w:color w:val="000000"/>
                <w:sz w:val="20"/>
                <w:szCs w:val="20"/>
              </w:rPr>
              <w:t xml:space="preserve">63,947.9 </w:t>
            </w:r>
          </w:p>
        </w:tc>
        <w:tc>
          <w:tcPr>
            <w:tcW w:w="1176" w:type="dxa"/>
            <w:tcBorders>
              <w:top w:val="nil"/>
              <w:left w:val="nil"/>
              <w:bottom w:val="single" w:sz="8" w:space="0" w:color="auto"/>
              <w:right w:val="single" w:sz="8" w:space="0" w:color="auto"/>
            </w:tcBorders>
            <w:shd w:val="clear" w:color="000000" w:fill="C6D9F1"/>
            <w:noWrap/>
            <w:vAlign w:val="center"/>
            <w:hideMark/>
          </w:tcPr>
          <w:p w14:paraId="4F5EF4F9" w14:textId="77777777" w:rsidR="00FF2D29" w:rsidRPr="00FF2D29" w:rsidRDefault="00FF2D29" w:rsidP="00FF2D29">
            <w:pPr>
              <w:spacing w:before="0" w:after="0" w:line="240" w:lineRule="auto"/>
              <w:ind w:firstLine="0"/>
              <w:jc w:val="center"/>
              <w:rPr>
                <w:rFonts w:eastAsia="Times New Roman" w:cs="Times New Roman"/>
                <w:color w:val="000000"/>
                <w:sz w:val="20"/>
                <w:szCs w:val="20"/>
              </w:rPr>
            </w:pPr>
            <w:r w:rsidRPr="00FF2D29">
              <w:rPr>
                <w:rFonts w:eastAsia="Times New Roman" w:cs="Calibri"/>
                <w:color w:val="000000"/>
                <w:sz w:val="20"/>
                <w:szCs w:val="20"/>
              </w:rPr>
              <w:t xml:space="preserve">160,687.3 </w:t>
            </w:r>
          </w:p>
        </w:tc>
        <w:tc>
          <w:tcPr>
            <w:tcW w:w="1143" w:type="dxa"/>
            <w:tcBorders>
              <w:top w:val="nil"/>
              <w:left w:val="nil"/>
              <w:bottom w:val="single" w:sz="8" w:space="0" w:color="auto"/>
              <w:right w:val="single" w:sz="8" w:space="0" w:color="auto"/>
            </w:tcBorders>
            <w:shd w:val="clear" w:color="000000" w:fill="C6D9F1"/>
            <w:noWrap/>
            <w:vAlign w:val="center"/>
            <w:hideMark/>
          </w:tcPr>
          <w:p w14:paraId="08E8CB01" w14:textId="77777777" w:rsidR="00FF2D29" w:rsidRPr="00FF2D29" w:rsidRDefault="00FF2D29" w:rsidP="00FF2D29">
            <w:pPr>
              <w:spacing w:before="0" w:after="0" w:line="240" w:lineRule="auto"/>
              <w:ind w:firstLine="0"/>
              <w:jc w:val="center"/>
              <w:rPr>
                <w:rFonts w:eastAsia="Times New Roman" w:cs="Times New Roman"/>
                <w:color w:val="000000"/>
                <w:sz w:val="20"/>
                <w:szCs w:val="20"/>
              </w:rPr>
            </w:pPr>
            <w:r w:rsidRPr="00FF2D29">
              <w:rPr>
                <w:rFonts w:eastAsia="Times New Roman" w:cs="Calibri"/>
                <w:color w:val="000000"/>
                <w:sz w:val="20"/>
                <w:szCs w:val="20"/>
              </w:rPr>
              <w:t xml:space="preserve">209,149.3 </w:t>
            </w:r>
          </w:p>
        </w:tc>
        <w:tc>
          <w:tcPr>
            <w:tcW w:w="1133" w:type="dxa"/>
            <w:tcBorders>
              <w:top w:val="nil"/>
              <w:left w:val="nil"/>
              <w:bottom w:val="single" w:sz="8" w:space="0" w:color="auto"/>
              <w:right w:val="single" w:sz="8" w:space="0" w:color="auto"/>
            </w:tcBorders>
            <w:shd w:val="clear" w:color="000000" w:fill="C6D9F1"/>
            <w:noWrap/>
            <w:vAlign w:val="center"/>
            <w:hideMark/>
          </w:tcPr>
          <w:p w14:paraId="65C090F8" w14:textId="77777777" w:rsidR="00FF2D29" w:rsidRPr="00FF2D29" w:rsidRDefault="00FF2D29" w:rsidP="00FF2D29">
            <w:pPr>
              <w:spacing w:before="0" w:after="0" w:line="240" w:lineRule="auto"/>
              <w:ind w:firstLine="0"/>
              <w:jc w:val="center"/>
              <w:rPr>
                <w:rFonts w:eastAsia="Times New Roman" w:cs="Times New Roman"/>
                <w:color w:val="000000"/>
                <w:sz w:val="20"/>
                <w:szCs w:val="20"/>
              </w:rPr>
            </w:pPr>
            <w:r w:rsidRPr="00FF2D29">
              <w:rPr>
                <w:rFonts w:eastAsia="Times New Roman" w:cs="Calibri"/>
                <w:color w:val="000000"/>
                <w:sz w:val="20"/>
                <w:szCs w:val="20"/>
              </w:rPr>
              <w:t xml:space="preserve">140,187.5 </w:t>
            </w:r>
          </w:p>
        </w:tc>
        <w:tc>
          <w:tcPr>
            <w:tcW w:w="1249" w:type="dxa"/>
            <w:tcBorders>
              <w:top w:val="nil"/>
              <w:left w:val="nil"/>
              <w:bottom w:val="single" w:sz="8" w:space="0" w:color="auto"/>
              <w:right w:val="single" w:sz="8" w:space="0" w:color="auto"/>
            </w:tcBorders>
            <w:shd w:val="clear" w:color="000000" w:fill="C6D9F1"/>
            <w:noWrap/>
            <w:vAlign w:val="center"/>
            <w:hideMark/>
          </w:tcPr>
          <w:p w14:paraId="27866F5C" w14:textId="77777777" w:rsidR="00FF2D29" w:rsidRPr="00FF2D29" w:rsidRDefault="00FF2D29" w:rsidP="00FF2D29">
            <w:pPr>
              <w:spacing w:before="0" w:after="0" w:line="240" w:lineRule="auto"/>
              <w:ind w:firstLine="0"/>
              <w:jc w:val="center"/>
              <w:rPr>
                <w:rFonts w:eastAsia="Times New Roman" w:cs="Times New Roman"/>
                <w:color w:val="000000"/>
                <w:sz w:val="20"/>
                <w:szCs w:val="20"/>
              </w:rPr>
            </w:pPr>
            <w:r w:rsidRPr="00FF2D29">
              <w:rPr>
                <w:rFonts w:eastAsia="Times New Roman" w:cs="Calibri"/>
                <w:color w:val="000000"/>
                <w:sz w:val="20"/>
                <w:szCs w:val="20"/>
              </w:rPr>
              <w:t>158,559.0</w:t>
            </w:r>
            <w:r w:rsidRPr="00FF2D29">
              <w:rPr>
                <w:rFonts w:ascii="Arial Armenian" w:eastAsia="Times New Roman" w:hAnsi="Arial Armenian" w:cs="Calibri"/>
                <w:color w:val="000000"/>
                <w:sz w:val="20"/>
                <w:szCs w:val="20"/>
              </w:rPr>
              <w:t> </w:t>
            </w:r>
          </w:p>
        </w:tc>
      </w:tr>
      <w:tr w:rsidR="00FF2D29" w:rsidRPr="00FF2D29" w14:paraId="14DD4231" w14:textId="77777777" w:rsidTr="008F525B">
        <w:trPr>
          <w:trHeight w:val="315"/>
        </w:trPr>
        <w:tc>
          <w:tcPr>
            <w:tcW w:w="2160" w:type="dxa"/>
            <w:tcBorders>
              <w:top w:val="nil"/>
              <w:left w:val="single" w:sz="8" w:space="0" w:color="auto"/>
              <w:bottom w:val="single" w:sz="8" w:space="0" w:color="auto"/>
              <w:right w:val="single" w:sz="8" w:space="0" w:color="auto"/>
            </w:tcBorders>
            <w:shd w:val="clear" w:color="auto" w:fill="auto"/>
            <w:vAlign w:val="center"/>
            <w:hideMark/>
          </w:tcPr>
          <w:p w14:paraId="7D404A81" w14:textId="77777777" w:rsidR="00FF2D29" w:rsidRPr="00FF2D29" w:rsidRDefault="00FF2D29" w:rsidP="00FF2D29">
            <w:pPr>
              <w:spacing w:before="0" w:after="0" w:line="240" w:lineRule="auto"/>
              <w:ind w:firstLine="0"/>
              <w:rPr>
                <w:rFonts w:eastAsia="Times New Roman" w:cs="Times New Roman"/>
                <w:color w:val="000000"/>
                <w:sz w:val="20"/>
                <w:szCs w:val="20"/>
              </w:rPr>
            </w:pPr>
            <w:proofErr w:type="gramStart"/>
            <w:r w:rsidRPr="00FF2D29">
              <w:rPr>
                <w:rFonts w:eastAsia="Times New Roman" w:cs="Calibri"/>
                <w:color w:val="000000"/>
                <w:sz w:val="20"/>
                <w:szCs w:val="20"/>
              </w:rPr>
              <w:t>Ա.Ներքին</w:t>
            </w:r>
            <w:proofErr w:type="gramEnd"/>
            <w:r w:rsidRPr="00FF2D29">
              <w:rPr>
                <w:rFonts w:eastAsia="Times New Roman" w:cs="Calibri"/>
                <w:color w:val="000000"/>
                <w:sz w:val="20"/>
                <w:szCs w:val="20"/>
              </w:rPr>
              <w:t xml:space="preserve"> աղբյուրներ</w:t>
            </w:r>
          </w:p>
        </w:tc>
        <w:tc>
          <w:tcPr>
            <w:tcW w:w="1102" w:type="dxa"/>
            <w:tcBorders>
              <w:top w:val="nil"/>
              <w:left w:val="nil"/>
              <w:bottom w:val="single" w:sz="8" w:space="0" w:color="auto"/>
              <w:right w:val="single" w:sz="8" w:space="0" w:color="auto"/>
            </w:tcBorders>
            <w:shd w:val="clear" w:color="auto" w:fill="auto"/>
            <w:noWrap/>
            <w:vAlign w:val="center"/>
            <w:hideMark/>
          </w:tcPr>
          <w:p w14:paraId="2677418F"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 xml:space="preserve">70,559.3 </w:t>
            </w:r>
          </w:p>
        </w:tc>
        <w:tc>
          <w:tcPr>
            <w:tcW w:w="1109" w:type="dxa"/>
            <w:tcBorders>
              <w:top w:val="nil"/>
              <w:left w:val="nil"/>
              <w:bottom w:val="single" w:sz="8" w:space="0" w:color="auto"/>
              <w:right w:val="single" w:sz="8" w:space="0" w:color="auto"/>
            </w:tcBorders>
            <w:shd w:val="clear" w:color="auto" w:fill="auto"/>
            <w:noWrap/>
            <w:vAlign w:val="center"/>
            <w:hideMark/>
          </w:tcPr>
          <w:p w14:paraId="481AC6D1"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 xml:space="preserve">69,364.0 </w:t>
            </w:r>
          </w:p>
        </w:tc>
        <w:tc>
          <w:tcPr>
            <w:tcW w:w="1068" w:type="dxa"/>
            <w:tcBorders>
              <w:top w:val="nil"/>
              <w:left w:val="nil"/>
              <w:bottom w:val="single" w:sz="8" w:space="0" w:color="auto"/>
              <w:right w:val="single" w:sz="8" w:space="0" w:color="auto"/>
            </w:tcBorders>
            <w:shd w:val="clear" w:color="auto" w:fill="auto"/>
            <w:noWrap/>
            <w:vAlign w:val="center"/>
            <w:hideMark/>
          </w:tcPr>
          <w:p w14:paraId="464A1EC9"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(13,317.2)</w:t>
            </w:r>
          </w:p>
        </w:tc>
        <w:tc>
          <w:tcPr>
            <w:tcW w:w="1176" w:type="dxa"/>
            <w:tcBorders>
              <w:top w:val="nil"/>
              <w:left w:val="nil"/>
              <w:bottom w:val="single" w:sz="8" w:space="0" w:color="auto"/>
              <w:right w:val="single" w:sz="8" w:space="0" w:color="auto"/>
            </w:tcBorders>
            <w:shd w:val="clear" w:color="auto" w:fill="auto"/>
            <w:noWrap/>
            <w:vAlign w:val="center"/>
            <w:hideMark/>
          </w:tcPr>
          <w:p w14:paraId="248BDD36"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 xml:space="preserve">211,047.0 </w:t>
            </w:r>
          </w:p>
        </w:tc>
        <w:tc>
          <w:tcPr>
            <w:tcW w:w="1143" w:type="dxa"/>
            <w:tcBorders>
              <w:top w:val="nil"/>
              <w:left w:val="nil"/>
              <w:bottom w:val="single" w:sz="8" w:space="0" w:color="auto"/>
              <w:right w:val="single" w:sz="8" w:space="0" w:color="auto"/>
            </w:tcBorders>
            <w:shd w:val="clear" w:color="auto" w:fill="auto"/>
            <w:noWrap/>
            <w:vAlign w:val="center"/>
            <w:hideMark/>
          </w:tcPr>
          <w:p w14:paraId="24B23271"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 xml:space="preserve">257,826.8 </w:t>
            </w:r>
          </w:p>
        </w:tc>
        <w:tc>
          <w:tcPr>
            <w:tcW w:w="1133" w:type="dxa"/>
            <w:tcBorders>
              <w:top w:val="nil"/>
              <w:left w:val="nil"/>
              <w:bottom w:val="single" w:sz="8" w:space="0" w:color="auto"/>
              <w:right w:val="single" w:sz="8" w:space="0" w:color="auto"/>
            </w:tcBorders>
            <w:shd w:val="clear" w:color="auto" w:fill="auto"/>
            <w:noWrap/>
            <w:vAlign w:val="center"/>
            <w:hideMark/>
          </w:tcPr>
          <w:p w14:paraId="6345DA03"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 xml:space="preserve">171,059.3 </w:t>
            </w:r>
          </w:p>
        </w:tc>
        <w:tc>
          <w:tcPr>
            <w:tcW w:w="1249" w:type="dxa"/>
            <w:tcBorders>
              <w:top w:val="nil"/>
              <w:left w:val="nil"/>
              <w:bottom w:val="single" w:sz="8" w:space="0" w:color="auto"/>
              <w:right w:val="single" w:sz="8" w:space="0" w:color="auto"/>
            </w:tcBorders>
            <w:shd w:val="clear" w:color="auto" w:fill="auto"/>
            <w:noWrap/>
            <w:vAlign w:val="center"/>
            <w:hideMark/>
          </w:tcPr>
          <w:p w14:paraId="09C99171"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 xml:space="preserve">358,979.0 </w:t>
            </w:r>
          </w:p>
        </w:tc>
      </w:tr>
      <w:tr w:rsidR="00FF2D29" w:rsidRPr="00FF2D29" w14:paraId="759F24F8" w14:textId="77777777" w:rsidTr="008F525B">
        <w:trPr>
          <w:trHeight w:val="315"/>
        </w:trPr>
        <w:tc>
          <w:tcPr>
            <w:tcW w:w="2160" w:type="dxa"/>
            <w:tcBorders>
              <w:top w:val="nil"/>
              <w:left w:val="single" w:sz="8" w:space="0" w:color="auto"/>
              <w:bottom w:val="single" w:sz="8" w:space="0" w:color="auto"/>
              <w:right w:val="single" w:sz="8" w:space="0" w:color="auto"/>
            </w:tcBorders>
            <w:shd w:val="clear" w:color="000000" w:fill="DBE5F1"/>
            <w:vAlign w:val="center"/>
            <w:hideMark/>
          </w:tcPr>
          <w:p w14:paraId="074116BD"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Բ. Արտաքին աղբյուրներ</w:t>
            </w:r>
          </w:p>
        </w:tc>
        <w:tc>
          <w:tcPr>
            <w:tcW w:w="1102" w:type="dxa"/>
            <w:tcBorders>
              <w:top w:val="nil"/>
              <w:left w:val="nil"/>
              <w:bottom w:val="single" w:sz="8" w:space="0" w:color="auto"/>
              <w:right w:val="single" w:sz="8" w:space="0" w:color="auto"/>
            </w:tcBorders>
            <w:shd w:val="clear" w:color="000000" w:fill="DBE5F1"/>
            <w:noWrap/>
            <w:vAlign w:val="center"/>
            <w:hideMark/>
          </w:tcPr>
          <w:p w14:paraId="67120854"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 xml:space="preserve">196,462.2 </w:t>
            </w:r>
          </w:p>
        </w:tc>
        <w:tc>
          <w:tcPr>
            <w:tcW w:w="1109" w:type="dxa"/>
            <w:tcBorders>
              <w:top w:val="nil"/>
              <w:left w:val="nil"/>
              <w:bottom w:val="single" w:sz="8" w:space="0" w:color="auto"/>
              <w:right w:val="single" w:sz="8" w:space="0" w:color="auto"/>
            </w:tcBorders>
            <w:shd w:val="clear" w:color="000000" w:fill="DBE5F1"/>
            <w:noWrap/>
            <w:vAlign w:val="center"/>
            <w:hideMark/>
          </w:tcPr>
          <w:p w14:paraId="39D67D25"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 xml:space="preserve">36,028.4 </w:t>
            </w:r>
          </w:p>
        </w:tc>
        <w:tc>
          <w:tcPr>
            <w:tcW w:w="1068" w:type="dxa"/>
            <w:tcBorders>
              <w:top w:val="nil"/>
              <w:left w:val="nil"/>
              <w:bottom w:val="single" w:sz="8" w:space="0" w:color="auto"/>
              <w:right w:val="single" w:sz="8" w:space="0" w:color="auto"/>
            </w:tcBorders>
            <w:shd w:val="clear" w:color="000000" w:fill="DBE5F1"/>
            <w:noWrap/>
            <w:vAlign w:val="center"/>
            <w:hideMark/>
          </w:tcPr>
          <w:p w14:paraId="748BCD3B"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 xml:space="preserve">77,265.2 </w:t>
            </w:r>
          </w:p>
        </w:tc>
        <w:tc>
          <w:tcPr>
            <w:tcW w:w="1176" w:type="dxa"/>
            <w:tcBorders>
              <w:top w:val="nil"/>
              <w:left w:val="nil"/>
              <w:bottom w:val="single" w:sz="8" w:space="0" w:color="auto"/>
              <w:right w:val="single" w:sz="8" w:space="0" w:color="auto"/>
            </w:tcBorders>
            <w:shd w:val="clear" w:color="000000" w:fill="DBE5F1"/>
            <w:noWrap/>
            <w:vAlign w:val="center"/>
            <w:hideMark/>
          </w:tcPr>
          <w:p w14:paraId="324D33A4"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(50,359.8)</w:t>
            </w:r>
          </w:p>
        </w:tc>
        <w:tc>
          <w:tcPr>
            <w:tcW w:w="1143" w:type="dxa"/>
            <w:tcBorders>
              <w:top w:val="nil"/>
              <w:left w:val="nil"/>
              <w:bottom w:val="single" w:sz="8" w:space="0" w:color="auto"/>
              <w:right w:val="single" w:sz="8" w:space="0" w:color="auto"/>
            </w:tcBorders>
            <w:shd w:val="clear" w:color="000000" w:fill="DBE5F1"/>
            <w:noWrap/>
            <w:vAlign w:val="center"/>
            <w:hideMark/>
          </w:tcPr>
          <w:p w14:paraId="56C2E0EF"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(48,677.5)</w:t>
            </w:r>
          </w:p>
        </w:tc>
        <w:tc>
          <w:tcPr>
            <w:tcW w:w="1133" w:type="dxa"/>
            <w:tcBorders>
              <w:top w:val="nil"/>
              <w:left w:val="nil"/>
              <w:bottom w:val="single" w:sz="8" w:space="0" w:color="auto"/>
              <w:right w:val="single" w:sz="8" w:space="0" w:color="auto"/>
            </w:tcBorders>
            <w:shd w:val="clear" w:color="000000" w:fill="DBE5F1"/>
            <w:noWrap/>
            <w:vAlign w:val="center"/>
            <w:hideMark/>
          </w:tcPr>
          <w:p w14:paraId="0D3C202C"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(30,871.8)</w:t>
            </w:r>
          </w:p>
        </w:tc>
        <w:tc>
          <w:tcPr>
            <w:tcW w:w="1249" w:type="dxa"/>
            <w:tcBorders>
              <w:top w:val="nil"/>
              <w:left w:val="nil"/>
              <w:bottom w:val="single" w:sz="8" w:space="0" w:color="auto"/>
              <w:right w:val="single" w:sz="8" w:space="0" w:color="auto"/>
            </w:tcBorders>
            <w:shd w:val="clear" w:color="000000" w:fill="DBE5F1"/>
            <w:noWrap/>
            <w:vAlign w:val="center"/>
            <w:hideMark/>
          </w:tcPr>
          <w:p w14:paraId="56AAE850" w14:textId="77777777" w:rsidR="00FF2D29" w:rsidRPr="00FF2D29" w:rsidRDefault="00FF2D29" w:rsidP="00FF2D29">
            <w:pPr>
              <w:spacing w:before="0" w:after="0" w:line="240" w:lineRule="auto"/>
              <w:ind w:firstLine="0"/>
              <w:rPr>
                <w:rFonts w:eastAsia="Times New Roman" w:cs="Times New Roman"/>
                <w:color w:val="000000"/>
                <w:sz w:val="20"/>
                <w:szCs w:val="20"/>
              </w:rPr>
            </w:pPr>
            <w:r w:rsidRPr="00FF2D29">
              <w:rPr>
                <w:rFonts w:eastAsia="Times New Roman" w:cs="Calibri"/>
                <w:color w:val="000000"/>
                <w:sz w:val="20"/>
                <w:szCs w:val="20"/>
              </w:rPr>
              <w:t>(200,419.9)</w:t>
            </w:r>
          </w:p>
        </w:tc>
      </w:tr>
    </w:tbl>
    <w:p w14:paraId="755A2B1D" w14:textId="77777777" w:rsidR="002D0678" w:rsidRPr="003C716D" w:rsidRDefault="002D0678" w:rsidP="002D0678"/>
    <w:p w14:paraId="1F34DC77" w14:textId="77777777" w:rsidR="002D0678" w:rsidRDefault="002D0678" w:rsidP="008F525B">
      <w:pPr>
        <w:spacing w:line="276" w:lineRule="auto"/>
        <w:ind w:firstLine="360"/>
      </w:pPr>
      <w:r w:rsidRPr="003C716D">
        <w:rPr>
          <w:rFonts w:cs="Sylfaen"/>
        </w:rPr>
        <w:t>Պետական</w:t>
      </w:r>
      <w:r w:rsidRPr="003C716D">
        <w:t xml:space="preserve"> </w:t>
      </w:r>
      <w:r w:rsidRPr="003C716D">
        <w:rPr>
          <w:rFonts w:cs="Sylfaen"/>
        </w:rPr>
        <w:t>բյուջեի</w:t>
      </w:r>
      <w:r w:rsidRPr="003C716D">
        <w:t xml:space="preserve"> </w:t>
      </w:r>
      <w:r w:rsidRPr="003C716D">
        <w:rPr>
          <w:rFonts w:cs="Sylfaen"/>
        </w:rPr>
        <w:t>դեֆիցիտի</w:t>
      </w:r>
      <w:r w:rsidRPr="003C716D">
        <w:t xml:space="preserve"> </w:t>
      </w:r>
      <w:r w:rsidRPr="003C716D">
        <w:rPr>
          <w:rFonts w:cs="Sylfaen"/>
        </w:rPr>
        <w:t>հարաբերակցությունը</w:t>
      </w:r>
      <w:r w:rsidRPr="003C716D">
        <w:t xml:space="preserve"> </w:t>
      </w:r>
      <w:r w:rsidRPr="003C716D">
        <w:rPr>
          <w:rFonts w:cs="Sylfaen"/>
        </w:rPr>
        <w:t>ՀՆԱ-ի</w:t>
      </w:r>
      <w:r w:rsidRPr="003C716D">
        <w:t xml:space="preserve"> </w:t>
      </w:r>
      <w:r w:rsidRPr="003C716D">
        <w:rPr>
          <w:rFonts w:cs="Sylfaen"/>
        </w:rPr>
        <w:t>նկատմամբ</w:t>
      </w:r>
      <w:r>
        <w:t xml:space="preserve"> 2021-2023</w:t>
      </w:r>
      <w:r w:rsidRPr="003C716D">
        <w:t xml:space="preserve"> թվակա</w:t>
      </w:r>
      <w:r w:rsidRPr="003C716D">
        <w:rPr>
          <w:rFonts w:cs="Sylfaen"/>
        </w:rPr>
        <w:t>նին</w:t>
      </w:r>
      <w:r w:rsidRPr="003C716D">
        <w:t xml:space="preserve"> </w:t>
      </w:r>
      <w:r w:rsidRPr="003C716D">
        <w:rPr>
          <w:rFonts w:cs="Sylfaen"/>
          <w:lang w:val="hy-AM"/>
        </w:rPr>
        <w:t>կ</w:t>
      </w:r>
      <w:r w:rsidRPr="003C716D">
        <w:rPr>
          <w:rFonts w:cs="Sylfaen"/>
        </w:rPr>
        <w:t>տատանվի</w:t>
      </w:r>
      <w:r w:rsidRPr="003C716D">
        <w:t xml:space="preserve"> </w:t>
      </w:r>
      <w:r w:rsidRPr="003C716D">
        <w:rPr>
          <w:rFonts w:cs="Sylfaen"/>
        </w:rPr>
        <w:t>ՀՆԱ</w:t>
      </w:r>
      <w:r w:rsidRPr="003C716D">
        <w:t>-</w:t>
      </w:r>
      <w:r w:rsidRPr="003C716D">
        <w:rPr>
          <w:rFonts w:cs="Sylfaen"/>
        </w:rPr>
        <w:t>ի</w:t>
      </w:r>
      <w:r w:rsidRPr="003C716D">
        <w:t xml:space="preserve"> </w:t>
      </w:r>
      <w:r w:rsidRPr="00A00701">
        <w:rPr>
          <w:lang w:val="hy-AM"/>
        </w:rPr>
        <w:t>2</w:t>
      </w:r>
      <w:r>
        <w:t>.9 %-ից 1.8</w:t>
      </w:r>
      <w:r w:rsidRPr="00A00701">
        <w:t>% միջա</w:t>
      </w:r>
      <w:r w:rsidRPr="00A00701">
        <w:softHyphen/>
        <w:t>կայ</w:t>
      </w:r>
      <w:r w:rsidRPr="00A00701">
        <w:softHyphen/>
        <w:t>քում:</w:t>
      </w:r>
      <w:r w:rsidRPr="003C716D">
        <w:t xml:space="preserve"> </w:t>
      </w:r>
      <w:r w:rsidRPr="003C716D">
        <w:rPr>
          <w:rFonts w:cs="Sylfaen"/>
        </w:rPr>
        <w:t>Ինչպես նախորդ միջնաժամկետ ծախսային ծրագրերում, ՀՀ 202</w:t>
      </w:r>
      <w:r>
        <w:rPr>
          <w:rFonts w:cs="Sylfaen"/>
        </w:rPr>
        <w:t>1-2023</w:t>
      </w:r>
      <w:r w:rsidRPr="003C716D">
        <w:rPr>
          <w:rFonts w:cs="Sylfaen"/>
        </w:rPr>
        <w:t xml:space="preserve"> թթ ՄԺԾԾ-ում նույն</w:t>
      </w:r>
      <w:r w:rsidRPr="003C716D">
        <w:rPr>
          <w:rFonts w:cs="Sylfaen"/>
        </w:rPr>
        <w:softHyphen/>
      </w:r>
      <w:r w:rsidRPr="003C716D">
        <w:rPr>
          <w:rFonts w:cs="Sylfaen"/>
        </w:rPr>
        <w:softHyphen/>
        <w:t xml:space="preserve">պես պահպանվել է </w:t>
      </w:r>
      <w:r w:rsidRPr="003C716D">
        <w:rPr>
          <w:rFonts w:cs="Sylfaen"/>
          <w:lang w:val="hy-AM"/>
        </w:rPr>
        <w:t>ՀՀ</w:t>
      </w:r>
      <w:r w:rsidRPr="003C716D">
        <w:rPr>
          <w:lang w:val="hy-AM"/>
        </w:rPr>
        <w:t xml:space="preserve"> </w:t>
      </w:r>
      <w:r w:rsidRPr="003C716D">
        <w:rPr>
          <w:rFonts w:cs="Sylfaen"/>
          <w:lang w:val="hy-AM"/>
        </w:rPr>
        <w:t>պետական</w:t>
      </w:r>
      <w:r w:rsidRPr="003C716D">
        <w:rPr>
          <w:lang w:val="hy-AM"/>
        </w:rPr>
        <w:t xml:space="preserve"> </w:t>
      </w:r>
      <w:r w:rsidRPr="003C716D">
        <w:rPr>
          <w:rFonts w:cs="Sylfaen"/>
          <w:lang w:val="hy-AM"/>
        </w:rPr>
        <w:t>բյուջեի</w:t>
      </w:r>
      <w:r w:rsidRPr="003C716D">
        <w:rPr>
          <w:rFonts w:cs="Sylfaen"/>
        </w:rPr>
        <w:t xml:space="preserve"> </w:t>
      </w:r>
      <w:r w:rsidRPr="003C716D">
        <w:rPr>
          <w:rFonts w:cs="Sylfaen"/>
          <w:lang w:val="hy-AM"/>
        </w:rPr>
        <w:t>կախվա</w:t>
      </w:r>
      <w:r w:rsidRPr="003C716D">
        <w:rPr>
          <w:rFonts w:cs="Sylfaen"/>
          <w:lang w:val="hy-AM"/>
        </w:rPr>
        <w:softHyphen/>
        <w:t>ծու</w:t>
      </w:r>
      <w:r w:rsidRPr="003C716D">
        <w:rPr>
          <w:rFonts w:cs="Sylfaen"/>
          <w:lang w:val="hy-AM"/>
        </w:rPr>
        <w:softHyphen/>
        <w:t>թյունն</w:t>
      </w:r>
      <w:r w:rsidRPr="003C716D">
        <w:rPr>
          <w:lang w:val="hy-AM"/>
        </w:rPr>
        <w:t xml:space="preserve"> </w:t>
      </w:r>
      <w:r w:rsidRPr="003C716D">
        <w:rPr>
          <w:rFonts w:cs="Sylfaen"/>
          <w:lang w:val="hy-AM"/>
        </w:rPr>
        <w:t>արտաքին</w:t>
      </w:r>
      <w:r w:rsidRPr="003C716D">
        <w:rPr>
          <w:lang w:val="hy-AM"/>
        </w:rPr>
        <w:t xml:space="preserve"> </w:t>
      </w:r>
      <w:r w:rsidRPr="003C716D">
        <w:rPr>
          <w:rFonts w:cs="Sylfaen"/>
          <w:lang w:val="hy-AM"/>
        </w:rPr>
        <w:t>ֆինանսավորման</w:t>
      </w:r>
      <w:r w:rsidRPr="003C716D">
        <w:rPr>
          <w:lang w:val="hy-AM"/>
        </w:rPr>
        <w:t xml:space="preserve"> </w:t>
      </w:r>
      <w:r w:rsidRPr="003C716D">
        <w:rPr>
          <w:rFonts w:cs="Sylfaen"/>
          <w:lang w:val="hy-AM"/>
        </w:rPr>
        <w:t>աղբյուր</w:t>
      </w:r>
      <w:r w:rsidRPr="003C716D">
        <w:rPr>
          <w:rFonts w:cs="Sylfaen"/>
        </w:rPr>
        <w:softHyphen/>
      </w:r>
      <w:r w:rsidRPr="003C716D">
        <w:rPr>
          <w:rFonts w:cs="Sylfaen"/>
        </w:rPr>
        <w:softHyphen/>
      </w:r>
      <w:r w:rsidRPr="003C716D">
        <w:rPr>
          <w:rFonts w:cs="Sylfaen"/>
          <w:lang w:val="hy-AM"/>
        </w:rPr>
        <w:t>ներից</w:t>
      </w:r>
      <w:r w:rsidRPr="003C716D">
        <w:rPr>
          <w:lang w:val="hy-AM"/>
        </w:rPr>
        <w:t xml:space="preserve"> (</w:t>
      </w:r>
      <w:r w:rsidRPr="003C716D">
        <w:rPr>
          <w:rFonts w:cs="Sylfaen"/>
          <w:lang w:val="hy-AM"/>
        </w:rPr>
        <w:t>արտասահմանյան</w:t>
      </w:r>
      <w:r w:rsidRPr="003C716D">
        <w:rPr>
          <w:lang w:val="hy-AM"/>
        </w:rPr>
        <w:t xml:space="preserve"> </w:t>
      </w:r>
      <w:r w:rsidRPr="003C716D">
        <w:rPr>
          <w:rFonts w:cs="Sylfaen"/>
          <w:lang w:val="hy-AM"/>
        </w:rPr>
        <w:t>վարկերից</w:t>
      </w:r>
      <w:r w:rsidRPr="003C716D">
        <w:rPr>
          <w:lang w:val="hy-AM"/>
        </w:rPr>
        <w:t xml:space="preserve"> </w:t>
      </w:r>
      <w:r w:rsidRPr="003C716D">
        <w:rPr>
          <w:rFonts w:cs="Sylfaen"/>
          <w:lang w:val="hy-AM"/>
        </w:rPr>
        <w:t>և</w:t>
      </w:r>
      <w:r w:rsidRPr="003C716D">
        <w:rPr>
          <w:lang w:val="hy-AM"/>
        </w:rPr>
        <w:t xml:space="preserve"> </w:t>
      </w:r>
      <w:r w:rsidRPr="003C716D">
        <w:rPr>
          <w:rFonts w:cs="Sylfaen"/>
          <w:lang w:val="hy-AM"/>
        </w:rPr>
        <w:t>պաշտո</w:t>
      </w:r>
      <w:r w:rsidRPr="003C716D">
        <w:rPr>
          <w:rFonts w:cs="Sylfaen"/>
          <w:lang w:val="hy-AM"/>
        </w:rPr>
        <w:softHyphen/>
        <w:t>նական</w:t>
      </w:r>
      <w:r w:rsidRPr="003C716D">
        <w:rPr>
          <w:lang w:val="hy-AM"/>
        </w:rPr>
        <w:t xml:space="preserve"> </w:t>
      </w:r>
      <w:r w:rsidRPr="003C716D">
        <w:rPr>
          <w:rFonts w:cs="Sylfaen"/>
          <w:lang w:val="hy-AM"/>
        </w:rPr>
        <w:t>դրամաշնորհ</w:t>
      </w:r>
      <w:r w:rsidRPr="003C716D">
        <w:rPr>
          <w:rFonts w:cs="Sylfaen"/>
          <w:lang w:val="hy-AM"/>
        </w:rPr>
        <w:softHyphen/>
        <w:t>ներից</w:t>
      </w:r>
      <w:r w:rsidR="008F525B">
        <w:rPr>
          <w:lang w:val="hy-AM"/>
        </w:rPr>
        <w:t>)</w:t>
      </w:r>
      <w:r w:rsidRPr="003C716D">
        <w:rPr>
          <w:lang w:val="hy-AM"/>
        </w:rPr>
        <w:t>:</w:t>
      </w:r>
    </w:p>
    <w:p w14:paraId="49FA8E7B" w14:textId="77777777" w:rsidR="002D0678" w:rsidRPr="005F7203" w:rsidRDefault="000A0253" w:rsidP="002D0678">
      <w:pPr>
        <w:spacing w:line="360" w:lineRule="auto"/>
        <w:ind w:firstLine="360"/>
      </w:pPr>
      <w:r>
        <w:rPr>
          <w:noProof/>
        </w:rPr>
        <w:drawing>
          <wp:inline distT="0" distB="0" distL="0" distR="0" wp14:anchorId="69CF5BAA" wp14:editId="52FC8284">
            <wp:extent cx="5753100" cy="2943225"/>
            <wp:effectExtent l="0" t="0" r="0" b="952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C38E8F0" w14:textId="77777777" w:rsidR="008F525B" w:rsidRPr="000008C3" w:rsidRDefault="008F525B" w:rsidP="000008C3">
      <w:pPr>
        <w:keepNext/>
        <w:keepLines/>
        <w:spacing w:line="360" w:lineRule="auto"/>
        <w:ind w:firstLine="0"/>
        <w:rPr>
          <w:rFonts w:cs="Sylfaen"/>
          <w:b/>
          <w:sz w:val="20"/>
          <w:szCs w:val="20"/>
          <w:lang w:val="hy-AM"/>
        </w:rPr>
      </w:pPr>
    </w:p>
    <w:p w14:paraId="1E4D1A61" w14:textId="77777777" w:rsidR="00173FEB" w:rsidRPr="00825483" w:rsidRDefault="002D0678" w:rsidP="0035033F">
      <w:pPr>
        <w:keepNext/>
        <w:keepLines/>
        <w:spacing w:line="360" w:lineRule="auto"/>
        <w:ind w:firstLine="357"/>
        <w:rPr>
          <w:i/>
          <w:sz w:val="20"/>
          <w:szCs w:val="20"/>
          <w:lang w:val="hy-AM"/>
        </w:rPr>
      </w:pPr>
      <w:r w:rsidRPr="00825483">
        <w:rPr>
          <w:rFonts w:cs="Sylfaen"/>
          <w:b/>
          <w:sz w:val="20"/>
          <w:szCs w:val="20"/>
          <w:lang w:val="hy-AM"/>
        </w:rPr>
        <w:t>Աղյուսակ</w:t>
      </w:r>
      <w:r w:rsidRPr="00825483">
        <w:rPr>
          <w:b/>
          <w:sz w:val="20"/>
          <w:szCs w:val="20"/>
          <w:lang w:val="hy-AM"/>
        </w:rPr>
        <w:t xml:space="preserve"> 4.</w:t>
      </w:r>
      <w:r w:rsidR="00D83548" w:rsidRPr="00825483">
        <w:rPr>
          <w:b/>
          <w:sz w:val="20"/>
          <w:szCs w:val="20"/>
          <w:lang w:val="hy-AM"/>
        </w:rPr>
        <w:t>1.</w:t>
      </w:r>
      <w:r w:rsidRPr="00825483">
        <w:rPr>
          <w:b/>
          <w:sz w:val="20"/>
          <w:szCs w:val="20"/>
          <w:lang w:val="hy-AM"/>
        </w:rPr>
        <w:t xml:space="preserve">2. </w:t>
      </w:r>
      <w:r w:rsidRPr="00825483">
        <w:rPr>
          <w:i/>
          <w:sz w:val="20"/>
          <w:szCs w:val="20"/>
          <w:lang w:val="hy-AM"/>
        </w:rPr>
        <w:t xml:space="preserve">Ընդհանուր </w:t>
      </w:r>
      <w:r w:rsidRPr="00825483">
        <w:rPr>
          <w:rFonts w:cs="Sylfaen"/>
          <w:i/>
          <w:sz w:val="20"/>
          <w:szCs w:val="20"/>
          <w:lang w:val="hy-AM"/>
        </w:rPr>
        <w:t>և առաջնային</w:t>
      </w:r>
      <w:r w:rsidRPr="00825483">
        <w:rPr>
          <w:i/>
          <w:sz w:val="20"/>
          <w:szCs w:val="20"/>
          <w:lang w:val="hy-AM"/>
        </w:rPr>
        <w:t xml:space="preserve"> </w:t>
      </w:r>
      <w:r w:rsidRPr="00825483">
        <w:rPr>
          <w:rFonts w:cs="Sylfaen"/>
          <w:i/>
          <w:sz w:val="20"/>
          <w:szCs w:val="20"/>
          <w:lang w:val="hy-AM"/>
        </w:rPr>
        <w:t>դեֆիցիտները</w:t>
      </w:r>
      <w:r w:rsidRPr="00825483">
        <w:rPr>
          <w:i/>
          <w:sz w:val="20"/>
          <w:szCs w:val="20"/>
          <w:lang w:val="hy-AM"/>
        </w:rPr>
        <w:t xml:space="preserve"> (%-ով ՀՆԱ-ի նկատմամբ) 2021-2023թթ </w:t>
      </w:r>
    </w:p>
    <w:tbl>
      <w:tblPr>
        <w:tblW w:w="87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5"/>
        <w:gridCol w:w="1080"/>
        <w:gridCol w:w="1067"/>
        <w:gridCol w:w="1213"/>
      </w:tblGrid>
      <w:tr w:rsidR="002D0678" w:rsidRPr="005F7203" w14:paraId="01C8ACB7" w14:textId="77777777" w:rsidTr="0035033F">
        <w:trPr>
          <w:trHeight w:val="681"/>
        </w:trPr>
        <w:tc>
          <w:tcPr>
            <w:tcW w:w="5425" w:type="dxa"/>
            <w:shd w:val="clear" w:color="auto" w:fill="0070C0"/>
          </w:tcPr>
          <w:p w14:paraId="0EF9B0E4" w14:textId="77777777" w:rsidR="002D0678" w:rsidRPr="0035033F" w:rsidRDefault="00595A2D" w:rsidP="006E220E">
            <w:pPr>
              <w:spacing w:before="20" w:after="20"/>
              <w:ind w:firstLine="0"/>
              <w:jc w:val="center"/>
              <w:rPr>
                <w:rFonts w:cs="Sylfaen"/>
                <w:color w:val="FFFFFF" w:themeColor="background1"/>
                <w:sz w:val="20"/>
                <w:szCs w:val="20"/>
                <w:lang w:val="hy-AM"/>
              </w:rPr>
            </w:pPr>
            <w:r w:rsidRPr="0035033F">
              <w:rPr>
                <w:rFonts w:cs="Sylfaen"/>
                <w:color w:val="FFFFFF" w:themeColor="background1"/>
                <w:sz w:val="20"/>
                <w:szCs w:val="20"/>
              </w:rPr>
              <w:t>Ցուցանիշներ</w:t>
            </w:r>
          </w:p>
        </w:tc>
        <w:tc>
          <w:tcPr>
            <w:tcW w:w="1080" w:type="dxa"/>
            <w:shd w:val="clear" w:color="auto" w:fill="0070C0"/>
            <w:vAlign w:val="center"/>
          </w:tcPr>
          <w:p w14:paraId="1C03D068" w14:textId="77777777" w:rsidR="002D0678" w:rsidRPr="0035033F" w:rsidRDefault="00595A2D" w:rsidP="006E220E">
            <w:pPr>
              <w:spacing w:before="20" w:after="20"/>
              <w:ind w:firstLine="0"/>
              <w:jc w:val="center"/>
              <w:rPr>
                <w:rFonts w:eastAsia="Times New Roman" w:cs="Sylfaen"/>
                <w:color w:val="FFFFFF" w:themeColor="background1"/>
                <w:sz w:val="20"/>
                <w:szCs w:val="20"/>
              </w:rPr>
            </w:pPr>
            <w:r w:rsidRPr="0035033F">
              <w:rPr>
                <w:rFonts w:cs="Sylfaen"/>
                <w:color w:val="FFFFFF" w:themeColor="background1"/>
                <w:sz w:val="20"/>
                <w:szCs w:val="20"/>
              </w:rPr>
              <w:t>2021 ծրագիր</w:t>
            </w:r>
          </w:p>
        </w:tc>
        <w:tc>
          <w:tcPr>
            <w:tcW w:w="1067" w:type="dxa"/>
            <w:shd w:val="clear" w:color="auto" w:fill="0070C0"/>
            <w:vAlign w:val="center"/>
          </w:tcPr>
          <w:p w14:paraId="595ED463" w14:textId="77777777" w:rsidR="002D0678" w:rsidRPr="0035033F" w:rsidRDefault="00595A2D" w:rsidP="006E220E">
            <w:pPr>
              <w:spacing w:before="20" w:after="20"/>
              <w:ind w:firstLine="0"/>
              <w:jc w:val="center"/>
              <w:rPr>
                <w:rFonts w:eastAsia="Times New Roman" w:cs="Sylfaen"/>
                <w:color w:val="FFFFFF" w:themeColor="background1"/>
                <w:sz w:val="20"/>
                <w:szCs w:val="20"/>
              </w:rPr>
            </w:pPr>
            <w:r w:rsidRPr="0035033F">
              <w:rPr>
                <w:rFonts w:cs="Sylfaen"/>
                <w:color w:val="FFFFFF" w:themeColor="background1"/>
                <w:sz w:val="20"/>
                <w:szCs w:val="20"/>
              </w:rPr>
              <w:t>2022</w:t>
            </w:r>
          </w:p>
          <w:p w14:paraId="2606B30E" w14:textId="77777777" w:rsidR="002D0678" w:rsidRPr="0035033F" w:rsidRDefault="00595A2D" w:rsidP="006E220E">
            <w:pPr>
              <w:spacing w:before="20" w:after="20"/>
              <w:ind w:firstLine="0"/>
              <w:jc w:val="center"/>
              <w:rPr>
                <w:rFonts w:eastAsia="Times New Roman" w:cs="Sylfaen"/>
                <w:color w:val="FFFFFF" w:themeColor="background1"/>
                <w:sz w:val="20"/>
                <w:szCs w:val="20"/>
              </w:rPr>
            </w:pPr>
            <w:r w:rsidRPr="0035033F">
              <w:rPr>
                <w:rFonts w:cs="Sylfaen"/>
                <w:color w:val="FFFFFF" w:themeColor="background1"/>
                <w:sz w:val="20"/>
                <w:szCs w:val="20"/>
              </w:rPr>
              <w:t>ծրագիր</w:t>
            </w:r>
          </w:p>
        </w:tc>
        <w:tc>
          <w:tcPr>
            <w:tcW w:w="1213" w:type="dxa"/>
            <w:shd w:val="clear" w:color="auto" w:fill="0070C0"/>
            <w:vAlign w:val="center"/>
          </w:tcPr>
          <w:p w14:paraId="6A0FF8CC" w14:textId="77777777" w:rsidR="002D0678" w:rsidRPr="0035033F" w:rsidRDefault="00595A2D" w:rsidP="006E220E">
            <w:pPr>
              <w:spacing w:before="20" w:after="20"/>
              <w:ind w:firstLine="0"/>
              <w:jc w:val="center"/>
              <w:rPr>
                <w:rFonts w:eastAsia="Times New Roman" w:cs="Sylfaen"/>
                <w:color w:val="FFFFFF" w:themeColor="background1"/>
                <w:sz w:val="20"/>
                <w:szCs w:val="20"/>
              </w:rPr>
            </w:pPr>
            <w:r w:rsidRPr="0035033F">
              <w:rPr>
                <w:rFonts w:cs="Sylfaen"/>
                <w:color w:val="FFFFFF" w:themeColor="background1"/>
                <w:sz w:val="20"/>
                <w:szCs w:val="20"/>
              </w:rPr>
              <w:t>2023 ծրագիր</w:t>
            </w:r>
          </w:p>
        </w:tc>
      </w:tr>
      <w:tr w:rsidR="002D0678" w:rsidRPr="005F7203" w14:paraId="7BB4EB83" w14:textId="77777777" w:rsidTr="0035033F">
        <w:trPr>
          <w:trHeight w:val="681"/>
        </w:trPr>
        <w:tc>
          <w:tcPr>
            <w:tcW w:w="5425" w:type="dxa"/>
            <w:shd w:val="clear" w:color="auto" w:fill="C6D9F1" w:themeFill="text2" w:themeFillTint="33"/>
          </w:tcPr>
          <w:p w14:paraId="0A968C99" w14:textId="77777777" w:rsidR="002D0678" w:rsidRPr="005F7203" w:rsidRDefault="002D0678" w:rsidP="006E220E">
            <w:pPr>
              <w:spacing w:before="20" w:after="20"/>
              <w:ind w:firstLine="0"/>
              <w:rPr>
                <w:rFonts w:cs="Sylfaen"/>
                <w:sz w:val="20"/>
                <w:szCs w:val="20"/>
                <w:lang w:val="hy-AM"/>
              </w:rPr>
            </w:pPr>
            <w:r w:rsidRPr="005F7203">
              <w:rPr>
                <w:rFonts w:cs="Sylfaen"/>
                <w:sz w:val="20"/>
                <w:szCs w:val="20"/>
                <w:lang w:val="hy-AM"/>
              </w:rPr>
              <w:t>Ընդհանուր դեֆիցիտ`</w:t>
            </w:r>
          </w:p>
          <w:p w14:paraId="4C9C9230" w14:textId="77777777" w:rsidR="002D0678" w:rsidRPr="005F7203" w:rsidRDefault="002D0678" w:rsidP="006E220E">
            <w:pPr>
              <w:spacing w:before="20" w:after="20"/>
              <w:ind w:firstLine="0"/>
              <w:rPr>
                <w:rFonts w:cs="Sylfaen"/>
                <w:sz w:val="20"/>
                <w:szCs w:val="20"/>
                <w:lang w:val="hy-AM"/>
              </w:rPr>
            </w:pPr>
            <w:r w:rsidRPr="005F7203">
              <w:rPr>
                <w:rFonts w:cs="Sylfaen"/>
                <w:sz w:val="20"/>
                <w:szCs w:val="20"/>
                <w:lang w:val="hy-AM"/>
              </w:rPr>
              <w:t>Ընդհանուր եկամուտների և ծախսերի տարբերու</w:t>
            </w:r>
            <w:r w:rsidRPr="005F7203">
              <w:rPr>
                <w:rFonts w:cs="Sylfaen"/>
                <w:sz w:val="20"/>
                <w:szCs w:val="20"/>
                <w:lang w:val="hy-AM"/>
              </w:rPr>
              <w:softHyphen/>
              <w:t>թյունը</w:t>
            </w:r>
          </w:p>
        </w:tc>
        <w:tc>
          <w:tcPr>
            <w:tcW w:w="1080" w:type="dxa"/>
            <w:shd w:val="clear" w:color="auto" w:fill="C6D9F1" w:themeFill="text2" w:themeFillTint="33"/>
            <w:vAlign w:val="bottom"/>
          </w:tcPr>
          <w:p w14:paraId="2DA12CA5" w14:textId="77777777" w:rsidR="002D0678" w:rsidRPr="005F7203" w:rsidRDefault="002D0678" w:rsidP="006E220E">
            <w:pPr>
              <w:ind w:firstLine="0"/>
              <w:jc w:val="center"/>
              <w:rPr>
                <w:bCs/>
                <w:iCs/>
                <w:sz w:val="20"/>
                <w:szCs w:val="20"/>
              </w:rPr>
            </w:pPr>
            <w:r>
              <w:rPr>
                <w:bCs/>
                <w:iCs/>
                <w:sz w:val="20"/>
                <w:szCs w:val="20"/>
              </w:rPr>
              <w:t>2.9</w:t>
            </w:r>
          </w:p>
        </w:tc>
        <w:tc>
          <w:tcPr>
            <w:tcW w:w="1067" w:type="dxa"/>
            <w:shd w:val="clear" w:color="auto" w:fill="C6D9F1" w:themeFill="text2" w:themeFillTint="33"/>
            <w:vAlign w:val="bottom"/>
          </w:tcPr>
          <w:p w14:paraId="1B3A921B" w14:textId="77777777" w:rsidR="002D0678" w:rsidRPr="005F7203" w:rsidRDefault="002D0678" w:rsidP="006E220E">
            <w:pPr>
              <w:ind w:firstLine="0"/>
              <w:jc w:val="center"/>
              <w:rPr>
                <w:bCs/>
                <w:iCs/>
                <w:sz w:val="20"/>
                <w:szCs w:val="20"/>
              </w:rPr>
            </w:pPr>
            <w:r w:rsidRPr="005F7203">
              <w:rPr>
                <w:bCs/>
                <w:iCs/>
                <w:sz w:val="20"/>
                <w:szCs w:val="20"/>
              </w:rPr>
              <w:t>1.8</w:t>
            </w:r>
          </w:p>
        </w:tc>
        <w:tc>
          <w:tcPr>
            <w:tcW w:w="1213" w:type="dxa"/>
            <w:shd w:val="clear" w:color="auto" w:fill="C6D9F1" w:themeFill="text2" w:themeFillTint="33"/>
            <w:vAlign w:val="bottom"/>
          </w:tcPr>
          <w:p w14:paraId="3103D952" w14:textId="77777777" w:rsidR="002D0678" w:rsidRPr="005F7203" w:rsidRDefault="002D0678" w:rsidP="006E220E">
            <w:pPr>
              <w:ind w:firstLine="0"/>
              <w:jc w:val="center"/>
              <w:rPr>
                <w:bCs/>
                <w:iCs/>
                <w:sz w:val="20"/>
                <w:szCs w:val="20"/>
              </w:rPr>
            </w:pPr>
            <w:r w:rsidRPr="005F7203">
              <w:rPr>
                <w:bCs/>
                <w:iCs/>
                <w:sz w:val="20"/>
                <w:szCs w:val="20"/>
              </w:rPr>
              <w:t>1.8</w:t>
            </w:r>
          </w:p>
        </w:tc>
      </w:tr>
      <w:tr w:rsidR="002D0678" w:rsidRPr="003C716D" w14:paraId="2302AAB3" w14:textId="77777777" w:rsidTr="0035033F">
        <w:trPr>
          <w:trHeight w:val="903"/>
        </w:trPr>
        <w:tc>
          <w:tcPr>
            <w:tcW w:w="5425" w:type="dxa"/>
            <w:shd w:val="clear" w:color="auto" w:fill="auto"/>
          </w:tcPr>
          <w:p w14:paraId="66BC00CA" w14:textId="77777777" w:rsidR="002D0678" w:rsidRPr="006E220E" w:rsidRDefault="002D0678" w:rsidP="006E220E">
            <w:pPr>
              <w:spacing w:before="20" w:after="20"/>
              <w:ind w:firstLine="0"/>
              <w:rPr>
                <w:rFonts w:cs="Sylfaen"/>
                <w:sz w:val="20"/>
                <w:szCs w:val="20"/>
                <w:lang w:val="hy-AM"/>
              </w:rPr>
            </w:pPr>
            <w:r w:rsidRPr="006E220E">
              <w:rPr>
                <w:rFonts w:cs="Sylfaen"/>
                <w:sz w:val="20"/>
                <w:szCs w:val="20"/>
                <w:lang w:val="hy-AM"/>
              </w:rPr>
              <w:t xml:space="preserve">Առաջնային դեֆիցիտ` </w:t>
            </w:r>
          </w:p>
          <w:p w14:paraId="55773D7E" w14:textId="77777777" w:rsidR="002D0678" w:rsidRPr="006E220E" w:rsidRDefault="002D0678" w:rsidP="006E220E">
            <w:pPr>
              <w:spacing w:before="20" w:after="20"/>
              <w:ind w:firstLine="0"/>
              <w:rPr>
                <w:rFonts w:cs="Sylfaen"/>
                <w:sz w:val="20"/>
                <w:szCs w:val="20"/>
                <w:lang w:val="hy-AM"/>
              </w:rPr>
            </w:pPr>
            <w:r w:rsidRPr="006E220E">
              <w:rPr>
                <w:rFonts w:cs="Sylfaen"/>
                <w:sz w:val="20"/>
                <w:szCs w:val="20"/>
                <w:lang w:val="hy-AM"/>
              </w:rPr>
              <w:t>Ընդհանուր եկամուտների և ծախսերի (առանց տոկոսավճարների) տարբերությունը</w:t>
            </w:r>
          </w:p>
        </w:tc>
        <w:tc>
          <w:tcPr>
            <w:tcW w:w="1080" w:type="dxa"/>
            <w:shd w:val="clear" w:color="auto" w:fill="auto"/>
          </w:tcPr>
          <w:p w14:paraId="5A7EEB21" w14:textId="77777777" w:rsidR="002D0678" w:rsidRPr="0035033F" w:rsidRDefault="002D0678" w:rsidP="006E220E">
            <w:pPr>
              <w:ind w:firstLine="0"/>
              <w:jc w:val="center"/>
              <w:rPr>
                <w:rFonts w:cs="Sylfaen"/>
                <w:sz w:val="20"/>
                <w:szCs w:val="20"/>
                <w:lang w:val="hy-AM"/>
              </w:rPr>
            </w:pPr>
          </w:p>
          <w:p w14:paraId="520F4174" w14:textId="77777777" w:rsidR="002D0678" w:rsidRPr="0035033F" w:rsidRDefault="002D0678" w:rsidP="006E220E">
            <w:pPr>
              <w:ind w:firstLine="0"/>
              <w:jc w:val="center"/>
              <w:rPr>
                <w:rFonts w:cs="Sylfaen"/>
                <w:sz w:val="20"/>
                <w:szCs w:val="20"/>
                <w:lang w:val="hy-AM"/>
              </w:rPr>
            </w:pPr>
          </w:p>
          <w:p w14:paraId="2E4EF1A2" w14:textId="77777777" w:rsidR="002D0678" w:rsidRPr="0035033F" w:rsidRDefault="00595A2D" w:rsidP="006E220E">
            <w:pPr>
              <w:ind w:firstLine="0"/>
              <w:jc w:val="center"/>
              <w:rPr>
                <w:rFonts w:eastAsia="Times New Roman" w:cs="Sylfaen"/>
                <w:sz w:val="20"/>
                <w:szCs w:val="20"/>
                <w:lang w:val="hy-AM"/>
              </w:rPr>
            </w:pPr>
            <w:r w:rsidRPr="0035033F">
              <w:rPr>
                <w:rFonts w:cs="Sylfaen"/>
                <w:sz w:val="20"/>
                <w:szCs w:val="20"/>
                <w:lang w:val="hy-AM"/>
              </w:rPr>
              <w:t>0.3</w:t>
            </w:r>
          </w:p>
        </w:tc>
        <w:tc>
          <w:tcPr>
            <w:tcW w:w="1067" w:type="dxa"/>
            <w:shd w:val="clear" w:color="auto" w:fill="auto"/>
          </w:tcPr>
          <w:p w14:paraId="25989C4F" w14:textId="77777777" w:rsidR="002D0678" w:rsidRPr="0035033F" w:rsidRDefault="002D0678" w:rsidP="006E220E">
            <w:pPr>
              <w:ind w:firstLine="0"/>
              <w:jc w:val="center"/>
              <w:rPr>
                <w:rFonts w:cs="Sylfaen"/>
                <w:sz w:val="20"/>
                <w:szCs w:val="20"/>
                <w:lang w:val="hy-AM"/>
              </w:rPr>
            </w:pPr>
          </w:p>
          <w:p w14:paraId="6AB14EF9" w14:textId="77777777" w:rsidR="002D0678" w:rsidRPr="0035033F" w:rsidRDefault="002D0678" w:rsidP="006E220E">
            <w:pPr>
              <w:ind w:firstLine="0"/>
              <w:jc w:val="center"/>
              <w:rPr>
                <w:rFonts w:cs="Sylfaen"/>
                <w:sz w:val="20"/>
                <w:szCs w:val="20"/>
                <w:lang w:val="hy-AM"/>
              </w:rPr>
            </w:pPr>
          </w:p>
          <w:p w14:paraId="2F2FA337" w14:textId="77777777" w:rsidR="002D0678" w:rsidRPr="0035033F" w:rsidRDefault="00595A2D" w:rsidP="006E220E">
            <w:pPr>
              <w:ind w:firstLine="0"/>
              <w:jc w:val="center"/>
              <w:rPr>
                <w:rFonts w:eastAsia="Times New Roman" w:cs="Sylfaen"/>
                <w:sz w:val="20"/>
                <w:szCs w:val="20"/>
                <w:lang w:val="hy-AM"/>
              </w:rPr>
            </w:pPr>
            <w:r w:rsidRPr="0035033F">
              <w:rPr>
                <w:rFonts w:cs="Sylfaen"/>
                <w:sz w:val="20"/>
                <w:szCs w:val="20"/>
                <w:lang w:val="hy-AM"/>
              </w:rPr>
              <w:t>-0.9</w:t>
            </w:r>
          </w:p>
        </w:tc>
        <w:tc>
          <w:tcPr>
            <w:tcW w:w="1213" w:type="dxa"/>
            <w:shd w:val="clear" w:color="auto" w:fill="auto"/>
          </w:tcPr>
          <w:p w14:paraId="51953904" w14:textId="77777777" w:rsidR="002D0678" w:rsidRPr="0035033F" w:rsidRDefault="002D0678" w:rsidP="006E220E">
            <w:pPr>
              <w:ind w:firstLine="0"/>
              <w:jc w:val="center"/>
              <w:rPr>
                <w:rFonts w:cs="Sylfaen"/>
                <w:sz w:val="20"/>
                <w:szCs w:val="20"/>
                <w:lang w:val="hy-AM"/>
              </w:rPr>
            </w:pPr>
          </w:p>
          <w:p w14:paraId="64B92598" w14:textId="77777777" w:rsidR="002D0678" w:rsidRPr="0035033F" w:rsidRDefault="002D0678" w:rsidP="006E220E">
            <w:pPr>
              <w:ind w:firstLine="0"/>
              <w:jc w:val="center"/>
              <w:rPr>
                <w:rFonts w:cs="Sylfaen"/>
                <w:sz w:val="20"/>
                <w:szCs w:val="20"/>
                <w:lang w:val="hy-AM"/>
              </w:rPr>
            </w:pPr>
          </w:p>
          <w:p w14:paraId="2DE41B93" w14:textId="77777777" w:rsidR="002D0678" w:rsidRPr="0035033F" w:rsidRDefault="00595A2D" w:rsidP="006E220E">
            <w:pPr>
              <w:ind w:firstLine="0"/>
              <w:jc w:val="center"/>
              <w:rPr>
                <w:rFonts w:eastAsia="Times New Roman" w:cs="Sylfaen"/>
                <w:sz w:val="20"/>
                <w:szCs w:val="20"/>
                <w:lang w:val="hy-AM"/>
              </w:rPr>
            </w:pPr>
            <w:r w:rsidRPr="0035033F">
              <w:rPr>
                <w:rFonts w:cs="Sylfaen"/>
                <w:sz w:val="20"/>
                <w:szCs w:val="20"/>
                <w:lang w:val="hy-AM"/>
              </w:rPr>
              <w:t>-0.9</w:t>
            </w:r>
          </w:p>
        </w:tc>
      </w:tr>
    </w:tbl>
    <w:p w14:paraId="385B55C4" w14:textId="77777777" w:rsidR="002D0678" w:rsidRPr="003C716D" w:rsidRDefault="002D0678" w:rsidP="002D0678">
      <w:pPr>
        <w:spacing w:line="360" w:lineRule="auto"/>
        <w:ind w:firstLine="240"/>
        <w:rPr>
          <w:rFonts w:cs="Sylfaen"/>
        </w:rPr>
      </w:pPr>
    </w:p>
    <w:p w14:paraId="22F617A6" w14:textId="77777777" w:rsidR="002D0678" w:rsidRDefault="002D0678" w:rsidP="002D0678">
      <w:pPr>
        <w:spacing w:line="360" w:lineRule="auto"/>
        <w:ind w:firstLine="360"/>
      </w:pPr>
      <w:r w:rsidRPr="003C716D">
        <w:rPr>
          <w:rFonts w:cs="Sylfaen"/>
        </w:rPr>
        <w:t>Քանի</w:t>
      </w:r>
      <w:r w:rsidRPr="003C716D">
        <w:t xml:space="preserve"> </w:t>
      </w:r>
      <w:r w:rsidRPr="003C716D">
        <w:rPr>
          <w:rFonts w:cs="Sylfaen"/>
        </w:rPr>
        <w:t>որ</w:t>
      </w:r>
      <w:r w:rsidRPr="003C716D">
        <w:t xml:space="preserve"> </w:t>
      </w:r>
      <w:r w:rsidRPr="003C716D">
        <w:rPr>
          <w:rFonts w:cs="Sylfaen"/>
        </w:rPr>
        <w:t>պետական</w:t>
      </w:r>
      <w:r w:rsidRPr="003C716D">
        <w:t xml:space="preserve"> </w:t>
      </w:r>
      <w:r w:rsidRPr="003C716D">
        <w:rPr>
          <w:rFonts w:cs="Sylfaen"/>
        </w:rPr>
        <w:t>բյուջեի</w:t>
      </w:r>
      <w:r w:rsidRPr="003C716D">
        <w:t xml:space="preserve"> </w:t>
      </w:r>
      <w:r w:rsidRPr="003C716D">
        <w:rPr>
          <w:rFonts w:cs="Sylfaen"/>
        </w:rPr>
        <w:t>դեֆիցիտի</w:t>
      </w:r>
      <w:r w:rsidRPr="003C716D">
        <w:t xml:space="preserve"> զգալի մասը </w:t>
      </w:r>
      <w:r w:rsidRPr="003C716D">
        <w:rPr>
          <w:rFonts w:cs="Sylfaen"/>
        </w:rPr>
        <w:t>ֆինանսավորվում</w:t>
      </w:r>
      <w:r w:rsidRPr="003C716D">
        <w:t xml:space="preserve"> </w:t>
      </w:r>
      <w:r w:rsidRPr="003C716D">
        <w:rPr>
          <w:rFonts w:cs="Sylfaen"/>
        </w:rPr>
        <w:t>է</w:t>
      </w:r>
      <w:r w:rsidRPr="003C716D">
        <w:t xml:space="preserve"> </w:t>
      </w:r>
      <w:r w:rsidRPr="003C716D">
        <w:rPr>
          <w:rFonts w:cs="Sylfaen"/>
        </w:rPr>
        <w:t>փոխառու</w:t>
      </w:r>
      <w:r w:rsidRPr="003C716D">
        <w:t xml:space="preserve"> </w:t>
      </w:r>
      <w:r w:rsidRPr="003C716D">
        <w:rPr>
          <w:rFonts w:cs="Sylfaen"/>
        </w:rPr>
        <w:t>միջոց</w:t>
      </w:r>
      <w:r w:rsidRPr="003C716D">
        <w:rPr>
          <w:rFonts w:cs="Sylfaen"/>
        </w:rPr>
        <w:softHyphen/>
        <w:t>ների</w:t>
      </w:r>
      <w:r w:rsidRPr="003C716D">
        <w:t xml:space="preserve"> </w:t>
      </w:r>
      <w:r w:rsidRPr="003C716D">
        <w:rPr>
          <w:rFonts w:cs="Sylfaen"/>
        </w:rPr>
        <w:t>հաշ</w:t>
      </w:r>
      <w:r w:rsidRPr="003C716D">
        <w:rPr>
          <w:rFonts w:cs="Sylfaen"/>
        </w:rPr>
        <w:softHyphen/>
        <w:t>վին</w:t>
      </w:r>
      <w:r w:rsidRPr="003C716D">
        <w:t xml:space="preserve">, </w:t>
      </w:r>
      <w:r w:rsidRPr="003C716D">
        <w:rPr>
          <w:rFonts w:cs="Sylfaen"/>
        </w:rPr>
        <w:t>ապա</w:t>
      </w:r>
      <w:r w:rsidRPr="003C716D">
        <w:t xml:space="preserve"> </w:t>
      </w:r>
      <w:r w:rsidRPr="003C716D">
        <w:rPr>
          <w:rFonts w:cs="Sylfaen"/>
        </w:rPr>
        <w:t>դրա</w:t>
      </w:r>
      <w:r w:rsidRPr="003C716D">
        <w:t xml:space="preserve"> </w:t>
      </w:r>
      <w:r w:rsidRPr="003C716D">
        <w:rPr>
          <w:rFonts w:cs="Sylfaen"/>
        </w:rPr>
        <w:t>մեծությունը</w:t>
      </w:r>
      <w:r w:rsidRPr="003C716D">
        <w:t xml:space="preserve"> </w:t>
      </w:r>
      <w:r w:rsidRPr="003C716D">
        <w:rPr>
          <w:rFonts w:cs="Sylfaen"/>
        </w:rPr>
        <w:t>և</w:t>
      </w:r>
      <w:r w:rsidRPr="003C716D">
        <w:t xml:space="preserve"> </w:t>
      </w:r>
      <w:r w:rsidRPr="003C716D">
        <w:rPr>
          <w:rFonts w:cs="Sylfaen"/>
        </w:rPr>
        <w:t>կառուցվածքը</w:t>
      </w:r>
      <w:r w:rsidRPr="003C716D">
        <w:t xml:space="preserve"> </w:t>
      </w:r>
      <w:r w:rsidRPr="003C716D">
        <w:rPr>
          <w:rFonts w:cs="Sylfaen"/>
        </w:rPr>
        <w:t>էապես</w:t>
      </w:r>
      <w:r w:rsidRPr="003C716D">
        <w:t xml:space="preserve"> </w:t>
      </w:r>
      <w:r w:rsidRPr="003C716D">
        <w:rPr>
          <w:rFonts w:cs="Sylfaen"/>
        </w:rPr>
        <w:t>առնչվում</w:t>
      </w:r>
      <w:r w:rsidRPr="003C716D">
        <w:t xml:space="preserve"> են </w:t>
      </w:r>
      <w:r w:rsidRPr="003C716D">
        <w:rPr>
          <w:rFonts w:cs="Sylfaen"/>
        </w:rPr>
        <w:t>պետական</w:t>
      </w:r>
      <w:r w:rsidRPr="003C716D">
        <w:t xml:space="preserve"> </w:t>
      </w:r>
      <w:r w:rsidRPr="003C716D">
        <w:rPr>
          <w:rFonts w:cs="Sylfaen"/>
        </w:rPr>
        <w:t>ներ</w:t>
      </w:r>
      <w:r w:rsidRPr="003C716D">
        <w:rPr>
          <w:rFonts w:cs="Sylfaen"/>
        </w:rPr>
        <w:softHyphen/>
        <w:t>քին</w:t>
      </w:r>
      <w:r w:rsidRPr="003C716D">
        <w:t xml:space="preserve"> </w:t>
      </w:r>
      <w:r w:rsidRPr="003C716D">
        <w:rPr>
          <w:rFonts w:cs="Sylfaen"/>
        </w:rPr>
        <w:t>և</w:t>
      </w:r>
      <w:r w:rsidRPr="003C716D">
        <w:t xml:space="preserve"> </w:t>
      </w:r>
      <w:r w:rsidRPr="003C716D">
        <w:rPr>
          <w:rFonts w:cs="Sylfaen"/>
        </w:rPr>
        <w:t>արտա</w:t>
      </w:r>
      <w:r w:rsidRPr="003C716D">
        <w:rPr>
          <w:rFonts w:cs="Sylfaen"/>
        </w:rPr>
        <w:softHyphen/>
        <w:t>քին</w:t>
      </w:r>
      <w:r w:rsidRPr="003C716D">
        <w:t xml:space="preserve"> </w:t>
      </w:r>
      <w:r w:rsidRPr="003C716D">
        <w:rPr>
          <w:rFonts w:cs="Sylfaen"/>
        </w:rPr>
        <w:t>պարտքը</w:t>
      </w:r>
      <w:r w:rsidRPr="003C716D">
        <w:t xml:space="preserve"> </w:t>
      </w:r>
      <w:r w:rsidRPr="003C716D">
        <w:rPr>
          <w:rFonts w:cs="Sylfaen"/>
        </w:rPr>
        <w:t>բնութագրող</w:t>
      </w:r>
      <w:r w:rsidRPr="003C716D">
        <w:t xml:space="preserve"> </w:t>
      </w:r>
      <w:r w:rsidRPr="003C716D">
        <w:rPr>
          <w:rFonts w:cs="Sylfaen"/>
        </w:rPr>
        <w:t>ցուցանիշների</w:t>
      </w:r>
      <w:r w:rsidR="006E220E">
        <w:rPr>
          <w:rFonts w:cs="Sylfaen"/>
          <w:lang w:val="hy-AM"/>
        </w:rPr>
        <w:t>ն</w:t>
      </w:r>
      <w:r w:rsidRPr="003C716D">
        <w:t>:</w:t>
      </w:r>
    </w:p>
    <w:p w14:paraId="55F5EDCE" w14:textId="77777777" w:rsidR="00173FEB" w:rsidRPr="008C4E6F" w:rsidRDefault="000C4060" w:rsidP="0035033F">
      <w:pPr>
        <w:pStyle w:val="Heading3"/>
        <w:numPr>
          <w:ilvl w:val="0"/>
          <w:numId w:val="0"/>
        </w:numPr>
        <w:ind w:left="720"/>
        <w:rPr>
          <w:rFonts w:eastAsia="Times New Roman" w:cs="Times New Roman"/>
          <w:color w:val="1F497D" w:themeColor="text2"/>
          <w:sz w:val="28"/>
          <w:szCs w:val="28"/>
          <w:lang w:val="en-US"/>
        </w:rPr>
      </w:pPr>
      <w:bookmarkStart w:id="261" w:name="_Toc13837287"/>
      <w:bookmarkStart w:id="262" w:name="_Toc14687623"/>
      <w:bookmarkStart w:id="263" w:name="_Toc45838533"/>
      <w:bookmarkStart w:id="264" w:name="_Toc46154362"/>
      <w:r w:rsidRPr="008C4E6F">
        <w:rPr>
          <w:rFonts w:eastAsia="Times New Roman" w:cs="Times New Roman"/>
          <w:caps w:val="0"/>
          <w:color w:val="1F497D" w:themeColor="text2"/>
          <w:sz w:val="28"/>
          <w:szCs w:val="28"/>
          <w:lang w:val="en-US"/>
        </w:rPr>
        <w:t>4.2</w:t>
      </w:r>
      <w:r w:rsidR="00231073">
        <w:rPr>
          <w:rFonts w:eastAsia="Times New Roman" w:cs="Times New Roman"/>
          <w:caps w:val="0"/>
          <w:color w:val="1F497D" w:themeColor="text2"/>
          <w:sz w:val="28"/>
          <w:szCs w:val="28"/>
        </w:rPr>
        <w:t>.</w:t>
      </w:r>
      <w:r w:rsidRPr="008C4E6F">
        <w:rPr>
          <w:rFonts w:eastAsia="Times New Roman" w:cs="Times New Roman"/>
          <w:caps w:val="0"/>
          <w:color w:val="1F497D" w:themeColor="text2"/>
          <w:sz w:val="28"/>
          <w:szCs w:val="28"/>
          <w:lang w:val="en-US"/>
        </w:rPr>
        <w:t xml:space="preserve"> ՀՀ ՊԵՏԱԿԱՆ ԲՅՈՒՋԵԻ ՌԵՍՈՒՐՍՆԵՐԻ ԵՎ ԾԱԽՍԵՐԻ ՓԱԹԵԹՈՒՄ 2021-2023ԹԹ ԿԱՆԽԱՏԵՍՎՈՂ ՓՈՓՈԽՈՒԹՅՈՒՆՆԵՐԸ</w:t>
      </w:r>
      <w:bookmarkEnd w:id="261"/>
      <w:bookmarkEnd w:id="262"/>
      <w:bookmarkEnd w:id="263"/>
      <w:bookmarkEnd w:id="264"/>
    </w:p>
    <w:p w14:paraId="56B0E202" w14:textId="77777777" w:rsidR="000C4060" w:rsidRPr="003C716D" w:rsidRDefault="000C4060" w:rsidP="008F525B">
      <w:pPr>
        <w:spacing w:line="276" w:lineRule="auto"/>
        <w:ind w:firstLine="475"/>
        <w:rPr>
          <w:lang w:val="es-ES"/>
        </w:rPr>
      </w:pPr>
      <w:r w:rsidRPr="003C716D">
        <w:rPr>
          <w:rFonts w:cs="Sylfaen"/>
        </w:rPr>
        <w:t>ՀՀ</w:t>
      </w:r>
      <w:r w:rsidRPr="003C716D">
        <w:rPr>
          <w:rFonts w:cs="Sylfaen"/>
          <w:lang w:val="es-ES"/>
        </w:rPr>
        <w:t xml:space="preserve"> 20</w:t>
      </w:r>
      <w:r>
        <w:rPr>
          <w:rFonts w:cs="Sylfaen"/>
          <w:lang w:val="hy-AM"/>
        </w:rPr>
        <w:t>2</w:t>
      </w:r>
      <w:r w:rsidRPr="00407D2D">
        <w:rPr>
          <w:rFonts w:cs="Sylfaen"/>
          <w:lang w:val="es-ES"/>
        </w:rPr>
        <w:t>1</w:t>
      </w:r>
      <w:r w:rsidRPr="003C716D">
        <w:rPr>
          <w:rFonts w:cs="Sylfaen"/>
          <w:lang w:val="es-ES"/>
        </w:rPr>
        <w:t>-202</w:t>
      </w:r>
      <w:r>
        <w:rPr>
          <w:rFonts w:cs="Sylfaen"/>
          <w:lang w:val="hy-AM"/>
        </w:rPr>
        <w:t>3</w:t>
      </w:r>
      <w:r w:rsidRPr="003C716D">
        <w:rPr>
          <w:rFonts w:cs="Sylfaen"/>
          <w:lang w:val="es-ES"/>
        </w:rPr>
        <w:t xml:space="preserve"> թվակա</w:t>
      </w:r>
      <w:r w:rsidRPr="003C716D">
        <w:rPr>
          <w:rFonts w:cs="Sylfaen"/>
        </w:rPr>
        <w:t>նների</w:t>
      </w:r>
      <w:r w:rsidRPr="003C716D">
        <w:rPr>
          <w:rFonts w:cs="Sylfaen"/>
          <w:lang w:val="es-ES"/>
        </w:rPr>
        <w:t xml:space="preserve"> </w:t>
      </w:r>
      <w:r w:rsidRPr="003C716D">
        <w:rPr>
          <w:rFonts w:cs="Sylfaen"/>
        </w:rPr>
        <w:t>պետական</w:t>
      </w:r>
      <w:r w:rsidRPr="003C716D">
        <w:rPr>
          <w:rFonts w:cs="Sylfaen"/>
          <w:lang w:val="es-ES"/>
        </w:rPr>
        <w:t xml:space="preserve"> </w:t>
      </w:r>
      <w:r w:rsidRPr="003C716D">
        <w:rPr>
          <w:rFonts w:cs="Sylfaen"/>
        </w:rPr>
        <w:t>բյուջեների</w:t>
      </w:r>
      <w:r w:rsidRPr="003C716D">
        <w:rPr>
          <w:rFonts w:cs="Sylfaen"/>
          <w:lang w:val="es-ES"/>
        </w:rPr>
        <w:t xml:space="preserve"> </w:t>
      </w:r>
      <w:r w:rsidRPr="003C716D">
        <w:rPr>
          <w:rFonts w:cs="Sylfaen"/>
        </w:rPr>
        <w:t>կանխատեսվող</w:t>
      </w:r>
      <w:r w:rsidRPr="003C716D">
        <w:rPr>
          <w:rFonts w:cs="Sylfaen"/>
          <w:lang w:val="es-ES"/>
        </w:rPr>
        <w:t xml:space="preserve"> </w:t>
      </w:r>
      <w:r w:rsidRPr="003C716D">
        <w:rPr>
          <w:rFonts w:cs="Sylfaen"/>
        </w:rPr>
        <w:t>մուտքերի</w:t>
      </w:r>
      <w:r w:rsidRPr="003C716D">
        <w:rPr>
          <w:rFonts w:cs="Sylfaen"/>
          <w:lang w:val="es-ES"/>
        </w:rPr>
        <w:t xml:space="preserve"> </w:t>
      </w:r>
      <w:r w:rsidRPr="003C716D">
        <w:rPr>
          <w:rFonts w:cs="Sylfaen"/>
        </w:rPr>
        <w:t>վերլու</w:t>
      </w:r>
      <w:r w:rsidRPr="003C716D">
        <w:rPr>
          <w:rFonts w:cs="Sylfaen"/>
          <w:lang w:val="es-ES"/>
        </w:rPr>
        <w:softHyphen/>
      </w:r>
      <w:r w:rsidRPr="003C716D">
        <w:rPr>
          <w:rFonts w:cs="Sylfaen"/>
        </w:rPr>
        <w:t>ծու</w:t>
      </w:r>
      <w:r w:rsidRPr="003C716D">
        <w:rPr>
          <w:rFonts w:cs="Sylfaen"/>
          <w:lang w:val="es-ES"/>
        </w:rPr>
        <w:softHyphen/>
      </w:r>
      <w:r w:rsidRPr="003C716D">
        <w:rPr>
          <w:rFonts w:cs="Sylfaen"/>
        </w:rPr>
        <w:t>թյունից</w:t>
      </w:r>
      <w:r w:rsidRPr="003C716D">
        <w:rPr>
          <w:rFonts w:cs="Sylfaen"/>
          <w:lang w:val="es-ES"/>
        </w:rPr>
        <w:t xml:space="preserve"> </w:t>
      </w:r>
      <w:r w:rsidRPr="003C716D">
        <w:rPr>
          <w:rFonts w:cs="Sylfaen"/>
        </w:rPr>
        <w:t>երևում</w:t>
      </w:r>
      <w:r w:rsidRPr="003C716D">
        <w:rPr>
          <w:rFonts w:cs="Sylfaen"/>
          <w:lang w:val="es-ES"/>
        </w:rPr>
        <w:t xml:space="preserve"> </w:t>
      </w:r>
      <w:r w:rsidRPr="003C716D">
        <w:rPr>
          <w:rFonts w:cs="Sylfaen"/>
        </w:rPr>
        <w:t>է</w:t>
      </w:r>
      <w:r w:rsidRPr="003C716D">
        <w:rPr>
          <w:rFonts w:cs="Sylfaen"/>
          <w:lang w:val="es-ES"/>
        </w:rPr>
        <w:t xml:space="preserve">, </w:t>
      </w:r>
      <w:r w:rsidRPr="003C716D">
        <w:rPr>
          <w:rFonts w:cs="Sylfaen"/>
        </w:rPr>
        <w:t>որ</w:t>
      </w:r>
      <w:r>
        <w:rPr>
          <w:rFonts w:cs="Sylfaen"/>
          <w:lang w:val="es-ES"/>
        </w:rPr>
        <w:t xml:space="preserve"> 2020</w:t>
      </w:r>
      <w:r w:rsidRPr="003C716D">
        <w:rPr>
          <w:rFonts w:cs="Sylfaen"/>
          <w:lang w:val="es-ES"/>
        </w:rPr>
        <w:t xml:space="preserve"> թվակա</w:t>
      </w:r>
      <w:r w:rsidRPr="003C716D">
        <w:rPr>
          <w:rFonts w:cs="Sylfaen"/>
        </w:rPr>
        <w:t>նի</w:t>
      </w:r>
      <w:r w:rsidRPr="003C716D">
        <w:rPr>
          <w:rFonts w:cs="Sylfaen"/>
          <w:lang w:val="es-ES"/>
        </w:rPr>
        <w:t xml:space="preserve"> </w:t>
      </w:r>
      <w:r>
        <w:rPr>
          <w:rFonts w:cs="Sylfaen"/>
          <w:lang w:val="es-ES"/>
        </w:rPr>
        <w:t>սպասվող</w:t>
      </w:r>
      <w:r w:rsidRPr="003C716D">
        <w:rPr>
          <w:rFonts w:cs="Sylfaen"/>
          <w:lang w:val="es-ES"/>
        </w:rPr>
        <w:t xml:space="preserve"> </w:t>
      </w:r>
      <w:r w:rsidRPr="003C716D">
        <w:rPr>
          <w:rFonts w:cs="Sylfaen"/>
        </w:rPr>
        <w:t>մակարդակի</w:t>
      </w:r>
      <w:r w:rsidRPr="003C716D">
        <w:rPr>
          <w:rFonts w:cs="Sylfaen"/>
          <w:lang w:val="es-ES"/>
        </w:rPr>
        <w:t xml:space="preserve"> </w:t>
      </w:r>
      <w:r w:rsidRPr="003C716D">
        <w:rPr>
          <w:rFonts w:cs="Sylfaen"/>
        </w:rPr>
        <w:t>համեմատ</w:t>
      </w:r>
      <w:r w:rsidRPr="003C716D">
        <w:rPr>
          <w:rFonts w:cs="Sylfaen"/>
          <w:lang w:val="es-ES"/>
        </w:rPr>
        <w:t>, 20</w:t>
      </w:r>
      <w:r>
        <w:rPr>
          <w:rFonts w:cs="Sylfaen"/>
          <w:lang w:val="hy-AM"/>
        </w:rPr>
        <w:t>21</w:t>
      </w:r>
      <w:r w:rsidRPr="003C716D">
        <w:rPr>
          <w:rFonts w:cs="Sylfaen"/>
          <w:lang w:val="es-ES"/>
        </w:rPr>
        <w:t xml:space="preserve"> թվակա</w:t>
      </w:r>
      <w:r w:rsidRPr="003C716D">
        <w:rPr>
          <w:rFonts w:cs="Sylfaen"/>
        </w:rPr>
        <w:t>նի</w:t>
      </w:r>
      <w:r w:rsidRPr="003C716D">
        <w:rPr>
          <w:rFonts w:cs="Sylfaen"/>
          <w:lang w:val="es-ES"/>
        </w:rPr>
        <w:t xml:space="preserve"> </w:t>
      </w:r>
      <w:r w:rsidRPr="003C716D">
        <w:rPr>
          <w:rFonts w:cs="Sylfaen"/>
        </w:rPr>
        <w:t>անվանական</w:t>
      </w:r>
      <w:r w:rsidRPr="003C716D">
        <w:rPr>
          <w:rFonts w:cs="Sylfaen"/>
          <w:lang w:val="es-ES"/>
        </w:rPr>
        <w:t xml:space="preserve"> </w:t>
      </w:r>
      <w:r w:rsidRPr="003C716D">
        <w:rPr>
          <w:rFonts w:cs="Sylfaen"/>
        </w:rPr>
        <w:t>ՀՆԱ</w:t>
      </w:r>
      <w:r w:rsidRPr="003C716D">
        <w:rPr>
          <w:rFonts w:cs="Sylfaen"/>
          <w:lang w:val="es-ES"/>
        </w:rPr>
        <w:t>-</w:t>
      </w:r>
      <w:r w:rsidRPr="003C716D">
        <w:rPr>
          <w:rFonts w:cs="Sylfaen"/>
        </w:rPr>
        <w:t>ի</w:t>
      </w:r>
      <w:r w:rsidRPr="003C716D">
        <w:rPr>
          <w:rFonts w:cs="Sylfaen"/>
          <w:lang w:val="es-ES"/>
        </w:rPr>
        <w:t xml:space="preserve"> </w:t>
      </w:r>
      <w:r w:rsidRPr="003C716D">
        <w:rPr>
          <w:rFonts w:cs="Sylfaen"/>
        </w:rPr>
        <w:t>շուրջ</w:t>
      </w:r>
      <w:r>
        <w:rPr>
          <w:rFonts w:cs="Sylfaen"/>
          <w:lang w:val="es-ES"/>
        </w:rPr>
        <w:t xml:space="preserve"> 9.8</w:t>
      </w:r>
      <w:r w:rsidRPr="003C716D">
        <w:rPr>
          <w:lang w:val="es-ES"/>
        </w:rPr>
        <w:t xml:space="preserve">% </w:t>
      </w:r>
      <w:r w:rsidRPr="003C716D">
        <w:rPr>
          <w:rFonts w:cs="Sylfaen"/>
        </w:rPr>
        <w:t>աճի</w:t>
      </w:r>
      <w:r w:rsidRPr="003C716D">
        <w:rPr>
          <w:lang w:val="es-ES"/>
        </w:rPr>
        <w:t xml:space="preserve"> </w:t>
      </w:r>
      <w:r w:rsidRPr="003C716D">
        <w:rPr>
          <w:rFonts w:cs="Sylfaen"/>
        </w:rPr>
        <w:t>պայմաններում</w:t>
      </w:r>
      <w:r w:rsidRPr="003C716D">
        <w:rPr>
          <w:lang w:val="es-ES"/>
        </w:rPr>
        <w:t xml:space="preserve">, </w:t>
      </w:r>
      <w:r w:rsidRPr="003C716D">
        <w:rPr>
          <w:rFonts w:cs="Sylfaen"/>
        </w:rPr>
        <w:t>ՀՀ</w:t>
      </w:r>
      <w:r w:rsidRPr="003C716D">
        <w:rPr>
          <w:lang w:val="es-ES"/>
        </w:rPr>
        <w:t xml:space="preserve"> 20</w:t>
      </w:r>
      <w:r>
        <w:rPr>
          <w:lang w:val="hy-AM"/>
        </w:rPr>
        <w:t>21</w:t>
      </w:r>
      <w:r w:rsidRPr="003C716D">
        <w:rPr>
          <w:lang w:val="es-ES"/>
        </w:rPr>
        <w:t xml:space="preserve"> թվակա</w:t>
      </w:r>
      <w:r w:rsidRPr="003C716D">
        <w:rPr>
          <w:rFonts w:cs="Sylfaen"/>
        </w:rPr>
        <w:t>նի</w:t>
      </w:r>
      <w:r w:rsidRPr="003C716D">
        <w:rPr>
          <w:lang w:val="es-ES"/>
        </w:rPr>
        <w:t xml:space="preserve"> </w:t>
      </w:r>
      <w:r w:rsidRPr="003C716D">
        <w:rPr>
          <w:rFonts w:cs="Sylfaen"/>
        </w:rPr>
        <w:t>պետական</w:t>
      </w:r>
      <w:r w:rsidRPr="003C716D">
        <w:rPr>
          <w:lang w:val="es-ES"/>
        </w:rPr>
        <w:t xml:space="preserve"> </w:t>
      </w:r>
      <w:r w:rsidRPr="003C716D">
        <w:rPr>
          <w:rFonts w:cs="Sylfaen"/>
        </w:rPr>
        <w:t>բյուջեի</w:t>
      </w:r>
      <w:r w:rsidRPr="003C716D">
        <w:rPr>
          <w:lang w:val="es-ES"/>
        </w:rPr>
        <w:t xml:space="preserve"> </w:t>
      </w:r>
      <w:r w:rsidRPr="003C716D">
        <w:rPr>
          <w:rFonts w:cs="Sylfaen"/>
        </w:rPr>
        <w:t>ծախսերի</w:t>
      </w:r>
      <w:r w:rsidRPr="003C716D">
        <w:rPr>
          <w:lang w:val="es-ES"/>
        </w:rPr>
        <w:t xml:space="preserve"> </w:t>
      </w:r>
      <w:r w:rsidRPr="003C716D">
        <w:rPr>
          <w:rFonts w:cs="Sylfaen"/>
        </w:rPr>
        <w:t>ծավալի</w:t>
      </w:r>
      <w:r w:rsidRPr="003C716D">
        <w:rPr>
          <w:lang w:val="es-ES"/>
        </w:rPr>
        <w:t xml:space="preserve"> </w:t>
      </w:r>
      <w:r w:rsidRPr="003C716D">
        <w:rPr>
          <w:rFonts w:cs="Sylfaen"/>
        </w:rPr>
        <w:t>ավելացումը</w:t>
      </w:r>
      <w:r w:rsidRPr="003C716D">
        <w:rPr>
          <w:rFonts w:cs="Sylfaen"/>
          <w:lang w:val="es-ES"/>
        </w:rPr>
        <w:t xml:space="preserve"> </w:t>
      </w:r>
      <w:r w:rsidRPr="003C716D">
        <w:rPr>
          <w:rFonts w:cs="Sylfaen"/>
        </w:rPr>
        <w:t>ծրագրա</w:t>
      </w:r>
      <w:r w:rsidRPr="003C716D">
        <w:rPr>
          <w:rFonts w:cs="Sylfaen"/>
          <w:lang w:val="es-ES"/>
        </w:rPr>
        <w:softHyphen/>
      </w:r>
      <w:r w:rsidRPr="003C716D">
        <w:rPr>
          <w:rFonts w:cs="Sylfaen"/>
        </w:rPr>
        <w:t>վորվում</w:t>
      </w:r>
      <w:r w:rsidRPr="003C716D">
        <w:rPr>
          <w:lang w:val="es-ES"/>
        </w:rPr>
        <w:t xml:space="preserve"> </w:t>
      </w:r>
      <w:r w:rsidRPr="003C716D">
        <w:rPr>
          <w:rFonts w:cs="Sylfaen"/>
        </w:rPr>
        <w:t>է</w:t>
      </w:r>
      <w:r w:rsidRPr="003C716D">
        <w:rPr>
          <w:lang w:val="es-ES"/>
        </w:rPr>
        <w:t xml:space="preserve"> </w:t>
      </w:r>
      <w:r w:rsidRPr="003C716D">
        <w:rPr>
          <w:rFonts w:cs="Sylfaen"/>
        </w:rPr>
        <w:t>շուրջ</w:t>
      </w:r>
      <w:r w:rsidRPr="003C716D">
        <w:rPr>
          <w:rFonts w:cs="Sylfaen"/>
          <w:lang w:val="es-ES"/>
        </w:rPr>
        <w:t xml:space="preserve"> </w:t>
      </w:r>
      <w:r>
        <w:rPr>
          <w:rFonts w:cs="Sylfaen"/>
          <w:lang w:val="es-ES"/>
        </w:rPr>
        <w:t>28.8</w:t>
      </w:r>
      <w:r w:rsidRPr="003C716D">
        <w:rPr>
          <w:lang w:val="es-ES"/>
        </w:rPr>
        <w:t xml:space="preserve"> </w:t>
      </w:r>
      <w:r w:rsidRPr="003C716D">
        <w:rPr>
          <w:rFonts w:cs="Sylfaen"/>
        </w:rPr>
        <w:t>մլրդ</w:t>
      </w:r>
      <w:r w:rsidRPr="003C716D">
        <w:rPr>
          <w:rFonts w:cs="Sylfaen"/>
          <w:lang w:val="es-ES"/>
        </w:rPr>
        <w:t xml:space="preserve"> </w:t>
      </w:r>
      <w:r w:rsidRPr="003C716D">
        <w:rPr>
          <w:rFonts w:cs="Sylfaen"/>
        </w:rPr>
        <w:t>դրամով</w:t>
      </w:r>
      <w:r w:rsidRPr="003C716D">
        <w:rPr>
          <w:lang w:val="es-ES"/>
        </w:rPr>
        <w:t xml:space="preserve">: </w:t>
      </w:r>
      <w:r w:rsidRPr="003C716D">
        <w:rPr>
          <w:rFonts w:cs="Sylfaen"/>
        </w:rPr>
        <w:t>Միաժամանակ</w:t>
      </w:r>
      <w:r w:rsidRPr="003C716D">
        <w:rPr>
          <w:lang w:val="es-ES"/>
        </w:rPr>
        <w:t xml:space="preserve"> 20</w:t>
      </w:r>
      <w:r>
        <w:rPr>
          <w:lang w:val="hy-AM"/>
        </w:rPr>
        <w:t>21</w:t>
      </w:r>
      <w:r w:rsidRPr="003C716D">
        <w:rPr>
          <w:lang w:val="es-ES"/>
        </w:rPr>
        <w:t xml:space="preserve"> թվակա</w:t>
      </w:r>
      <w:r w:rsidRPr="003C716D">
        <w:rPr>
          <w:rFonts w:cs="Sylfaen"/>
        </w:rPr>
        <w:t>նի</w:t>
      </w:r>
      <w:r w:rsidRPr="003C716D">
        <w:rPr>
          <w:lang w:val="es-ES"/>
        </w:rPr>
        <w:t xml:space="preserve"> </w:t>
      </w:r>
      <w:r w:rsidRPr="003C716D">
        <w:rPr>
          <w:rFonts w:cs="Sylfaen"/>
        </w:rPr>
        <w:t>մակար</w:t>
      </w:r>
      <w:r w:rsidRPr="003C716D">
        <w:rPr>
          <w:rFonts w:cs="Sylfaen"/>
          <w:lang w:val="es-ES"/>
        </w:rPr>
        <w:softHyphen/>
      </w:r>
      <w:r w:rsidRPr="003C716D">
        <w:rPr>
          <w:rFonts w:cs="Sylfaen"/>
        </w:rPr>
        <w:t>դակի</w:t>
      </w:r>
      <w:r w:rsidRPr="003C716D">
        <w:rPr>
          <w:lang w:val="es-ES"/>
        </w:rPr>
        <w:t xml:space="preserve"> </w:t>
      </w:r>
      <w:r w:rsidRPr="003C716D">
        <w:rPr>
          <w:rFonts w:cs="Sylfaen"/>
        </w:rPr>
        <w:t>համե</w:t>
      </w:r>
      <w:r w:rsidRPr="003C716D">
        <w:rPr>
          <w:rFonts w:cs="Sylfaen"/>
          <w:lang w:val="es-ES"/>
        </w:rPr>
        <w:softHyphen/>
      </w:r>
      <w:r w:rsidRPr="003C716D">
        <w:rPr>
          <w:rFonts w:cs="Sylfaen"/>
        </w:rPr>
        <w:t>մատ</w:t>
      </w:r>
      <w:r w:rsidRPr="003C716D">
        <w:rPr>
          <w:lang w:val="es-ES"/>
        </w:rPr>
        <w:t xml:space="preserve"> </w:t>
      </w:r>
      <w:r w:rsidRPr="003C716D">
        <w:rPr>
          <w:rFonts w:cs="Sylfaen"/>
        </w:rPr>
        <w:t>պետական</w:t>
      </w:r>
      <w:r w:rsidRPr="003C716D">
        <w:rPr>
          <w:lang w:val="es-ES"/>
        </w:rPr>
        <w:t xml:space="preserve"> </w:t>
      </w:r>
      <w:r w:rsidRPr="003C716D">
        <w:rPr>
          <w:rFonts w:cs="Sylfaen"/>
        </w:rPr>
        <w:t>բյուջեի</w:t>
      </w:r>
      <w:r w:rsidRPr="003C716D">
        <w:rPr>
          <w:lang w:val="es-ES"/>
        </w:rPr>
        <w:t xml:space="preserve"> </w:t>
      </w:r>
      <w:r w:rsidRPr="003C716D">
        <w:rPr>
          <w:rFonts w:cs="Sylfaen"/>
        </w:rPr>
        <w:t>մուտքերի</w:t>
      </w:r>
      <w:r w:rsidRPr="003C716D">
        <w:rPr>
          <w:lang w:val="es-ES"/>
        </w:rPr>
        <w:t xml:space="preserve"> </w:t>
      </w:r>
      <w:r w:rsidRPr="003C716D">
        <w:rPr>
          <w:rFonts w:cs="Sylfaen"/>
        </w:rPr>
        <w:t>ծա</w:t>
      </w:r>
      <w:r w:rsidRPr="003C716D">
        <w:rPr>
          <w:rFonts w:cs="Sylfaen"/>
          <w:lang w:val="es-ES"/>
        </w:rPr>
        <w:softHyphen/>
      </w:r>
      <w:r w:rsidRPr="003C716D">
        <w:rPr>
          <w:rFonts w:cs="Sylfaen"/>
        </w:rPr>
        <w:t>վալի</w:t>
      </w:r>
      <w:r>
        <w:rPr>
          <w:lang w:val="es-ES"/>
        </w:rPr>
        <w:t xml:space="preserve">  7.8</w:t>
      </w:r>
      <w:r w:rsidRPr="003C716D">
        <w:rPr>
          <w:lang w:val="es-ES"/>
        </w:rPr>
        <w:t xml:space="preserve"> % </w:t>
      </w:r>
      <w:r w:rsidRPr="003C716D">
        <w:rPr>
          <w:rFonts w:cs="Sylfaen"/>
        </w:rPr>
        <w:t>աճ</w:t>
      </w:r>
      <w:r w:rsidRPr="003C716D">
        <w:rPr>
          <w:lang w:val="es-ES"/>
        </w:rPr>
        <w:t xml:space="preserve"> </w:t>
      </w:r>
      <w:r w:rsidRPr="003C716D">
        <w:rPr>
          <w:rFonts w:cs="Sylfaen"/>
        </w:rPr>
        <w:t>է</w:t>
      </w:r>
      <w:r w:rsidRPr="003C716D">
        <w:rPr>
          <w:lang w:val="es-ES"/>
        </w:rPr>
        <w:t xml:space="preserve"> </w:t>
      </w:r>
      <w:r w:rsidRPr="003C716D">
        <w:rPr>
          <w:rFonts w:cs="Sylfaen"/>
        </w:rPr>
        <w:t>կանխատեսվում</w:t>
      </w:r>
      <w:r w:rsidRPr="003C716D">
        <w:rPr>
          <w:lang w:val="es-ES"/>
        </w:rPr>
        <w:t xml:space="preserve"> 202</w:t>
      </w:r>
      <w:r>
        <w:rPr>
          <w:lang w:val="es-ES"/>
        </w:rPr>
        <w:t>2</w:t>
      </w:r>
      <w:r w:rsidRPr="003C716D">
        <w:rPr>
          <w:lang w:val="es-ES"/>
        </w:rPr>
        <w:t xml:space="preserve"> թվա</w:t>
      </w:r>
      <w:r w:rsidRPr="003C716D">
        <w:rPr>
          <w:lang w:val="es-ES"/>
        </w:rPr>
        <w:softHyphen/>
        <w:t>կա</w:t>
      </w:r>
      <w:r w:rsidRPr="003C716D">
        <w:rPr>
          <w:lang w:val="es-ES"/>
        </w:rPr>
        <w:softHyphen/>
      </w:r>
      <w:r w:rsidRPr="003C716D">
        <w:rPr>
          <w:rFonts w:cs="Sylfaen"/>
        </w:rPr>
        <w:t>նին</w:t>
      </w:r>
      <w:r w:rsidRPr="003C716D">
        <w:rPr>
          <w:lang w:val="es-ES"/>
        </w:rPr>
        <w:t xml:space="preserve"> (</w:t>
      </w:r>
      <w:r w:rsidRPr="003C716D">
        <w:rPr>
          <w:rFonts w:cs="Sylfaen"/>
        </w:rPr>
        <w:t>ան</w:t>
      </w:r>
      <w:r w:rsidRPr="003C716D">
        <w:rPr>
          <w:rFonts w:cs="Sylfaen"/>
          <w:lang w:val="es-ES"/>
        </w:rPr>
        <w:softHyphen/>
      </w:r>
      <w:r w:rsidRPr="003C716D">
        <w:rPr>
          <w:rFonts w:cs="Sylfaen"/>
        </w:rPr>
        <w:t>վա</w:t>
      </w:r>
      <w:r w:rsidRPr="003C716D">
        <w:rPr>
          <w:rFonts w:cs="Sylfaen"/>
          <w:lang w:val="es-ES"/>
        </w:rPr>
        <w:softHyphen/>
      </w:r>
      <w:r w:rsidRPr="003C716D">
        <w:rPr>
          <w:rFonts w:cs="Sylfaen"/>
          <w:lang w:val="es-ES"/>
        </w:rPr>
        <w:softHyphen/>
      </w:r>
      <w:r w:rsidRPr="003C716D">
        <w:rPr>
          <w:rFonts w:cs="Sylfaen"/>
        </w:rPr>
        <w:t>նա</w:t>
      </w:r>
      <w:r w:rsidRPr="003C716D">
        <w:rPr>
          <w:rFonts w:cs="Sylfaen"/>
          <w:lang w:val="es-ES"/>
        </w:rPr>
        <w:softHyphen/>
      </w:r>
      <w:r w:rsidRPr="003C716D">
        <w:rPr>
          <w:rFonts w:cs="Sylfaen"/>
        </w:rPr>
        <w:t>կան</w:t>
      </w:r>
      <w:r w:rsidRPr="003C716D">
        <w:rPr>
          <w:lang w:val="es-ES"/>
        </w:rPr>
        <w:t xml:space="preserve"> </w:t>
      </w:r>
      <w:r w:rsidRPr="003C716D">
        <w:rPr>
          <w:rFonts w:cs="Sylfaen"/>
        </w:rPr>
        <w:t>ՀՆԱ</w:t>
      </w:r>
      <w:r w:rsidRPr="003C716D">
        <w:rPr>
          <w:lang w:val="es-ES"/>
        </w:rPr>
        <w:t>-</w:t>
      </w:r>
      <w:r w:rsidRPr="003C716D">
        <w:rPr>
          <w:rFonts w:cs="Sylfaen"/>
        </w:rPr>
        <w:t>ի</w:t>
      </w:r>
      <w:r w:rsidRPr="003C716D">
        <w:rPr>
          <w:lang w:val="es-ES"/>
        </w:rPr>
        <w:t xml:space="preserve"> 9.</w:t>
      </w:r>
      <w:r>
        <w:rPr>
          <w:lang w:val="es-ES"/>
        </w:rPr>
        <w:t>9</w:t>
      </w:r>
      <w:r w:rsidRPr="003C716D">
        <w:rPr>
          <w:lang w:val="es-ES"/>
        </w:rPr>
        <w:t xml:space="preserve">% </w:t>
      </w:r>
      <w:r w:rsidRPr="003C716D">
        <w:rPr>
          <w:rFonts w:cs="Sylfaen"/>
        </w:rPr>
        <w:t>կանխատեսվող</w:t>
      </w:r>
      <w:r w:rsidRPr="003C716D">
        <w:rPr>
          <w:lang w:val="es-ES"/>
        </w:rPr>
        <w:t xml:space="preserve"> </w:t>
      </w:r>
      <w:r w:rsidRPr="003C716D">
        <w:rPr>
          <w:rFonts w:cs="Sylfaen"/>
        </w:rPr>
        <w:t>աճի</w:t>
      </w:r>
      <w:r w:rsidRPr="003C716D">
        <w:rPr>
          <w:lang w:val="es-ES"/>
        </w:rPr>
        <w:t xml:space="preserve"> </w:t>
      </w:r>
      <w:r w:rsidRPr="003C716D">
        <w:rPr>
          <w:rFonts w:cs="Sylfaen"/>
        </w:rPr>
        <w:t>պայմաններում</w:t>
      </w:r>
      <w:r w:rsidRPr="003C716D">
        <w:rPr>
          <w:lang w:val="es-ES"/>
        </w:rPr>
        <w:t xml:space="preserve">) </w:t>
      </w:r>
      <w:r w:rsidRPr="003C716D">
        <w:rPr>
          <w:rFonts w:cs="Sylfaen"/>
        </w:rPr>
        <w:t>և</w:t>
      </w:r>
      <w:r w:rsidRPr="003C716D">
        <w:rPr>
          <w:lang w:val="es-ES"/>
        </w:rPr>
        <w:t xml:space="preserve"> 202</w:t>
      </w:r>
      <w:r>
        <w:rPr>
          <w:lang w:val="es-ES"/>
        </w:rPr>
        <w:t>2</w:t>
      </w:r>
      <w:r w:rsidRPr="003C716D">
        <w:rPr>
          <w:lang w:val="es-ES"/>
        </w:rPr>
        <w:t xml:space="preserve"> թվակա</w:t>
      </w:r>
      <w:r w:rsidRPr="003C716D">
        <w:rPr>
          <w:rFonts w:cs="Sylfaen"/>
        </w:rPr>
        <w:t>նի</w:t>
      </w:r>
      <w:r w:rsidRPr="003C716D">
        <w:rPr>
          <w:lang w:val="es-ES"/>
        </w:rPr>
        <w:t xml:space="preserve"> </w:t>
      </w:r>
      <w:r w:rsidRPr="003C716D">
        <w:rPr>
          <w:rFonts w:cs="Sylfaen"/>
        </w:rPr>
        <w:t>մակար</w:t>
      </w:r>
      <w:r w:rsidRPr="003C716D">
        <w:rPr>
          <w:rFonts w:cs="Sylfaen"/>
          <w:lang w:val="es-ES"/>
        </w:rPr>
        <w:softHyphen/>
      </w:r>
      <w:r w:rsidRPr="003C716D">
        <w:rPr>
          <w:rFonts w:cs="Sylfaen"/>
        </w:rPr>
        <w:t>դակի</w:t>
      </w:r>
      <w:r w:rsidRPr="003C716D">
        <w:rPr>
          <w:lang w:val="es-ES"/>
        </w:rPr>
        <w:t xml:space="preserve"> </w:t>
      </w:r>
      <w:r w:rsidRPr="003C716D">
        <w:rPr>
          <w:rFonts w:cs="Sylfaen"/>
        </w:rPr>
        <w:t>համե</w:t>
      </w:r>
      <w:r w:rsidRPr="003C716D">
        <w:rPr>
          <w:rFonts w:cs="Sylfaen"/>
          <w:lang w:val="es-ES"/>
        </w:rPr>
        <w:softHyphen/>
      </w:r>
      <w:r w:rsidRPr="003C716D">
        <w:rPr>
          <w:rFonts w:cs="Sylfaen"/>
        </w:rPr>
        <w:t>մատ</w:t>
      </w:r>
      <w:r>
        <w:rPr>
          <w:lang w:val="es-ES"/>
        </w:rPr>
        <w:t>` 2023</w:t>
      </w:r>
      <w:r w:rsidRPr="003C716D">
        <w:rPr>
          <w:lang w:val="es-ES"/>
        </w:rPr>
        <w:t xml:space="preserve"> թվակա</w:t>
      </w:r>
      <w:r w:rsidRPr="003C716D">
        <w:rPr>
          <w:rFonts w:cs="Sylfaen"/>
        </w:rPr>
        <w:t>նին</w:t>
      </w:r>
      <w:r>
        <w:rPr>
          <w:lang w:val="es-ES"/>
        </w:rPr>
        <w:t>` 10.6</w:t>
      </w:r>
      <w:r w:rsidRPr="003C716D">
        <w:rPr>
          <w:lang w:val="es-ES"/>
        </w:rPr>
        <w:t xml:space="preserve"> %-</w:t>
      </w:r>
      <w:r w:rsidRPr="003C716D">
        <w:rPr>
          <w:rFonts w:cs="Sylfaen"/>
        </w:rPr>
        <w:t>ով</w:t>
      </w:r>
      <w:r w:rsidRPr="003C716D">
        <w:rPr>
          <w:lang w:val="es-ES"/>
        </w:rPr>
        <w:t xml:space="preserve"> (</w:t>
      </w:r>
      <w:r w:rsidRPr="003C716D">
        <w:rPr>
          <w:rFonts w:cs="Sylfaen"/>
        </w:rPr>
        <w:t>անվանական</w:t>
      </w:r>
      <w:r w:rsidRPr="003C716D">
        <w:rPr>
          <w:lang w:val="es-ES"/>
        </w:rPr>
        <w:t xml:space="preserve"> </w:t>
      </w:r>
      <w:r w:rsidRPr="003C716D">
        <w:rPr>
          <w:rFonts w:cs="Sylfaen"/>
        </w:rPr>
        <w:t>ՀՆԱ</w:t>
      </w:r>
      <w:r w:rsidRPr="003C716D">
        <w:rPr>
          <w:lang w:val="es-ES"/>
        </w:rPr>
        <w:t>-</w:t>
      </w:r>
      <w:r w:rsidRPr="003C716D">
        <w:rPr>
          <w:rFonts w:cs="Sylfaen"/>
        </w:rPr>
        <w:t>ի</w:t>
      </w:r>
      <w:r w:rsidRPr="003C716D">
        <w:rPr>
          <w:rFonts w:cs="Sylfaen"/>
          <w:lang w:val="es-ES"/>
        </w:rPr>
        <w:t xml:space="preserve"> 9.3</w:t>
      </w:r>
      <w:r w:rsidRPr="003C716D">
        <w:rPr>
          <w:lang w:val="es-ES"/>
        </w:rPr>
        <w:t xml:space="preserve"> % </w:t>
      </w:r>
      <w:r w:rsidRPr="003C716D">
        <w:rPr>
          <w:rFonts w:cs="Sylfaen"/>
        </w:rPr>
        <w:t>կանխատեսվող</w:t>
      </w:r>
      <w:r w:rsidRPr="003C716D">
        <w:rPr>
          <w:lang w:val="es-ES"/>
        </w:rPr>
        <w:t xml:space="preserve"> </w:t>
      </w:r>
      <w:r w:rsidRPr="003C716D">
        <w:rPr>
          <w:rFonts w:cs="Sylfaen"/>
        </w:rPr>
        <w:t>աճի</w:t>
      </w:r>
      <w:r w:rsidRPr="003C716D">
        <w:rPr>
          <w:lang w:val="es-ES"/>
        </w:rPr>
        <w:t xml:space="preserve"> </w:t>
      </w:r>
      <w:r w:rsidRPr="003C716D">
        <w:rPr>
          <w:rFonts w:cs="Sylfaen"/>
        </w:rPr>
        <w:t>պայ</w:t>
      </w:r>
      <w:r w:rsidRPr="003C716D">
        <w:rPr>
          <w:rFonts w:cs="Sylfaen"/>
          <w:lang w:val="es-ES"/>
        </w:rPr>
        <w:softHyphen/>
      </w:r>
      <w:r w:rsidRPr="003C716D">
        <w:rPr>
          <w:rFonts w:cs="Sylfaen"/>
        </w:rPr>
        <w:t>ման</w:t>
      </w:r>
      <w:r w:rsidRPr="003C716D">
        <w:rPr>
          <w:rFonts w:cs="Sylfaen"/>
          <w:lang w:val="es-ES"/>
        </w:rPr>
        <w:softHyphen/>
      </w:r>
      <w:r w:rsidRPr="003C716D">
        <w:rPr>
          <w:rFonts w:cs="Sylfaen"/>
        </w:rPr>
        <w:t>ներում</w:t>
      </w:r>
      <w:r w:rsidRPr="003C716D">
        <w:rPr>
          <w:lang w:val="es-ES"/>
        </w:rPr>
        <w:t>):</w:t>
      </w:r>
    </w:p>
    <w:p w14:paraId="5ADB4F53" w14:textId="77777777" w:rsidR="00173FEB" w:rsidRDefault="000C4060" w:rsidP="0035033F">
      <w:pPr>
        <w:keepNext/>
        <w:keepLines/>
        <w:jc w:val="left"/>
        <w:rPr>
          <w:rFonts w:cs="Sylfaen"/>
          <w:sz w:val="20"/>
          <w:szCs w:val="20"/>
          <w:lang w:val="es-ES"/>
        </w:rPr>
      </w:pPr>
      <w:r w:rsidRPr="003C716D">
        <w:rPr>
          <w:rFonts w:cs="Sylfaen"/>
          <w:sz w:val="20"/>
          <w:szCs w:val="20"/>
        </w:rPr>
        <w:t>Աղյուսակ</w:t>
      </w:r>
      <w:r w:rsidRPr="003C716D">
        <w:rPr>
          <w:sz w:val="20"/>
          <w:szCs w:val="20"/>
          <w:lang w:val="es-ES"/>
        </w:rPr>
        <w:t xml:space="preserve"> 4.</w:t>
      </w:r>
      <w:r w:rsidR="00231073">
        <w:rPr>
          <w:sz w:val="20"/>
          <w:szCs w:val="20"/>
          <w:lang w:val="hy-AM"/>
        </w:rPr>
        <w:t>2</w:t>
      </w:r>
      <w:r w:rsidRPr="003C716D">
        <w:rPr>
          <w:sz w:val="20"/>
          <w:szCs w:val="20"/>
          <w:lang w:val="es-ES"/>
        </w:rPr>
        <w:t xml:space="preserve">. </w:t>
      </w:r>
      <w:r w:rsidRPr="003C716D">
        <w:rPr>
          <w:rFonts w:cs="Sylfaen"/>
          <w:sz w:val="20"/>
          <w:szCs w:val="20"/>
        </w:rPr>
        <w:t>Բյուջետային</w:t>
      </w:r>
      <w:r w:rsidRPr="003C716D">
        <w:rPr>
          <w:sz w:val="20"/>
          <w:szCs w:val="20"/>
          <w:lang w:val="es-ES"/>
        </w:rPr>
        <w:t xml:space="preserve"> </w:t>
      </w:r>
      <w:r w:rsidRPr="003C716D">
        <w:rPr>
          <w:rFonts w:cs="Sylfaen"/>
          <w:sz w:val="20"/>
          <w:szCs w:val="20"/>
        </w:rPr>
        <w:t>ռեսուրսների</w:t>
      </w:r>
      <w:r w:rsidRPr="003C716D">
        <w:rPr>
          <w:sz w:val="20"/>
          <w:szCs w:val="20"/>
          <w:lang w:val="es-ES"/>
        </w:rPr>
        <w:t xml:space="preserve"> </w:t>
      </w:r>
      <w:r w:rsidRPr="003C716D">
        <w:rPr>
          <w:rFonts w:cs="Sylfaen"/>
          <w:sz w:val="20"/>
          <w:szCs w:val="20"/>
        </w:rPr>
        <w:t>փաթեթում</w:t>
      </w:r>
      <w:r w:rsidRPr="003C716D">
        <w:rPr>
          <w:sz w:val="20"/>
          <w:szCs w:val="20"/>
          <w:lang w:val="es-ES"/>
        </w:rPr>
        <w:t xml:space="preserve"> 20</w:t>
      </w:r>
      <w:r>
        <w:rPr>
          <w:sz w:val="20"/>
          <w:szCs w:val="20"/>
          <w:lang w:val="hy-AM"/>
        </w:rPr>
        <w:t>2</w:t>
      </w:r>
      <w:r w:rsidRPr="00407D2D">
        <w:rPr>
          <w:sz w:val="20"/>
          <w:szCs w:val="20"/>
          <w:lang w:val="es-ES"/>
        </w:rPr>
        <w:t>1</w:t>
      </w:r>
      <w:r w:rsidRPr="003C716D">
        <w:rPr>
          <w:sz w:val="20"/>
          <w:szCs w:val="20"/>
          <w:lang w:val="es-ES"/>
        </w:rPr>
        <w:t>-202</w:t>
      </w:r>
      <w:r>
        <w:rPr>
          <w:sz w:val="20"/>
          <w:szCs w:val="20"/>
          <w:lang w:val="hy-AM"/>
        </w:rPr>
        <w:t>3</w:t>
      </w:r>
      <w:r w:rsidRPr="003C716D">
        <w:rPr>
          <w:rFonts w:cs="Sylfaen"/>
          <w:sz w:val="20"/>
          <w:szCs w:val="20"/>
        </w:rPr>
        <w:t>թթ</w:t>
      </w:r>
      <w:r w:rsidRPr="003C716D">
        <w:rPr>
          <w:sz w:val="20"/>
          <w:szCs w:val="20"/>
          <w:lang w:val="es-ES"/>
        </w:rPr>
        <w:t xml:space="preserve"> </w:t>
      </w:r>
      <w:r w:rsidRPr="003C716D">
        <w:rPr>
          <w:rFonts w:cs="Sylfaen"/>
          <w:sz w:val="20"/>
          <w:szCs w:val="20"/>
        </w:rPr>
        <w:t>կանխատեսվող</w:t>
      </w:r>
      <w:r w:rsidRPr="003C716D">
        <w:rPr>
          <w:sz w:val="20"/>
          <w:szCs w:val="20"/>
          <w:lang w:val="es-ES"/>
        </w:rPr>
        <w:t xml:space="preserve"> </w:t>
      </w:r>
      <w:r w:rsidRPr="003C716D">
        <w:rPr>
          <w:rFonts w:cs="Sylfaen"/>
          <w:sz w:val="20"/>
          <w:szCs w:val="20"/>
        </w:rPr>
        <w:t>փոփոխու</w:t>
      </w:r>
      <w:r w:rsidRPr="003C716D">
        <w:rPr>
          <w:rFonts w:cs="Sylfaen"/>
          <w:sz w:val="20"/>
          <w:szCs w:val="20"/>
          <w:lang w:val="es-ES"/>
        </w:rPr>
        <w:softHyphen/>
      </w:r>
      <w:r w:rsidRPr="003C716D">
        <w:rPr>
          <w:rFonts w:cs="Sylfaen"/>
          <w:sz w:val="20"/>
          <w:szCs w:val="20"/>
        </w:rPr>
        <w:t>թյունները</w:t>
      </w:r>
      <w:r w:rsidRPr="003C716D">
        <w:rPr>
          <w:rFonts w:cs="Sylfaen"/>
          <w:sz w:val="20"/>
          <w:szCs w:val="20"/>
          <w:lang w:val="es-ES"/>
        </w:rPr>
        <w:t xml:space="preserve"> </w:t>
      </w:r>
    </w:p>
    <w:p w14:paraId="2A7F12DF" w14:textId="77777777" w:rsidR="00173FEB" w:rsidRDefault="000C4060" w:rsidP="0035033F">
      <w:pPr>
        <w:keepNext/>
        <w:keepLines/>
        <w:jc w:val="right"/>
        <w:rPr>
          <w:rFonts w:cs="Sylfaen"/>
          <w:sz w:val="20"/>
          <w:szCs w:val="20"/>
          <w:lang w:val="es-ES"/>
        </w:rPr>
      </w:pPr>
      <w:r w:rsidRPr="003C716D">
        <w:rPr>
          <w:rFonts w:cs="Sylfaen"/>
          <w:sz w:val="20"/>
          <w:szCs w:val="20"/>
          <w:lang w:val="es-ES"/>
        </w:rPr>
        <w:t>(</w:t>
      </w:r>
      <w:r w:rsidRPr="003C716D">
        <w:rPr>
          <w:rFonts w:cs="Sylfaen"/>
          <w:sz w:val="20"/>
          <w:szCs w:val="20"/>
        </w:rPr>
        <w:t>մլն</w:t>
      </w:r>
      <w:r w:rsidRPr="003C716D">
        <w:rPr>
          <w:rFonts w:cs="Sylfaen"/>
          <w:sz w:val="20"/>
          <w:szCs w:val="20"/>
          <w:lang w:val="es-ES"/>
        </w:rPr>
        <w:t xml:space="preserve"> </w:t>
      </w:r>
      <w:r w:rsidRPr="003C716D">
        <w:rPr>
          <w:rFonts w:cs="Sylfaen"/>
          <w:sz w:val="20"/>
          <w:szCs w:val="20"/>
        </w:rPr>
        <w:t>դրամ</w:t>
      </w:r>
      <w:r w:rsidRPr="003C716D">
        <w:rPr>
          <w:rFonts w:cs="Sylfaen"/>
          <w:sz w:val="20"/>
          <w:szCs w:val="20"/>
          <w:lang w:val="es-ES"/>
        </w:rPr>
        <w:t>)</w:t>
      </w:r>
    </w:p>
    <w:tbl>
      <w:tblPr>
        <w:tblW w:w="4945" w:type="pct"/>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200"/>
        <w:gridCol w:w="1587"/>
        <w:gridCol w:w="1450"/>
        <w:gridCol w:w="1560"/>
      </w:tblGrid>
      <w:tr w:rsidR="000C4060" w:rsidRPr="003C716D" w14:paraId="7DFF04D5" w14:textId="77777777" w:rsidTr="0035033F">
        <w:trPr>
          <w:trHeight w:val="20"/>
          <w:tblHeader/>
        </w:trPr>
        <w:tc>
          <w:tcPr>
            <w:tcW w:w="2654" w:type="pct"/>
            <w:shd w:val="clear" w:color="auto" w:fill="0070C0"/>
            <w:tcMar>
              <w:left w:w="57" w:type="dxa"/>
              <w:right w:w="113" w:type="dxa"/>
            </w:tcMar>
            <w:vAlign w:val="center"/>
          </w:tcPr>
          <w:p w14:paraId="6803C82E" w14:textId="77777777" w:rsidR="000C4060" w:rsidRPr="0035033F" w:rsidRDefault="00595A2D" w:rsidP="006E220E">
            <w:pPr>
              <w:ind w:firstLine="0"/>
              <w:jc w:val="center"/>
              <w:rPr>
                <w:color w:val="FFFFFF" w:themeColor="background1"/>
                <w:sz w:val="20"/>
                <w:szCs w:val="20"/>
                <w:lang w:val="hy-AM"/>
              </w:rPr>
            </w:pPr>
            <w:r w:rsidRPr="0035033F">
              <w:rPr>
                <w:rFonts w:cs="Sylfaen"/>
                <w:color w:val="FFFFFF" w:themeColor="background1"/>
                <w:sz w:val="20"/>
                <w:szCs w:val="20"/>
              </w:rPr>
              <w:t>Ցուցանիշներ</w:t>
            </w:r>
          </w:p>
        </w:tc>
        <w:tc>
          <w:tcPr>
            <w:tcW w:w="810" w:type="pct"/>
            <w:shd w:val="clear" w:color="auto" w:fill="0070C0"/>
            <w:tcMar>
              <w:left w:w="57" w:type="dxa"/>
              <w:bottom w:w="0" w:type="dxa"/>
              <w:right w:w="113" w:type="dxa"/>
            </w:tcMar>
            <w:vAlign w:val="center"/>
          </w:tcPr>
          <w:p w14:paraId="74237E60" w14:textId="77777777" w:rsidR="000C4060" w:rsidRPr="0035033F" w:rsidRDefault="00595A2D" w:rsidP="006E220E">
            <w:pPr>
              <w:ind w:firstLine="0"/>
              <w:jc w:val="center"/>
              <w:rPr>
                <w:rFonts w:eastAsia="Times New Roman" w:cs="Sylfaen"/>
                <w:color w:val="FFFFFF" w:themeColor="background1"/>
                <w:sz w:val="20"/>
                <w:szCs w:val="20"/>
              </w:rPr>
            </w:pPr>
            <w:r w:rsidRPr="0035033F">
              <w:rPr>
                <w:color w:val="FFFFFF" w:themeColor="background1"/>
                <w:sz w:val="20"/>
                <w:szCs w:val="20"/>
                <w:lang w:val="hy-AM"/>
              </w:rPr>
              <w:t>2021</w:t>
            </w:r>
            <w:r w:rsidRPr="0035033F">
              <w:rPr>
                <w:rFonts w:cs="Sylfaen"/>
                <w:color w:val="FFFFFF" w:themeColor="background1"/>
                <w:sz w:val="20"/>
                <w:szCs w:val="20"/>
              </w:rPr>
              <w:t>թ</w:t>
            </w:r>
            <w:r w:rsidRPr="0035033F">
              <w:rPr>
                <w:color w:val="FFFFFF" w:themeColor="background1"/>
                <w:sz w:val="20"/>
                <w:szCs w:val="20"/>
                <w:lang w:val="hy-AM"/>
              </w:rPr>
              <w:t xml:space="preserve"> </w:t>
            </w:r>
            <w:r w:rsidRPr="0035033F">
              <w:rPr>
                <w:rFonts w:cs="Sylfaen"/>
                <w:color w:val="FFFFFF" w:themeColor="background1"/>
                <w:sz w:val="20"/>
                <w:szCs w:val="20"/>
              </w:rPr>
              <w:t>ծրագիր</w:t>
            </w:r>
          </w:p>
        </w:tc>
        <w:tc>
          <w:tcPr>
            <w:tcW w:w="740" w:type="pct"/>
            <w:shd w:val="clear" w:color="auto" w:fill="0070C0"/>
            <w:tcMar>
              <w:top w:w="17" w:type="dxa"/>
              <w:left w:w="57" w:type="dxa"/>
              <w:bottom w:w="0" w:type="dxa"/>
              <w:right w:w="113" w:type="dxa"/>
            </w:tcMar>
            <w:vAlign w:val="center"/>
          </w:tcPr>
          <w:p w14:paraId="10B417C6" w14:textId="77777777" w:rsidR="00173FEB" w:rsidRPr="0035033F" w:rsidRDefault="00595A2D" w:rsidP="0035033F">
            <w:pPr>
              <w:pStyle w:val="Specialnormal"/>
              <w:overflowPunct/>
              <w:autoSpaceDE/>
              <w:autoSpaceDN/>
              <w:adjustRightInd/>
              <w:ind w:firstLine="0"/>
              <w:textAlignment w:val="auto"/>
              <w:rPr>
                <w:color w:val="FFFFFF" w:themeColor="background1"/>
                <w:lang w:val="hy-AM"/>
              </w:rPr>
            </w:pPr>
            <w:r w:rsidRPr="0035033F">
              <w:rPr>
                <w:color w:val="FFFFFF" w:themeColor="background1"/>
                <w:lang w:val="hy-AM"/>
              </w:rPr>
              <w:t>20</w:t>
            </w:r>
            <w:r w:rsidRPr="0035033F">
              <w:rPr>
                <w:color w:val="FFFFFF" w:themeColor="background1"/>
                <w:lang w:val="en-US"/>
              </w:rPr>
              <w:t>2</w:t>
            </w:r>
            <w:r w:rsidRPr="0035033F">
              <w:rPr>
                <w:color w:val="FFFFFF" w:themeColor="background1"/>
                <w:lang w:val="hy-AM"/>
              </w:rPr>
              <w:t>2</w:t>
            </w:r>
            <w:r w:rsidRPr="0035033F">
              <w:rPr>
                <w:color w:val="FFFFFF" w:themeColor="background1"/>
                <w:lang w:val="en-US"/>
              </w:rPr>
              <w:t>թ</w:t>
            </w:r>
            <w:r w:rsidRPr="0035033F">
              <w:rPr>
                <w:color w:val="FFFFFF" w:themeColor="background1"/>
                <w:lang w:val="hy-AM"/>
              </w:rPr>
              <w:t xml:space="preserve"> </w:t>
            </w:r>
            <w:r w:rsidRPr="0035033F">
              <w:rPr>
                <w:rFonts w:cs="Sylfaen"/>
                <w:color w:val="FFFFFF" w:themeColor="background1"/>
              </w:rPr>
              <w:t>ծրագիր</w:t>
            </w:r>
          </w:p>
        </w:tc>
        <w:tc>
          <w:tcPr>
            <w:tcW w:w="796" w:type="pct"/>
            <w:shd w:val="clear" w:color="auto" w:fill="0070C0"/>
            <w:tcMar>
              <w:top w:w="17" w:type="dxa"/>
              <w:left w:w="57" w:type="dxa"/>
              <w:right w:w="113" w:type="dxa"/>
            </w:tcMar>
            <w:vAlign w:val="center"/>
          </w:tcPr>
          <w:p w14:paraId="6800B3CF" w14:textId="77777777" w:rsidR="00173FEB" w:rsidRPr="0035033F" w:rsidRDefault="00595A2D" w:rsidP="0035033F">
            <w:pPr>
              <w:ind w:left="-77" w:firstLine="0"/>
              <w:jc w:val="center"/>
              <w:rPr>
                <w:rFonts w:eastAsia="Times New Roman" w:cs="Times New Roman"/>
                <w:color w:val="FFFFFF" w:themeColor="background1"/>
                <w:sz w:val="20"/>
                <w:szCs w:val="20"/>
                <w:lang w:val="hy-AM"/>
              </w:rPr>
            </w:pPr>
            <w:r w:rsidRPr="0035033F">
              <w:rPr>
                <w:color w:val="FFFFFF" w:themeColor="background1"/>
                <w:sz w:val="20"/>
                <w:szCs w:val="20"/>
                <w:lang w:val="hy-AM"/>
              </w:rPr>
              <w:t>20</w:t>
            </w:r>
            <w:r w:rsidRPr="0035033F">
              <w:rPr>
                <w:color w:val="FFFFFF" w:themeColor="background1"/>
                <w:sz w:val="20"/>
                <w:szCs w:val="20"/>
              </w:rPr>
              <w:t>23</w:t>
            </w:r>
            <w:r w:rsidRPr="0035033F">
              <w:rPr>
                <w:rFonts w:cs="Sylfaen"/>
                <w:color w:val="FFFFFF" w:themeColor="background1"/>
                <w:sz w:val="20"/>
                <w:szCs w:val="20"/>
              </w:rPr>
              <w:t>թ</w:t>
            </w:r>
            <w:r w:rsidRPr="0035033F">
              <w:rPr>
                <w:color w:val="FFFFFF" w:themeColor="background1"/>
                <w:sz w:val="20"/>
                <w:szCs w:val="20"/>
                <w:lang w:val="hy-AM"/>
              </w:rPr>
              <w:t xml:space="preserve"> </w:t>
            </w:r>
            <w:r w:rsidRPr="0035033F">
              <w:rPr>
                <w:rFonts w:cs="Sylfaen"/>
                <w:color w:val="FFFFFF" w:themeColor="background1"/>
                <w:sz w:val="20"/>
                <w:szCs w:val="20"/>
              </w:rPr>
              <w:t>ծրագիր</w:t>
            </w:r>
          </w:p>
        </w:tc>
      </w:tr>
      <w:tr w:rsidR="000C4060" w:rsidRPr="003C716D" w14:paraId="578BFF03" w14:textId="77777777" w:rsidTr="0035033F">
        <w:trPr>
          <w:trHeight w:val="20"/>
        </w:trPr>
        <w:tc>
          <w:tcPr>
            <w:tcW w:w="2654" w:type="pct"/>
            <w:tcBorders>
              <w:bottom w:val="single" w:sz="4" w:space="0" w:color="auto"/>
            </w:tcBorders>
            <w:shd w:val="clear" w:color="auto" w:fill="C6D9F1" w:themeFill="text2" w:themeFillTint="33"/>
            <w:tcMar>
              <w:left w:w="57" w:type="dxa"/>
              <w:right w:w="113" w:type="dxa"/>
            </w:tcMar>
            <w:vAlign w:val="bottom"/>
          </w:tcPr>
          <w:p w14:paraId="3B694A27" w14:textId="77777777" w:rsidR="00173FEB" w:rsidRPr="0035033F" w:rsidRDefault="00595A2D" w:rsidP="0035033F">
            <w:pPr>
              <w:ind w:left="-17" w:firstLine="0"/>
              <w:rPr>
                <w:b/>
                <w:sz w:val="20"/>
                <w:szCs w:val="20"/>
                <w:lang w:val="hy-AM"/>
              </w:rPr>
            </w:pPr>
            <w:r w:rsidRPr="0035033F">
              <w:rPr>
                <w:b/>
                <w:sz w:val="20"/>
                <w:szCs w:val="20"/>
                <w:lang w:val="hy-AM"/>
              </w:rPr>
              <w:t xml:space="preserve">1. </w:t>
            </w:r>
            <w:r w:rsidRPr="0035033F">
              <w:rPr>
                <w:rFonts w:cs="Sylfaen"/>
                <w:b/>
                <w:sz w:val="20"/>
                <w:szCs w:val="20"/>
                <w:lang w:val="hy-AM"/>
              </w:rPr>
              <w:t>Եկամուտներ</w:t>
            </w:r>
            <w:r w:rsidRPr="0035033F">
              <w:rPr>
                <w:b/>
                <w:sz w:val="20"/>
                <w:szCs w:val="20"/>
                <w:lang w:val="hy-AM"/>
              </w:rPr>
              <w:t xml:space="preserve"> </w:t>
            </w:r>
          </w:p>
        </w:tc>
        <w:tc>
          <w:tcPr>
            <w:tcW w:w="810" w:type="pct"/>
            <w:tcBorders>
              <w:bottom w:val="single" w:sz="4" w:space="0" w:color="auto"/>
            </w:tcBorders>
            <w:shd w:val="clear" w:color="auto" w:fill="C6D9F1" w:themeFill="text2" w:themeFillTint="33"/>
            <w:tcMar>
              <w:left w:w="57" w:type="dxa"/>
              <w:bottom w:w="0" w:type="dxa"/>
              <w:right w:w="113" w:type="dxa"/>
            </w:tcMar>
          </w:tcPr>
          <w:p w14:paraId="514E8DDD" w14:textId="77777777" w:rsidR="000C4060" w:rsidRPr="0035033F" w:rsidRDefault="00595A2D" w:rsidP="006E220E">
            <w:pPr>
              <w:ind w:firstLine="0"/>
              <w:jc w:val="center"/>
              <w:rPr>
                <w:rFonts w:eastAsia="Times New Roman" w:cs="Times New Roman"/>
                <w:b/>
                <w:sz w:val="20"/>
                <w:szCs w:val="20"/>
              </w:rPr>
            </w:pPr>
            <w:r w:rsidRPr="0035033F">
              <w:rPr>
                <w:b/>
                <w:sz w:val="20"/>
                <w:szCs w:val="20"/>
              </w:rPr>
              <w:t>1,669,861.9</w:t>
            </w:r>
          </w:p>
        </w:tc>
        <w:tc>
          <w:tcPr>
            <w:tcW w:w="740" w:type="pct"/>
            <w:tcBorders>
              <w:bottom w:val="single" w:sz="4" w:space="0" w:color="auto"/>
            </w:tcBorders>
            <w:shd w:val="clear" w:color="auto" w:fill="C6D9F1" w:themeFill="text2" w:themeFillTint="33"/>
            <w:tcMar>
              <w:top w:w="17" w:type="dxa"/>
              <w:left w:w="57" w:type="dxa"/>
              <w:bottom w:w="0" w:type="dxa"/>
              <w:right w:w="113" w:type="dxa"/>
            </w:tcMar>
          </w:tcPr>
          <w:p w14:paraId="4DA52D01" w14:textId="77777777" w:rsidR="000C4060" w:rsidRPr="0035033F" w:rsidRDefault="00595A2D" w:rsidP="006E220E">
            <w:pPr>
              <w:ind w:firstLine="0"/>
              <w:jc w:val="center"/>
              <w:rPr>
                <w:rFonts w:eastAsia="Times New Roman" w:cs="Times New Roman"/>
                <w:b/>
                <w:sz w:val="20"/>
                <w:szCs w:val="20"/>
              </w:rPr>
            </w:pPr>
            <w:r w:rsidRPr="0035033F">
              <w:rPr>
                <w:b/>
                <w:sz w:val="20"/>
                <w:szCs w:val="20"/>
              </w:rPr>
              <w:t>1,885,934.1</w:t>
            </w:r>
          </w:p>
        </w:tc>
        <w:tc>
          <w:tcPr>
            <w:tcW w:w="796" w:type="pct"/>
            <w:tcBorders>
              <w:bottom w:val="single" w:sz="4" w:space="0" w:color="auto"/>
            </w:tcBorders>
            <w:shd w:val="clear" w:color="auto" w:fill="C6D9F1" w:themeFill="text2" w:themeFillTint="33"/>
            <w:tcMar>
              <w:top w:w="17" w:type="dxa"/>
              <w:left w:w="57" w:type="dxa"/>
              <w:right w:w="113" w:type="dxa"/>
            </w:tcMar>
          </w:tcPr>
          <w:p w14:paraId="54BC5169" w14:textId="77777777" w:rsidR="000C4060" w:rsidRPr="0035033F" w:rsidRDefault="00595A2D" w:rsidP="006E220E">
            <w:pPr>
              <w:ind w:firstLine="0"/>
              <w:jc w:val="center"/>
              <w:rPr>
                <w:rFonts w:eastAsia="Times New Roman" w:cs="Times New Roman"/>
                <w:b/>
                <w:sz w:val="20"/>
                <w:szCs w:val="20"/>
              </w:rPr>
            </w:pPr>
            <w:r w:rsidRPr="0035033F">
              <w:rPr>
                <w:b/>
                <w:sz w:val="20"/>
                <w:szCs w:val="20"/>
              </w:rPr>
              <w:t>2,082,863.8</w:t>
            </w:r>
          </w:p>
        </w:tc>
      </w:tr>
      <w:tr w:rsidR="000C4060" w:rsidRPr="003C716D" w14:paraId="4247EE43" w14:textId="77777777" w:rsidTr="00DD5310">
        <w:trPr>
          <w:trHeight w:val="20"/>
        </w:trPr>
        <w:tc>
          <w:tcPr>
            <w:tcW w:w="2654" w:type="pct"/>
            <w:tcBorders>
              <w:top w:val="single" w:sz="4" w:space="0" w:color="auto"/>
              <w:left w:val="single" w:sz="4" w:space="0" w:color="auto"/>
              <w:bottom w:val="single" w:sz="4" w:space="0" w:color="auto"/>
              <w:right w:val="single" w:sz="4" w:space="0" w:color="auto"/>
            </w:tcBorders>
            <w:tcMar>
              <w:left w:w="57" w:type="dxa"/>
              <w:right w:w="113" w:type="dxa"/>
            </w:tcMar>
            <w:vAlign w:val="bottom"/>
          </w:tcPr>
          <w:p w14:paraId="30C2F613" w14:textId="77777777" w:rsidR="00173FEB" w:rsidRDefault="000C4060" w:rsidP="0035033F">
            <w:pPr>
              <w:ind w:left="-17" w:firstLine="0"/>
              <w:rPr>
                <w:sz w:val="20"/>
                <w:szCs w:val="20"/>
                <w:lang w:val="hy-AM"/>
              </w:rPr>
            </w:pPr>
            <w:r w:rsidRPr="003C716D">
              <w:rPr>
                <w:rFonts w:cs="Sylfaen"/>
                <w:sz w:val="20"/>
                <w:szCs w:val="20"/>
                <w:lang w:val="hy-AM"/>
              </w:rPr>
              <w:t>Հարաբերությունը</w:t>
            </w:r>
            <w:r w:rsidRPr="003C716D">
              <w:rPr>
                <w:sz w:val="20"/>
                <w:szCs w:val="20"/>
                <w:lang w:val="hy-AM"/>
              </w:rPr>
              <w:t xml:space="preserve"> </w:t>
            </w:r>
            <w:r w:rsidRPr="003C716D">
              <w:rPr>
                <w:rFonts w:cs="Sylfaen"/>
                <w:sz w:val="20"/>
                <w:szCs w:val="20"/>
                <w:lang w:val="hy-AM"/>
              </w:rPr>
              <w:t>ՀՆԱ</w:t>
            </w:r>
            <w:r w:rsidRPr="003C716D">
              <w:rPr>
                <w:sz w:val="20"/>
                <w:szCs w:val="20"/>
                <w:lang w:val="hy-AM"/>
              </w:rPr>
              <w:t>-</w:t>
            </w:r>
            <w:r w:rsidRPr="003C716D">
              <w:rPr>
                <w:rFonts w:cs="Sylfaen"/>
                <w:sz w:val="20"/>
                <w:szCs w:val="20"/>
                <w:lang w:val="hy-AM"/>
              </w:rPr>
              <w:t>ի</w:t>
            </w:r>
            <w:r w:rsidRPr="003C716D">
              <w:rPr>
                <w:sz w:val="20"/>
                <w:szCs w:val="20"/>
                <w:lang w:val="hy-AM"/>
              </w:rPr>
              <w:t xml:space="preserve"> </w:t>
            </w:r>
            <w:r w:rsidRPr="003C716D">
              <w:rPr>
                <w:rFonts w:cs="Sylfaen"/>
                <w:sz w:val="20"/>
                <w:szCs w:val="20"/>
                <w:lang w:val="hy-AM"/>
              </w:rPr>
              <w:t>նկատմամբ</w:t>
            </w:r>
            <w:r w:rsidRPr="003C716D">
              <w:rPr>
                <w:sz w:val="20"/>
                <w:szCs w:val="20"/>
                <w:lang w:val="hy-AM"/>
              </w:rPr>
              <w:t xml:space="preserve"> (%)</w:t>
            </w:r>
          </w:p>
        </w:tc>
        <w:tc>
          <w:tcPr>
            <w:tcW w:w="810" w:type="pct"/>
            <w:tcBorders>
              <w:top w:val="single" w:sz="4" w:space="0" w:color="auto"/>
              <w:left w:val="single" w:sz="4" w:space="0" w:color="auto"/>
              <w:bottom w:val="single" w:sz="4" w:space="0" w:color="auto"/>
              <w:right w:val="single" w:sz="4" w:space="0" w:color="auto"/>
            </w:tcBorders>
            <w:shd w:val="clear" w:color="auto" w:fill="auto"/>
            <w:tcMar>
              <w:left w:w="57" w:type="dxa"/>
              <w:bottom w:w="0" w:type="dxa"/>
              <w:right w:w="113" w:type="dxa"/>
            </w:tcMar>
            <w:vAlign w:val="bottom"/>
          </w:tcPr>
          <w:p w14:paraId="42670487" w14:textId="77777777" w:rsidR="000C4060" w:rsidRPr="007C65BF" w:rsidRDefault="000C4060" w:rsidP="006E220E">
            <w:pPr>
              <w:ind w:firstLine="0"/>
              <w:jc w:val="center"/>
              <w:rPr>
                <w:sz w:val="20"/>
                <w:szCs w:val="20"/>
              </w:rPr>
            </w:pPr>
            <w:r w:rsidRPr="007C65BF">
              <w:rPr>
                <w:sz w:val="20"/>
                <w:szCs w:val="20"/>
              </w:rPr>
              <w:t>23.4</w:t>
            </w:r>
          </w:p>
        </w:tc>
        <w:tc>
          <w:tcPr>
            <w:tcW w:w="740" w:type="pct"/>
            <w:tcBorders>
              <w:top w:val="single" w:sz="4" w:space="0" w:color="auto"/>
              <w:left w:val="single" w:sz="4" w:space="0" w:color="auto"/>
              <w:bottom w:val="single" w:sz="4" w:space="0" w:color="auto"/>
              <w:right w:val="single" w:sz="4" w:space="0" w:color="auto"/>
            </w:tcBorders>
            <w:shd w:val="clear" w:color="auto" w:fill="auto"/>
            <w:tcMar>
              <w:top w:w="17" w:type="dxa"/>
              <w:left w:w="57" w:type="dxa"/>
              <w:bottom w:w="0" w:type="dxa"/>
              <w:right w:w="113" w:type="dxa"/>
            </w:tcMar>
            <w:vAlign w:val="bottom"/>
          </w:tcPr>
          <w:p w14:paraId="05258FC8" w14:textId="77777777" w:rsidR="000C4060" w:rsidRPr="007C65BF" w:rsidRDefault="000C4060" w:rsidP="006E220E">
            <w:pPr>
              <w:ind w:firstLine="0"/>
              <w:jc w:val="center"/>
              <w:rPr>
                <w:sz w:val="20"/>
                <w:szCs w:val="20"/>
              </w:rPr>
            </w:pPr>
            <w:r w:rsidRPr="007C65BF">
              <w:rPr>
                <w:sz w:val="20"/>
                <w:szCs w:val="20"/>
              </w:rPr>
              <w:t>24.0</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17" w:type="dxa"/>
              <w:left w:w="57" w:type="dxa"/>
              <w:right w:w="113" w:type="dxa"/>
            </w:tcMar>
            <w:vAlign w:val="bottom"/>
          </w:tcPr>
          <w:p w14:paraId="0D098BE1" w14:textId="77777777" w:rsidR="000C4060" w:rsidRPr="007C65BF" w:rsidRDefault="000C4060" w:rsidP="006E220E">
            <w:pPr>
              <w:ind w:firstLine="0"/>
              <w:jc w:val="center"/>
              <w:rPr>
                <w:sz w:val="20"/>
                <w:szCs w:val="20"/>
              </w:rPr>
            </w:pPr>
            <w:r w:rsidRPr="007C65BF">
              <w:rPr>
                <w:sz w:val="20"/>
                <w:szCs w:val="20"/>
              </w:rPr>
              <w:t>24.3</w:t>
            </w:r>
          </w:p>
        </w:tc>
      </w:tr>
      <w:tr w:rsidR="000C4060" w:rsidRPr="003C716D" w14:paraId="77E44ADE" w14:textId="77777777" w:rsidTr="0035033F">
        <w:trPr>
          <w:trHeight w:val="20"/>
        </w:trPr>
        <w:tc>
          <w:tcPr>
            <w:tcW w:w="2654"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57" w:type="dxa"/>
              <w:right w:w="113" w:type="dxa"/>
            </w:tcMar>
            <w:vAlign w:val="bottom"/>
          </w:tcPr>
          <w:p w14:paraId="5C8C4AAB" w14:textId="77777777" w:rsidR="00173FEB" w:rsidRPr="0035033F" w:rsidRDefault="00595A2D" w:rsidP="0035033F">
            <w:pPr>
              <w:ind w:firstLine="0"/>
              <w:rPr>
                <w:b/>
                <w:sz w:val="20"/>
                <w:szCs w:val="20"/>
                <w:lang w:val="hy-AM"/>
              </w:rPr>
            </w:pPr>
            <w:r w:rsidRPr="0035033F">
              <w:rPr>
                <w:b/>
                <w:sz w:val="20"/>
                <w:szCs w:val="20"/>
              </w:rPr>
              <w:t>2</w:t>
            </w:r>
            <w:r w:rsidRPr="0035033F">
              <w:rPr>
                <w:b/>
                <w:sz w:val="20"/>
                <w:szCs w:val="20"/>
                <w:lang w:val="hy-AM"/>
              </w:rPr>
              <w:t xml:space="preserve">. </w:t>
            </w:r>
            <w:r w:rsidRPr="0035033F">
              <w:rPr>
                <w:rFonts w:cs="Sylfaen"/>
                <w:b/>
                <w:sz w:val="20"/>
                <w:szCs w:val="20"/>
                <w:lang w:val="hy-AM"/>
              </w:rPr>
              <w:t>Դեֆիցիտի</w:t>
            </w:r>
            <w:r w:rsidRPr="0035033F">
              <w:rPr>
                <w:b/>
                <w:sz w:val="20"/>
                <w:szCs w:val="20"/>
                <w:lang w:val="hy-AM"/>
              </w:rPr>
              <w:t xml:space="preserve"> </w:t>
            </w:r>
            <w:r w:rsidRPr="0035033F">
              <w:rPr>
                <w:rFonts w:cs="Sylfaen"/>
                <w:b/>
                <w:sz w:val="20"/>
                <w:szCs w:val="20"/>
                <w:lang w:val="hy-AM"/>
              </w:rPr>
              <w:t>ֆինանսավորման</w:t>
            </w:r>
            <w:r w:rsidRPr="0035033F">
              <w:rPr>
                <w:b/>
                <w:sz w:val="20"/>
                <w:szCs w:val="20"/>
                <w:lang w:val="hy-AM"/>
              </w:rPr>
              <w:t xml:space="preserve"> </w:t>
            </w:r>
            <w:r w:rsidRPr="0035033F">
              <w:rPr>
                <w:rFonts w:cs="Sylfaen"/>
                <w:b/>
                <w:sz w:val="20"/>
                <w:szCs w:val="20"/>
              </w:rPr>
              <w:t xml:space="preserve">զուտ </w:t>
            </w:r>
            <w:r w:rsidRPr="0035033F">
              <w:rPr>
                <w:rFonts w:cs="Sylfaen"/>
                <w:b/>
                <w:sz w:val="20"/>
                <w:szCs w:val="20"/>
                <w:lang w:val="hy-AM"/>
              </w:rPr>
              <w:t>աղբյուրներ</w:t>
            </w:r>
          </w:p>
        </w:tc>
        <w:tc>
          <w:tcPr>
            <w:tcW w:w="810" w:type="pct"/>
            <w:tcBorders>
              <w:top w:val="single" w:sz="4" w:space="0" w:color="auto"/>
              <w:left w:val="single" w:sz="4" w:space="0" w:color="auto"/>
              <w:bottom w:val="single" w:sz="4" w:space="0" w:color="auto"/>
              <w:right w:val="single" w:sz="4" w:space="0" w:color="auto"/>
            </w:tcBorders>
            <w:shd w:val="clear" w:color="auto" w:fill="DBE5F1" w:themeFill="accent1" w:themeFillTint="33"/>
            <w:tcMar>
              <w:left w:w="57" w:type="dxa"/>
              <w:bottom w:w="0" w:type="dxa"/>
              <w:right w:w="113" w:type="dxa"/>
            </w:tcMar>
            <w:vAlign w:val="bottom"/>
          </w:tcPr>
          <w:p w14:paraId="0D196328" w14:textId="77777777" w:rsidR="000C4060" w:rsidRPr="0035033F" w:rsidRDefault="00595A2D" w:rsidP="006E220E">
            <w:pPr>
              <w:ind w:firstLine="0"/>
              <w:jc w:val="center"/>
              <w:rPr>
                <w:rFonts w:eastAsia="Times New Roman" w:cs="Times New Roman"/>
                <w:b/>
                <w:sz w:val="20"/>
                <w:szCs w:val="20"/>
              </w:rPr>
            </w:pPr>
            <w:r w:rsidRPr="0035033F">
              <w:rPr>
                <w:b/>
                <w:sz w:val="20"/>
                <w:szCs w:val="20"/>
              </w:rPr>
              <w:t>209,149.3</w:t>
            </w:r>
          </w:p>
        </w:tc>
        <w:tc>
          <w:tcPr>
            <w:tcW w:w="740"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17" w:type="dxa"/>
              <w:left w:w="57" w:type="dxa"/>
              <w:bottom w:w="0" w:type="dxa"/>
              <w:right w:w="113" w:type="dxa"/>
            </w:tcMar>
            <w:vAlign w:val="bottom"/>
          </w:tcPr>
          <w:p w14:paraId="21FDB1A0" w14:textId="77777777" w:rsidR="000C4060" w:rsidRPr="0035033F" w:rsidRDefault="00595A2D" w:rsidP="006E220E">
            <w:pPr>
              <w:ind w:firstLine="0"/>
              <w:jc w:val="center"/>
              <w:rPr>
                <w:rFonts w:eastAsia="Times New Roman" w:cs="Times New Roman"/>
                <w:b/>
                <w:sz w:val="20"/>
                <w:szCs w:val="20"/>
              </w:rPr>
            </w:pPr>
            <w:r w:rsidRPr="0035033F">
              <w:rPr>
                <w:b/>
                <w:sz w:val="20"/>
                <w:szCs w:val="20"/>
              </w:rPr>
              <w:t>140,187.5</w:t>
            </w:r>
          </w:p>
        </w:tc>
        <w:tc>
          <w:tcPr>
            <w:tcW w:w="796" w:type="pct"/>
            <w:tcBorders>
              <w:top w:val="single" w:sz="4" w:space="0" w:color="auto"/>
              <w:left w:val="single" w:sz="4" w:space="0" w:color="auto"/>
              <w:bottom w:val="single" w:sz="4" w:space="0" w:color="auto"/>
              <w:right w:val="single" w:sz="4" w:space="0" w:color="auto"/>
            </w:tcBorders>
            <w:shd w:val="clear" w:color="auto" w:fill="DBE5F1" w:themeFill="accent1" w:themeFillTint="33"/>
            <w:tcMar>
              <w:top w:w="17" w:type="dxa"/>
              <w:left w:w="57" w:type="dxa"/>
              <w:right w:w="113" w:type="dxa"/>
            </w:tcMar>
            <w:vAlign w:val="bottom"/>
          </w:tcPr>
          <w:p w14:paraId="1C941487" w14:textId="77777777" w:rsidR="000C4060" w:rsidRPr="0035033F" w:rsidRDefault="00595A2D" w:rsidP="006E220E">
            <w:pPr>
              <w:ind w:firstLine="0"/>
              <w:jc w:val="center"/>
              <w:rPr>
                <w:rFonts w:eastAsia="Times New Roman" w:cs="Times New Roman"/>
                <w:b/>
                <w:sz w:val="20"/>
                <w:szCs w:val="20"/>
              </w:rPr>
            </w:pPr>
            <w:r w:rsidRPr="0035033F">
              <w:rPr>
                <w:b/>
                <w:sz w:val="20"/>
                <w:szCs w:val="20"/>
              </w:rPr>
              <w:t>158,559.0</w:t>
            </w:r>
          </w:p>
        </w:tc>
      </w:tr>
      <w:tr w:rsidR="000C4060" w:rsidRPr="003C716D" w14:paraId="793DA6ED" w14:textId="77777777" w:rsidTr="00DD5310">
        <w:trPr>
          <w:trHeight w:val="20"/>
        </w:trPr>
        <w:tc>
          <w:tcPr>
            <w:tcW w:w="2654" w:type="pct"/>
            <w:tcBorders>
              <w:top w:val="single" w:sz="4" w:space="0" w:color="auto"/>
              <w:left w:val="single" w:sz="4" w:space="0" w:color="auto"/>
              <w:bottom w:val="single" w:sz="4" w:space="0" w:color="auto"/>
              <w:right w:val="single" w:sz="4" w:space="0" w:color="auto"/>
            </w:tcBorders>
            <w:tcMar>
              <w:left w:w="57" w:type="dxa"/>
              <w:right w:w="113" w:type="dxa"/>
            </w:tcMar>
            <w:vAlign w:val="bottom"/>
          </w:tcPr>
          <w:p w14:paraId="0C191FF6" w14:textId="77777777" w:rsidR="00173FEB" w:rsidRDefault="000C4060" w:rsidP="0035033F">
            <w:pPr>
              <w:ind w:firstLine="0"/>
              <w:rPr>
                <w:sz w:val="20"/>
                <w:szCs w:val="20"/>
                <w:lang w:val="hy-AM"/>
              </w:rPr>
            </w:pPr>
            <w:r w:rsidRPr="003C716D">
              <w:rPr>
                <w:rFonts w:cs="Sylfaen"/>
                <w:sz w:val="20"/>
                <w:szCs w:val="20"/>
                <w:lang w:val="hy-AM"/>
              </w:rPr>
              <w:t>Հարաբերությունը</w:t>
            </w:r>
            <w:r w:rsidRPr="003C716D">
              <w:rPr>
                <w:sz w:val="20"/>
                <w:szCs w:val="20"/>
                <w:lang w:val="hy-AM"/>
              </w:rPr>
              <w:t xml:space="preserve"> </w:t>
            </w:r>
            <w:r w:rsidRPr="003C716D">
              <w:rPr>
                <w:rFonts w:cs="Sylfaen"/>
                <w:sz w:val="20"/>
                <w:szCs w:val="20"/>
                <w:lang w:val="hy-AM"/>
              </w:rPr>
              <w:t>ՀՆԱ</w:t>
            </w:r>
            <w:r w:rsidRPr="003C716D">
              <w:rPr>
                <w:sz w:val="20"/>
                <w:szCs w:val="20"/>
                <w:lang w:val="hy-AM"/>
              </w:rPr>
              <w:t>-</w:t>
            </w:r>
            <w:r w:rsidRPr="003C716D">
              <w:rPr>
                <w:rFonts w:cs="Sylfaen"/>
                <w:sz w:val="20"/>
                <w:szCs w:val="20"/>
                <w:lang w:val="hy-AM"/>
              </w:rPr>
              <w:t>ի</w:t>
            </w:r>
            <w:r w:rsidRPr="003C716D">
              <w:rPr>
                <w:sz w:val="20"/>
                <w:szCs w:val="20"/>
                <w:lang w:val="hy-AM"/>
              </w:rPr>
              <w:t xml:space="preserve"> </w:t>
            </w:r>
            <w:r w:rsidRPr="003C716D">
              <w:rPr>
                <w:rFonts w:cs="Sylfaen"/>
                <w:sz w:val="20"/>
                <w:szCs w:val="20"/>
                <w:lang w:val="hy-AM"/>
              </w:rPr>
              <w:t>նկատմամբ</w:t>
            </w:r>
            <w:r w:rsidRPr="003C716D">
              <w:rPr>
                <w:sz w:val="20"/>
                <w:szCs w:val="20"/>
                <w:lang w:val="hy-AM"/>
              </w:rPr>
              <w:t xml:space="preserve"> (%)</w:t>
            </w:r>
          </w:p>
        </w:tc>
        <w:tc>
          <w:tcPr>
            <w:tcW w:w="810" w:type="pct"/>
            <w:tcBorders>
              <w:top w:val="single" w:sz="4" w:space="0" w:color="auto"/>
              <w:left w:val="single" w:sz="4" w:space="0" w:color="auto"/>
              <w:bottom w:val="single" w:sz="4" w:space="0" w:color="auto"/>
              <w:right w:val="single" w:sz="4" w:space="0" w:color="auto"/>
            </w:tcBorders>
            <w:tcMar>
              <w:left w:w="57" w:type="dxa"/>
              <w:bottom w:w="0" w:type="dxa"/>
              <w:right w:w="113" w:type="dxa"/>
            </w:tcMar>
            <w:vAlign w:val="bottom"/>
          </w:tcPr>
          <w:p w14:paraId="3AEBD6D7" w14:textId="77777777" w:rsidR="000C4060" w:rsidRPr="007C65BF" w:rsidRDefault="000C4060" w:rsidP="006E220E">
            <w:pPr>
              <w:ind w:firstLine="0"/>
              <w:jc w:val="center"/>
              <w:rPr>
                <w:sz w:val="20"/>
                <w:szCs w:val="20"/>
              </w:rPr>
            </w:pPr>
            <w:r>
              <w:rPr>
                <w:sz w:val="20"/>
                <w:szCs w:val="20"/>
              </w:rPr>
              <w:t>2.9</w:t>
            </w:r>
          </w:p>
        </w:tc>
        <w:tc>
          <w:tcPr>
            <w:tcW w:w="740" w:type="pct"/>
            <w:tcBorders>
              <w:top w:val="single" w:sz="4" w:space="0" w:color="auto"/>
              <w:left w:val="single" w:sz="4" w:space="0" w:color="auto"/>
              <w:bottom w:val="single" w:sz="4" w:space="0" w:color="auto"/>
              <w:right w:val="single" w:sz="4" w:space="0" w:color="auto"/>
            </w:tcBorders>
            <w:tcMar>
              <w:top w:w="17" w:type="dxa"/>
              <w:left w:w="57" w:type="dxa"/>
              <w:bottom w:w="0" w:type="dxa"/>
              <w:right w:w="113" w:type="dxa"/>
            </w:tcMar>
            <w:vAlign w:val="bottom"/>
          </w:tcPr>
          <w:p w14:paraId="049DD1F9" w14:textId="77777777" w:rsidR="000C4060" w:rsidRPr="007C65BF" w:rsidRDefault="000C4060" w:rsidP="006E220E">
            <w:pPr>
              <w:ind w:firstLine="0"/>
              <w:jc w:val="center"/>
              <w:rPr>
                <w:sz w:val="20"/>
                <w:szCs w:val="20"/>
              </w:rPr>
            </w:pPr>
            <w:r>
              <w:rPr>
                <w:sz w:val="20"/>
                <w:szCs w:val="20"/>
              </w:rPr>
              <w:t>1.8</w:t>
            </w:r>
          </w:p>
        </w:tc>
        <w:tc>
          <w:tcPr>
            <w:tcW w:w="796" w:type="pct"/>
            <w:tcBorders>
              <w:top w:val="single" w:sz="4" w:space="0" w:color="auto"/>
              <w:left w:val="single" w:sz="4" w:space="0" w:color="auto"/>
              <w:bottom w:val="single" w:sz="4" w:space="0" w:color="auto"/>
              <w:right w:val="single" w:sz="4" w:space="0" w:color="auto"/>
            </w:tcBorders>
            <w:tcMar>
              <w:top w:w="17" w:type="dxa"/>
              <w:left w:w="57" w:type="dxa"/>
              <w:right w:w="113" w:type="dxa"/>
            </w:tcMar>
            <w:vAlign w:val="bottom"/>
          </w:tcPr>
          <w:p w14:paraId="358CE518" w14:textId="77777777" w:rsidR="000C4060" w:rsidRPr="007C65BF" w:rsidRDefault="000C4060" w:rsidP="006E220E">
            <w:pPr>
              <w:ind w:firstLine="0"/>
              <w:jc w:val="center"/>
              <w:rPr>
                <w:sz w:val="20"/>
                <w:szCs w:val="20"/>
              </w:rPr>
            </w:pPr>
            <w:r>
              <w:rPr>
                <w:sz w:val="20"/>
                <w:szCs w:val="20"/>
              </w:rPr>
              <w:t>1.8</w:t>
            </w:r>
          </w:p>
        </w:tc>
      </w:tr>
      <w:tr w:rsidR="000C4060" w:rsidRPr="003C716D" w14:paraId="17017776" w14:textId="77777777" w:rsidTr="0035033F">
        <w:trPr>
          <w:trHeight w:val="20"/>
        </w:trPr>
        <w:tc>
          <w:tcPr>
            <w:tcW w:w="2654"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57" w:type="dxa"/>
              <w:right w:w="113" w:type="dxa"/>
            </w:tcMar>
            <w:vAlign w:val="bottom"/>
          </w:tcPr>
          <w:p w14:paraId="4D39D0CD" w14:textId="77777777" w:rsidR="000C4060" w:rsidRPr="0035033F" w:rsidRDefault="00595A2D" w:rsidP="006E220E">
            <w:pPr>
              <w:ind w:firstLine="0"/>
              <w:rPr>
                <w:b/>
                <w:sz w:val="20"/>
                <w:szCs w:val="20"/>
                <w:lang w:val="hy-AM"/>
              </w:rPr>
            </w:pPr>
            <w:r w:rsidRPr="0035033F">
              <w:rPr>
                <w:rFonts w:cs="Sylfaen"/>
                <w:b/>
                <w:sz w:val="20"/>
                <w:szCs w:val="20"/>
                <w:lang w:val="hy-AM"/>
              </w:rPr>
              <w:lastRenderedPageBreak/>
              <w:t>ԸՆԴԱՄԵՆԸ</w:t>
            </w:r>
            <w:r w:rsidRPr="0035033F">
              <w:rPr>
                <w:b/>
                <w:sz w:val="20"/>
                <w:szCs w:val="20"/>
                <w:lang w:val="hy-AM"/>
              </w:rPr>
              <w:t xml:space="preserve"> </w:t>
            </w:r>
            <w:r w:rsidRPr="0035033F">
              <w:rPr>
                <w:rFonts w:cs="Sylfaen"/>
                <w:b/>
                <w:sz w:val="20"/>
                <w:szCs w:val="20"/>
                <w:lang w:val="hy-AM"/>
              </w:rPr>
              <w:t>ՄՈՒՏՔԵՐ</w:t>
            </w:r>
          </w:p>
        </w:tc>
        <w:tc>
          <w:tcPr>
            <w:tcW w:w="810"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57" w:type="dxa"/>
              <w:bottom w:w="0" w:type="dxa"/>
              <w:right w:w="113" w:type="dxa"/>
            </w:tcMar>
          </w:tcPr>
          <w:p w14:paraId="3E0C284E" w14:textId="77777777" w:rsidR="000C4060" w:rsidRPr="0035033F" w:rsidRDefault="00595A2D" w:rsidP="006E220E">
            <w:pPr>
              <w:ind w:firstLine="0"/>
              <w:jc w:val="center"/>
              <w:rPr>
                <w:rFonts w:eastAsia="Times New Roman" w:cs="Times New Roman"/>
                <w:b/>
                <w:sz w:val="20"/>
                <w:szCs w:val="20"/>
              </w:rPr>
            </w:pPr>
            <w:r w:rsidRPr="0035033F">
              <w:rPr>
                <w:b/>
                <w:sz w:val="20"/>
                <w:szCs w:val="20"/>
              </w:rPr>
              <w:t>1,879,011.2</w:t>
            </w:r>
          </w:p>
        </w:tc>
        <w:tc>
          <w:tcPr>
            <w:tcW w:w="740" w:type="pct"/>
            <w:tcBorders>
              <w:top w:val="single" w:sz="4" w:space="0" w:color="auto"/>
              <w:left w:val="single" w:sz="4" w:space="0" w:color="auto"/>
              <w:bottom w:val="single" w:sz="4" w:space="0" w:color="auto"/>
              <w:right w:val="single" w:sz="4" w:space="0" w:color="auto"/>
            </w:tcBorders>
            <w:shd w:val="clear" w:color="auto" w:fill="C6D9F1" w:themeFill="text2" w:themeFillTint="33"/>
            <w:tcMar>
              <w:top w:w="17" w:type="dxa"/>
              <w:left w:w="57" w:type="dxa"/>
              <w:bottom w:w="0" w:type="dxa"/>
              <w:right w:w="113" w:type="dxa"/>
            </w:tcMar>
          </w:tcPr>
          <w:p w14:paraId="73731E63" w14:textId="77777777" w:rsidR="000C4060" w:rsidRPr="0035033F" w:rsidRDefault="00595A2D" w:rsidP="006E220E">
            <w:pPr>
              <w:ind w:firstLine="0"/>
              <w:jc w:val="center"/>
              <w:rPr>
                <w:rFonts w:eastAsia="Times New Roman" w:cs="Times New Roman"/>
                <w:b/>
                <w:sz w:val="20"/>
                <w:szCs w:val="20"/>
              </w:rPr>
            </w:pPr>
            <w:r w:rsidRPr="0035033F">
              <w:rPr>
                <w:b/>
                <w:sz w:val="20"/>
                <w:szCs w:val="20"/>
              </w:rPr>
              <w:t>2,026,121.6</w:t>
            </w:r>
          </w:p>
        </w:tc>
        <w:tc>
          <w:tcPr>
            <w:tcW w:w="796" w:type="pct"/>
            <w:tcBorders>
              <w:top w:val="single" w:sz="4" w:space="0" w:color="auto"/>
              <w:left w:val="single" w:sz="4" w:space="0" w:color="auto"/>
              <w:bottom w:val="single" w:sz="4" w:space="0" w:color="auto"/>
              <w:right w:val="single" w:sz="4" w:space="0" w:color="auto"/>
            </w:tcBorders>
            <w:shd w:val="clear" w:color="auto" w:fill="C6D9F1" w:themeFill="text2" w:themeFillTint="33"/>
            <w:tcMar>
              <w:top w:w="17" w:type="dxa"/>
              <w:left w:w="57" w:type="dxa"/>
              <w:right w:w="113" w:type="dxa"/>
            </w:tcMar>
          </w:tcPr>
          <w:p w14:paraId="2261A4F1" w14:textId="77777777" w:rsidR="000C4060" w:rsidRPr="0035033F" w:rsidRDefault="00595A2D" w:rsidP="006E220E">
            <w:pPr>
              <w:ind w:firstLine="0"/>
              <w:jc w:val="center"/>
              <w:rPr>
                <w:rFonts w:eastAsia="Times New Roman" w:cs="Times New Roman"/>
                <w:b/>
                <w:sz w:val="20"/>
                <w:szCs w:val="20"/>
              </w:rPr>
            </w:pPr>
            <w:r w:rsidRPr="0035033F">
              <w:rPr>
                <w:b/>
                <w:sz w:val="20"/>
                <w:szCs w:val="20"/>
              </w:rPr>
              <w:t>2,241,422.8</w:t>
            </w:r>
          </w:p>
        </w:tc>
      </w:tr>
      <w:tr w:rsidR="000C4060" w:rsidRPr="003C716D" w14:paraId="33DDEB78" w14:textId="77777777" w:rsidTr="00DD5310">
        <w:trPr>
          <w:trHeight w:val="20"/>
        </w:trPr>
        <w:tc>
          <w:tcPr>
            <w:tcW w:w="2654" w:type="pct"/>
            <w:tcBorders>
              <w:top w:val="single" w:sz="4" w:space="0" w:color="auto"/>
              <w:left w:val="single" w:sz="4" w:space="0" w:color="auto"/>
              <w:bottom w:val="single" w:sz="4" w:space="0" w:color="auto"/>
              <w:right w:val="single" w:sz="4" w:space="0" w:color="auto"/>
            </w:tcBorders>
            <w:tcMar>
              <w:left w:w="57" w:type="dxa"/>
              <w:right w:w="113" w:type="dxa"/>
            </w:tcMar>
            <w:vAlign w:val="bottom"/>
          </w:tcPr>
          <w:p w14:paraId="2E50AF67" w14:textId="77777777" w:rsidR="00173FEB" w:rsidRDefault="000C4060" w:rsidP="0035033F">
            <w:pPr>
              <w:ind w:firstLine="0"/>
              <w:rPr>
                <w:sz w:val="20"/>
                <w:szCs w:val="20"/>
                <w:lang w:val="hy-AM"/>
              </w:rPr>
            </w:pPr>
            <w:r w:rsidRPr="003C716D">
              <w:rPr>
                <w:rFonts w:cs="Sylfaen"/>
                <w:sz w:val="20"/>
                <w:szCs w:val="20"/>
                <w:lang w:val="hy-AM"/>
              </w:rPr>
              <w:t>Հարաբերությունը</w:t>
            </w:r>
            <w:r w:rsidRPr="003C716D">
              <w:rPr>
                <w:sz w:val="20"/>
                <w:szCs w:val="20"/>
                <w:lang w:val="hy-AM"/>
              </w:rPr>
              <w:t xml:space="preserve"> </w:t>
            </w:r>
            <w:r w:rsidRPr="003C716D">
              <w:rPr>
                <w:rFonts w:cs="Sylfaen"/>
                <w:sz w:val="20"/>
                <w:szCs w:val="20"/>
                <w:lang w:val="hy-AM"/>
              </w:rPr>
              <w:t>ՀՆԱ</w:t>
            </w:r>
            <w:r w:rsidRPr="003C716D">
              <w:rPr>
                <w:sz w:val="20"/>
                <w:szCs w:val="20"/>
                <w:lang w:val="hy-AM"/>
              </w:rPr>
              <w:t>-</w:t>
            </w:r>
            <w:r w:rsidRPr="003C716D">
              <w:rPr>
                <w:rFonts w:cs="Sylfaen"/>
                <w:sz w:val="20"/>
                <w:szCs w:val="20"/>
                <w:lang w:val="hy-AM"/>
              </w:rPr>
              <w:t>ի</w:t>
            </w:r>
            <w:r w:rsidRPr="003C716D">
              <w:rPr>
                <w:sz w:val="20"/>
                <w:szCs w:val="20"/>
                <w:lang w:val="hy-AM"/>
              </w:rPr>
              <w:t xml:space="preserve"> </w:t>
            </w:r>
            <w:r w:rsidRPr="003C716D">
              <w:rPr>
                <w:rFonts w:cs="Sylfaen"/>
                <w:sz w:val="20"/>
                <w:szCs w:val="20"/>
                <w:lang w:val="hy-AM"/>
              </w:rPr>
              <w:t>նկատմամբ</w:t>
            </w:r>
            <w:r w:rsidRPr="003C716D">
              <w:rPr>
                <w:sz w:val="20"/>
                <w:szCs w:val="20"/>
                <w:lang w:val="hy-AM"/>
              </w:rPr>
              <w:t xml:space="preserve"> (%)</w:t>
            </w:r>
          </w:p>
        </w:tc>
        <w:tc>
          <w:tcPr>
            <w:tcW w:w="810" w:type="pct"/>
            <w:tcBorders>
              <w:top w:val="single" w:sz="4" w:space="0" w:color="auto"/>
              <w:left w:val="single" w:sz="4" w:space="0" w:color="auto"/>
              <w:bottom w:val="single" w:sz="4" w:space="0" w:color="auto"/>
              <w:right w:val="single" w:sz="4" w:space="0" w:color="auto"/>
            </w:tcBorders>
            <w:tcMar>
              <w:left w:w="57" w:type="dxa"/>
              <w:bottom w:w="0" w:type="dxa"/>
              <w:right w:w="113" w:type="dxa"/>
            </w:tcMar>
            <w:vAlign w:val="bottom"/>
          </w:tcPr>
          <w:p w14:paraId="6865CB79" w14:textId="77777777" w:rsidR="000C4060" w:rsidRPr="003C716D" w:rsidRDefault="000C4060" w:rsidP="006E220E">
            <w:pPr>
              <w:ind w:firstLine="0"/>
              <w:jc w:val="center"/>
              <w:rPr>
                <w:sz w:val="20"/>
                <w:szCs w:val="20"/>
              </w:rPr>
            </w:pPr>
            <w:r>
              <w:rPr>
                <w:sz w:val="20"/>
                <w:szCs w:val="20"/>
              </w:rPr>
              <w:t>26.3</w:t>
            </w:r>
            <w:r w:rsidRPr="003C716D">
              <w:rPr>
                <w:sz w:val="20"/>
                <w:szCs w:val="20"/>
              </w:rPr>
              <w:t>%</w:t>
            </w:r>
          </w:p>
        </w:tc>
        <w:tc>
          <w:tcPr>
            <w:tcW w:w="740" w:type="pct"/>
            <w:tcBorders>
              <w:top w:val="single" w:sz="4" w:space="0" w:color="auto"/>
              <w:left w:val="single" w:sz="4" w:space="0" w:color="auto"/>
              <w:bottom w:val="single" w:sz="4" w:space="0" w:color="auto"/>
              <w:right w:val="single" w:sz="4" w:space="0" w:color="auto"/>
            </w:tcBorders>
            <w:tcMar>
              <w:top w:w="17" w:type="dxa"/>
              <w:left w:w="57" w:type="dxa"/>
              <w:bottom w:w="0" w:type="dxa"/>
              <w:right w:w="113" w:type="dxa"/>
            </w:tcMar>
            <w:vAlign w:val="bottom"/>
          </w:tcPr>
          <w:p w14:paraId="243BBE9F" w14:textId="77777777" w:rsidR="000C4060" w:rsidRPr="003C716D" w:rsidRDefault="000C4060" w:rsidP="006E220E">
            <w:pPr>
              <w:ind w:firstLine="0"/>
              <w:jc w:val="center"/>
              <w:rPr>
                <w:sz w:val="20"/>
                <w:szCs w:val="20"/>
              </w:rPr>
            </w:pPr>
            <w:r>
              <w:rPr>
                <w:sz w:val="20"/>
                <w:szCs w:val="20"/>
              </w:rPr>
              <w:t>25.8</w:t>
            </w:r>
            <w:r w:rsidRPr="003C716D">
              <w:rPr>
                <w:sz w:val="20"/>
                <w:szCs w:val="20"/>
              </w:rPr>
              <w:t>%</w:t>
            </w:r>
          </w:p>
        </w:tc>
        <w:tc>
          <w:tcPr>
            <w:tcW w:w="796" w:type="pct"/>
            <w:tcBorders>
              <w:top w:val="single" w:sz="4" w:space="0" w:color="auto"/>
              <w:left w:val="single" w:sz="4" w:space="0" w:color="auto"/>
              <w:bottom w:val="single" w:sz="4" w:space="0" w:color="auto"/>
              <w:right w:val="single" w:sz="4" w:space="0" w:color="auto"/>
            </w:tcBorders>
            <w:tcMar>
              <w:top w:w="17" w:type="dxa"/>
              <w:left w:w="57" w:type="dxa"/>
              <w:right w:w="113" w:type="dxa"/>
            </w:tcMar>
            <w:vAlign w:val="bottom"/>
          </w:tcPr>
          <w:p w14:paraId="230C8F30" w14:textId="77777777" w:rsidR="000C4060" w:rsidRPr="003C716D" w:rsidRDefault="000C4060" w:rsidP="006E220E">
            <w:pPr>
              <w:ind w:firstLine="0"/>
              <w:jc w:val="center"/>
              <w:rPr>
                <w:sz w:val="20"/>
                <w:szCs w:val="20"/>
              </w:rPr>
            </w:pPr>
            <w:r w:rsidRPr="003C716D">
              <w:rPr>
                <w:sz w:val="20"/>
                <w:szCs w:val="20"/>
              </w:rPr>
              <w:t>26.</w:t>
            </w:r>
            <w:r>
              <w:rPr>
                <w:sz w:val="20"/>
                <w:szCs w:val="20"/>
              </w:rPr>
              <w:t>1</w:t>
            </w:r>
            <w:r w:rsidRPr="003C716D">
              <w:rPr>
                <w:sz w:val="20"/>
                <w:szCs w:val="20"/>
              </w:rPr>
              <w:t>%</w:t>
            </w:r>
          </w:p>
        </w:tc>
      </w:tr>
      <w:tr w:rsidR="000C4060" w:rsidRPr="003C716D" w14:paraId="479DC72A" w14:textId="77777777" w:rsidTr="00DD5310">
        <w:trPr>
          <w:trHeight w:val="20"/>
        </w:trPr>
        <w:tc>
          <w:tcPr>
            <w:tcW w:w="2654" w:type="pct"/>
            <w:tcBorders>
              <w:top w:val="single" w:sz="4" w:space="0" w:color="auto"/>
              <w:left w:val="single" w:sz="4" w:space="0" w:color="auto"/>
              <w:bottom w:val="single" w:sz="4" w:space="0" w:color="auto"/>
              <w:right w:val="single" w:sz="4" w:space="0" w:color="auto"/>
            </w:tcBorders>
            <w:tcMar>
              <w:left w:w="57" w:type="dxa"/>
              <w:right w:w="113" w:type="dxa"/>
            </w:tcMar>
            <w:vAlign w:val="bottom"/>
          </w:tcPr>
          <w:p w14:paraId="639F3BEC" w14:textId="77777777" w:rsidR="000C4060" w:rsidRPr="003C716D" w:rsidRDefault="000C4060" w:rsidP="006E220E">
            <w:pPr>
              <w:ind w:firstLine="0"/>
              <w:rPr>
                <w:sz w:val="20"/>
                <w:szCs w:val="20"/>
              </w:rPr>
            </w:pPr>
            <w:r>
              <w:rPr>
                <w:rFonts w:cs="Sylfaen"/>
                <w:sz w:val="20"/>
                <w:szCs w:val="20"/>
              </w:rPr>
              <w:t>ՆՈՒՅՆԸ` ԸՍՏ 2020</w:t>
            </w:r>
            <w:r w:rsidRPr="003C716D">
              <w:rPr>
                <w:rFonts w:cs="Sylfaen"/>
                <w:sz w:val="20"/>
                <w:szCs w:val="20"/>
              </w:rPr>
              <w:t>-202</w:t>
            </w:r>
            <w:r>
              <w:rPr>
                <w:rFonts w:cs="Sylfaen"/>
                <w:sz w:val="20"/>
                <w:szCs w:val="20"/>
                <w:lang w:val="hy-AM"/>
              </w:rPr>
              <w:t>2</w:t>
            </w:r>
            <w:r w:rsidRPr="003C716D">
              <w:rPr>
                <w:rFonts w:cs="Sylfaen"/>
                <w:sz w:val="20"/>
                <w:szCs w:val="20"/>
              </w:rPr>
              <w:t>ԹԹ ՄԺԾԾ-ի</w:t>
            </w:r>
          </w:p>
        </w:tc>
        <w:tc>
          <w:tcPr>
            <w:tcW w:w="810" w:type="pct"/>
            <w:tcBorders>
              <w:top w:val="single" w:sz="4" w:space="0" w:color="auto"/>
              <w:left w:val="single" w:sz="4" w:space="0" w:color="auto"/>
              <w:bottom w:val="single" w:sz="4" w:space="0" w:color="auto"/>
              <w:right w:val="single" w:sz="4" w:space="0" w:color="auto"/>
            </w:tcBorders>
            <w:tcMar>
              <w:left w:w="57" w:type="dxa"/>
              <w:bottom w:w="0" w:type="dxa"/>
              <w:right w:w="113" w:type="dxa"/>
            </w:tcMar>
            <w:vAlign w:val="bottom"/>
          </w:tcPr>
          <w:p w14:paraId="6ECACB10" w14:textId="77777777" w:rsidR="000C4060" w:rsidRPr="003C716D" w:rsidRDefault="000C4060" w:rsidP="006E220E">
            <w:pPr>
              <w:ind w:firstLine="0"/>
              <w:jc w:val="center"/>
              <w:rPr>
                <w:sz w:val="20"/>
                <w:szCs w:val="20"/>
              </w:rPr>
            </w:pPr>
            <w:r>
              <w:rPr>
                <w:sz w:val="20"/>
                <w:szCs w:val="20"/>
              </w:rPr>
              <w:t>2,027,746.0</w:t>
            </w:r>
          </w:p>
        </w:tc>
        <w:tc>
          <w:tcPr>
            <w:tcW w:w="740" w:type="pct"/>
            <w:tcBorders>
              <w:top w:val="single" w:sz="4" w:space="0" w:color="auto"/>
              <w:left w:val="single" w:sz="4" w:space="0" w:color="auto"/>
              <w:bottom w:val="single" w:sz="4" w:space="0" w:color="auto"/>
              <w:right w:val="single" w:sz="4" w:space="0" w:color="auto"/>
            </w:tcBorders>
            <w:tcMar>
              <w:top w:w="17" w:type="dxa"/>
              <w:left w:w="57" w:type="dxa"/>
              <w:bottom w:w="0" w:type="dxa"/>
              <w:right w:w="113" w:type="dxa"/>
            </w:tcMar>
            <w:vAlign w:val="bottom"/>
          </w:tcPr>
          <w:p w14:paraId="74DD0817" w14:textId="77777777" w:rsidR="000C4060" w:rsidRPr="003C716D" w:rsidRDefault="000C4060" w:rsidP="006E220E">
            <w:pPr>
              <w:ind w:firstLine="0"/>
              <w:jc w:val="center"/>
              <w:rPr>
                <w:sz w:val="20"/>
                <w:szCs w:val="20"/>
              </w:rPr>
            </w:pPr>
            <w:r>
              <w:rPr>
                <w:sz w:val="20"/>
                <w:szCs w:val="20"/>
              </w:rPr>
              <w:t>2,235,466.8</w:t>
            </w:r>
          </w:p>
        </w:tc>
        <w:tc>
          <w:tcPr>
            <w:tcW w:w="796" w:type="pct"/>
            <w:tcBorders>
              <w:top w:val="single" w:sz="4" w:space="0" w:color="auto"/>
              <w:left w:val="single" w:sz="4" w:space="0" w:color="auto"/>
              <w:bottom w:val="single" w:sz="4" w:space="0" w:color="auto"/>
              <w:right w:val="single" w:sz="4" w:space="0" w:color="auto"/>
            </w:tcBorders>
            <w:tcMar>
              <w:top w:w="17" w:type="dxa"/>
              <w:left w:w="57" w:type="dxa"/>
              <w:right w:w="113" w:type="dxa"/>
            </w:tcMar>
            <w:vAlign w:val="bottom"/>
          </w:tcPr>
          <w:p w14:paraId="5E8C4E1E" w14:textId="77777777" w:rsidR="000C4060" w:rsidRPr="003C716D" w:rsidRDefault="009D66F0" w:rsidP="006E220E">
            <w:pPr>
              <w:ind w:firstLine="0"/>
              <w:jc w:val="center"/>
              <w:rPr>
                <w:sz w:val="20"/>
                <w:szCs w:val="20"/>
              </w:rPr>
            </w:pPr>
            <w:r w:rsidRPr="003C716D">
              <w:rPr>
                <w:sz w:val="20"/>
                <w:szCs w:val="20"/>
              </w:rPr>
              <w:t>X</w:t>
            </w:r>
          </w:p>
        </w:tc>
      </w:tr>
      <w:tr w:rsidR="000C4060" w:rsidRPr="003C716D" w14:paraId="6A5E7938" w14:textId="77777777" w:rsidTr="00DD5310">
        <w:trPr>
          <w:trHeight w:val="20"/>
        </w:trPr>
        <w:tc>
          <w:tcPr>
            <w:tcW w:w="2654" w:type="pct"/>
            <w:tcBorders>
              <w:top w:val="single" w:sz="4" w:space="0" w:color="auto"/>
              <w:left w:val="single" w:sz="4" w:space="0" w:color="auto"/>
              <w:bottom w:val="single" w:sz="4" w:space="0" w:color="auto"/>
              <w:right w:val="single" w:sz="4" w:space="0" w:color="auto"/>
            </w:tcBorders>
            <w:tcMar>
              <w:left w:w="57" w:type="dxa"/>
              <w:right w:w="113" w:type="dxa"/>
            </w:tcMar>
            <w:vAlign w:val="bottom"/>
          </w:tcPr>
          <w:p w14:paraId="0AEE702D" w14:textId="77777777" w:rsidR="00173FEB" w:rsidRDefault="000C4060" w:rsidP="0035033F">
            <w:pPr>
              <w:ind w:firstLine="0"/>
              <w:rPr>
                <w:sz w:val="20"/>
                <w:szCs w:val="20"/>
                <w:lang w:val="hy-AM"/>
              </w:rPr>
            </w:pPr>
            <w:r w:rsidRPr="003C716D">
              <w:rPr>
                <w:rFonts w:cs="Sylfaen"/>
                <w:sz w:val="20"/>
                <w:szCs w:val="20"/>
                <w:lang w:val="hy-AM"/>
              </w:rPr>
              <w:t>Հարաբերությունը</w:t>
            </w:r>
            <w:r w:rsidRPr="003C716D">
              <w:rPr>
                <w:sz w:val="20"/>
                <w:szCs w:val="20"/>
                <w:lang w:val="hy-AM"/>
              </w:rPr>
              <w:t xml:space="preserve"> </w:t>
            </w:r>
            <w:r w:rsidRPr="003C716D">
              <w:rPr>
                <w:rFonts w:cs="Sylfaen"/>
                <w:sz w:val="20"/>
                <w:szCs w:val="20"/>
                <w:lang w:val="hy-AM"/>
              </w:rPr>
              <w:t>ՀՆԱ</w:t>
            </w:r>
            <w:r w:rsidRPr="003C716D">
              <w:rPr>
                <w:sz w:val="20"/>
                <w:szCs w:val="20"/>
                <w:lang w:val="hy-AM"/>
              </w:rPr>
              <w:t>-</w:t>
            </w:r>
            <w:r w:rsidRPr="003C716D">
              <w:rPr>
                <w:rFonts w:cs="Sylfaen"/>
                <w:sz w:val="20"/>
                <w:szCs w:val="20"/>
                <w:lang w:val="hy-AM"/>
              </w:rPr>
              <w:t>ի</w:t>
            </w:r>
            <w:r w:rsidRPr="003C716D">
              <w:rPr>
                <w:sz w:val="20"/>
                <w:szCs w:val="20"/>
                <w:lang w:val="hy-AM"/>
              </w:rPr>
              <w:t xml:space="preserve"> </w:t>
            </w:r>
            <w:r w:rsidRPr="003C716D">
              <w:rPr>
                <w:rFonts w:cs="Sylfaen"/>
                <w:sz w:val="20"/>
                <w:szCs w:val="20"/>
                <w:lang w:val="hy-AM"/>
              </w:rPr>
              <w:t>նկատմամբ</w:t>
            </w:r>
            <w:r w:rsidRPr="003C716D">
              <w:rPr>
                <w:sz w:val="20"/>
                <w:szCs w:val="20"/>
                <w:lang w:val="hy-AM"/>
              </w:rPr>
              <w:t xml:space="preserve"> (%)</w:t>
            </w:r>
          </w:p>
        </w:tc>
        <w:tc>
          <w:tcPr>
            <w:tcW w:w="810" w:type="pct"/>
            <w:tcBorders>
              <w:top w:val="single" w:sz="4" w:space="0" w:color="auto"/>
              <w:left w:val="single" w:sz="4" w:space="0" w:color="auto"/>
              <w:bottom w:val="single" w:sz="4" w:space="0" w:color="auto"/>
              <w:right w:val="single" w:sz="4" w:space="0" w:color="auto"/>
            </w:tcBorders>
            <w:tcMar>
              <w:left w:w="57" w:type="dxa"/>
              <w:bottom w:w="0" w:type="dxa"/>
              <w:right w:w="113" w:type="dxa"/>
            </w:tcMar>
            <w:vAlign w:val="bottom"/>
          </w:tcPr>
          <w:p w14:paraId="7852209F" w14:textId="77777777" w:rsidR="000C4060" w:rsidRPr="003C716D" w:rsidRDefault="000C4060" w:rsidP="006E220E">
            <w:pPr>
              <w:ind w:firstLine="0"/>
              <w:jc w:val="center"/>
              <w:rPr>
                <w:sz w:val="20"/>
                <w:szCs w:val="20"/>
              </w:rPr>
            </w:pPr>
            <w:r w:rsidRPr="003C716D">
              <w:rPr>
                <w:sz w:val="20"/>
                <w:szCs w:val="20"/>
              </w:rPr>
              <w:t>24.2</w:t>
            </w:r>
          </w:p>
        </w:tc>
        <w:tc>
          <w:tcPr>
            <w:tcW w:w="740" w:type="pct"/>
            <w:tcBorders>
              <w:top w:val="single" w:sz="4" w:space="0" w:color="auto"/>
              <w:left w:val="single" w:sz="4" w:space="0" w:color="auto"/>
              <w:bottom w:val="single" w:sz="4" w:space="0" w:color="auto"/>
              <w:right w:val="single" w:sz="4" w:space="0" w:color="auto"/>
            </w:tcBorders>
            <w:tcMar>
              <w:top w:w="17" w:type="dxa"/>
              <w:left w:w="57" w:type="dxa"/>
              <w:bottom w:w="0" w:type="dxa"/>
              <w:right w:w="113" w:type="dxa"/>
            </w:tcMar>
            <w:vAlign w:val="bottom"/>
          </w:tcPr>
          <w:p w14:paraId="01BA6F66" w14:textId="77777777" w:rsidR="000C4060" w:rsidRPr="003C716D" w:rsidRDefault="000C4060" w:rsidP="006E220E">
            <w:pPr>
              <w:ind w:firstLine="0"/>
              <w:jc w:val="center"/>
              <w:rPr>
                <w:sz w:val="20"/>
                <w:szCs w:val="20"/>
              </w:rPr>
            </w:pPr>
            <w:r w:rsidRPr="003C716D">
              <w:rPr>
                <w:sz w:val="20"/>
                <w:szCs w:val="20"/>
              </w:rPr>
              <w:t>24.1</w:t>
            </w:r>
          </w:p>
        </w:tc>
        <w:tc>
          <w:tcPr>
            <w:tcW w:w="796" w:type="pct"/>
            <w:tcBorders>
              <w:top w:val="single" w:sz="4" w:space="0" w:color="auto"/>
              <w:left w:val="single" w:sz="4" w:space="0" w:color="auto"/>
              <w:bottom w:val="single" w:sz="4" w:space="0" w:color="auto"/>
              <w:right w:val="single" w:sz="4" w:space="0" w:color="auto"/>
            </w:tcBorders>
            <w:tcMar>
              <w:top w:w="17" w:type="dxa"/>
              <w:left w:w="57" w:type="dxa"/>
              <w:right w:w="113" w:type="dxa"/>
            </w:tcMar>
            <w:vAlign w:val="bottom"/>
          </w:tcPr>
          <w:p w14:paraId="68504470" w14:textId="77777777" w:rsidR="000C4060" w:rsidRPr="003C716D" w:rsidRDefault="009D66F0" w:rsidP="006E220E">
            <w:pPr>
              <w:ind w:firstLine="0"/>
              <w:jc w:val="center"/>
              <w:rPr>
                <w:sz w:val="20"/>
                <w:szCs w:val="20"/>
              </w:rPr>
            </w:pPr>
            <w:r w:rsidRPr="003C716D">
              <w:rPr>
                <w:sz w:val="20"/>
                <w:szCs w:val="20"/>
              </w:rPr>
              <w:t>X</w:t>
            </w:r>
          </w:p>
        </w:tc>
      </w:tr>
    </w:tbl>
    <w:p w14:paraId="455D45D7" w14:textId="77777777" w:rsidR="00B35CA4" w:rsidRDefault="00B35CA4" w:rsidP="00396B97">
      <w:pPr>
        <w:pStyle w:val="StyleStyleHeading2ChapterParanumTextSylfaenGHEAGrapa"/>
        <w:spacing w:line="276" w:lineRule="auto"/>
        <w:ind w:left="0" w:firstLine="0"/>
      </w:pPr>
      <w:bookmarkStart w:id="265" w:name="_Toc13837288"/>
      <w:bookmarkStart w:id="266" w:name="_Toc14687624"/>
      <w:bookmarkStart w:id="267" w:name="_Toc41075569"/>
      <w:bookmarkStart w:id="268" w:name="_Toc519513634"/>
    </w:p>
    <w:p w14:paraId="264D238C" w14:textId="77777777" w:rsidR="00396B97" w:rsidRPr="00EB1197" w:rsidRDefault="00396B97" w:rsidP="00396B97">
      <w:pPr>
        <w:pStyle w:val="Heading3"/>
        <w:numPr>
          <w:ilvl w:val="0"/>
          <w:numId w:val="0"/>
        </w:numPr>
        <w:ind w:left="720"/>
        <w:rPr>
          <w:rFonts w:eastAsia="Times New Roman" w:cs="Times New Roman"/>
          <w:caps w:val="0"/>
          <w:color w:val="1F497D" w:themeColor="text2"/>
          <w:sz w:val="28"/>
          <w:szCs w:val="28"/>
          <w:lang w:val="it-IT"/>
        </w:rPr>
      </w:pPr>
      <w:bookmarkStart w:id="269" w:name="_Toc45838535"/>
      <w:bookmarkStart w:id="270" w:name="_Toc46154363"/>
      <w:r w:rsidRPr="00EB1197">
        <w:rPr>
          <w:rFonts w:eastAsia="Times New Roman" w:cs="Times New Roman"/>
          <w:caps w:val="0"/>
          <w:color w:val="1F497D" w:themeColor="text2"/>
          <w:sz w:val="28"/>
          <w:szCs w:val="28"/>
          <w:lang w:val="it-IT"/>
        </w:rPr>
        <w:t xml:space="preserve">4.3. </w:t>
      </w:r>
      <w:r w:rsidR="00B35CA4" w:rsidRPr="00EB1197">
        <w:rPr>
          <w:rFonts w:eastAsia="Times New Roman" w:cs="Times New Roman"/>
          <w:caps w:val="0"/>
          <w:color w:val="1F497D" w:themeColor="text2"/>
          <w:sz w:val="28"/>
          <w:szCs w:val="28"/>
          <w:lang w:val="it-IT"/>
        </w:rPr>
        <w:t>202</w:t>
      </w:r>
      <w:r w:rsidR="00595A2D" w:rsidRPr="0035033F">
        <w:rPr>
          <w:rFonts w:eastAsia="Times New Roman" w:cs="Times New Roman"/>
          <w:caps w:val="0"/>
          <w:color w:val="1F497D" w:themeColor="text2"/>
          <w:sz w:val="28"/>
          <w:szCs w:val="28"/>
          <w:lang w:val="it-IT"/>
        </w:rPr>
        <w:t>1</w:t>
      </w:r>
      <w:r w:rsidR="00B35CA4" w:rsidRPr="00EB1197">
        <w:rPr>
          <w:rFonts w:eastAsia="Times New Roman" w:cs="Times New Roman"/>
          <w:caps w:val="0"/>
          <w:color w:val="1F497D" w:themeColor="text2"/>
          <w:sz w:val="28"/>
          <w:szCs w:val="28"/>
          <w:lang w:val="it-IT"/>
        </w:rPr>
        <w:t>-202</w:t>
      </w:r>
      <w:r w:rsidR="00595A2D" w:rsidRPr="0035033F">
        <w:rPr>
          <w:rFonts w:eastAsia="Times New Roman" w:cs="Times New Roman"/>
          <w:caps w:val="0"/>
          <w:color w:val="1F497D" w:themeColor="text2"/>
          <w:sz w:val="28"/>
          <w:szCs w:val="28"/>
          <w:lang w:val="it-IT"/>
        </w:rPr>
        <w:t>3</w:t>
      </w:r>
      <w:r w:rsidR="00B35CA4" w:rsidRPr="008C4E6F">
        <w:rPr>
          <w:rFonts w:eastAsia="Times New Roman" w:cs="Times New Roman"/>
          <w:caps w:val="0"/>
          <w:color w:val="1F497D" w:themeColor="text2"/>
          <w:sz w:val="28"/>
          <w:szCs w:val="28"/>
          <w:lang w:val="en-US"/>
        </w:rPr>
        <w:t>ԹԹ</w:t>
      </w:r>
      <w:r w:rsidR="00B35CA4" w:rsidRPr="00EB1197">
        <w:rPr>
          <w:rFonts w:eastAsia="Times New Roman" w:cs="Times New Roman"/>
          <w:caps w:val="0"/>
          <w:color w:val="1F497D" w:themeColor="text2"/>
          <w:sz w:val="28"/>
          <w:szCs w:val="28"/>
          <w:lang w:val="it-IT"/>
        </w:rPr>
        <w:t xml:space="preserve"> </w:t>
      </w:r>
      <w:bookmarkEnd w:id="265"/>
      <w:bookmarkEnd w:id="266"/>
      <w:bookmarkEnd w:id="269"/>
      <w:r w:rsidRPr="00396B97">
        <w:rPr>
          <w:rFonts w:eastAsia="Times New Roman" w:cs="Times New Roman"/>
          <w:caps w:val="0"/>
          <w:color w:val="1F497D" w:themeColor="text2"/>
          <w:sz w:val="28"/>
          <w:szCs w:val="28"/>
          <w:lang w:val="en-US"/>
        </w:rPr>
        <w:t>ՊԵՏԱԿԱՆ</w:t>
      </w:r>
      <w:r w:rsidRPr="00EB1197">
        <w:rPr>
          <w:rFonts w:eastAsia="Times New Roman" w:cs="Times New Roman"/>
          <w:caps w:val="0"/>
          <w:color w:val="1F497D" w:themeColor="text2"/>
          <w:sz w:val="28"/>
          <w:szCs w:val="28"/>
          <w:lang w:val="it-IT"/>
        </w:rPr>
        <w:t xml:space="preserve"> </w:t>
      </w:r>
      <w:r w:rsidRPr="00396B97">
        <w:rPr>
          <w:rFonts w:eastAsia="Times New Roman" w:cs="Times New Roman"/>
          <w:caps w:val="0"/>
          <w:color w:val="1F497D" w:themeColor="text2"/>
          <w:sz w:val="28"/>
          <w:szCs w:val="28"/>
          <w:lang w:val="en-US"/>
        </w:rPr>
        <w:t>ԲՅՈՒՋԵՆԵՐԻ</w:t>
      </w:r>
      <w:r w:rsidRPr="00EB1197">
        <w:rPr>
          <w:rFonts w:eastAsia="Times New Roman" w:cs="Times New Roman"/>
          <w:caps w:val="0"/>
          <w:color w:val="1F497D" w:themeColor="text2"/>
          <w:sz w:val="28"/>
          <w:szCs w:val="28"/>
          <w:lang w:val="it-IT"/>
        </w:rPr>
        <w:t xml:space="preserve"> </w:t>
      </w:r>
      <w:r w:rsidRPr="00396B97">
        <w:rPr>
          <w:rFonts w:eastAsia="Times New Roman" w:cs="Times New Roman"/>
          <w:caps w:val="0"/>
          <w:color w:val="1F497D" w:themeColor="text2"/>
          <w:sz w:val="28"/>
          <w:szCs w:val="28"/>
          <w:lang w:val="en-US"/>
        </w:rPr>
        <w:t>ԾԱԽՍԵՐԻ</w:t>
      </w:r>
      <w:r w:rsidRPr="00EB1197">
        <w:rPr>
          <w:rFonts w:eastAsia="Times New Roman" w:cs="Times New Roman"/>
          <w:caps w:val="0"/>
          <w:color w:val="1F497D" w:themeColor="text2"/>
          <w:sz w:val="28"/>
          <w:szCs w:val="28"/>
          <w:lang w:val="it-IT"/>
        </w:rPr>
        <w:t xml:space="preserve"> </w:t>
      </w:r>
      <w:r w:rsidRPr="00396B97">
        <w:rPr>
          <w:rFonts w:eastAsia="Times New Roman" w:cs="Times New Roman"/>
          <w:caps w:val="0"/>
          <w:color w:val="1F497D" w:themeColor="text2"/>
          <w:sz w:val="28"/>
          <w:szCs w:val="28"/>
          <w:lang w:val="en-US"/>
        </w:rPr>
        <w:t>ԿԱՆԽԱՏԵՍՈՒՄԸ</w:t>
      </w:r>
      <w:r w:rsidRPr="00EB1197">
        <w:rPr>
          <w:rFonts w:eastAsia="Times New Roman" w:cs="Times New Roman"/>
          <w:caps w:val="0"/>
          <w:color w:val="1F497D" w:themeColor="text2"/>
          <w:sz w:val="28"/>
          <w:szCs w:val="28"/>
          <w:lang w:val="it-IT"/>
        </w:rPr>
        <w:t xml:space="preserve">` </w:t>
      </w:r>
      <w:r w:rsidRPr="00396B97">
        <w:rPr>
          <w:rFonts w:eastAsia="Times New Roman" w:cs="Times New Roman"/>
          <w:caps w:val="0"/>
          <w:color w:val="1F497D" w:themeColor="text2"/>
          <w:sz w:val="28"/>
          <w:szCs w:val="28"/>
          <w:lang w:val="en-US"/>
        </w:rPr>
        <w:t>ԸՍՏ</w:t>
      </w:r>
      <w:r w:rsidRPr="00EB1197">
        <w:rPr>
          <w:rFonts w:eastAsia="Times New Roman" w:cs="Times New Roman"/>
          <w:caps w:val="0"/>
          <w:color w:val="1F497D" w:themeColor="text2"/>
          <w:sz w:val="28"/>
          <w:szCs w:val="28"/>
          <w:lang w:val="it-IT"/>
        </w:rPr>
        <w:t xml:space="preserve"> </w:t>
      </w:r>
      <w:r w:rsidRPr="00396B97">
        <w:rPr>
          <w:rFonts w:eastAsia="Times New Roman" w:cs="Times New Roman"/>
          <w:caps w:val="0"/>
          <w:color w:val="1F497D" w:themeColor="text2"/>
          <w:sz w:val="28"/>
          <w:szCs w:val="28"/>
          <w:lang w:val="en-US"/>
        </w:rPr>
        <w:t>ՈԼՈՐՏՆԵՐԻ</w:t>
      </w:r>
      <w:bookmarkEnd w:id="270"/>
    </w:p>
    <w:p w14:paraId="78596E8C" w14:textId="77777777" w:rsidR="00173FEB" w:rsidRPr="00EB1197" w:rsidRDefault="00173FEB" w:rsidP="0035033F">
      <w:pPr>
        <w:pStyle w:val="Heading3"/>
        <w:numPr>
          <w:ilvl w:val="0"/>
          <w:numId w:val="0"/>
        </w:numPr>
        <w:ind w:left="720"/>
        <w:rPr>
          <w:rFonts w:eastAsia="Times New Roman" w:cs="Times New Roman"/>
          <w:color w:val="1F497D" w:themeColor="text2"/>
          <w:sz w:val="28"/>
          <w:szCs w:val="28"/>
        </w:rPr>
      </w:pPr>
    </w:p>
    <w:p w14:paraId="19F2F602" w14:textId="79D54EED" w:rsidR="000A39B3" w:rsidRPr="00930D04" w:rsidRDefault="000A39B3" w:rsidP="008F525B">
      <w:pPr>
        <w:spacing w:line="276" w:lineRule="auto"/>
        <w:ind w:firstLine="600"/>
        <w:rPr>
          <w:b/>
          <w:bCs/>
          <w:color w:val="1F497D" w:themeColor="text2"/>
          <w:kern w:val="24"/>
          <w:sz w:val="24"/>
          <w:szCs w:val="24"/>
          <w:lang w:val="hy-AM"/>
        </w:rPr>
      </w:pPr>
      <w:r>
        <w:rPr>
          <w:rFonts w:cs="Sylfaen"/>
          <w:lang w:val="hy-AM"/>
        </w:rPr>
        <w:t>Կորոնավիրուսի տնտեսական հետևանքներով պայմանավորված 2021-2023թթ ծախսային չափաքանակների հնարավորություններ</w:t>
      </w:r>
      <w:r w:rsidR="00A7415C" w:rsidRPr="00BE7F99">
        <w:rPr>
          <w:rFonts w:cs="Sylfaen"/>
          <w:lang w:val="hy-AM"/>
        </w:rPr>
        <w:t>ն</w:t>
      </w:r>
      <w:r>
        <w:rPr>
          <w:rFonts w:cs="Sylfaen"/>
          <w:lang w:val="hy-AM"/>
        </w:rPr>
        <w:t xml:space="preserve"> ավելի ցածր են, քան</w:t>
      </w:r>
      <w:r w:rsidRPr="003C716D">
        <w:rPr>
          <w:rFonts w:cs="Sylfaen"/>
          <w:lang w:val="es-ES"/>
        </w:rPr>
        <w:t xml:space="preserve"> նախորդ</w:t>
      </w:r>
      <w:r>
        <w:rPr>
          <w:rFonts w:cs="Sylfaen"/>
          <w:lang w:val="hy-AM"/>
        </w:rPr>
        <w:t xml:space="preserve"> հաստատված՝</w:t>
      </w:r>
      <w:r w:rsidRPr="003C716D">
        <w:rPr>
          <w:rFonts w:cs="Sylfaen"/>
          <w:lang w:val="es-ES"/>
        </w:rPr>
        <w:t xml:space="preserve"> </w:t>
      </w:r>
      <w:r>
        <w:rPr>
          <w:rFonts w:cs="Sylfaen"/>
          <w:lang w:val="es-ES"/>
        </w:rPr>
        <w:t xml:space="preserve">2020-2022 թվականների բյուջետային ծախսերի </w:t>
      </w:r>
      <w:r>
        <w:rPr>
          <w:rFonts w:cs="Sylfaen"/>
          <w:lang w:val="hy-AM"/>
        </w:rPr>
        <w:t>չափաքանակներն են,</w:t>
      </w:r>
      <w:r w:rsidRPr="003C716D">
        <w:rPr>
          <w:rFonts w:cs="Sylfaen"/>
          <w:lang w:val="es-ES"/>
        </w:rPr>
        <w:t xml:space="preserve"> </w:t>
      </w:r>
      <w:r>
        <w:rPr>
          <w:rFonts w:cs="Sylfaen"/>
          <w:lang w:val="hy-AM"/>
        </w:rPr>
        <w:t xml:space="preserve">ինչով պայմանավորված </w:t>
      </w:r>
      <w:r>
        <w:rPr>
          <w:rFonts w:cs="Sylfaen"/>
          <w:lang w:val="es-ES"/>
        </w:rPr>
        <w:t xml:space="preserve">2021-2023թթ </w:t>
      </w:r>
      <w:r w:rsidRPr="003C716D">
        <w:rPr>
          <w:rFonts w:cs="Sylfaen"/>
          <w:lang w:val="es-ES"/>
        </w:rPr>
        <w:t>միջնաժա</w:t>
      </w:r>
      <w:r>
        <w:rPr>
          <w:rFonts w:cs="Sylfaen"/>
          <w:lang w:val="hy-AM"/>
        </w:rPr>
        <w:t>մ</w:t>
      </w:r>
      <w:r w:rsidRPr="003C716D">
        <w:rPr>
          <w:rFonts w:cs="Sylfaen"/>
          <w:lang w:val="es-ES"/>
        </w:rPr>
        <w:t xml:space="preserve">կետ ծախսերի </w:t>
      </w:r>
      <w:r w:rsidRPr="00BF288D">
        <w:rPr>
          <w:rFonts w:cs="Sylfaen"/>
          <w:lang w:val="es-ES"/>
        </w:rPr>
        <w:t xml:space="preserve">ծրագրի </w:t>
      </w:r>
      <w:r w:rsidR="00F46CF3">
        <w:rPr>
          <w:rFonts w:cs="Sylfaen"/>
          <w:lang w:val="hy-AM"/>
        </w:rPr>
        <w:t>ընթացիկ ծախս</w:t>
      </w:r>
      <w:r w:rsidR="007724F4">
        <w:rPr>
          <w:rFonts w:cs="Sylfaen"/>
          <w:lang w:val="hy-AM"/>
        </w:rPr>
        <w:t>ե</w:t>
      </w:r>
      <w:r w:rsidR="00F46CF3">
        <w:rPr>
          <w:rFonts w:cs="Sylfaen"/>
          <w:lang w:val="hy-AM"/>
        </w:rPr>
        <w:t xml:space="preserve">րի </w:t>
      </w:r>
      <w:r w:rsidRPr="00BF288D">
        <w:rPr>
          <w:rFonts w:cs="Sylfaen"/>
          <w:lang w:val="es-ES"/>
        </w:rPr>
        <w:t>կանխատես</w:t>
      </w:r>
      <w:r w:rsidRPr="00BF288D">
        <w:rPr>
          <w:rFonts w:cs="Sylfaen"/>
          <w:lang w:val="hy-AM"/>
        </w:rPr>
        <w:t xml:space="preserve">ումներն իրականացվել են </w:t>
      </w:r>
      <w:r w:rsidRPr="00BF288D">
        <w:rPr>
          <w:rFonts w:eastAsia="Times New Roman" w:cs="Times New Roman"/>
          <w:color w:val="000000"/>
          <w:lang w:val="hy-AM"/>
        </w:rPr>
        <w:t>սահո</w:t>
      </w:r>
      <w:r w:rsidR="00107C4E">
        <w:rPr>
          <w:rFonts w:eastAsia="Times New Roman" w:cs="Times New Roman"/>
          <w:color w:val="000000"/>
          <w:lang w:val="hy-AM"/>
        </w:rPr>
        <w:t>ղ</w:t>
      </w:r>
      <w:r w:rsidRPr="00BF288D">
        <w:rPr>
          <w:rFonts w:eastAsia="Times New Roman" w:cs="Times New Roman"/>
          <w:color w:val="000000"/>
          <w:lang w:val="hy-AM"/>
        </w:rPr>
        <w:t xml:space="preserve"> հենքով </w:t>
      </w:r>
      <w:r w:rsidR="003529C1" w:rsidRPr="00BF288D">
        <w:rPr>
          <w:rFonts w:eastAsia="Times New Roman" w:cs="Times New Roman"/>
          <w:color w:val="000000"/>
          <w:lang w:val="hy-AM"/>
        </w:rPr>
        <w:t xml:space="preserve">(rolling baseline) </w:t>
      </w:r>
      <w:r w:rsidRPr="00BF288D">
        <w:rPr>
          <w:rFonts w:eastAsia="Times New Roman" w:cs="Times New Roman"/>
          <w:color w:val="000000"/>
          <w:lang w:val="hy-AM"/>
        </w:rPr>
        <w:t>բյուջետավորման սկզբունքով՝ հիմք ընդունելով 2019թ փաստացի, 2020թ</w:t>
      </w:r>
      <w:r w:rsidRPr="00BF288D">
        <w:rPr>
          <w:rFonts w:ascii="MS Mincho" w:eastAsia="MS Mincho" w:hAnsi="MS Mincho" w:cs="MS Mincho"/>
          <w:color w:val="000000"/>
          <w:lang w:val="hy-AM"/>
        </w:rPr>
        <w:t>․</w:t>
      </w:r>
      <w:r w:rsidRPr="00BF288D">
        <w:rPr>
          <w:rFonts w:eastAsia="Times New Roman" w:cs="Times New Roman"/>
          <w:color w:val="000000"/>
          <w:lang w:val="hy-AM"/>
        </w:rPr>
        <w:t>-ի հաստատված բյուջետային ծախսերը, որոնք 2021</w:t>
      </w:r>
      <w:r w:rsidR="00107C4E">
        <w:rPr>
          <w:rFonts w:eastAsia="Times New Roman" w:cs="Times New Roman"/>
          <w:color w:val="000000"/>
          <w:lang w:val="hy-AM"/>
        </w:rPr>
        <w:t>-2023թ</w:t>
      </w:r>
      <w:r w:rsidRPr="00BF288D">
        <w:rPr>
          <w:rFonts w:eastAsia="Times New Roman" w:cs="Times New Roman"/>
          <w:color w:val="000000"/>
          <w:lang w:val="hy-AM"/>
        </w:rPr>
        <w:t>թ</w:t>
      </w:r>
      <w:r w:rsidRPr="00BF288D">
        <w:rPr>
          <w:rFonts w:ascii="MS Mincho" w:eastAsia="MS Mincho" w:hAnsi="MS Mincho" w:cs="MS Mincho"/>
          <w:color w:val="000000"/>
          <w:lang w:val="hy-AM"/>
        </w:rPr>
        <w:t>․</w:t>
      </w:r>
      <w:r w:rsidRPr="00BF288D">
        <w:rPr>
          <w:rFonts w:eastAsia="Times New Roman" w:cs="Times New Roman"/>
          <w:color w:val="000000"/>
          <w:lang w:val="hy-AM"/>
        </w:rPr>
        <w:t>-ի համար ճշգրտվել են համապատասխան շահառուների, պահանջարկի գնահատված գործոններով, ինչպես նաև իրավական ակտերով ի հայտ եկած և կարգավորվող նոր դրույթներով։</w:t>
      </w:r>
    </w:p>
    <w:p w14:paraId="18D47C07" w14:textId="77777777" w:rsidR="00231073" w:rsidRDefault="00231073" w:rsidP="00930D04">
      <w:pPr>
        <w:rPr>
          <w:b/>
          <w:sz w:val="24"/>
          <w:szCs w:val="24"/>
          <w:lang w:val="af-ZA"/>
        </w:rPr>
      </w:pPr>
    </w:p>
    <w:p w14:paraId="2AA6CF18" w14:textId="77777777" w:rsidR="000A39B3" w:rsidRPr="008F525B" w:rsidRDefault="00434BD3" w:rsidP="00930D04">
      <w:pPr>
        <w:rPr>
          <w:b/>
          <w:sz w:val="20"/>
          <w:szCs w:val="20"/>
          <w:lang w:val="af-ZA"/>
        </w:rPr>
      </w:pPr>
      <w:r w:rsidRPr="008C23C8">
        <w:rPr>
          <w:rFonts w:eastAsia="Calibri" w:cs="Times New Roman"/>
          <w:b/>
          <w:i/>
          <w:iCs/>
          <w:color w:val="000000"/>
          <w:lang w:val="hy-AM"/>
        </w:rPr>
        <w:t xml:space="preserve">Գծապատկեր </w:t>
      </w:r>
      <w:r>
        <w:rPr>
          <w:rFonts w:eastAsia="Calibri" w:cs="Times New Roman"/>
          <w:b/>
          <w:i/>
          <w:iCs/>
          <w:color w:val="000000"/>
          <w:lang w:val="hy-AM"/>
        </w:rPr>
        <w:t>4</w:t>
      </w:r>
      <w:r w:rsidRPr="008C23C8">
        <w:rPr>
          <w:rFonts w:eastAsia="Calibri" w:cs="Times New Roman"/>
          <w:b/>
          <w:i/>
          <w:iCs/>
          <w:color w:val="000000"/>
          <w:lang w:val="hy-AM"/>
        </w:rPr>
        <w:t>.</w:t>
      </w:r>
      <w:r>
        <w:rPr>
          <w:rFonts w:eastAsia="Calibri" w:cs="Times New Roman"/>
          <w:b/>
          <w:i/>
          <w:iCs/>
          <w:color w:val="000000"/>
          <w:lang w:val="hy-AM"/>
        </w:rPr>
        <w:t>3․1</w:t>
      </w:r>
      <w:r w:rsidRPr="008C23C8">
        <w:rPr>
          <w:rFonts w:eastAsia="Calibri" w:cs="Times New Roman"/>
          <w:b/>
          <w:i/>
          <w:iCs/>
          <w:color w:val="000000"/>
          <w:lang w:val="hy-AM"/>
        </w:rPr>
        <w:t>.</w:t>
      </w:r>
      <w:r w:rsidRPr="008C23C8">
        <w:rPr>
          <w:rFonts w:eastAsia="Calibri" w:cs="Times New Roman"/>
          <w:b/>
          <w:i/>
          <w:iCs/>
          <w:color w:val="000000"/>
          <w:sz w:val="20"/>
          <w:szCs w:val="20"/>
          <w:lang w:val="hy-AM"/>
        </w:rPr>
        <w:t xml:space="preserve"> </w:t>
      </w:r>
      <w:r w:rsidR="000A39B3" w:rsidRPr="00434BD3">
        <w:rPr>
          <w:rFonts w:eastAsia="Calibri" w:cs="Times New Roman"/>
          <w:bCs/>
          <w:i/>
          <w:iCs/>
          <w:color w:val="000000"/>
          <w:sz w:val="20"/>
          <w:szCs w:val="20"/>
          <w:lang w:val="hy-AM"/>
        </w:rPr>
        <w:t>Միջնաժամկետ ծախսերի կանխատեսումների համեմատական</w:t>
      </w:r>
      <w:r w:rsidR="007E0E15">
        <w:rPr>
          <w:rFonts w:eastAsia="Calibri" w:cs="Times New Roman"/>
          <w:bCs/>
          <w:i/>
          <w:iCs/>
          <w:color w:val="000000"/>
          <w:sz w:val="20"/>
          <w:szCs w:val="20"/>
          <w:lang w:val="hy-AM"/>
        </w:rPr>
        <w:t>ը</w:t>
      </w:r>
      <w:r w:rsidR="000A39B3" w:rsidRPr="00434BD3">
        <w:rPr>
          <w:rFonts w:eastAsia="Calibri" w:cs="Times New Roman"/>
          <w:bCs/>
          <w:i/>
          <w:iCs/>
          <w:color w:val="000000"/>
          <w:sz w:val="20"/>
          <w:szCs w:val="20"/>
          <w:lang w:val="hy-AM"/>
        </w:rPr>
        <w:t xml:space="preserve"> </w:t>
      </w:r>
    </w:p>
    <w:p w14:paraId="5C63882F" w14:textId="77777777" w:rsidR="000A39B3" w:rsidRDefault="00173FEB" w:rsidP="000A39B3">
      <w:pPr>
        <w:spacing w:line="360" w:lineRule="auto"/>
        <w:ind w:firstLine="600"/>
        <w:rPr>
          <w:rFonts w:cs="Sylfaen"/>
        </w:rPr>
      </w:pPr>
      <w:r w:rsidRPr="0035033F">
        <w:rPr>
          <w:rFonts w:cs="Sylfaen"/>
          <w:noProof/>
        </w:rPr>
        <w:drawing>
          <wp:inline distT="0" distB="0" distL="0" distR="0" wp14:anchorId="3C27E229" wp14:editId="611C216C">
            <wp:extent cx="5943600" cy="2974975"/>
            <wp:effectExtent l="0" t="0" r="0" b="0"/>
            <wp:docPr id="4"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16C6350" w14:textId="77777777" w:rsidR="00396B97" w:rsidRPr="002A51B1" w:rsidRDefault="00396B97" w:rsidP="00396B97">
      <w:pPr>
        <w:rPr>
          <w:lang w:val="af-ZA"/>
        </w:rPr>
      </w:pPr>
      <w:bookmarkStart w:id="271" w:name="_Toc45838536"/>
      <w:r w:rsidRPr="002A51B1">
        <w:rPr>
          <w:rFonts w:cs="Arial"/>
        </w:rPr>
        <w:lastRenderedPageBreak/>
        <w:t>ՀՀ</w:t>
      </w:r>
      <w:r w:rsidRPr="002A51B1">
        <w:rPr>
          <w:lang w:val="af-ZA"/>
        </w:rPr>
        <w:t xml:space="preserve"> 2021-2023 </w:t>
      </w:r>
      <w:r w:rsidRPr="002A51B1">
        <w:rPr>
          <w:rFonts w:cs="Arial"/>
        </w:rPr>
        <w:t>թվականների</w:t>
      </w:r>
      <w:r w:rsidRPr="002A51B1">
        <w:rPr>
          <w:lang w:val="af-ZA"/>
        </w:rPr>
        <w:t xml:space="preserve"> </w:t>
      </w:r>
      <w:r w:rsidRPr="002A51B1">
        <w:rPr>
          <w:rFonts w:cs="Arial"/>
        </w:rPr>
        <w:t>պետական</w:t>
      </w:r>
      <w:r w:rsidRPr="002A51B1">
        <w:rPr>
          <w:lang w:val="af-ZA"/>
        </w:rPr>
        <w:t xml:space="preserve"> </w:t>
      </w:r>
      <w:r w:rsidRPr="002A51B1">
        <w:rPr>
          <w:rFonts w:cs="Arial"/>
        </w:rPr>
        <w:t>բյուջեների</w:t>
      </w:r>
      <w:r w:rsidRPr="002A51B1">
        <w:rPr>
          <w:lang w:val="af-ZA"/>
        </w:rPr>
        <w:t xml:space="preserve"> </w:t>
      </w:r>
      <w:r w:rsidRPr="002A51B1">
        <w:rPr>
          <w:rFonts w:cs="Arial"/>
        </w:rPr>
        <w:t>ծախսերի</w:t>
      </w:r>
      <w:r w:rsidRPr="002A51B1">
        <w:rPr>
          <w:lang w:val="af-ZA"/>
        </w:rPr>
        <w:t xml:space="preserve"> </w:t>
      </w:r>
      <w:r w:rsidRPr="002A51B1">
        <w:rPr>
          <w:rFonts w:cs="Arial"/>
        </w:rPr>
        <w:t>կանխատեսումները՝</w:t>
      </w:r>
      <w:r w:rsidRPr="002A51B1">
        <w:rPr>
          <w:lang w:val="af-ZA"/>
        </w:rPr>
        <w:t xml:space="preserve"> </w:t>
      </w:r>
      <w:r w:rsidRPr="002A51B1">
        <w:rPr>
          <w:rFonts w:cs="Arial"/>
        </w:rPr>
        <w:t>ըստ</w:t>
      </w:r>
      <w:r w:rsidRPr="002A51B1">
        <w:rPr>
          <w:lang w:val="af-ZA"/>
        </w:rPr>
        <w:t xml:space="preserve"> </w:t>
      </w:r>
      <w:r w:rsidRPr="002A51B1">
        <w:rPr>
          <w:rFonts w:cs="Arial"/>
        </w:rPr>
        <w:t>ոլորտ</w:t>
      </w:r>
      <w:r w:rsidRPr="002A51B1">
        <w:rPr>
          <w:lang w:val="af-ZA"/>
        </w:rPr>
        <w:softHyphen/>
      </w:r>
      <w:r w:rsidRPr="002A51B1">
        <w:rPr>
          <w:rFonts w:cs="Arial"/>
        </w:rPr>
        <w:t>ների</w:t>
      </w:r>
      <w:r w:rsidRPr="002A51B1">
        <w:rPr>
          <w:lang w:val="af-ZA"/>
        </w:rPr>
        <w:t xml:space="preserve"> </w:t>
      </w:r>
      <w:r w:rsidRPr="002A51B1">
        <w:rPr>
          <w:rFonts w:cs="Arial"/>
        </w:rPr>
        <w:t>բնութագրվում</w:t>
      </w:r>
      <w:r w:rsidRPr="002A51B1">
        <w:rPr>
          <w:lang w:val="af-ZA"/>
        </w:rPr>
        <w:t xml:space="preserve"> </w:t>
      </w:r>
      <w:r w:rsidRPr="002A51B1">
        <w:rPr>
          <w:rFonts w:cs="Arial"/>
        </w:rPr>
        <w:t>են</w:t>
      </w:r>
      <w:r w:rsidRPr="002A51B1">
        <w:rPr>
          <w:lang w:val="af-ZA"/>
        </w:rPr>
        <w:t xml:space="preserve"> </w:t>
      </w:r>
      <w:r w:rsidRPr="002A51B1">
        <w:rPr>
          <w:rFonts w:cs="Arial"/>
        </w:rPr>
        <w:t>ստորև</w:t>
      </w:r>
      <w:r w:rsidRPr="002A51B1">
        <w:rPr>
          <w:lang w:val="af-ZA"/>
        </w:rPr>
        <w:t xml:space="preserve"> </w:t>
      </w:r>
      <w:r w:rsidRPr="002A51B1">
        <w:rPr>
          <w:rFonts w:cs="Arial"/>
        </w:rPr>
        <w:t>ներկայացված</w:t>
      </w:r>
      <w:r w:rsidRPr="002A51B1">
        <w:rPr>
          <w:lang w:val="af-ZA"/>
        </w:rPr>
        <w:t xml:space="preserve"> </w:t>
      </w:r>
      <w:r w:rsidRPr="002A51B1">
        <w:rPr>
          <w:rFonts w:cs="Arial"/>
        </w:rPr>
        <w:t>աղյուսակի</w:t>
      </w:r>
      <w:r w:rsidRPr="002A51B1">
        <w:rPr>
          <w:lang w:val="af-ZA"/>
        </w:rPr>
        <w:t xml:space="preserve"> </w:t>
      </w:r>
      <w:r w:rsidRPr="002A51B1">
        <w:rPr>
          <w:rFonts w:cs="Arial"/>
        </w:rPr>
        <w:t>ցուցանիշներով</w:t>
      </w:r>
      <w:r w:rsidRPr="002A51B1">
        <w:rPr>
          <w:lang w:val="af-ZA"/>
        </w:rPr>
        <w:t>:</w:t>
      </w:r>
    </w:p>
    <w:p w14:paraId="662AF802" w14:textId="77777777" w:rsidR="00396B97" w:rsidRPr="008F525B" w:rsidRDefault="00396B97" w:rsidP="00396B97">
      <w:pPr>
        <w:rPr>
          <w:i/>
          <w:sz w:val="20"/>
          <w:szCs w:val="20"/>
          <w:lang w:val="af-ZA"/>
        </w:rPr>
      </w:pPr>
      <w:r w:rsidRPr="008F525B">
        <w:rPr>
          <w:rFonts w:cs="Arial"/>
          <w:b/>
          <w:sz w:val="20"/>
          <w:szCs w:val="20"/>
        </w:rPr>
        <w:t>Աղյուսակ</w:t>
      </w:r>
      <w:r w:rsidRPr="008F525B">
        <w:rPr>
          <w:b/>
          <w:sz w:val="20"/>
          <w:szCs w:val="20"/>
          <w:lang w:val="af-ZA"/>
        </w:rPr>
        <w:t xml:space="preserve"> 4.</w:t>
      </w:r>
      <w:r w:rsidR="00231073" w:rsidRPr="008F525B">
        <w:rPr>
          <w:b/>
          <w:sz w:val="20"/>
          <w:szCs w:val="20"/>
          <w:lang w:val="hy-AM"/>
        </w:rPr>
        <w:t>3</w:t>
      </w:r>
      <w:r w:rsidRPr="008F525B">
        <w:rPr>
          <w:b/>
          <w:sz w:val="20"/>
          <w:szCs w:val="20"/>
          <w:lang w:val="af-ZA"/>
        </w:rPr>
        <w:t>.</w:t>
      </w:r>
      <w:r w:rsidR="008F525B" w:rsidRPr="008F525B">
        <w:rPr>
          <w:b/>
          <w:sz w:val="20"/>
          <w:szCs w:val="20"/>
          <w:lang w:val="af-ZA"/>
        </w:rPr>
        <w:t>1</w:t>
      </w:r>
      <w:r w:rsidRPr="008F525B">
        <w:rPr>
          <w:b/>
          <w:sz w:val="20"/>
          <w:szCs w:val="20"/>
          <w:lang w:val="af-ZA"/>
        </w:rPr>
        <w:t xml:space="preserve"> </w:t>
      </w:r>
      <w:r w:rsidRPr="008F525B">
        <w:rPr>
          <w:rFonts w:cs="Arial"/>
          <w:i/>
          <w:sz w:val="20"/>
          <w:szCs w:val="20"/>
        </w:rPr>
        <w:t>ՀՀ</w:t>
      </w:r>
      <w:r w:rsidRPr="008F525B">
        <w:rPr>
          <w:i/>
          <w:sz w:val="20"/>
          <w:szCs w:val="20"/>
          <w:lang w:val="af-ZA"/>
        </w:rPr>
        <w:t xml:space="preserve"> 2021-2023</w:t>
      </w:r>
      <w:r w:rsidRPr="008F525B">
        <w:rPr>
          <w:rFonts w:cs="Arial"/>
          <w:i/>
          <w:sz w:val="20"/>
          <w:szCs w:val="20"/>
          <w:lang w:val="it-IT"/>
        </w:rPr>
        <w:t>թթ</w:t>
      </w:r>
      <w:r w:rsidRPr="008F525B">
        <w:rPr>
          <w:i/>
          <w:sz w:val="20"/>
          <w:szCs w:val="20"/>
          <w:lang w:val="af-ZA"/>
        </w:rPr>
        <w:t xml:space="preserve"> </w:t>
      </w:r>
      <w:r w:rsidRPr="008F525B">
        <w:rPr>
          <w:rFonts w:cs="Arial"/>
          <w:i/>
          <w:sz w:val="20"/>
          <w:szCs w:val="20"/>
        </w:rPr>
        <w:t>պետական</w:t>
      </w:r>
      <w:r w:rsidRPr="008F525B">
        <w:rPr>
          <w:i/>
          <w:sz w:val="20"/>
          <w:szCs w:val="20"/>
          <w:lang w:val="af-ZA"/>
        </w:rPr>
        <w:t xml:space="preserve"> </w:t>
      </w:r>
      <w:r w:rsidRPr="008F525B">
        <w:rPr>
          <w:rFonts w:cs="Arial"/>
          <w:i/>
          <w:sz w:val="20"/>
          <w:szCs w:val="20"/>
        </w:rPr>
        <w:t>բյուջեների</w:t>
      </w:r>
      <w:r w:rsidRPr="008F525B">
        <w:rPr>
          <w:i/>
          <w:sz w:val="20"/>
          <w:szCs w:val="20"/>
          <w:lang w:val="af-ZA"/>
        </w:rPr>
        <w:t xml:space="preserve"> </w:t>
      </w:r>
      <w:r w:rsidRPr="008F525B">
        <w:rPr>
          <w:rFonts w:cs="Arial"/>
          <w:i/>
          <w:sz w:val="20"/>
          <w:szCs w:val="20"/>
        </w:rPr>
        <w:t>ծախսերը՝</w:t>
      </w:r>
      <w:r w:rsidRPr="008F525B">
        <w:rPr>
          <w:i/>
          <w:sz w:val="20"/>
          <w:szCs w:val="20"/>
          <w:lang w:val="af-ZA"/>
        </w:rPr>
        <w:t xml:space="preserve"> </w:t>
      </w:r>
      <w:r w:rsidRPr="008F525B">
        <w:rPr>
          <w:rFonts w:cs="Arial"/>
          <w:i/>
          <w:sz w:val="20"/>
          <w:szCs w:val="20"/>
        </w:rPr>
        <w:t>ըստ</w:t>
      </w:r>
      <w:r w:rsidRPr="008F525B">
        <w:rPr>
          <w:i/>
          <w:sz w:val="20"/>
          <w:szCs w:val="20"/>
          <w:lang w:val="af-ZA"/>
        </w:rPr>
        <w:t xml:space="preserve"> </w:t>
      </w:r>
      <w:r w:rsidRPr="008F525B">
        <w:rPr>
          <w:rFonts w:cs="Arial"/>
          <w:i/>
          <w:sz w:val="20"/>
          <w:szCs w:val="20"/>
        </w:rPr>
        <w:t>ոլորտների</w:t>
      </w:r>
      <w:r w:rsidRPr="008F525B">
        <w:rPr>
          <w:i/>
          <w:sz w:val="20"/>
          <w:szCs w:val="20"/>
          <w:lang w:val="af-ZA"/>
        </w:rPr>
        <w:t xml:space="preserve"> (</w:t>
      </w:r>
      <w:r w:rsidRPr="008F525B">
        <w:rPr>
          <w:rFonts w:cs="Arial"/>
          <w:i/>
          <w:sz w:val="20"/>
          <w:szCs w:val="20"/>
        </w:rPr>
        <w:t>մլն</w:t>
      </w:r>
      <w:r w:rsidRPr="008F525B">
        <w:rPr>
          <w:i/>
          <w:sz w:val="20"/>
          <w:szCs w:val="20"/>
          <w:lang w:val="af-ZA"/>
        </w:rPr>
        <w:t xml:space="preserve"> </w:t>
      </w:r>
      <w:r w:rsidRPr="008F525B">
        <w:rPr>
          <w:rFonts w:cs="Arial"/>
          <w:i/>
          <w:sz w:val="20"/>
          <w:szCs w:val="20"/>
        </w:rPr>
        <w:t>դրամ</w:t>
      </w:r>
      <w:r w:rsidRPr="008F525B">
        <w:rPr>
          <w:i/>
          <w:sz w:val="20"/>
          <w:szCs w:val="20"/>
          <w:lang w:val="af-ZA"/>
        </w:rPr>
        <w:t>)</w:t>
      </w:r>
    </w:p>
    <w:tbl>
      <w:tblPr>
        <w:tblW w:w="513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692"/>
        <w:gridCol w:w="1420"/>
        <w:gridCol w:w="1422"/>
        <w:gridCol w:w="1325"/>
        <w:gridCol w:w="1314"/>
      </w:tblGrid>
      <w:tr w:rsidR="00396B97" w:rsidRPr="00C810AC" w14:paraId="7649AD41" w14:textId="77777777" w:rsidTr="003D408A">
        <w:trPr>
          <w:trHeight w:val="20"/>
          <w:tblHeader/>
        </w:trPr>
        <w:tc>
          <w:tcPr>
            <w:tcW w:w="2306" w:type="pct"/>
            <w:tcBorders>
              <w:top w:val="double" w:sz="4" w:space="0" w:color="auto"/>
              <w:bottom w:val="double" w:sz="4" w:space="0" w:color="auto"/>
            </w:tcBorders>
            <w:shd w:val="clear" w:color="auto" w:fill="4F81BD" w:themeFill="accent1"/>
            <w:tcMar>
              <w:left w:w="57" w:type="dxa"/>
              <w:right w:w="57" w:type="dxa"/>
            </w:tcMar>
            <w:vAlign w:val="center"/>
          </w:tcPr>
          <w:p w14:paraId="19795FFC" w14:textId="77777777" w:rsidR="00396B97" w:rsidRPr="003D408A" w:rsidRDefault="00396B97" w:rsidP="007C008F">
            <w:pPr>
              <w:pStyle w:val="BodyText"/>
              <w:spacing w:after="0" w:line="256" w:lineRule="auto"/>
              <w:jc w:val="center"/>
              <w:rPr>
                <w:rFonts w:cs="Sylfaen"/>
                <w:color w:val="FFFFFF" w:themeColor="background1"/>
                <w:sz w:val="20"/>
                <w:szCs w:val="20"/>
              </w:rPr>
            </w:pPr>
            <w:r w:rsidRPr="003D408A">
              <w:rPr>
                <w:rFonts w:cs="Sylfaen"/>
                <w:color w:val="FFFFFF" w:themeColor="background1"/>
                <w:sz w:val="20"/>
                <w:szCs w:val="20"/>
              </w:rPr>
              <w:t>Ցուցանիշներ</w:t>
            </w:r>
          </w:p>
        </w:tc>
        <w:tc>
          <w:tcPr>
            <w:tcW w:w="698" w:type="pct"/>
            <w:tcBorders>
              <w:top w:val="double" w:sz="4" w:space="0" w:color="auto"/>
              <w:bottom w:val="double" w:sz="4" w:space="0" w:color="auto"/>
            </w:tcBorders>
            <w:shd w:val="clear" w:color="auto" w:fill="4F81BD" w:themeFill="accent1"/>
            <w:tcMar>
              <w:left w:w="57" w:type="dxa"/>
              <w:right w:w="57" w:type="dxa"/>
            </w:tcMar>
            <w:vAlign w:val="center"/>
          </w:tcPr>
          <w:p w14:paraId="606418AB" w14:textId="77777777" w:rsidR="00396B97" w:rsidRPr="003D408A" w:rsidRDefault="00396B97" w:rsidP="000C7BC1">
            <w:pPr>
              <w:pStyle w:val="BodyText"/>
              <w:spacing w:after="0" w:line="256" w:lineRule="auto"/>
              <w:ind w:firstLine="0"/>
              <w:jc w:val="center"/>
              <w:rPr>
                <w:rFonts w:cs="Sylfaen"/>
                <w:color w:val="FFFFFF" w:themeColor="background1"/>
                <w:sz w:val="20"/>
                <w:szCs w:val="20"/>
              </w:rPr>
            </w:pPr>
            <w:r w:rsidRPr="003D408A">
              <w:rPr>
                <w:rFonts w:cs="Sylfaen"/>
                <w:color w:val="FFFFFF" w:themeColor="background1"/>
                <w:sz w:val="20"/>
                <w:szCs w:val="20"/>
              </w:rPr>
              <w:t>2020թ հաստատված</w:t>
            </w:r>
          </w:p>
        </w:tc>
        <w:tc>
          <w:tcPr>
            <w:tcW w:w="699" w:type="pct"/>
            <w:tcBorders>
              <w:top w:val="double" w:sz="4" w:space="0" w:color="auto"/>
              <w:bottom w:val="double" w:sz="4" w:space="0" w:color="auto"/>
            </w:tcBorders>
            <w:shd w:val="clear" w:color="auto" w:fill="4F81BD" w:themeFill="accent1"/>
            <w:tcMar>
              <w:left w:w="57" w:type="dxa"/>
              <w:right w:w="57" w:type="dxa"/>
            </w:tcMar>
            <w:vAlign w:val="center"/>
          </w:tcPr>
          <w:p w14:paraId="7B1334F4" w14:textId="77777777" w:rsidR="00396B97" w:rsidRPr="003D408A" w:rsidRDefault="00396B97" w:rsidP="000C7BC1">
            <w:pPr>
              <w:pStyle w:val="BodyText"/>
              <w:spacing w:after="0" w:line="256" w:lineRule="auto"/>
              <w:ind w:firstLine="0"/>
              <w:jc w:val="center"/>
              <w:rPr>
                <w:rFonts w:cs="Sylfaen"/>
                <w:color w:val="FFFFFF" w:themeColor="background1"/>
                <w:sz w:val="20"/>
                <w:szCs w:val="20"/>
              </w:rPr>
            </w:pPr>
            <w:r w:rsidRPr="003D408A">
              <w:rPr>
                <w:rFonts w:cs="Sylfaen"/>
                <w:color w:val="FFFFFF" w:themeColor="background1"/>
                <w:sz w:val="20"/>
                <w:szCs w:val="20"/>
              </w:rPr>
              <w:t>2021</w:t>
            </w:r>
            <w:proofErr w:type="gramStart"/>
            <w:r w:rsidRPr="003D408A">
              <w:rPr>
                <w:rFonts w:cs="Sylfaen"/>
                <w:color w:val="FFFFFF" w:themeColor="background1"/>
                <w:sz w:val="20"/>
                <w:szCs w:val="20"/>
              </w:rPr>
              <w:t xml:space="preserve">թ </w:t>
            </w:r>
            <w:r w:rsidR="000C7BC1">
              <w:rPr>
                <w:rFonts w:cs="Sylfaen"/>
                <w:color w:val="FFFFFF" w:themeColor="background1"/>
                <w:sz w:val="20"/>
                <w:szCs w:val="20"/>
                <w:lang w:val="hy-AM"/>
              </w:rPr>
              <w:t xml:space="preserve"> </w:t>
            </w:r>
            <w:r w:rsidRPr="003D408A">
              <w:rPr>
                <w:rFonts w:cs="Sylfaen"/>
                <w:color w:val="FFFFFF" w:themeColor="background1"/>
                <w:sz w:val="20"/>
                <w:szCs w:val="20"/>
              </w:rPr>
              <w:t>ծրագիր</w:t>
            </w:r>
            <w:proofErr w:type="gramEnd"/>
          </w:p>
        </w:tc>
        <w:tc>
          <w:tcPr>
            <w:tcW w:w="651" w:type="pct"/>
            <w:tcBorders>
              <w:top w:val="double" w:sz="4" w:space="0" w:color="auto"/>
              <w:bottom w:val="double" w:sz="4" w:space="0" w:color="auto"/>
            </w:tcBorders>
            <w:shd w:val="clear" w:color="auto" w:fill="4F81BD" w:themeFill="accent1"/>
            <w:vAlign w:val="center"/>
          </w:tcPr>
          <w:p w14:paraId="2AE376DE" w14:textId="77777777" w:rsidR="00396B97" w:rsidRPr="003D408A" w:rsidRDefault="00396B97" w:rsidP="000C7BC1">
            <w:pPr>
              <w:pStyle w:val="BodyText"/>
              <w:spacing w:after="0" w:line="256" w:lineRule="auto"/>
              <w:ind w:firstLine="0"/>
              <w:jc w:val="center"/>
              <w:rPr>
                <w:rFonts w:cs="Sylfaen"/>
                <w:color w:val="FFFFFF" w:themeColor="background1"/>
                <w:sz w:val="20"/>
                <w:szCs w:val="20"/>
              </w:rPr>
            </w:pPr>
            <w:r w:rsidRPr="003D408A">
              <w:rPr>
                <w:rFonts w:cs="Sylfaen"/>
                <w:color w:val="FFFFFF" w:themeColor="background1"/>
                <w:sz w:val="20"/>
                <w:szCs w:val="20"/>
              </w:rPr>
              <w:t>2022</w:t>
            </w:r>
            <w:proofErr w:type="gramStart"/>
            <w:r w:rsidRPr="003D408A">
              <w:rPr>
                <w:rFonts w:cs="Sylfaen"/>
                <w:color w:val="FFFFFF" w:themeColor="background1"/>
                <w:sz w:val="20"/>
                <w:szCs w:val="20"/>
              </w:rPr>
              <w:t xml:space="preserve">թ </w:t>
            </w:r>
            <w:r w:rsidR="000C7BC1">
              <w:rPr>
                <w:rFonts w:cs="Sylfaen"/>
                <w:color w:val="FFFFFF" w:themeColor="background1"/>
                <w:sz w:val="20"/>
                <w:szCs w:val="20"/>
                <w:lang w:val="hy-AM"/>
              </w:rPr>
              <w:t xml:space="preserve"> </w:t>
            </w:r>
            <w:r w:rsidRPr="003D408A">
              <w:rPr>
                <w:rFonts w:cs="Sylfaen"/>
                <w:color w:val="FFFFFF" w:themeColor="background1"/>
                <w:sz w:val="20"/>
                <w:szCs w:val="20"/>
              </w:rPr>
              <w:t>ծրագիր</w:t>
            </w:r>
            <w:proofErr w:type="gramEnd"/>
          </w:p>
        </w:tc>
        <w:tc>
          <w:tcPr>
            <w:tcW w:w="647" w:type="pct"/>
            <w:tcBorders>
              <w:top w:val="double" w:sz="4" w:space="0" w:color="auto"/>
              <w:bottom w:val="double" w:sz="4" w:space="0" w:color="auto"/>
            </w:tcBorders>
            <w:shd w:val="clear" w:color="auto" w:fill="4F81BD" w:themeFill="accent1"/>
            <w:vAlign w:val="center"/>
          </w:tcPr>
          <w:p w14:paraId="7353F0CC" w14:textId="77777777" w:rsidR="00396B97" w:rsidRPr="003D408A" w:rsidRDefault="00396B97" w:rsidP="000C7BC1">
            <w:pPr>
              <w:pStyle w:val="BodyText"/>
              <w:spacing w:after="0" w:line="256" w:lineRule="auto"/>
              <w:ind w:firstLine="0"/>
              <w:jc w:val="center"/>
              <w:rPr>
                <w:rFonts w:cs="Sylfaen"/>
                <w:color w:val="FFFFFF" w:themeColor="background1"/>
                <w:sz w:val="20"/>
                <w:szCs w:val="20"/>
              </w:rPr>
            </w:pPr>
            <w:r w:rsidRPr="003D408A">
              <w:rPr>
                <w:rFonts w:cs="Sylfaen"/>
                <w:color w:val="FFFFFF" w:themeColor="background1"/>
                <w:sz w:val="20"/>
                <w:szCs w:val="20"/>
              </w:rPr>
              <w:t xml:space="preserve">2023թ </w:t>
            </w:r>
            <w:r w:rsidR="000C7BC1">
              <w:rPr>
                <w:rFonts w:cs="Sylfaen"/>
                <w:color w:val="FFFFFF" w:themeColor="background1"/>
                <w:sz w:val="20"/>
                <w:szCs w:val="20"/>
              </w:rPr>
              <w:t>ծրագ</w:t>
            </w:r>
            <w:r w:rsidR="000C7BC1">
              <w:rPr>
                <w:rFonts w:cs="Sylfaen"/>
                <w:color w:val="FFFFFF" w:themeColor="background1"/>
                <w:sz w:val="20"/>
                <w:szCs w:val="20"/>
                <w:lang w:val="hy-AM"/>
              </w:rPr>
              <w:t>ի</w:t>
            </w:r>
            <w:r w:rsidRPr="003D408A">
              <w:rPr>
                <w:rFonts w:cs="Sylfaen"/>
                <w:color w:val="FFFFFF" w:themeColor="background1"/>
                <w:sz w:val="20"/>
                <w:szCs w:val="20"/>
              </w:rPr>
              <w:t>ր</w:t>
            </w:r>
          </w:p>
        </w:tc>
      </w:tr>
      <w:tr w:rsidR="00396B97" w:rsidRPr="002A51B1" w14:paraId="582153B5" w14:textId="77777777" w:rsidTr="003D408A">
        <w:tblPrEx>
          <w:tblCellMar>
            <w:left w:w="30" w:type="dxa"/>
            <w:right w:w="30" w:type="dxa"/>
          </w:tblCellMar>
        </w:tblPrEx>
        <w:trPr>
          <w:trHeight w:val="20"/>
        </w:trPr>
        <w:tc>
          <w:tcPr>
            <w:tcW w:w="2306" w:type="pct"/>
            <w:tcBorders>
              <w:top w:val="double" w:sz="4" w:space="0" w:color="auto"/>
              <w:bottom w:val="single" w:sz="6" w:space="0" w:color="auto"/>
            </w:tcBorders>
            <w:shd w:val="clear" w:color="auto" w:fill="C6D9F1" w:themeFill="text2" w:themeFillTint="33"/>
            <w:tcMar>
              <w:left w:w="57" w:type="dxa"/>
              <w:right w:w="57" w:type="dxa"/>
            </w:tcMar>
            <w:vAlign w:val="center"/>
          </w:tcPr>
          <w:p w14:paraId="03888D3B" w14:textId="77777777" w:rsidR="00396B97" w:rsidRPr="002A51B1" w:rsidRDefault="00396B97" w:rsidP="000C7BC1">
            <w:pPr>
              <w:ind w:firstLine="0"/>
              <w:rPr>
                <w:rFonts w:cs="Arial"/>
                <w:b/>
                <w:sz w:val="20"/>
                <w:szCs w:val="20"/>
              </w:rPr>
            </w:pPr>
            <w:r w:rsidRPr="002A51B1">
              <w:rPr>
                <w:rFonts w:cs="Arial"/>
                <w:b/>
                <w:sz w:val="20"/>
                <w:szCs w:val="20"/>
              </w:rPr>
              <w:t>ԸՆԴԱՄԵՆԸ</w:t>
            </w:r>
          </w:p>
        </w:tc>
        <w:tc>
          <w:tcPr>
            <w:tcW w:w="698" w:type="pct"/>
            <w:tcBorders>
              <w:top w:val="double" w:sz="4" w:space="0" w:color="auto"/>
              <w:bottom w:val="single" w:sz="4" w:space="0" w:color="auto"/>
            </w:tcBorders>
            <w:shd w:val="clear" w:color="auto" w:fill="C6D9F1" w:themeFill="text2" w:themeFillTint="33"/>
            <w:tcMar>
              <w:left w:w="57" w:type="dxa"/>
              <w:right w:w="57" w:type="dxa"/>
            </w:tcMar>
            <w:vAlign w:val="center"/>
          </w:tcPr>
          <w:p w14:paraId="289EB23A" w14:textId="77777777" w:rsidR="00396B97" w:rsidRPr="002A51B1" w:rsidRDefault="00396B97" w:rsidP="000C7BC1">
            <w:pPr>
              <w:ind w:firstLine="0"/>
              <w:jc w:val="center"/>
              <w:rPr>
                <w:rFonts w:cs="Arial"/>
                <w:b/>
                <w:sz w:val="20"/>
                <w:szCs w:val="20"/>
              </w:rPr>
            </w:pPr>
            <w:r w:rsidRPr="002A51B1">
              <w:rPr>
                <w:rFonts w:cs="Arial"/>
                <w:b/>
                <w:sz w:val="20"/>
                <w:szCs w:val="20"/>
              </w:rPr>
              <w:t>1,855,882.7</w:t>
            </w:r>
          </w:p>
        </w:tc>
        <w:tc>
          <w:tcPr>
            <w:tcW w:w="699" w:type="pct"/>
            <w:tcBorders>
              <w:top w:val="double" w:sz="4" w:space="0" w:color="auto"/>
              <w:bottom w:val="single" w:sz="4" w:space="0" w:color="auto"/>
            </w:tcBorders>
            <w:shd w:val="clear" w:color="auto" w:fill="C6D9F1" w:themeFill="text2" w:themeFillTint="33"/>
            <w:tcMar>
              <w:left w:w="57" w:type="dxa"/>
              <w:right w:w="57" w:type="dxa"/>
            </w:tcMar>
          </w:tcPr>
          <w:p w14:paraId="6B2831D6" w14:textId="77777777" w:rsidR="00396B97" w:rsidRPr="002A51B1" w:rsidRDefault="00396B97" w:rsidP="000C7BC1">
            <w:pPr>
              <w:ind w:firstLine="0"/>
              <w:jc w:val="center"/>
              <w:rPr>
                <w:rFonts w:cs="Arial"/>
                <w:b/>
                <w:sz w:val="20"/>
                <w:szCs w:val="20"/>
              </w:rPr>
            </w:pPr>
            <w:r w:rsidRPr="002A51B1">
              <w:rPr>
                <w:rFonts w:cs="Arial"/>
                <w:b/>
                <w:sz w:val="20"/>
                <w:szCs w:val="20"/>
              </w:rPr>
              <w:t>1,879,011.2</w:t>
            </w:r>
          </w:p>
        </w:tc>
        <w:tc>
          <w:tcPr>
            <w:tcW w:w="651" w:type="pct"/>
            <w:tcBorders>
              <w:top w:val="double" w:sz="4" w:space="0" w:color="auto"/>
              <w:bottom w:val="single" w:sz="4" w:space="0" w:color="auto"/>
            </w:tcBorders>
            <w:shd w:val="clear" w:color="auto" w:fill="C6D9F1" w:themeFill="text2" w:themeFillTint="33"/>
          </w:tcPr>
          <w:p w14:paraId="000CC59F" w14:textId="77777777" w:rsidR="00396B97" w:rsidRPr="002A51B1" w:rsidRDefault="00396B97" w:rsidP="000C7BC1">
            <w:pPr>
              <w:ind w:firstLine="0"/>
              <w:jc w:val="center"/>
              <w:rPr>
                <w:rFonts w:cs="Arial"/>
                <w:b/>
                <w:sz w:val="20"/>
                <w:szCs w:val="20"/>
              </w:rPr>
            </w:pPr>
            <w:r w:rsidRPr="002A51B1">
              <w:rPr>
                <w:rFonts w:cs="Arial"/>
                <w:b/>
                <w:sz w:val="20"/>
                <w:szCs w:val="20"/>
              </w:rPr>
              <w:t>2,026,121.6</w:t>
            </w:r>
          </w:p>
        </w:tc>
        <w:tc>
          <w:tcPr>
            <w:tcW w:w="647" w:type="pct"/>
            <w:tcBorders>
              <w:top w:val="double" w:sz="4" w:space="0" w:color="auto"/>
              <w:bottom w:val="single" w:sz="4" w:space="0" w:color="auto"/>
            </w:tcBorders>
            <w:shd w:val="clear" w:color="auto" w:fill="C6D9F1" w:themeFill="text2" w:themeFillTint="33"/>
          </w:tcPr>
          <w:p w14:paraId="05062760" w14:textId="77777777" w:rsidR="00396B97" w:rsidRPr="002A51B1" w:rsidRDefault="00396B97" w:rsidP="000C7BC1">
            <w:pPr>
              <w:ind w:firstLine="0"/>
              <w:jc w:val="center"/>
              <w:rPr>
                <w:rFonts w:cs="Arial"/>
                <w:b/>
                <w:sz w:val="20"/>
                <w:szCs w:val="20"/>
              </w:rPr>
            </w:pPr>
            <w:r w:rsidRPr="002A51B1">
              <w:rPr>
                <w:rFonts w:cs="Arial"/>
                <w:b/>
                <w:sz w:val="20"/>
                <w:szCs w:val="20"/>
              </w:rPr>
              <w:t>2,241,422.8</w:t>
            </w:r>
          </w:p>
        </w:tc>
      </w:tr>
      <w:tr w:rsidR="00396B97" w:rsidRPr="002A51B1" w14:paraId="4BEE5BBC" w14:textId="77777777" w:rsidTr="007C008F">
        <w:tblPrEx>
          <w:tblCellMar>
            <w:left w:w="30" w:type="dxa"/>
            <w:right w:w="30" w:type="dxa"/>
          </w:tblCellMar>
        </w:tblPrEx>
        <w:trPr>
          <w:trHeight w:val="20"/>
        </w:trPr>
        <w:tc>
          <w:tcPr>
            <w:tcW w:w="2306" w:type="pct"/>
            <w:tcBorders>
              <w:top w:val="double" w:sz="4" w:space="0" w:color="auto"/>
              <w:bottom w:val="single" w:sz="6" w:space="0" w:color="auto"/>
            </w:tcBorders>
            <w:shd w:val="solid" w:color="FFFFFF" w:fill="auto"/>
            <w:tcMar>
              <w:left w:w="57" w:type="dxa"/>
              <w:right w:w="57" w:type="dxa"/>
            </w:tcMar>
            <w:vAlign w:val="center"/>
          </w:tcPr>
          <w:p w14:paraId="11953957"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98" w:type="pct"/>
            <w:tcBorders>
              <w:top w:val="double" w:sz="4" w:space="0" w:color="auto"/>
              <w:bottom w:val="single" w:sz="4" w:space="0" w:color="auto"/>
            </w:tcBorders>
            <w:shd w:val="solid" w:color="FFFFFF" w:fill="auto"/>
            <w:tcMar>
              <w:left w:w="57" w:type="dxa"/>
              <w:right w:w="57" w:type="dxa"/>
            </w:tcMar>
          </w:tcPr>
          <w:p w14:paraId="24C5862A" w14:textId="77777777" w:rsidR="00396B97" w:rsidRPr="002A51B1" w:rsidRDefault="00396B97" w:rsidP="000C7BC1">
            <w:pPr>
              <w:jc w:val="center"/>
              <w:rPr>
                <w:sz w:val="20"/>
                <w:szCs w:val="20"/>
              </w:rPr>
            </w:pPr>
            <w:r w:rsidRPr="002A51B1">
              <w:rPr>
                <w:sz w:val="20"/>
                <w:szCs w:val="20"/>
              </w:rPr>
              <w:t>28.5</w:t>
            </w:r>
          </w:p>
        </w:tc>
        <w:tc>
          <w:tcPr>
            <w:tcW w:w="699" w:type="pct"/>
            <w:tcBorders>
              <w:top w:val="double" w:sz="4" w:space="0" w:color="auto"/>
              <w:bottom w:val="single" w:sz="4" w:space="0" w:color="auto"/>
            </w:tcBorders>
            <w:shd w:val="solid" w:color="FFFFFF" w:fill="auto"/>
            <w:tcMar>
              <w:left w:w="57" w:type="dxa"/>
              <w:right w:w="57" w:type="dxa"/>
            </w:tcMar>
          </w:tcPr>
          <w:p w14:paraId="48B8BEA4" w14:textId="77777777" w:rsidR="00396B97" w:rsidRPr="002A51B1" w:rsidRDefault="00396B97" w:rsidP="000C7BC1">
            <w:pPr>
              <w:jc w:val="center"/>
              <w:rPr>
                <w:sz w:val="20"/>
                <w:szCs w:val="20"/>
              </w:rPr>
            </w:pPr>
            <w:r w:rsidRPr="002A51B1">
              <w:rPr>
                <w:sz w:val="20"/>
                <w:szCs w:val="20"/>
              </w:rPr>
              <w:t>26.3</w:t>
            </w:r>
          </w:p>
        </w:tc>
        <w:tc>
          <w:tcPr>
            <w:tcW w:w="651" w:type="pct"/>
            <w:tcBorders>
              <w:top w:val="double" w:sz="4" w:space="0" w:color="auto"/>
              <w:bottom w:val="single" w:sz="4" w:space="0" w:color="auto"/>
            </w:tcBorders>
            <w:shd w:val="solid" w:color="FFFFFF" w:fill="auto"/>
          </w:tcPr>
          <w:p w14:paraId="72767B0F" w14:textId="77777777" w:rsidR="00396B97" w:rsidRPr="002A51B1" w:rsidRDefault="00396B97" w:rsidP="000C7BC1">
            <w:pPr>
              <w:jc w:val="center"/>
              <w:rPr>
                <w:sz w:val="20"/>
                <w:szCs w:val="20"/>
              </w:rPr>
            </w:pPr>
            <w:r w:rsidRPr="002A51B1">
              <w:rPr>
                <w:sz w:val="20"/>
                <w:szCs w:val="20"/>
              </w:rPr>
              <w:t>25.8</w:t>
            </w:r>
          </w:p>
        </w:tc>
        <w:tc>
          <w:tcPr>
            <w:tcW w:w="647" w:type="pct"/>
            <w:tcBorders>
              <w:top w:val="double" w:sz="4" w:space="0" w:color="auto"/>
              <w:bottom w:val="single" w:sz="4" w:space="0" w:color="auto"/>
            </w:tcBorders>
            <w:shd w:val="solid" w:color="FFFFFF" w:fill="auto"/>
          </w:tcPr>
          <w:p w14:paraId="465BD45A" w14:textId="77777777" w:rsidR="00396B97" w:rsidRPr="002A51B1" w:rsidRDefault="00396B97" w:rsidP="000C7BC1">
            <w:pPr>
              <w:jc w:val="center"/>
              <w:rPr>
                <w:sz w:val="20"/>
                <w:szCs w:val="20"/>
              </w:rPr>
            </w:pPr>
            <w:r w:rsidRPr="002A51B1">
              <w:rPr>
                <w:sz w:val="20"/>
                <w:szCs w:val="20"/>
              </w:rPr>
              <w:t>26.1</w:t>
            </w:r>
          </w:p>
        </w:tc>
      </w:tr>
      <w:tr w:rsidR="00396B97" w:rsidRPr="002A51B1" w14:paraId="26223219" w14:textId="77777777" w:rsidTr="003D408A">
        <w:tblPrEx>
          <w:tblCellMar>
            <w:left w:w="30" w:type="dxa"/>
            <w:right w:w="30" w:type="dxa"/>
          </w:tblCellMar>
        </w:tblPrEx>
        <w:trPr>
          <w:trHeight w:val="20"/>
        </w:trPr>
        <w:tc>
          <w:tcPr>
            <w:tcW w:w="2306" w:type="pct"/>
            <w:tcBorders>
              <w:top w:val="double" w:sz="4" w:space="0" w:color="auto"/>
              <w:bottom w:val="single" w:sz="6" w:space="0" w:color="auto"/>
            </w:tcBorders>
            <w:shd w:val="clear" w:color="auto" w:fill="C6D9F1" w:themeFill="text2" w:themeFillTint="33"/>
            <w:tcMar>
              <w:left w:w="57" w:type="dxa"/>
              <w:right w:w="57" w:type="dxa"/>
            </w:tcMar>
            <w:vAlign w:val="center"/>
          </w:tcPr>
          <w:p w14:paraId="12420960" w14:textId="77777777" w:rsidR="00396B97" w:rsidRPr="002A51B1" w:rsidRDefault="00396B97" w:rsidP="000C7BC1">
            <w:pPr>
              <w:ind w:firstLine="0"/>
              <w:rPr>
                <w:b/>
                <w:sz w:val="20"/>
                <w:szCs w:val="20"/>
              </w:rPr>
            </w:pPr>
            <w:r w:rsidRPr="002A51B1">
              <w:rPr>
                <w:rFonts w:cs="Arial"/>
                <w:b/>
                <w:sz w:val="20"/>
                <w:szCs w:val="20"/>
              </w:rPr>
              <w:t>ԸՆԴՀԱՆՈՒՐ ԲՆՈՒՅԹԻ ՀԱՆՐԱՅԻՆ ԾԱՌԱՅՈՒԹՅՈՒՆՆԵՐ</w:t>
            </w:r>
          </w:p>
        </w:tc>
        <w:tc>
          <w:tcPr>
            <w:tcW w:w="698" w:type="pct"/>
            <w:tcBorders>
              <w:top w:val="double" w:sz="4" w:space="0" w:color="auto"/>
              <w:bottom w:val="single" w:sz="4" w:space="0" w:color="auto"/>
            </w:tcBorders>
            <w:shd w:val="clear" w:color="auto" w:fill="C6D9F1" w:themeFill="text2" w:themeFillTint="33"/>
            <w:tcMar>
              <w:left w:w="57" w:type="dxa"/>
              <w:right w:w="57" w:type="dxa"/>
            </w:tcMar>
            <w:vAlign w:val="center"/>
          </w:tcPr>
          <w:p w14:paraId="0A6E65B2" w14:textId="77777777" w:rsidR="00396B97" w:rsidRPr="002A51B1" w:rsidRDefault="00396B97" w:rsidP="000C7BC1">
            <w:pPr>
              <w:ind w:firstLine="0"/>
              <w:jc w:val="center"/>
              <w:rPr>
                <w:rFonts w:cs="Arial"/>
                <w:b/>
                <w:sz w:val="20"/>
                <w:szCs w:val="20"/>
              </w:rPr>
            </w:pPr>
            <w:r w:rsidRPr="002A51B1">
              <w:rPr>
                <w:rFonts w:cs="Arial"/>
                <w:b/>
                <w:sz w:val="20"/>
                <w:szCs w:val="20"/>
              </w:rPr>
              <w:t>193,665.9</w:t>
            </w:r>
          </w:p>
        </w:tc>
        <w:tc>
          <w:tcPr>
            <w:tcW w:w="699" w:type="pct"/>
            <w:tcBorders>
              <w:top w:val="double" w:sz="4" w:space="0" w:color="auto"/>
              <w:bottom w:val="single" w:sz="4" w:space="0" w:color="auto"/>
            </w:tcBorders>
            <w:shd w:val="clear" w:color="auto" w:fill="C6D9F1" w:themeFill="text2" w:themeFillTint="33"/>
            <w:tcMar>
              <w:left w:w="57" w:type="dxa"/>
              <w:right w:w="57" w:type="dxa"/>
            </w:tcMar>
            <w:vAlign w:val="center"/>
          </w:tcPr>
          <w:p w14:paraId="48400B85" w14:textId="77777777" w:rsidR="00396B97" w:rsidRPr="002A51B1" w:rsidRDefault="00396B97" w:rsidP="000C7BC1">
            <w:pPr>
              <w:ind w:firstLine="0"/>
              <w:jc w:val="center"/>
              <w:rPr>
                <w:rFonts w:cs="Arial"/>
                <w:b/>
                <w:sz w:val="20"/>
                <w:szCs w:val="20"/>
              </w:rPr>
            </w:pPr>
            <w:r w:rsidRPr="002A51B1">
              <w:rPr>
                <w:rFonts w:cs="Arial"/>
                <w:b/>
                <w:sz w:val="20"/>
                <w:szCs w:val="20"/>
              </w:rPr>
              <w:t>201,198.3</w:t>
            </w:r>
          </w:p>
        </w:tc>
        <w:tc>
          <w:tcPr>
            <w:tcW w:w="651" w:type="pct"/>
            <w:tcBorders>
              <w:top w:val="double" w:sz="4" w:space="0" w:color="auto"/>
              <w:bottom w:val="single" w:sz="4" w:space="0" w:color="auto"/>
            </w:tcBorders>
            <w:shd w:val="clear" w:color="auto" w:fill="C6D9F1" w:themeFill="text2" w:themeFillTint="33"/>
            <w:vAlign w:val="center"/>
          </w:tcPr>
          <w:p w14:paraId="5C06CD73" w14:textId="77777777" w:rsidR="00396B97" w:rsidRPr="002A51B1" w:rsidRDefault="00396B97" w:rsidP="000C7BC1">
            <w:pPr>
              <w:ind w:firstLine="0"/>
              <w:jc w:val="center"/>
              <w:rPr>
                <w:rFonts w:cs="Arial"/>
                <w:b/>
                <w:sz w:val="20"/>
                <w:szCs w:val="20"/>
              </w:rPr>
            </w:pPr>
            <w:r w:rsidRPr="002A51B1">
              <w:rPr>
                <w:rFonts w:cs="Arial"/>
                <w:b/>
                <w:sz w:val="20"/>
                <w:szCs w:val="20"/>
              </w:rPr>
              <w:t>192,685.9</w:t>
            </w:r>
          </w:p>
        </w:tc>
        <w:tc>
          <w:tcPr>
            <w:tcW w:w="647" w:type="pct"/>
            <w:tcBorders>
              <w:top w:val="double" w:sz="4" w:space="0" w:color="auto"/>
              <w:bottom w:val="single" w:sz="4" w:space="0" w:color="auto"/>
            </w:tcBorders>
            <w:shd w:val="clear" w:color="auto" w:fill="C6D9F1" w:themeFill="text2" w:themeFillTint="33"/>
            <w:vAlign w:val="center"/>
          </w:tcPr>
          <w:p w14:paraId="0C049058" w14:textId="77777777" w:rsidR="00396B97" w:rsidRPr="002A51B1" w:rsidRDefault="00396B97" w:rsidP="000C7BC1">
            <w:pPr>
              <w:ind w:firstLine="0"/>
              <w:jc w:val="center"/>
              <w:rPr>
                <w:rFonts w:cs="Arial"/>
                <w:b/>
                <w:sz w:val="20"/>
                <w:szCs w:val="20"/>
              </w:rPr>
            </w:pPr>
            <w:r w:rsidRPr="002A51B1">
              <w:rPr>
                <w:rFonts w:cs="Arial"/>
                <w:b/>
                <w:sz w:val="20"/>
                <w:szCs w:val="20"/>
              </w:rPr>
              <w:t>197,611.4</w:t>
            </w:r>
          </w:p>
        </w:tc>
      </w:tr>
      <w:tr w:rsidR="00396B97" w:rsidRPr="002A51B1" w14:paraId="19BB2B9A" w14:textId="77777777" w:rsidTr="007C008F">
        <w:tblPrEx>
          <w:tblCellMar>
            <w:left w:w="30" w:type="dxa"/>
            <w:right w:w="30" w:type="dxa"/>
          </w:tblCellMar>
        </w:tblPrEx>
        <w:trPr>
          <w:trHeight w:val="417"/>
        </w:trPr>
        <w:tc>
          <w:tcPr>
            <w:tcW w:w="2306" w:type="pct"/>
            <w:tcBorders>
              <w:top w:val="single" w:sz="6" w:space="0" w:color="auto"/>
              <w:bottom w:val="single" w:sz="6" w:space="0" w:color="auto"/>
              <w:right w:val="single" w:sz="4" w:space="0" w:color="auto"/>
            </w:tcBorders>
            <w:shd w:val="solid" w:color="FFFFFF" w:fill="auto"/>
            <w:tcMar>
              <w:left w:w="57" w:type="dxa"/>
              <w:right w:w="57" w:type="dxa"/>
            </w:tcMar>
            <w:vAlign w:val="center"/>
          </w:tcPr>
          <w:p w14:paraId="08E8B06B"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98" w:type="pct"/>
            <w:tcBorders>
              <w:top w:val="single" w:sz="4" w:space="0" w:color="auto"/>
              <w:left w:val="single" w:sz="4" w:space="0" w:color="auto"/>
              <w:bottom w:val="single" w:sz="4" w:space="0" w:color="auto"/>
              <w:right w:val="single" w:sz="4" w:space="0" w:color="auto"/>
            </w:tcBorders>
            <w:shd w:val="solid" w:color="FFFFFF" w:fill="auto"/>
            <w:tcMar>
              <w:left w:w="57" w:type="dxa"/>
              <w:right w:w="57" w:type="dxa"/>
            </w:tcMar>
            <w:vAlign w:val="center"/>
          </w:tcPr>
          <w:p w14:paraId="61C4A959" w14:textId="77777777" w:rsidR="00396B97" w:rsidRPr="002A51B1" w:rsidRDefault="00396B97" w:rsidP="000C7BC1">
            <w:pPr>
              <w:jc w:val="center"/>
              <w:rPr>
                <w:rFonts w:cs="Arial"/>
                <w:sz w:val="20"/>
                <w:szCs w:val="20"/>
              </w:rPr>
            </w:pPr>
            <w:r w:rsidRPr="002A51B1">
              <w:rPr>
                <w:rFonts w:cs="Arial"/>
                <w:sz w:val="20"/>
                <w:szCs w:val="20"/>
              </w:rPr>
              <w:t>3.0</w:t>
            </w:r>
          </w:p>
        </w:tc>
        <w:tc>
          <w:tcPr>
            <w:tcW w:w="699" w:type="pct"/>
            <w:tcBorders>
              <w:top w:val="single" w:sz="4" w:space="0" w:color="auto"/>
              <w:left w:val="single" w:sz="4" w:space="0" w:color="auto"/>
              <w:bottom w:val="single" w:sz="4" w:space="0" w:color="auto"/>
              <w:right w:val="single" w:sz="4" w:space="0" w:color="auto"/>
            </w:tcBorders>
            <w:shd w:val="solid" w:color="FFFFFF" w:fill="auto"/>
            <w:tcMar>
              <w:left w:w="57" w:type="dxa"/>
              <w:right w:w="57" w:type="dxa"/>
            </w:tcMar>
            <w:vAlign w:val="center"/>
          </w:tcPr>
          <w:p w14:paraId="50A1A92D" w14:textId="77777777" w:rsidR="00396B97" w:rsidRPr="002A51B1" w:rsidRDefault="00396B97" w:rsidP="000C7BC1">
            <w:pPr>
              <w:jc w:val="center"/>
              <w:rPr>
                <w:rFonts w:cs="Arial"/>
                <w:sz w:val="20"/>
                <w:szCs w:val="20"/>
              </w:rPr>
            </w:pPr>
            <w:r w:rsidRPr="002A51B1">
              <w:rPr>
                <w:rFonts w:cs="Arial"/>
                <w:sz w:val="20"/>
                <w:szCs w:val="20"/>
              </w:rPr>
              <w:t>2.8</w:t>
            </w:r>
          </w:p>
        </w:tc>
        <w:tc>
          <w:tcPr>
            <w:tcW w:w="651" w:type="pct"/>
            <w:tcBorders>
              <w:top w:val="single" w:sz="4" w:space="0" w:color="auto"/>
              <w:left w:val="single" w:sz="4" w:space="0" w:color="auto"/>
              <w:bottom w:val="single" w:sz="4" w:space="0" w:color="auto"/>
              <w:right w:val="single" w:sz="4" w:space="0" w:color="auto"/>
            </w:tcBorders>
            <w:shd w:val="solid" w:color="FFFFFF" w:fill="auto"/>
            <w:vAlign w:val="center"/>
          </w:tcPr>
          <w:p w14:paraId="64E40820" w14:textId="77777777" w:rsidR="00396B97" w:rsidRPr="002A51B1" w:rsidRDefault="00396B97" w:rsidP="000C7BC1">
            <w:pPr>
              <w:jc w:val="center"/>
              <w:rPr>
                <w:rFonts w:cs="Arial"/>
                <w:sz w:val="20"/>
                <w:szCs w:val="20"/>
              </w:rPr>
            </w:pPr>
            <w:r w:rsidRPr="002A51B1">
              <w:rPr>
                <w:rFonts w:cs="Arial"/>
                <w:sz w:val="20"/>
                <w:szCs w:val="20"/>
              </w:rPr>
              <w:t>2.5</w:t>
            </w:r>
          </w:p>
        </w:tc>
        <w:tc>
          <w:tcPr>
            <w:tcW w:w="647" w:type="pct"/>
            <w:tcBorders>
              <w:top w:val="single" w:sz="4" w:space="0" w:color="auto"/>
              <w:left w:val="single" w:sz="4" w:space="0" w:color="auto"/>
              <w:bottom w:val="single" w:sz="4" w:space="0" w:color="auto"/>
              <w:right w:val="double" w:sz="4" w:space="0" w:color="auto"/>
            </w:tcBorders>
            <w:shd w:val="solid" w:color="FFFFFF" w:fill="auto"/>
            <w:vAlign w:val="center"/>
          </w:tcPr>
          <w:p w14:paraId="1B18993B" w14:textId="77777777" w:rsidR="00396B97" w:rsidRPr="002A51B1" w:rsidRDefault="00396B97" w:rsidP="000C7BC1">
            <w:pPr>
              <w:jc w:val="center"/>
              <w:rPr>
                <w:rFonts w:cs="Arial"/>
                <w:sz w:val="20"/>
                <w:szCs w:val="20"/>
              </w:rPr>
            </w:pPr>
            <w:r w:rsidRPr="002A51B1">
              <w:rPr>
                <w:rFonts w:cs="Arial"/>
                <w:sz w:val="20"/>
                <w:szCs w:val="20"/>
              </w:rPr>
              <w:t>2.3</w:t>
            </w:r>
          </w:p>
        </w:tc>
      </w:tr>
      <w:tr w:rsidR="00396B97" w:rsidRPr="002A51B1" w14:paraId="79B88E17" w14:textId="77777777" w:rsidTr="007C008F">
        <w:tblPrEx>
          <w:tblCellMar>
            <w:left w:w="30" w:type="dxa"/>
            <w:right w:w="30" w:type="dxa"/>
          </w:tblCellMar>
        </w:tblPrEx>
        <w:trPr>
          <w:trHeight w:val="20"/>
        </w:trPr>
        <w:tc>
          <w:tcPr>
            <w:tcW w:w="2306" w:type="pct"/>
            <w:tcBorders>
              <w:top w:val="single" w:sz="6" w:space="0" w:color="auto"/>
              <w:bottom w:val="single" w:sz="6" w:space="0" w:color="auto"/>
              <w:right w:val="single" w:sz="4" w:space="0" w:color="auto"/>
            </w:tcBorders>
            <w:shd w:val="solid" w:color="FFFFFF" w:fill="auto"/>
            <w:tcMar>
              <w:left w:w="57" w:type="dxa"/>
              <w:right w:w="57" w:type="dxa"/>
            </w:tcMar>
            <w:vAlign w:val="center"/>
          </w:tcPr>
          <w:p w14:paraId="3C846B24"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698" w:type="pct"/>
            <w:tcBorders>
              <w:top w:val="single" w:sz="4" w:space="0" w:color="auto"/>
              <w:left w:val="single" w:sz="4" w:space="0" w:color="auto"/>
              <w:bottom w:val="single" w:sz="4" w:space="0" w:color="auto"/>
              <w:right w:val="single" w:sz="4" w:space="0" w:color="auto"/>
            </w:tcBorders>
            <w:shd w:val="solid" w:color="FFFFFF" w:fill="auto"/>
            <w:tcMar>
              <w:left w:w="57" w:type="dxa"/>
              <w:right w:w="57" w:type="dxa"/>
            </w:tcMar>
            <w:vAlign w:val="center"/>
          </w:tcPr>
          <w:p w14:paraId="3F0F26C2" w14:textId="77777777" w:rsidR="00396B97" w:rsidRPr="002A51B1" w:rsidRDefault="00396B97" w:rsidP="000C7BC1">
            <w:pPr>
              <w:jc w:val="center"/>
              <w:rPr>
                <w:rFonts w:cs="Arial"/>
                <w:sz w:val="20"/>
                <w:szCs w:val="20"/>
              </w:rPr>
            </w:pPr>
            <w:r w:rsidRPr="002A51B1">
              <w:rPr>
                <w:rFonts w:cs="Arial"/>
                <w:sz w:val="20"/>
                <w:szCs w:val="20"/>
              </w:rPr>
              <w:t>10.4</w:t>
            </w:r>
          </w:p>
        </w:tc>
        <w:tc>
          <w:tcPr>
            <w:tcW w:w="699" w:type="pct"/>
            <w:tcBorders>
              <w:top w:val="single" w:sz="4" w:space="0" w:color="auto"/>
              <w:left w:val="single" w:sz="4" w:space="0" w:color="auto"/>
              <w:bottom w:val="single" w:sz="4" w:space="0" w:color="auto"/>
              <w:right w:val="single" w:sz="4" w:space="0" w:color="auto"/>
            </w:tcBorders>
            <w:shd w:val="solid" w:color="FFFFFF" w:fill="auto"/>
            <w:tcMar>
              <w:left w:w="57" w:type="dxa"/>
              <w:right w:w="57" w:type="dxa"/>
            </w:tcMar>
            <w:vAlign w:val="center"/>
          </w:tcPr>
          <w:p w14:paraId="434EC2C8" w14:textId="77777777" w:rsidR="00396B97" w:rsidRPr="002A51B1" w:rsidRDefault="00396B97" w:rsidP="000C7BC1">
            <w:pPr>
              <w:jc w:val="center"/>
              <w:rPr>
                <w:rFonts w:cs="Arial"/>
                <w:sz w:val="20"/>
                <w:szCs w:val="20"/>
              </w:rPr>
            </w:pPr>
            <w:r w:rsidRPr="002A51B1">
              <w:rPr>
                <w:rFonts w:cs="Arial"/>
                <w:sz w:val="20"/>
                <w:szCs w:val="20"/>
              </w:rPr>
              <w:t>10.7</w:t>
            </w:r>
          </w:p>
        </w:tc>
        <w:tc>
          <w:tcPr>
            <w:tcW w:w="651" w:type="pct"/>
            <w:tcBorders>
              <w:top w:val="single" w:sz="4" w:space="0" w:color="auto"/>
              <w:left w:val="single" w:sz="4" w:space="0" w:color="auto"/>
              <w:bottom w:val="single" w:sz="4" w:space="0" w:color="auto"/>
              <w:right w:val="single" w:sz="4" w:space="0" w:color="auto"/>
            </w:tcBorders>
            <w:shd w:val="solid" w:color="FFFFFF" w:fill="auto"/>
            <w:vAlign w:val="center"/>
          </w:tcPr>
          <w:p w14:paraId="3F93587C" w14:textId="77777777" w:rsidR="00396B97" w:rsidRPr="002A51B1" w:rsidRDefault="00396B97" w:rsidP="000C7BC1">
            <w:pPr>
              <w:jc w:val="center"/>
              <w:rPr>
                <w:rFonts w:cs="Arial"/>
                <w:sz w:val="20"/>
                <w:szCs w:val="20"/>
              </w:rPr>
            </w:pPr>
            <w:r w:rsidRPr="002A51B1">
              <w:rPr>
                <w:rFonts w:cs="Arial"/>
                <w:sz w:val="20"/>
                <w:szCs w:val="20"/>
              </w:rPr>
              <w:t>9.5</w:t>
            </w:r>
          </w:p>
        </w:tc>
        <w:tc>
          <w:tcPr>
            <w:tcW w:w="647" w:type="pct"/>
            <w:tcBorders>
              <w:top w:val="single" w:sz="4" w:space="0" w:color="auto"/>
              <w:left w:val="single" w:sz="4" w:space="0" w:color="auto"/>
              <w:bottom w:val="single" w:sz="4" w:space="0" w:color="auto"/>
              <w:right w:val="double" w:sz="4" w:space="0" w:color="auto"/>
            </w:tcBorders>
            <w:shd w:val="solid" w:color="FFFFFF" w:fill="auto"/>
            <w:vAlign w:val="center"/>
          </w:tcPr>
          <w:p w14:paraId="12B6611F" w14:textId="77777777" w:rsidR="00396B97" w:rsidRPr="002A51B1" w:rsidRDefault="00396B97" w:rsidP="000C7BC1">
            <w:pPr>
              <w:jc w:val="center"/>
              <w:rPr>
                <w:rFonts w:cs="Arial"/>
                <w:sz w:val="20"/>
                <w:szCs w:val="20"/>
              </w:rPr>
            </w:pPr>
            <w:r w:rsidRPr="002A51B1">
              <w:rPr>
                <w:rFonts w:cs="Arial"/>
                <w:sz w:val="20"/>
                <w:szCs w:val="20"/>
              </w:rPr>
              <w:t>8.8</w:t>
            </w:r>
          </w:p>
        </w:tc>
      </w:tr>
      <w:tr w:rsidR="00396B97" w:rsidRPr="002A51B1" w14:paraId="656FA7F2" w14:textId="77777777" w:rsidTr="003D408A">
        <w:tblPrEx>
          <w:tblCellMar>
            <w:left w:w="30" w:type="dxa"/>
            <w:right w:w="30" w:type="dxa"/>
          </w:tblCellMar>
        </w:tblPrEx>
        <w:trPr>
          <w:trHeight w:val="795"/>
        </w:trPr>
        <w:tc>
          <w:tcPr>
            <w:tcW w:w="2306" w:type="pct"/>
            <w:tcBorders>
              <w:top w:val="single" w:sz="6" w:space="0" w:color="auto"/>
              <w:bottom w:val="single" w:sz="6" w:space="0" w:color="auto"/>
              <w:right w:val="single" w:sz="4" w:space="0" w:color="auto"/>
            </w:tcBorders>
            <w:shd w:val="clear" w:color="auto" w:fill="C6D9F1" w:themeFill="text2" w:themeFillTint="33"/>
            <w:tcMar>
              <w:left w:w="57" w:type="dxa"/>
              <w:right w:w="57" w:type="dxa"/>
            </w:tcMar>
            <w:vAlign w:val="bottom"/>
          </w:tcPr>
          <w:p w14:paraId="38301286" w14:textId="77777777" w:rsidR="00396B97" w:rsidRPr="002A51B1" w:rsidRDefault="00396B97" w:rsidP="000C7BC1">
            <w:pPr>
              <w:ind w:firstLine="0"/>
              <w:rPr>
                <w:b/>
                <w:sz w:val="20"/>
                <w:szCs w:val="20"/>
              </w:rPr>
            </w:pPr>
            <w:r w:rsidRPr="002A51B1">
              <w:rPr>
                <w:rFonts w:cs="Arial"/>
                <w:b/>
                <w:sz w:val="20"/>
                <w:szCs w:val="20"/>
              </w:rPr>
              <w:t xml:space="preserve">ՊԱՇՏՊԱՆՈՒԹՅՈՒՆ, ՀԱՍԱՐԱԿԱԿԱՆ </w:t>
            </w:r>
            <w:proofErr w:type="gramStart"/>
            <w:r w:rsidRPr="002A51B1">
              <w:rPr>
                <w:rFonts w:cs="Arial"/>
                <w:b/>
                <w:sz w:val="20"/>
                <w:szCs w:val="20"/>
              </w:rPr>
              <w:t>ԿԱՐԳ,  ԱՆՎՏԱՆԳՈՒԹՅՈՒՆ</w:t>
            </w:r>
            <w:proofErr w:type="gramEnd"/>
            <w:r w:rsidRPr="002A51B1">
              <w:rPr>
                <w:rFonts w:cs="Arial"/>
                <w:b/>
                <w:sz w:val="20"/>
                <w:szCs w:val="20"/>
              </w:rPr>
              <w:t xml:space="preserve"> ԵՎ ԴԱՏԱԿԱՆ ԳՈՐԾՈՒՆԵՈՒԹՅՈՒՆ</w:t>
            </w:r>
          </w:p>
        </w:tc>
        <w:tc>
          <w:tcPr>
            <w:tcW w:w="698"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57" w:type="dxa"/>
              <w:right w:w="57" w:type="dxa"/>
            </w:tcMar>
          </w:tcPr>
          <w:p w14:paraId="2743766C" w14:textId="77777777" w:rsidR="00396B97" w:rsidRPr="002A51B1" w:rsidRDefault="00396B97" w:rsidP="000C7BC1">
            <w:pPr>
              <w:ind w:firstLine="0"/>
              <w:jc w:val="center"/>
              <w:rPr>
                <w:b/>
                <w:sz w:val="20"/>
                <w:szCs w:val="20"/>
              </w:rPr>
            </w:pPr>
            <w:r w:rsidRPr="002A51B1">
              <w:rPr>
                <w:b/>
                <w:sz w:val="20"/>
                <w:szCs w:val="20"/>
              </w:rPr>
              <w:t>460,468.8</w:t>
            </w:r>
          </w:p>
        </w:tc>
        <w:tc>
          <w:tcPr>
            <w:tcW w:w="699"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57" w:type="dxa"/>
              <w:right w:w="57" w:type="dxa"/>
            </w:tcMar>
          </w:tcPr>
          <w:p w14:paraId="6222DB9C" w14:textId="77777777" w:rsidR="00396B97" w:rsidRPr="002A51B1" w:rsidRDefault="00396B97" w:rsidP="000C7BC1">
            <w:pPr>
              <w:ind w:firstLine="0"/>
              <w:jc w:val="center"/>
              <w:rPr>
                <w:b/>
                <w:sz w:val="20"/>
                <w:szCs w:val="20"/>
              </w:rPr>
            </w:pPr>
            <w:r w:rsidRPr="002A51B1">
              <w:rPr>
                <w:b/>
                <w:sz w:val="20"/>
                <w:szCs w:val="20"/>
              </w:rPr>
              <w:t>468,654.6</w:t>
            </w:r>
          </w:p>
        </w:tc>
        <w:tc>
          <w:tcPr>
            <w:tcW w:w="65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E4FC95C" w14:textId="77777777" w:rsidR="00396B97" w:rsidRPr="002A51B1" w:rsidRDefault="00396B97" w:rsidP="000C7BC1">
            <w:pPr>
              <w:ind w:firstLine="0"/>
              <w:jc w:val="center"/>
              <w:rPr>
                <w:b/>
                <w:sz w:val="20"/>
                <w:szCs w:val="20"/>
              </w:rPr>
            </w:pPr>
            <w:r w:rsidRPr="002A51B1">
              <w:rPr>
                <w:b/>
                <w:sz w:val="20"/>
                <w:szCs w:val="20"/>
              </w:rPr>
              <w:t>509,556.3</w:t>
            </w:r>
          </w:p>
        </w:tc>
        <w:tc>
          <w:tcPr>
            <w:tcW w:w="647" w:type="pct"/>
            <w:tcBorders>
              <w:top w:val="single" w:sz="4" w:space="0" w:color="auto"/>
              <w:left w:val="single" w:sz="4" w:space="0" w:color="auto"/>
              <w:bottom w:val="single" w:sz="4" w:space="0" w:color="auto"/>
              <w:right w:val="double" w:sz="4" w:space="0" w:color="auto"/>
            </w:tcBorders>
            <w:shd w:val="clear" w:color="auto" w:fill="C6D9F1" w:themeFill="text2" w:themeFillTint="33"/>
          </w:tcPr>
          <w:p w14:paraId="05ECB886" w14:textId="77777777" w:rsidR="00396B97" w:rsidRPr="002A51B1" w:rsidRDefault="00396B97" w:rsidP="000C7BC1">
            <w:pPr>
              <w:ind w:firstLine="0"/>
              <w:jc w:val="center"/>
              <w:rPr>
                <w:b/>
                <w:sz w:val="20"/>
                <w:szCs w:val="20"/>
              </w:rPr>
            </w:pPr>
            <w:r w:rsidRPr="002A51B1">
              <w:rPr>
                <w:b/>
                <w:sz w:val="20"/>
                <w:szCs w:val="20"/>
              </w:rPr>
              <w:t>564,532.4</w:t>
            </w:r>
          </w:p>
        </w:tc>
      </w:tr>
      <w:tr w:rsidR="00396B97" w:rsidRPr="002A51B1" w14:paraId="5B103C37" w14:textId="77777777" w:rsidTr="007C008F">
        <w:trPr>
          <w:trHeight w:val="20"/>
        </w:trPr>
        <w:tc>
          <w:tcPr>
            <w:tcW w:w="2306" w:type="pct"/>
            <w:shd w:val="clear" w:color="auto" w:fill="FFFFFF"/>
            <w:tcMar>
              <w:left w:w="57" w:type="dxa"/>
              <w:right w:w="57" w:type="dxa"/>
            </w:tcMar>
            <w:vAlign w:val="center"/>
          </w:tcPr>
          <w:p w14:paraId="078AE2C2"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98" w:type="pct"/>
            <w:shd w:val="clear" w:color="auto" w:fill="FFFFFF"/>
            <w:tcMar>
              <w:left w:w="57" w:type="dxa"/>
              <w:right w:w="57" w:type="dxa"/>
            </w:tcMar>
          </w:tcPr>
          <w:p w14:paraId="7629D8E8" w14:textId="77777777" w:rsidR="00396B97" w:rsidRPr="002A51B1" w:rsidRDefault="00396B97" w:rsidP="000C7BC1">
            <w:pPr>
              <w:jc w:val="center"/>
              <w:rPr>
                <w:sz w:val="20"/>
                <w:szCs w:val="20"/>
              </w:rPr>
            </w:pPr>
            <w:r w:rsidRPr="002A51B1">
              <w:rPr>
                <w:sz w:val="20"/>
                <w:szCs w:val="20"/>
              </w:rPr>
              <w:t>7.1</w:t>
            </w:r>
          </w:p>
        </w:tc>
        <w:tc>
          <w:tcPr>
            <w:tcW w:w="699" w:type="pct"/>
            <w:shd w:val="clear" w:color="auto" w:fill="FFFFFF"/>
            <w:tcMar>
              <w:left w:w="57" w:type="dxa"/>
              <w:right w:w="57" w:type="dxa"/>
            </w:tcMar>
          </w:tcPr>
          <w:p w14:paraId="3E733178" w14:textId="77777777" w:rsidR="00396B97" w:rsidRPr="002A51B1" w:rsidRDefault="00396B97" w:rsidP="000C7BC1">
            <w:pPr>
              <w:jc w:val="center"/>
              <w:rPr>
                <w:sz w:val="20"/>
                <w:szCs w:val="20"/>
              </w:rPr>
            </w:pPr>
            <w:r w:rsidRPr="002A51B1">
              <w:rPr>
                <w:sz w:val="20"/>
                <w:szCs w:val="20"/>
              </w:rPr>
              <w:t>6.6</w:t>
            </w:r>
          </w:p>
        </w:tc>
        <w:tc>
          <w:tcPr>
            <w:tcW w:w="651" w:type="pct"/>
            <w:shd w:val="clear" w:color="auto" w:fill="FFFFFF"/>
          </w:tcPr>
          <w:p w14:paraId="643DA5BA" w14:textId="77777777" w:rsidR="00396B97" w:rsidRPr="002A51B1" w:rsidRDefault="00396B97" w:rsidP="000C7BC1">
            <w:pPr>
              <w:jc w:val="center"/>
              <w:rPr>
                <w:sz w:val="20"/>
                <w:szCs w:val="20"/>
              </w:rPr>
            </w:pPr>
            <w:r w:rsidRPr="002A51B1">
              <w:rPr>
                <w:sz w:val="20"/>
                <w:szCs w:val="20"/>
              </w:rPr>
              <w:t>6.5</w:t>
            </w:r>
          </w:p>
        </w:tc>
        <w:tc>
          <w:tcPr>
            <w:tcW w:w="647" w:type="pct"/>
            <w:shd w:val="clear" w:color="auto" w:fill="FFFFFF"/>
          </w:tcPr>
          <w:p w14:paraId="2C0BC84F" w14:textId="77777777" w:rsidR="00396B97" w:rsidRPr="002A51B1" w:rsidRDefault="00396B97" w:rsidP="000C7BC1">
            <w:pPr>
              <w:jc w:val="center"/>
              <w:rPr>
                <w:sz w:val="20"/>
                <w:szCs w:val="20"/>
              </w:rPr>
            </w:pPr>
            <w:r w:rsidRPr="002A51B1">
              <w:rPr>
                <w:sz w:val="20"/>
                <w:szCs w:val="20"/>
              </w:rPr>
              <w:t>6.6</w:t>
            </w:r>
          </w:p>
        </w:tc>
      </w:tr>
      <w:tr w:rsidR="00396B97" w:rsidRPr="002A51B1" w14:paraId="136CF336" w14:textId="77777777" w:rsidTr="007C008F">
        <w:trPr>
          <w:trHeight w:val="20"/>
        </w:trPr>
        <w:tc>
          <w:tcPr>
            <w:tcW w:w="2306" w:type="pct"/>
            <w:shd w:val="clear" w:color="auto" w:fill="FFFFFF"/>
            <w:tcMar>
              <w:left w:w="57" w:type="dxa"/>
              <w:right w:w="57" w:type="dxa"/>
            </w:tcMar>
            <w:vAlign w:val="center"/>
          </w:tcPr>
          <w:p w14:paraId="18E2E8B1"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698" w:type="pct"/>
            <w:shd w:val="clear" w:color="auto" w:fill="FFFFFF"/>
            <w:tcMar>
              <w:left w:w="57" w:type="dxa"/>
              <w:right w:w="57" w:type="dxa"/>
            </w:tcMar>
          </w:tcPr>
          <w:p w14:paraId="5405988E" w14:textId="77777777" w:rsidR="00396B97" w:rsidRPr="002A51B1" w:rsidRDefault="00396B97" w:rsidP="000C7BC1">
            <w:pPr>
              <w:jc w:val="center"/>
              <w:rPr>
                <w:sz w:val="20"/>
                <w:szCs w:val="20"/>
              </w:rPr>
            </w:pPr>
            <w:r w:rsidRPr="002A51B1">
              <w:rPr>
                <w:sz w:val="20"/>
                <w:szCs w:val="20"/>
              </w:rPr>
              <w:t>24.8</w:t>
            </w:r>
          </w:p>
        </w:tc>
        <w:tc>
          <w:tcPr>
            <w:tcW w:w="699" w:type="pct"/>
            <w:shd w:val="clear" w:color="auto" w:fill="FFFFFF"/>
            <w:tcMar>
              <w:left w:w="57" w:type="dxa"/>
              <w:right w:w="57" w:type="dxa"/>
            </w:tcMar>
          </w:tcPr>
          <w:p w14:paraId="75BA59A6" w14:textId="77777777" w:rsidR="00396B97" w:rsidRPr="002A51B1" w:rsidRDefault="00396B97" w:rsidP="000C7BC1">
            <w:pPr>
              <w:jc w:val="center"/>
              <w:rPr>
                <w:sz w:val="20"/>
                <w:szCs w:val="20"/>
              </w:rPr>
            </w:pPr>
            <w:r w:rsidRPr="002A51B1">
              <w:rPr>
                <w:sz w:val="20"/>
                <w:szCs w:val="20"/>
              </w:rPr>
              <w:t>24.9</w:t>
            </w:r>
          </w:p>
        </w:tc>
        <w:tc>
          <w:tcPr>
            <w:tcW w:w="651" w:type="pct"/>
            <w:shd w:val="clear" w:color="auto" w:fill="FFFFFF"/>
          </w:tcPr>
          <w:p w14:paraId="090E1BE3" w14:textId="77777777" w:rsidR="00396B97" w:rsidRPr="002A51B1" w:rsidRDefault="00396B97" w:rsidP="000C7BC1">
            <w:pPr>
              <w:jc w:val="center"/>
              <w:rPr>
                <w:sz w:val="20"/>
                <w:szCs w:val="20"/>
              </w:rPr>
            </w:pPr>
            <w:r w:rsidRPr="002A51B1">
              <w:rPr>
                <w:sz w:val="20"/>
                <w:szCs w:val="20"/>
              </w:rPr>
              <w:t>25.1</w:t>
            </w:r>
          </w:p>
        </w:tc>
        <w:tc>
          <w:tcPr>
            <w:tcW w:w="647" w:type="pct"/>
            <w:shd w:val="clear" w:color="auto" w:fill="FFFFFF"/>
          </w:tcPr>
          <w:p w14:paraId="7D507A33" w14:textId="77777777" w:rsidR="00396B97" w:rsidRPr="002A51B1" w:rsidRDefault="00396B97" w:rsidP="000C7BC1">
            <w:pPr>
              <w:jc w:val="center"/>
              <w:rPr>
                <w:sz w:val="20"/>
                <w:szCs w:val="20"/>
              </w:rPr>
            </w:pPr>
            <w:r w:rsidRPr="002A51B1">
              <w:rPr>
                <w:sz w:val="20"/>
                <w:szCs w:val="20"/>
              </w:rPr>
              <w:t>25.2</w:t>
            </w:r>
          </w:p>
        </w:tc>
      </w:tr>
      <w:tr w:rsidR="00396B97" w:rsidRPr="002A51B1" w14:paraId="3446C940" w14:textId="77777777" w:rsidTr="003D408A">
        <w:tblPrEx>
          <w:tblCellMar>
            <w:left w:w="30" w:type="dxa"/>
            <w:right w:w="30" w:type="dxa"/>
          </w:tblCellMar>
        </w:tblPrEx>
        <w:trPr>
          <w:trHeight w:val="20"/>
        </w:trPr>
        <w:tc>
          <w:tcPr>
            <w:tcW w:w="2306" w:type="pct"/>
            <w:shd w:val="clear" w:color="auto" w:fill="C6D9F1" w:themeFill="text2" w:themeFillTint="33"/>
            <w:tcMar>
              <w:left w:w="57" w:type="dxa"/>
              <w:right w:w="57" w:type="dxa"/>
            </w:tcMar>
            <w:vAlign w:val="center"/>
          </w:tcPr>
          <w:p w14:paraId="55BB1BAF" w14:textId="77777777" w:rsidR="00396B97" w:rsidRPr="002A51B1" w:rsidRDefault="00396B97" w:rsidP="000C7BC1">
            <w:pPr>
              <w:ind w:firstLine="0"/>
              <w:rPr>
                <w:b/>
                <w:sz w:val="20"/>
                <w:szCs w:val="20"/>
              </w:rPr>
            </w:pPr>
            <w:r w:rsidRPr="002A51B1">
              <w:rPr>
                <w:rFonts w:cs="Arial"/>
                <w:b/>
                <w:sz w:val="20"/>
                <w:szCs w:val="20"/>
              </w:rPr>
              <w:t>ՏՆՏԵՍԱԿԱՆ</w:t>
            </w:r>
            <w:r w:rsidRPr="002A51B1">
              <w:rPr>
                <w:b/>
                <w:sz w:val="20"/>
                <w:szCs w:val="20"/>
              </w:rPr>
              <w:t xml:space="preserve"> </w:t>
            </w:r>
            <w:r w:rsidRPr="002A51B1">
              <w:rPr>
                <w:rFonts w:cs="Arial"/>
                <w:b/>
                <w:sz w:val="20"/>
                <w:szCs w:val="20"/>
              </w:rPr>
              <w:t>ՈԼՈՐՏ</w:t>
            </w:r>
          </w:p>
        </w:tc>
        <w:tc>
          <w:tcPr>
            <w:tcW w:w="698" w:type="pct"/>
            <w:shd w:val="clear" w:color="auto" w:fill="C6D9F1" w:themeFill="text2" w:themeFillTint="33"/>
            <w:tcMar>
              <w:left w:w="57" w:type="dxa"/>
              <w:right w:w="57" w:type="dxa"/>
            </w:tcMar>
          </w:tcPr>
          <w:p w14:paraId="0621E3D7" w14:textId="77777777" w:rsidR="00396B97" w:rsidRPr="002A51B1" w:rsidRDefault="00396B97" w:rsidP="000C7BC1">
            <w:pPr>
              <w:ind w:firstLine="0"/>
              <w:jc w:val="center"/>
              <w:rPr>
                <w:b/>
                <w:sz w:val="20"/>
                <w:szCs w:val="20"/>
              </w:rPr>
            </w:pPr>
            <w:r w:rsidRPr="002A51B1">
              <w:rPr>
                <w:b/>
                <w:sz w:val="20"/>
                <w:szCs w:val="20"/>
              </w:rPr>
              <w:t>230,831.5</w:t>
            </w:r>
          </w:p>
        </w:tc>
        <w:tc>
          <w:tcPr>
            <w:tcW w:w="699" w:type="pct"/>
            <w:shd w:val="clear" w:color="auto" w:fill="C6D9F1" w:themeFill="text2" w:themeFillTint="33"/>
            <w:tcMar>
              <w:left w:w="57" w:type="dxa"/>
              <w:right w:w="57" w:type="dxa"/>
            </w:tcMar>
          </w:tcPr>
          <w:p w14:paraId="5D2E6BB9" w14:textId="77777777" w:rsidR="00396B97" w:rsidRPr="002A51B1" w:rsidRDefault="00396B97" w:rsidP="000C7BC1">
            <w:pPr>
              <w:ind w:firstLine="0"/>
              <w:jc w:val="center"/>
              <w:rPr>
                <w:b/>
                <w:sz w:val="20"/>
                <w:szCs w:val="20"/>
              </w:rPr>
            </w:pPr>
            <w:r w:rsidRPr="002A51B1">
              <w:rPr>
                <w:b/>
                <w:sz w:val="20"/>
                <w:szCs w:val="20"/>
              </w:rPr>
              <w:t>211,658.5</w:t>
            </w:r>
          </w:p>
        </w:tc>
        <w:tc>
          <w:tcPr>
            <w:tcW w:w="651" w:type="pct"/>
            <w:shd w:val="clear" w:color="auto" w:fill="C6D9F1" w:themeFill="text2" w:themeFillTint="33"/>
          </w:tcPr>
          <w:p w14:paraId="58E77006" w14:textId="77777777" w:rsidR="00396B97" w:rsidRPr="002A51B1" w:rsidRDefault="00396B97" w:rsidP="000C7BC1">
            <w:pPr>
              <w:ind w:firstLine="0"/>
              <w:jc w:val="center"/>
              <w:rPr>
                <w:b/>
                <w:sz w:val="20"/>
                <w:szCs w:val="20"/>
              </w:rPr>
            </w:pPr>
            <w:r w:rsidRPr="002A51B1">
              <w:rPr>
                <w:b/>
                <w:sz w:val="20"/>
                <w:szCs w:val="20"/>
              </w:rPr>
              <w:t>252,006.7</w:t>
            </w:r>
          </w:p>
        </w:tc>
        <w:tc>
          <w:tcPr>
            <w:tcW w:w="647" w:type="pct"/>
            <w:shd w:val="clear" w:color="auto" w:fill="C6D9F1" w:themeFill="text2" w:themeFillTint="33"/>
          </w:tcPr>
          <w:p w14:paraId="41C16B86" w14:textId="77777777" w:rsidR="00396B97" w:rsidRPr="002A51B1" w:rsidRDefault="00396B97" w:rsidP="000C7BC1">
            <w:pPr>
              <w:ind w:firstLine="0"/>
              <w:jc w:val="center"/>
              <w:rPr>
                <w:b/>
                <w:sz w:val="20"/>
                <w:szCs w:val="20"/>
              </w:rPr>
            </w:pPr>
            <w:r w:rsidRPr="002A51B1">
              <w:rPr>
                <w:b/>
                <w:sz w:val="20"/>
                <w:szCs w:val="20"/>
              </w:rPr>
              <w:t>254,425.9</w:t>
            </w:r>
          </w:p>
        </w:tc>
      </w:tr>
      <w:tr w:rsidR="00396B97" w:rsidRPr="002A51B1" w14:paraId="2833616E" w14:textId="77777777" w:rsidTr="007C008F">
        <w:trPr>
          <w:trHeight w:val="20"/>
        </w:trPr>
        <w:tc>
          <w:tcPr>
            <w:tcW w:w="2306" w:type="pct"/>
            <w:shd w:val="clear" w:color="auto" w:fill="FFFFFF"/>
            <w:tcMar>
              <w:left w:w="57" w:type="dxa"/>
              <w:right w:w="57" w:type="dxa"/>
            </w:tcMar>
            <w:vAlign w:val="center"/>
          </w:tcPr>
          <w:p w14:paraId="1AA3605D"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98" w:type="pct"/>
            <w:shd w:val="clear" w:color="auto" w:fill="FFFFFF"/>
            <w:tcMar>
              <w:left w:w="57" w:type="dxa"/>
              <w:right w:w="57" w:type="dxa"/>
            </w:tcMar>
          </w:tcPr>
          <w:p w14:paraId="08B48789" w14:textId="77777777" w:rsidR="00396B97" w:rsidRPr="002A51B1" w:rsidRDefault="00396B97" w:rsidP="000C7BC1">
            <w:pPr>
              <w:jc w:val="center"/>
              <w:rPr>
                <w:sz w:val="20"/>
                <w:szCs w:val="20"/>
              </w:rPr>
            </w:pPr>
            <w:r w:rsidRPr="002A51B1">
              <w:rPr>
                <w:sz w:val="20"/>
                <w:szCs w:val="20"/>
              </w:rPr>
              <w:t>3.5</w:t>
            </w:r>
          </w:p>
        </w:tc>
        <w:tc>
          <w:tcPr>
            <w:tcW w:w="699" w:type="pct"/>
            <w:shd w:val="clear" w:color="auto" w:fill="FFFFFF"/>
            <w:tcMar>
              <w:left w:w="57" w:type="dxa"/>
              <w:right w:w="57" w:type="dxa"/>
            </w:tcMar>
          </w:tcPr>
          <w:p w14:paraId="10C04BA5" w14:textId="77777777" w:rsidR="00396B97" w:rsidRPr="002A51B1" w:rsidRDefault="00396B97" w:rsidP="000C7BC1">
            <w:pPr>
              <w:jc w:val="center"/>
              <w:rPr>
                <w:sz w:val="20"/>
                <w:szCs w:val="20"/>
              </w:rPr>
            </w:pPr>
            <w:r w:rsidRPr="002A51B1">
              <w:rPr>
                <w:sz w:val="20"/>
                <w:szCs w:val="20"/>
              </w:rPr>
              <w:t>3.0</w:t>
            </w:r>
          </w:p>
        </w:tc>
        <w:tc>
          <w:tcPr>
            <w:tcW w:w="651" w:type="pct"/>
            <w:shd w:val="clear" w:color="auto" w:fill="FFFFFF"/>
          </w:tcPr>
          <w:p w14:paraId="3C22A73F" w14:textId="77777777" w:rsidR="00396B97" w:rsidRPr="002A51B1" w:rsidRDefault="00396B97" w:rsidP="000C7BC1">
            <w:pPr>
              <w:jc w:val="center"/>
              <w:rPr>
                <w:sz w:val="20"/>
                <w:szCs w:val="20"/>
              </w:rPr>
            </w:pPr>
            <w:r w:rsidRPr="002A51B1">
              <w:rPr>
                <w:sz w:val="20"/>
                <w:szCs w:val="20"/>
              </w:rPr>
              <w:t>3.2</w:t>
            </w:r>
          </w:p>
        </w:tc>
        <w:tc>
          <w:tcPr>
            <w:tcW w:w="647" w:type="pct"/>
            <w:shd w:val="clear" w:color="auto" w:fill="FFFFFF"/>
          </w:tcPr>
          <w:p w14:paraId="1876FF78" w14:textId="77777777" w:rsidR="00396B97" w:rsidRPr="002A51B1" w:rsidRDefault="00396B97" w:rsidP="000C7BC1">
            <w:pPr>
              <w:jc w:val="center"/>
              <w:rPr>
                <w:sz w:val="20"/>
                <w:szCs w:val="20"/>
              </w:rPr>
            </w:pPr>
            <w:r w:rsidRPr="002A51B1">
              <w:rPr>
                <w:sz w:val="20"/>
                <w:szCs w:val="20"/>
              </w:rPr>
              <w:t>3.0</w:t>
            </w:r>
          </w:p>
        </w:tc>
      </w:tr>
      <w:tr w:rsidR="00396B97" w:rsidRPr="002A51B1" w14:paraId="567C8BAB" w14:textId="77777777" w:rsidTr="007C008F">
        <w:trPr>
          <w:trHeight w:val="20"/>
        </w:trPr>
        <w:tc>
          <w:tcPr>
            <w:tcW w:w="2306" w:type="pct"/>
            <w:shd w:val="clear" w:color="auto" w:fill="FFFFFF"/>
            <w:tcMar>
              <w:left w:w="57" w:type="dxa"/>
              <w:right w:w="57" w:type="dxa"/>
            </w:tcMar>
            <w:vAlign w:val="center"/>
          </w:tcPr>
          <w:p w14:paraId="562D93B3"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698" w:type="pct"/>
            <w:shd w:val="clear" w:color="auto" w:fill="FFFFFF"/>
            <w:tcMar>
              <w:left w:w="57" w:type="dxa"/>
              <w:right w:w="57" w:type="dxa"/>
            </w:tcMar>
          </w:tcPr>
          <w:p w14:paraId="2D881298" w14:textId="77777777" w:rsidR="00396B97" w:rsidRPr="002A51B1" w:rsidRDefault="00396B97" w:rsidP="000C7BC1">
            <w:pPr>
              <w:jc w:val="center"/>
              <w:rPr>
                <w:sz w:val="20"/>
                <w:szCs w:val="20"/>
              </w:rPr>
            </w:pPr>
            <w:r w:rsidRPr="002A51B1">
              <w:rPr>
                <w:sz w:val="20"/>
                <w:szCs w:val="20"/>
              </w:rPr>
              <w:t>12.4</w:t>
            </w:r>
          </w:p>
        </w:tc>
        <w:tc>
          <w:tcPr>
            <w:tcW w:w="699" w:type="pct"/>
            <w:shd w:val="clear" w:color="auto" w:fill="FFFFFF"/>
            <w:tcMar>
              <w:left w:w="57" w:type="dxa"/>
              <w:right w:w="57" w:type="dxa"/>
            </w:tcMar>
          </w:tcPr>
          <w:p w14:paraId="583E1F85" w14:textId="77777777" w:rsidR="00396B97" w:rsidRPr="002A51B1" w:rsidRDefault="00396B97" w:rsidP="000C7BC1">
            <w:pPr>
              <w:jc w:val="center"/>
              <w:rPr>
                <w:sz w:val="20"/>
                <w:szCs w:val="20"/>
              </w:rPr>
            </w:pPr>
            <w:r w:rsidRPr="002A51B1">
              <w:rPr>
                <w:sz w:val="20"/>
                <w:szCs w:val="20"/>
              </w:rPr>
              <w:t>11.3</w:t>
            </w:r>
          </w:p>
        </w:tc>
        <w:tc>
          <w:tcPr>
            <w:tcW w:w="651" w:type="pct"/>
            <w:shd w:val="clear" w:color="auto" w:fill="FFFFFF"/>
          </w:tcPr>
          <w:p w14:paraId="624C0409" w14:textId="77777777" w:rsidR="00396B97" w:rsidRPr="002A51B1" w:rsidRDefault="00396B97" w:rsidP="000C7BC1">
            <w:pPr>
              <w:jc w:val="center"/>
              <w:rPr>
                <w:sz w:val="20"/>
                <w:szCs w:val="20"/>
              </w:rPr>
            </w:pPr>
            <w:r w:rsidRPr="002A51B1">
              <w:rPr>
                <w:sz w:val="20"/>
                <w:szCs w:val="20"/>
              </w:rPr>
              <w:t>12.4</w:t>
            </w:r>
          </w:p>
        </w:tc>
        <w:tc>
          <w:tcPr>
            <w:tcW w:w="647" w:type="pct"/>
            <w:shd w:val="clear" w:color="auto" w:fill="FFFFFF"/>
          </w:tcPr>
          <w:p w14:paraId="1943BB7E" w14:textId="77777777" w:rsidR="00396B97" w:rsidRPr="002A51B1" w:rsidRDefault="00396B97" w:rsidP="000C7BC1">
            <w:pPr>
              <w:jc w:val="center"/>
              <w:rPr>
                <w:sz w:val="20"/>
                <w:szCs w:val="20"/>
              </w:rPr>
            </w:pPr>
            <w:r w:rsidRPr="002A51B1">
              <w:rPr>
                <w:sz w:val="20"/>
                <w:szCs w:val="20"/>
              </w:rPr>
              <w:t>11.4</w:t>
            </w:r>
          </w:p>
        </w:tc>
      </w:tr>
      <w:tr w:rsidR="00396B97" w:rsidRPr="002A51B1" w14:paraId="56273E38" w14:textId="77777777" w:rsidTr="003D408A">
        <w:tblPrEx>
          <w:tblCellMar>
            <w:left w:w="30" w:type="dxa"/>
            <w:right w:w="30" w:type="dxa"/>
          </w:tblCellMar>
        </w:tblPrEx>
        <w:trPr>
          <w:trHeight w:val="20"/>
        </w:trPr>
        <w:tc>
          <w:tcPr>
            <w:tcW w:w="2306" w:type="pct"/>
            <w:shd w:val="clear" w:color="auto" w:fill="C6D9F1" w:themeFill="text2" w:themeFillTint="33"/>
            <w:tcMar>
              <w:left w:w="57" w:type="dxa"/>
              <w:right w:w="57" w:type="dxa"/>
            </w:tcMar>
            <w:vAlign w:val="center"/>
          </w:tcPr>
          <w:p w14:paraId="0306F01F" w14:textId="77777777" w:rsidR="00396B97" w:rsidRPr="002A51B1" w:rsidRDefault="00396B97" w:rsidP="000C7BC1">
            <w:pPr>
              <w:ind w:firstLine="0"/>
              <w:rPr>
                <w:b/>
                <w:sz w:val="20"/>
                <w:szCs w:val="20"/>
                <w:lang w:val="hy-AM"/>
              </w:rPr>
            </w:pPr>
            <w:r w:rsidRPr="002A51B1">
              <w:rPr>
                <w:rFonts w:cs="Arial"/>
                <w:b/>
                <w:sz w:val="20"/>
                <w:szCs w:val="20"/>
              </w:rPr>
              <w:t>ՍՈՑԻԱԼԱԿԱՆ</w:t>
            </w:r>
            <w:r w:rsidRPr="002A51B1">
              <w:rPr>
                <w:b/>
                <w:sz w:val="20"/>
                <w:szCs w:val="20"/>
              </w:rPr>
              <w:t xml:space="preserve"> </w:t>
            </w:r>
            <w:r w:rsidRPr="002A51B1">
              <w:rPr>
                <w:rFonts w:cs="Arial"/>
                <w:b/>
                <w:sz w:val="20"/>
                <w:szCs w:val="20"/>
              </w:rPr>
              <w:t>ՈԼՈՐՏ</w:t>
            </w:r>
          </w:p>
        </w:tc>
        <w:tc>
          <w:tcPr>
            <w:tcW w:w="698" w:type="pct"/>
            <w:shd w:val="clear" w:color="auto" w:fill="C6D9F1" w:themeFill="text2" w:themeFillTint="33"/>
            <w:tcMar>
              <w:left w:w="57" w:type="dxa"/>
              <w:right w:w="57" w:type="dxa"/>
            </w:tcMar>
          </w:tcPr>
          <w:p w14:paraId="3C36964D" w14:textId="77777777" w:rsidR="00396B97" w:rsidRPr="002A51B1" w:rsidRDefault="00396B97" w:rsidP="000C7BC1">
            <w:pPr>
              <w:ind w:firstLine="0"/>
              <w:jc w:val="center"/>
              <w:rPr>
                <w:b/>
                <w:sz w:val="20"/>
                <w:szCs w:val="20"/>
              </w:rPr>
            </w:pPr>
            <w:r w:rsidRPr="002A51B1">
              <w:rPr>
                <w:b/>
                <w:sz w:val="20"/>
                <w:szCs w:val="20"/>
              </w:rPr>
              <w:t>797,818.1</w:t>
            </w:r>
          </w:p>
        </w:tc>
        <w:tc>
          <w:tcPr>
            <w:tcW w:w="699" w:type="pct"/>
            <w:shd w:val="clear" w:color="auto" w:fill="C6D9F1" w:themeFill="text2" w:themeFillTint="33"/>
            <w:tcMar>
              <w:left w:w="57" w:type="dxa"/>
              <w:right w:w="57" w:type="dxa"/>
            </w:tcMar>
          </w:tcPr>
          <w:p w14:paraId="1530D4EE" w14:textId="77777777" w:rsidR="00396B97" w:rsidRPr="002A51B1" w:rsidRDefault="00396B97" w:rsidP="000C7BC1">
            <w:pPr>
              <w:ind w:firstLine="0"/>
              <w:jc w:val="center"/>
              <w:rPr>
                <w:b/>
                <w:sz w:val="20"/>
                <w:szCs w:val="20"/>
              </w:rPr>
            </w:pPr>
            <w:r w:rsidRPr="002A51B1">
              <w:rPr>
                <w:b/>
                <w:sz w:val="20"/>
                <w:szCs w:val="20"/>
              </w:rPr>
              <w:t>808,151.3</w:t>
            </w:r>
          </w:p>
        </w:tc>
        <w:tc>
          <w:tcPr>
            <w:tcW w:w="651" w:type="pct"/>
            <w:shd w:val="clear" w:color="auto" w:fill="C6D9F1" w:themeFill="text2" w:themeFillTint="33"/>
          </w:tcPr>
          <w:p w14:paraId="0D65677C" w14:textId="77777777" w:rsidR="00396B97" w:rsidRPr="002A51B1" w:rsidRDefault="00396B97" w:rsidP="000C7BC1">
            <w:pPr>
              <w:ind w:firstLine="0"/>
              <w:jc w:val="center"/>
              <w:rPr>
                <w:b/>
                <w:sz w:val="20"/>
                <w:szCs w:val="20"/>
              </w:rPr>
            </w:pPr>
            <w:r w:rsidRPr="002A51B1">
              <w:rPr>
                <w:b/>
                <w:sz w:val="20"/>
                <w:szCs w:val="20"/>
              </w:rPr>
              <w:t>853,279.6</w:t>
            </w:r>
          </w:p>
        </w:tc>
        <w:tc>
          <w:tcPr>
            <w:tcW w:w="647" w:type="pct"/>
            <w:shd w:val="clear" w:color="auto" w:fill="C6D9F1" w:themeFill="text2" w:themeFillTint="33"/>
          </w:tcPr>
          <w:p w14:paraId="063FBC4B" w14:textId="77777777" w:rsidR="00396B97" w:rsidRPr="002A51B1" w:rsidRDefault="00396B97" w:rsidP="000C7BC1">
            <w:pPr>
              <w:ind w:firstLine="0"/>
              <w:jc w:val="center"/>
              <w:rPr>
                <w:b/>
                <w:sz w:val="20"/>
                <w:szCs w:val="20"/>
              </w:rPr>
            </w:pPr>
            <w:r w:rsidRPr="002A51B1">
              <w:rPr>
                <w:b/>
                <w:sz w:val="20"/>
                <w:szCs w:val="20"/>
              </w:rPr>
              <w:t>890,165.8</w:t>
            </w:r>
          </w:p>
        </w:tc>
      </w:tr>
      <w:tr w:rsidR="00396B97" w:rsidRPr="002A51B1" w14:paraId="0CBA4968" w14:textId="77777777" w:rsidTr="007C008F">
        <w:trPr>
          <w:trHeight w:val="20"/>
        </w:trPr>
        <w:tc>
          <w:tcPr>
            <w:tcW w:w="2306" w:type="pct"/>
            <w:shd w:val="clear" w:color="auto" w:fill="FFFFFF"/>
            <w:tcMar>
              <w:left w:w="57" w:type="dxa"/>
              <w:right w:w="57" w:type="dxa"/>
            </w:tcMar>
            <w:vAlign w:val="center"/>
          </w:tcPr>
          <w:p w14:paraId="3A8AD44B"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98" w:type="pct"/>
            <w:shd w:val="clear" w:color="auto" w:fill="FFFFFF"/>
            <w:tcMar>
              <w:left w:w="57" w:type="dxa"/>
              <w:right w:w="57" w:type="dxa"/>
            </w:tcMar>
          </w:tcPr>
          <w:p w14:paraId="7AFF14F0" w14:textId="77777777" w:rsidR="00396B97" w:rsidRPr="002A51B1" w:rsidRDefault="00396B97" w:rsidP="000C7BC1">
            <w:pPr>
              <w:jc w:val="center"/>
              <w:rPr>
                <w:sz w:val="20"/>
                <w:szCs w:val="20"/>
              </w:rPr>
            </w:pPr>
            <w:r w:rsidRPr="002A51B1">
              <w:rPr>
                <w:sz w:val="20"/>
                <w:szCs w:val="20"/>
              </w:rPr>
              <w:t>12.3</w:t>
            </w:r>
          </w:p>
        </w:tc>
        <w:tc>
          <w:tcPr>
            <w:tcW w:w="699" w:type="pct"/>
            <w:shd w:val="clear" w:color="auto" w:fill="FFFFFF"/>
            <w:tcMar>
              <w:left w:w="57" w:type="dxa"/>
              <w:right w:w="57" w:type="dxa"/>
            </w:tcMar>
          </w:tcPr>
          <w:p w14:paraId="26D33745" w14:textId="77777777" w:rsidR="00396B97" w:rsidRPr="002A51B1" w:rsidRDefault="00396B97" w:rsidP="000C7BC1">
            <w:pPr>
              <w:jc w:val="center"/>
              <w:rPr>
                <w:sz w:val="20"/>
                <w:szCs w:val="20"/>
              </w:rPr>
            </w:pPr>
            <w:r w:rsidRPr="002A51B1">
              <w:rPr>
                <w:sz w:val="20"/>
                <w:szCs w:val="20"/>
              </w:rPr>
              <w:t>11.3</w:t>
            </w:r>
          </w:p>
        </w:tc>
        <w:tc>
          <w:tcPr>
            <w:tcW w:w="651" w:type="pct"/>
            <w:shd w:val="clear" w:color="auto" w:fill="FFFFFF"/>
          </w:tcPr>
          <w:p w14:paraId="0FFC241E" w14:textId="77777777" w:rsidR="00396B97" w:rsidRPr="002A51B1" w:rsidRDefault="00396B97" w:rsidP="000C7BC1">
            <w:pPr>
              <w:jc w:val="center"/>
              <w:rPr>
                <w:sz w:val="20"/>
                <w:szCs w:val="20"/>
              </w:rPr>
            </w:pPr>
            <w:r w:rsidRPr="002A51B1">
              <w:rPr>
                <w:sz w:val="20"/>
                <w:szCs w:val="20"/>
              </w:rPr>
              <w:t>10.9</w:t>
            </w:r>
          </w:p>
        </w:tc>
        <w:tc>
          <w:tcPr>
            <w:tcW w:w="647" w:type="pct"/>
            <w:shd w:val="clear" w:color="auto" w:fill="FFFFFF"/>
          </w:tcPr>
          <w:p w14:paraId="57024267" w14:textId="77777777" w:rsidR="00396B97" w:rsidRPr="002A51B1" w:rsidRDefault="00396B97" w:rsidP="000C7BC1">
            <w:pPr>
              <w:jc w:val="center"/>
              <w:rPr>
                <w:sz w:val="20"/>
                <w:szCs w:val="20"/>
              </w:rPr>
            </w:pPr>
            <w:r w:rsidRPr="002A51B1">
              <w:rPr>
                <w:sz w:val="20"/>
                <w:szCs w:val="20"/>
              </w:rPr>
              <w:t>10.4</w:t>
            </w:r>
          </w:p>
        </w:tc>
      </w:tr>
      <w:tr w:rsidR="00396B97" w:rsidRPr="002A51B1" w14:paraId="3698C65B" w14:textId="77777777" w:rsidTr="007C008F">
        <w:trPr>
          <w:trHeight w:val="20"/>
        </w:trPr>
        <w:tc>
          <w:tcPr>
            <w:tcW w:w="2306" w:type="pct"/>
            <w:shd w:val="clear" w:color="auto" w:fill="FFFFFF"/>
            <w:tcMar>
              <w:left w:w="57" w:type="dxa"/>
              <w:right w:w="57" w:type="dxa"/>
            </w:tcMar>
            <w:vAlign w:val="center"/>
          </w:tcPr>
          <w:p w14:paraId="619EC20B"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698" w:type="pct"/>
            <w:shd w:val="clear" w:color="auto" w:fill="FFFFFF"/>
            <w:tcMar>
              <w:left w:w="57" w:type="dxa"/>
              <w:right w:w="57" w:type="dxa"/>
            </w:tcMar>
          </w:tcPr>
          <w:p w14:paraId="228700BB" w14:textId="77777777" w:rsidR="00396B97" w:rsidRPr="002A51B1" w:rsidRDefault="00396B97" w:rsidP="000C7BC1">
            <w:pPr>
              <w:jc w:val="center"/>
              <w:rPr>
                <w:sz w:val="20"/>
                <w:szCs w:val="20"/>
              </w:rPr>
            </w:pPr>
            <w:r w:rsidRPr="002A51B1">
              <w:rPr>
                <w:sz w:val="20"/>
                <w:szCs w:val="20"/>
              </w:rPr>
              <w:t>43.0</w:t>
            </w:r>
          </w:p>
        </w:tc>
        <w:tc>
          <w:tcPr>
            <w:tcW w:w="699" w:type="pct"/>
            <w:shd w:val="clear" w:color="auto" w:fill="FFFFFF"/>
            <w:tcMar>
              <w:left w:w="57" w:type="dxa"/>
              <w:right w:w="57" w:type="dxa"/>
            </w:tcMar>
          </w:tcPr>
          <w:p w14:paraId="3033CC84" w14:textId="77777777" w:rsidR="00396B97" w:rsidRPr="002A51B1" w:rsidRDefault="00396B97" w:rsidP="000C7BC1">
            <w:pPr>
              <w:jc w:val="center"/>
              <w:rPr>
                <w:sz w:val="20"/>
                <w:szCs w:val="20"/>
              </w:rPr>
            </w:pPr>
            <w:r w:rsidRPr="002A51B1">
              <w:rPr>
                <w:sz w:val="20"/>
                <w:szCs w:val="20"/>
              </w:rPr>
              <w:t>43.0</w:t>
            </w:r>
          </w:p>
        </w:tc>
        <w:tc>
          <w:tcPr>
            <w:tcW w:w="651" w:type="pct"/>
            <w:shd w:val="clear" w:color="auto" w:fill="FFFFFF"/>
          </w:tcPr>
          <w:p w14:paraId="4E39C1D6" w14:textId="77777777" w:rsidR="00396B97" w:rsidRPr="002A51B1" w:rsidRDefault="00396B97" w:rsidP="000C7BC1">
            <w:pPr>
              <w:jc w:val="center"/>
              <w:rPr>
                <w:sz w:val="20"/>
                <w:szCs w:val="20"/>
              </w:rPr>
            </w:pPr>
            <w:r w:rsidRPr="002A51B1">
              <w:rPr>
                <w:sz w:val="20"/>
                <w:szCs w:val="20"/>
              </w:rPr>
              <w:t>42.1</w:t>
            </w:r>
          </w:p>
        </w:tc>
        <w:tc>
          <w:tcPr>
            <w:tcW w:w="647" w:type="pct"/>
            <w:shd w:val="clear" w:color="auto" w:fill="FFFFFF"/>
          </w:tcPr>
          <w:p w14:paraId="18CE1F70" w14:textId="77777777" w:rsidR="00396B97" w:rsidRPr="002A51B1" w:rsidRDefault="00396B97" w:rsidP="000C7BC1">
            <w:pPr>
              <w:jc w:val="center"/>
              <w:rPr>
                <w:sz w:val="20"/>
                <w:szCs w:val="20"/>
              </w:rPr>
            </w:pPr>
            <w:r w:rsidRPr="002A51B1">
              <w:rPr>
                <w:sz w:val="20"/>
                <w:szCs w:val="20"/>
              </w:rPr>
              <w:t>39.7</w:t>
            </w:r>
          </w:p>
        </w:tc>
      </w:tr>
      <w:tr w:rsidR="00396B97" w:rsidRPr="002A51B1" w14:paraId="0CA9EDAE" w14:textId="77777777" w:rsidTr="003D408A">
        <w:tblPrEx>
          <w:tblCellMar>
            <w:left w:w="30" w:type="dxa"/>
            <w:right w:w="30" w:type="dxa"/>
          </w:tblCellMar>
        </w:tblPrEx>
        <w:trPr>
          <w:trHeight w:val="20"/>
        </w:trPr>
        <w:tc>
          <w:tcPr>
            <w:tcW w:w="2306" w:type="pct"/>
            <w:shd w:val="clear" w:color="auto" w:fill="C6D9F1" w:themeFill="text2" w:themeFillTint="33"/>
            <w:tcMar>
              <w:left w:w="57" w:type="dxa"/>
              <w:right w:w="57" w:type="dxa"/>
            </w:tcMar>
            <w:vAlign w:val="center"/>
          </w:tcPr>
          <w:p w14:paraId="1DFE7384" w14:textId="77777777" w:rsidR="00396B97" w:rsidRPr="002A51B1" w:rsidRDefault="00396B97" w:rsidP="000C7BC1">
            <w:pPr>
              <w:ind w:firstLine="0"/>
              <w:rPr>
                <w:b/>
                <w:sz w:val="20"/>
                <w:szCs w:val="20"/>
                <w:lang w:val="hy-AM"/>
              </w:rPr>
            </w:pPr>
            <w:r w:rsidRPr="002A51B1">
              <w:rPr>
                <w:rFonts w:cs="Arial"/>
                <w:b/>
                <w:sz w:val="20"/>
                <w:szCs w:val="20"/>
              </w:rPr>
              <w:t>ՀԻՄՆԱԿԱՆ</w:t>
            </w:r>
            <w:r w:rsidRPr="002A51B1">
              <w:rPr>
                <w:b/>
                <w:sz w:val="20"/>
                <w:szCs w:val="20"/>
              </w:rPr>
              <w:t xml:space="preserve"> </w:t>
            </w:r>
            <w:r w:rsidRPr="002A51B1">
              <w:rPr>
                <w:rFonts w:cs="Arial"/>
                <w:b/>
                <w:sz w:val="20"/>
                <w:szCs w:val="20"/>
              </w:rPr>
              <w:t>ԲԱԺԻՆՆԵՐԻՆ</w:t>
            </w:r>
            <w:r w:rsidRPr="002A51B1">
              <w:rPr>
                <w:b/>
                <w:sz w:val="20"/>
                <w:szCs w:val="20"/>
              </w:rPr>
              <w:t xml:space="preserve"> </w:t>
            </w:r>
            <w:r w:rsidRPr="002A51B1">
              <w:rPr>
                <w:rFonts w:cs="Arial"/>
                <w:b/>
                <w:sz w:val="20"/>
                <w:szCs w:val="20"/>
              </w:rPr>
              <w:t>ՉԴԱՍՎՈՂ</w:t>
            </w:r>
            <w:r w:rsidRPr="002A51B1">
              <w:rPr>
                <w:b/>
                <w:sz w:val="20"/>
                <w:szCs w:val="20"/>
              </w:rPr>
              <w:t xml:space="preserve"> </w:t>
            </w:r>
            <w:r w:rsidRPr="002A51B1">
              <w:rPr>
                <w:rFonts w:cs="Arial"/>
                <w:b/>
                <w:sz w:val="20"/>
                <w:szCs w:val="20"/>
              </w:rPr>
              <w:t>ՊԱՀՈՒՍՏԱՅԻՆ</w:t>
            </w:r>
            <w:r w:rsidRPr="002A51B1">
              <w:rPr>
                <w:b/>
                <w:sz w:val="20"/>
                <w:szCs w:val="20"/>
              </w:rPr>
              <w:t xml:space="preserve"> </w:t>
            </w:r>
            <w:r w:rsidRPr="002A51B1">
              <w:rPr>
                <w:rFonts w:cs="Arial"/>
                <w:b/>
                <w:sz w:val="20"/>
                <w:szCs w:val="20"/>
              </w:rPr>
              <w:t>ՖՈՆԴԵՐ</w:t>
            </w:r>
          </w:p>
        </w:tc>
        <w:tc>
          <w:tcPr>
            <w:tcW w:w="698" w:type="pct"/>
            <w:shd w:val="clear" w:color="auto" w:fill="C6D9F1" w:themeFill="text2" w:themeFillTint="33"/>
            <w:tcMar>
              <w:left w:w="57" w:type="dxa"/>
              <w:right w:w="57" w:type="dxa"/>
            </w:tcMar>
          </w:tcPr>
          <w:p w14:paraId="45A25C5B" w14:textId="77777777" w:rsidR="00396B97" w:rsidRPr="002A51B1" w:rsidRDefault="00396B97" w:rsidP="000C7BC1">
            <w:pPr>
              <w:ind w:firstLine="0"/>
              <w:jc w:val="center"/>
              <w:rPr>
                <w:b/>
                <w:sz w:val="20"/>
                <w:szCs w:val="20"/>
              </w:rPr>
            </w:pPr>
            <w:r w:rsidRPr="002A51B1">
              <w:rPr>
                <w:b/>
                <w:sz w:val="20"/>
                <w:szCs w:val="20"/>
              </w:rPr>
              <w:t>4,981.8</w:t>
            </w:r>
          </w:p>
        </w:tc>
        <w:tc>
          <w:tcPr>
            <w:tcW w:w="699" w:type="pct"/>
            <w:shd w:val="clear" w:color="auto" w:fill="C6D9F1" w:themeFill="text2" w:themeFillTint="33"/>
            <w:tcMar>
              <w:left w:w="57" w:type="dxa"/>
              <w:right w:w="57" w:type="dxa"/>
            </w:tcMar>
          </w:tcPr>
          <w:p w14:paraId="00BDDAE4" w14:textId="77777777" w:rsidR="00396B97" w:rsidRPr="002A51B1" w:rsidRDefault="00396B97" w:rsidP="000C7BC1">
            <w:pPr>
              <w:ind w:firstLine="0"/>
              <w:jc w:val="center"/>
              <w:rPr>
                <w:b/>
                <w:sz w:val="20"/>
                <w:szCs w:val="20"/>
              </w:rPr>
            </w:pPr>
            <w:r w:rsidRPr="002A51B1">
              <w:rPr>
                <w:b/>
                <w:sz w:val="20"/>
                <w:szCs w:val="20"/>
              </w:rPr>
              <w:t>3,848.7</w:t>
            </w:r>
          </w:p>
        </w:tc>
        <w:tc>
          <w:tcPr>
            <w:tcW w:w="651" w:type="pct"/>
            <w:shd w:val="clear" w:color="auto" w:fill="C6D9F1" w:themeFill="text2" w:themeFillTint="33"/>
          </w:tcPr>
          <w:p w14:paraId="0E83096A" w14:textId="77777777" w:rsidR="00396B97" w:rsidRPr="002A51B1" w:rsidRDefault="00396B97" w:rsidP="000C7BC1">
            <w:pPr>
              <w:ind w:firstLine="0"/>
              <w:jc w:val="center"/>
              <w:rPr>
                <w:b/>
                <w:sz w:val="20"/>
                <w:szCs w:val="20"/>
              </w:rPr>
            </w:pPr>
            <w:r w:rsidRPr="002A51B1">
              <w:rPr>
                <w:b/>
                <w:sz w:val="20"/>
                <w:szCs w:val="20"/>
              </w:rPr>
              <w:t>7,375.0</w:t>
            </w:r>
          </w:p>
        </w:tc>
        <w:tc>
          <w:tcPr>
            <w:tcW w:w="647" w:type="pct"/>
            <w:shd w:val="clear" w:color="auto" w:fill="C6D9F1" w:themeFill="text2" w:themeFillTint="33"/>
          </w:tcPr>
          <w:p w14:paraId="540CDDE8" w14:textId="77777777" w:rsidR="00396B97" w:rsidRPr="002A51B1" w:rsidRDefault="00396B97" w:rsidP="000C7BC1">
            <w:pPr>
              <w:ind w:firstLine="0"/>
              <w:jc w:val="center"/>
              <w:rPr>
                <w:b/>
                <w:sz w:val="20"/>
                <w:szCs w:val="20"/>
              </w:rPr>
            </w:pPr>
            <w:r w:rsidRPr="002A51B1">
              <w:rPr>
                <w:b/>
                <w:sz w:val="20"/>
                <w:szCs w:val="20"/>
              </w:rPr>
              <w:t>98,121.5</w:t>
            </w:r>
          </w:p>
        </w:tc>
      </w:tr>
      <w:tr w:rsidR="00396B97" w:rsidRPr="002A51B1" w14:paraId="62AC5355" w14:textId="77777777" w:rsidTr="007C008F">
        <w:trPr>
          <w:trHeight w:val="20"/>
        </w:trPr>
        <w:tc>
          <w:tcPr>
            <w:tcW w:w="2306" w:type="pct"/>
            <w:shd w:val="clear" w:color="auto" w:fill="FFFFFF"/>
            <w:tcMar>
              <w:left w:w="57" w:type="dxa"/>
              <w:right w:w="57" w:type="dxa"/>
            </w:tcMar>
            <w:vAlign w:val="center"/>
          </w:tcPr>
          <w:p w14:paraId="6E0FE6A7"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98" w:type="pct"/>
            <w:shd w:val="clear" w:color="auto" w:fill="FFFFFF"/>
            <w:tcMar>
              <w:left w:w="57" w:type="dxa"/>
              <w:right w:w="57" w:type="dxa"/>
            </w:tcMar>
          </w:tcPr>
          <w:p w14:paraId="73108894" w14:textId="77777777" w:rsidR="00396B97" w:rsidRPr="002A51B1" w:rsidRDefault="00396B97" w:rsidP="00FF2D29">
            <w:pPr>
              <w:jc w:val="center"/>
              <w:rPr>
                <w:sz w:val="20"/>
                <w:szCs w:val="20"/>
              </w:rPr>
            </w:pPr>
            <w:r w:rsidRPr="002A51B1">
              <w:rPr>
                <w:sz w:val="20"/>
                <w:szCs w:val="20"/>
              </w:rPr>
              <w:t>0.1</w:t>
            </w:r>
          </w:p>
        </w:tc>
        <w:tc>
          <w:tcPr>
            <w:tcW w:w="699" w:type="pct"/>
            <w:shd w:val="clear" w:color="auto" w:fill="FFFFFF"/>
            <w:tcMar>
              <w:left w:w="57" w:type="dxa"/>
              <w:right w:w="57" w:type="dxa"/>
            </w:tcMar>
          </w:tcPr>
          <w:p w14:paraId="5C5495F7" w14:textId="77777777" w:rsidR="00396B97" w:rsidRPr="002A51B1" w:rsidRDefault="00396B97" w:rsidP="00FF2D29">
            <w:pPr>
              <w:jc w:val="center"/>
              <w:rPr>
                <w:sz w:val="20"/>
                <w:szCs w:val="20"/>
              </w:rPr>
            </w:pPr>
            <w:r w:rsidRPr="002A51B1">
              <w:rPr>
                <w:sz w:val="20"/>
                <w:szCs w:val="20"/>
              </w:rPr>
              <w:t>0.1</w:t>
            </w:r>
          </w:p>
        </w:tc>
        <w:tc>
          <w:tcPr>
            <w:tcW w:w="651" w:type="pct"/>
            <w:shd w:val="clear" w:color="auto" w:fill="FFFFFF"/>
          </w:tcPr>
          <w:p w14:paraId="340A1CD7" w14:textId="77777777" w:rsidR="00396B97" w:rsidRPr="002A51B1" w:rsidRDefault="00396B97" w:rsidP="00FF2D29">
            <w:pPr>
              <w:jc w:val="center"/>
              <w:rPr>
                <w:sz w:val="20"/>
                <w:szCs w:val="20"/>
              </w:rPr>
            </w:pPr>
            <w:r w:rsidRPr="002A51B1">
              <w:rPr>
                <w:sz w:val="20"/>
                <w:szCs w:val="20"/>
              </w:rPr>
              <w:t>0.1</w:t>
            </w:r>
          </w:p>
        </w:tc>
        <w:tc>
          <w:tcPr>
            <w:tcW w:w="647" w:type="pct"/>
            <w:shd w:val="clear" w:color="auto" w:fill="FFFFFF"/>
          </w:tcPr>
          <w:p w14:paraId="03014478" w14:textId="77777777" w:rsidR="00396B97" w:rsidRPr="002A51B1" w:rsidRDefault="00396B97" w:rsidP="00FF2D29">
            <w:pPr>
              <w:jc w:val="center"/>
              <w:rPr>
                <w:sz w:val="20"/>
                <w:szCs w:val="20"/>
              </w:rPr>
            </w:pPr>
            <w:r w:rsidRPr="002A51B1">
              <w:rPr>
                <w:sz w:val="20"/>
                <w:szCs w:val="20"/>
              </w:rPr>
              <w:t>1.1</w:t>
            </w:r>
          </w:p>
        </w:tc>
      </w:tr>
      <w:tr w:rsidR="00396B97" w:rsidRPr="002A51B1" w14:paraId="2B5DFAED" w14:textId="77777777" w:rsidTr="007C008F">
        <w:trPr>
          <w:trHeight w:val="20"/>
        </w:trPr>
        <w:tc>
          <w:tcPr>
            <w:tcW w:w="2306" w:type="pct"/>
            <w:shd w:val="clear" w:color="auto" w:fill="FFFFFF"/>
            <w:tcMar>
              <w:left w:w="57" w:type="dxa"/>
              <w:right w:w="57" w:type="dxa"/>
            </w:tcMar>
            <w:vAlign w:val="center"/>
          </w:tcPr>
          <w:p w14:paraId="0805D660"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698" w:type="pct"/>
            <w:shd w:val="clear" w:color="auto" w:fill="FFFFFF"/>
            <w:tcMar>
              <w:left w:w="57" w:type="dxa"/>
              <w:right w:w="57" w:type="dxa"/>
            </w:tcMar>
          </w:tcPr>
          <w:p w14:paraId="62FDD9F8" w14:textId="77777777" w:rsidR="00396B97" w:rsidRPr="002A51B1" w:rsidRDefault="00396B97" w:rsidP="00FF2D29">
            <w:pPr>
              <w:jc w:val="center"/>
              <w:rPr>
                <w:sz w:val="20"/>
                <w:szCs w:val="20"/>
              </w:rPr>
            </w:pPr>
            <w:r w:rsidRPr="002A51B1">
              <w:rPr>
                <w:sz w:val="20"/>
                <w:szCs w:val="20"/>
              </w:rPr>
              <w:t>0.3</w:t>
            </w:r>
          </w:p>
        </w:tc>
        <w:tc>
          <w:tcPr>
            <w:tcW w:w="699" w:type="pct"/>
            <w:shd w:val="clear" w:color="auto" w:fill="FFFFFF"/>
            <w:tcMar>
              <w:left w:w="57" w:type="dxa"/>
              <w:right w:w="57" w:type="dxa"/>
            </w:tcMar>
          </w:tcPr>
          <w:p w14:paraId="3F9FE8AB" w14:textId="77777777" w:rsidR="00396B97" w:rsidRPr="002A51B1" w:rsidRDefault="00396B97" w:rsidP="00FF2D29">
            <w:pPr>
              <w:jc w:val="center"/>
              <w:rPr>
                <w:sz w:val="20"/>
                <w:szCs w:val="20"/>
              </w:rPr>
            </w:pPr>
            <w:r w:rsidRPr="002A51B1">
              <w:rPr>
                <w:sz w:val="20"/>
                <w:szCs w:val="20"/>
              </w:rPr>
              <w:t>0.2</w:t>
            </w:r>
          </w:p>
        </w:tc>
        <w:tc>
          <w:tcPr>
            <w:tcW w:w="651" w:type="pct"/>
            <w:shd w:val="clear" w:color="auto" w:fill="FFFFFF"/>
          </w:tcPr>
          <w:p w14:paraId="74ADBF56" w14:textId="77777777" w:rsidR="00396B97" w:rsidRPr="002A51B1" w:rsidRDefault="00396B97" w:rsidP="00FF2D29">
            <w:pPr>
              <w:jc w:val="center"/>
              <w:rPr>
                <w:sz w:val="20"/>
                <w:szCs w:val="20"/>
              </w:rPr>
            </w:pPr>
            <w:r w:rsidRPr="002A51B1">
              <w:rPr>
                <w:sz w:val="20"/>
                <w:szCs w:val="20"/>
              </w:rPr>
              <w:t>0.4</w:t>
            </w:r>
          </w:p>
        </w:tc>
        <w:tc>
          <w:tcPr>
            <w:tcW w:w="647" w:type="pct"/>
            <w:shd w:val="clear" w:color="auto" w:fill="FFFFFF"/>
          </w:tcPr>
          <w:p w14:paraId="48923091" w14:textId="77777777" w:rsidR="00396B97" w:rsidRPr="002A51B1" w:rsidRDefault="00396B97" w:rsidP="00FF2D29">
            <w:pPr>
              <w:jc w:val="center"/>
              <w:rPr>
                <w:sz w:val="20"/>
                <w:szCs w:val="20"/>
              </w:rPr>
            </w:pPr>
            <w:r w:rsidRPr="002A51B1">
              <w:rPr>
                <w:sz w:val="20"/>
                <w:szCs w:val="20"/>
              </w:rPr>
              <w:t>4.4</w:t>
            </w:r>
          </w:p>
        </w:tc>
      </w:tr>
      <w:tr w:rsidR="00396B97" w:rsidRPr="002A51B1" w14:paraId="49E0A55E" w14:textId="77777777" w:rsidTr="003D408A">
        <w:tblPrEx>
          <w:tblCellMar>
            <w:left w:w="30" w:type="dxa"/>
            <w:right w:w="30" w:type="dxa"/>
          </w:tblCellMar>
        </w:tblPrEx>
        <w:trPr>
          <w:trHeight w:val="517"/>
        </w:trPr>
        <w:tc>
          <w:tcPr>
            <w:tcW w:w="2306" w:type="pct"/>
            <w:shd w:val="clear" w:color="auto" w:fill="C6D9F1" w:themeFill="text2" w:themeFillTint="33"/>
            <w:tcMar>
              <w:left w:w="57" w:type="dxa"/>
              <w:right w:w="57" w:type="dxa"/>
            </w:tcMar>
            <w:vAlign w:val="center"/>
          </w:tcPr>
          <w:p w14:paraId="4F701E2E" w14:textId="77777777" w:rsidR="00396B97" w:rsidRPr="002A51B1" w:rsidRDefault="00396B97" w:rsidP="007C008F">
            <w:pPr>
              <w:rPr>
                <w:b/>
                <w:sz w:val="20"/>
                <w:szCs w:val="20"/>
                <w:lang w:val="hy-AM"/>
              </w:rPr>
            </w:pPr>
            <w:r w:rsidRPr="002A51B1">
              <w:rPr>
                <w:rFonts w:cs="Arial"/>
                <w:b/>
                <w:sz w:val="20"/>
                <w:szCs w:val="20"/>
              </w:rPr>
              <w:t>ՊԱՐՏՔԻ</w:t>
            </w:r>
            <w:r w:rsidRPr="002A51B1">
              <w:rPr>
                <w:b/>
                <w:sz w:val="20"/>
                <w:szCs w:val="20"/>
              </w:rPr>
              <w:t xml:space="preserve"> </w:t>
            </w:r>
            <w:r w:rsidRPr="002A51B1">
              <w:rPr>
                <w:rFonts w:cs="Arial"/>
                <w:b/>
                <w:sz w:val="20"/>
                <w:szCs w:val="20"/>
              </w:rPr>
              <w:t>ՍՊԱՍԱՐԿՈՒՄ</w:t>
            </w:r>
          </w:p>
        </w:tc>
        <w:tc>
          <w:tcPr>
            <w:tcW w:w="698" w:type="pct"/>
            <w:shd w:val="clear" w:color="auto" w:fill="C6D9F1" w:themeFill="text2" w:themeFillTint="33"/>
            <w:tcMar>
              <w:left w:w="57" w:type="dxa"/>
              <w:right w:w="57" w:type="dxa"/>
            </w:tcMar>
          </w:tcPr>
          <w:p w14:paraId="1B429A83" w14:textId="77777777" w:rsidR="00396B97" w:rsidRPr="002A51B1" w:rsidRDefault="00396B97" w:rsidP="00FF2D29">
            <w:pPr>
              <w:ind w:firstLine="0"/>
              <w:jc w:val="center"/>
              <w:rPr>
                <w:b/>
                <w:sz w:val="20"/>
                <w:szCs w:val="20"/>
              </w:rPr>
            </w:pPr>
            <w:r w:rsidRPr="002A51B1">
              <w:rPr>
                <w:b/>
                <w:sz w:val="20"/>
                <w:szCs w:val="20"/>
              </w:rPr>
              <w:t>185,499.7</w:t>
            </w:r>
          </w:p>
        </w:tc>
        <w:tc>
          <w:tcPr>
            <w:tcW w:w="699" w:type="pct"/>
            <w:shd w:val="clear" w:color="auto" w:fill="C6D9F1" w:themeFill="text2" w:themeFillTint="33"/>
            <w:tcMar>
              <w:left w:w="57" w:type="dxa"/>
              <w:right w:w="57" w:type="dxa"/>
            </w:tcMar>
          </w:tcPr>
          <w:p w14:paraId="652E5839" w14:textId="77777777" w:rsidR="00396B97" w:rsidRPr="002A51B1" w:rsidRDefault="00396B97" w:rsidP="00FF2D29">
            <w:pPr>
              <w:ind w:firstLine="0"/>
              <w:jc w:val="center"/>
              <w:rPr>
                <w:b/>
                <w:sz w:val="20"/>
                <w:szCs w:val="20"/>
              </w:rPr>
            </w:pPr>
            <w:r w:rsidRPr="002A51B1">
              <w:rPr>
                <w:b/>
                <w:sz w:val="20"/>
                <w:szCs w:val="20"/>
              </w:rPr>
              <w:t>211,218.3</w:t>
            </w:r>
          </w:p>
        </w:tc>
        <w:tc>
          <w:tcPr>
            <w:tcW w:w="651" w:type="pct"/>
            <w:shd w:val="clear" w:color="auto" w:fill="C6D9F1" w:themeFill="text2" w:themeFillTint="33"/>
          </w:tcPr>
          <w:p w14:paraId="3DFB6B3C" w14:textId="77777777" w:rsidR="00396B97" w:rsidRPr="002A51B1" w:rsidRDefault="00396B97" w:rsidP="00FF2D29">
            <w:pPr>
              <w:ind w:firstLine="0"/>
              <w:jc w:val="center"/>
              <w:rPr>
                <w:b/>
                <w:sz w:val="20"/>
                <w:szCs w:val="20"/>
              </w:rPr>
            </w:pPr>
            <w:r w:rsidRPr="002A51B1">
              <w:rPr>
                <w:b/>
                <w:sz w:val="20"/>
                <w:szCs w:val="20"/>
              </w:rPr>
              <w:t>236,565.8</w:t>
            </w:r>
          </w:p>
        </w:tc>
        <w:tc>
          <w:tcPr>
            <w:tcW w:w="647" w:type="pct"/>
            <w:shd w:val="clear" w:color="auto" w:fill="C6D9F1" w:themeFill="text2" w:themeFillTint="33"/>
          </w:tcPr>
          <w:p w14:paraId="714D9F2E" w14:textId="77777777" w:rsidR="00396B97" w:rsidRPr="002A51B1" w:rsidRDefault="00396B97" w:rsidP="00FF2D29">
            <w:pPr>
              <w:ind w:firstLine="0"/>
              <w:jc w:val="center"/>
              <w:rPr>
                <w:b/>
                <w:sz w:val="20"/>
                <w:szCs w:val="20"/>
              </w:rPr>
            </w:pPr>
            <w:r w:rsidRPr="002A51B1">
              <w:rPr>
                <w:b/>
                <w:sz w:val="20"/>
                <w:szCs w:val="20"/>
              </w:rPr>
              <w:t>185,499.7</w:t>
            </w:r>
          </w:p>
        </w:tc>
      </w:tr>
      <w:tr w:rsidR="00396B97" w:rsidRPr="002A51B1" w14:paraId="0F684BC1" w14:textId="77777777" w:rsidTr="007C008F">
        <w:trPr>
          <w:trHeight w:val="20"/>
        </w:trPr>
        <w:tc>
          <w:tcPr>
            <w:tcW w:w="2306" w:type="pct"/>
            <w:shd w:val="clear" w:color="auto" w:fill="FFFFFF"/>
            <w:tcMar>
              <w:left w:w="57" w:type="dxa"/>
              <w:right w:w="57" w:type="dxa"/>
            </w:tcMar>
            <w:vAlign w:val="center"/>
          </w:tcPr>
          <w:p w14:paraId="4A34D227"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98" w:type="pct"/>
            <w:shd w:val="clear" w:color="auto" w:fill="FFFFFF"/>
            <w:tcMar>
              <w:left w:w="57" w:type="dxa"/>
              <w:right w:w="57" w:type="dxa"/>
            </w:tcMar>
          </w:tcPr>
          <w:p w14:paraId="676EF530" w14:textId="77777777" w:rsidR="00396B97" w:rsidRPr="002A51B1" w:rsidRDefault="00396B97" w:rsidP="00FF2D29">
            <w:pPr>
              <w:jc w:val="center"/>
              <w:rPr>
                <w:sz w:val="20"/>
                <w:szCs w:val="20"/>
              </w:rPr>
            </w:pPr>
            <w:r w:rsidRPr="002A51B1">
              <w:rPr>
                <w:sz w:val="20"/>
                <w:szCs w:val="20"/>
              </w:rPr>
              <w:t>2.6</w:t>
            </w:r>
          </w:p>
        </w:tc>
        <w:tc>
          <w:tcPr>
            <w:tcW w:w="699" w:type="pct"/>
            <w:shd w:val="clear" w:color="auto" w:fill="FFFFFF"/>
            <w:tcMar>
              <w:left w:w="57" w:type="dxa"/>
              <w:right w:w="57" w:type="dxa"/>
            </w:tcMar>
          </w:tcPr>
          <w:p w14:paraId="26C1162B" w14:textId="77777777" w:rsidR="00396B97" w:rsidRPr="002A51B1" w:rsidRDefault="00396B97" w:rsidP="00FF2D29">
            <w:pPr>
              <w:jc w:val="center"/>
              <w:rPr>
                <w:sz w:val="20"/>
                <w:szCs w:val="20"/>
              </w:rPr>
            </w:pPr>
            <w:r w:rsidRPr="002A51B1">
              <w:rPr>
                <w:sz w:val="20"/>
                <w:szCs w:val="20"/>
              </w:rPr>
              <w:t>2.6</w:t>
            </w:r>
          </w:p>
        </w:tc>
        <w:tc>
          <w:tcPr>
            <w:tcW w:w="651" w:type="pct"/>
            <w:shd w:val="clear" w:color="auto" w:fill="FFFFFF"/>
          </w:tcPr>
          <w:p w14:paraId="587C4065" w14:textId="77777777" w:rsidR="00396B97" w:rsidRPr="002A51B1" w:rsidRDefault="00396B97" w:rsidP="00FF2D29">
            <w:pPr>
              <w:jc w:val="center"/>
              <w:rPr>
                <w:sz w:val="20"/>
                <w:szCs w:val="20"/>
              </w:rPr>
            </w:pPr>
            <w:r w:rsidRPr="002A51B1">
              <w:rPr>
                <w:sz w:val="20"/>
                <w:szCs w:val="20"/>
              </w:rPr>
              <w:t>2.7</w:t>
            </w:r>
          </w:p>
        </w:tc>
        <w:tc>
          <w:tcPr>
            <w:tcW w:w="647" w:type="pct"/>
            <w:shd w:val="clear" w:color="auto" w:fill="FFFFFF"/>
          </w:tcPr>
          <w:p w14:paraId="31BF3530" w14:textId="77777777" w:rsidR="00396B97" w:rsidRPr="002A51B1" w:rsidRDefault="00396B97" w:rsidP="00FF2D29">
            <w:pPr>
              <w:jc w:val="center"/>
              <w:rPr>
                <w:sz w:val="20"/>
                <w:szCs w:val="20"/>
              </w:rPr>
            </w:pPr>
            <w:r w:rsidRPr="002A51B1">
              <w:rPr>
                <w:sz w:val="20"/>
                <w:szCs w:val="20"/>
              </w:rPr>
              <w:t>2.8</w:t>
            </w:r>
          </w:p>
        </w:tc>
      </w:tr>
      <w:tr w:rsidR="00396B97" w:rsidRPr="002A51B1" w14:paraId="424DEA19" w14:textId="77777777" w:rsidTr="007C008F">
        <w:trPr>
          <w:trHeight w:val="20"/>
        </w:trPr>
        <w:tc>
          <w:tcPr>
            <w:tcW w:w="2306" w:type="pct"/>
            <w:shd w:val="clear" w:color="auto" w:fill="FFFFFF"/>
            <w:tcMar>
              <w:left w:w="57" w:type="dxa"/>
              <w:right w:w="57" w:type="dxa"/>
            </w:tcMar>
            <w:vAlign w:val="center"/>
          </w:tcPr>
          <w:p w14:paraId="2F2EF25F" w14:textId="77777777" w:rsidR="00396B97" w:rsidRPr="002A51B1" w:rsidRDefault="00396B97" w:rsidP="00FF2D29">
            <w:pPr>
              <w:ind w:firstLine="0"/>
              <w:rPr>
                <w:sz w:val="20"/>
                <w:szCs w:val="20"/>
                <w:lang w:val="hy-AM"/>
              </w:rPr>
            </w:pPr>
            <w:r w:rsidRPr="002A51B1">
              <w:rPr>
                <w:sz w:val="20"/>
                <w:szCs w:val="20"/>
                <w:lang w:val="hy-AM"/>
              </w:rPr>
              <w:lastRenderedPageBreak/>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698" w:type="pct"/>
            <w:shd w:val="clear" w:color="auto" w:fill="FFFFFF"/>
            <w:tcMar>
              <w:left w:w="57" w:type="dxa"/>
              <w:right w:w="57" w:type="dxa"/>
            </w:tcMar>
          </w:tcPr>
          <w:p w14:paraId="3714F663" w14:textId="77777777" w:rsidR="00396B97" w:rsidRPr="002A51B1" w:rsidRDefault="00396B97" w:rsidP="00FF2D29">
            <w:pPr>
              <w:jc w:val="center"/>
              <w:rPr>
                <w:sz w:val="20"/>
                <w:szCs w:val="20"/>
              </w:rPr>
            </w:pPr>
            <w:r w:rsidRPr="002A51B1">
              <w:rPr>
                <w:sz w:val="20"/>
                <w:szCs w:val="20"/>
              </w:rPr>
              <w:t>9.1</w:t>
            </w:r>
          </w:p>
        </w:tc>
        <w:tc>
          <w:tcPr>
            <w:tcW w:w="699" w:type="pct"/>
            <w:shd w:val="clear" w:color="auto" w:fill="FFFFFF"/>
            <w:tcMar>
              <w:left w:w="57" w:type="dxa"/>
              <w:right w:w="57" w:type="dxa"/>
            </w:tcMar>
          </w:tcPr>
          <w:p w14:paraId="3A3CFF91" w14:textId="77777777" w:rsidR="00396B97" w:rsidRPr="002A51B1" w:rsidRDefault="00396B97" w:rsidP="00FF2D29">
            <w:pPr>
              <w:jc w:val="center"/>
              <w:rPr>
                <w:sz w:val="20"/>
                <w:szCs w:val="20"/>
              </w:rPr>
            </w:pPr>
            <w:r w:rsidRPr="002A51B1">
              <w:rPr>
                <w:sz w:val="20"/>
                <w:szCs w:val="20"/>
              </w:rPr>
              <w:t>9.9</w:t>
            </w:r>
          </w:p>
        </w:tc>
        <w:tc>
          <w:tcPr>
            <w:tcW w:w="651" w:type="pct"/>
            <w:shd w:val="clear" w:color="auto" w:fill="FFFFFF"/>
          </w:tcPr>
          <w:p w14:paraId="51254214" w14:textId="77777777" w:rsidR="00396B97" w:rsidRPr="002A51B1" w:rsidRDefault="00396B97" w:rsidP="00FF2D29">
            <w:pPr>
              <w:jc w:val="center"/>
              <w:rPr>
                <w:sz w:val="20"/>
                <w:szCs w:val="20"/>
              </w:rPr>
            </w:pPr>
            <w:r w:rsidRPr="002A51B1">
              <w:rPr>
                <w:sz w:val="20"/>
                <w:szCs w:val="20"/>
              </w:rPr>
              <w:t>10.4</w:t>
            </w:r>
          </w:p>
        </w:tc>
        <w:tc>
          <w:tcPr>
            <w:tcW w:w="647" w:type="pct"/>
            <w:shd w:val="clear" w:color="auto" w:fill="FFFFFF"/>
          </w:tcPr>
          <w:p w14:paraId="1D64E264" w14:textId="77777777" w:rsidR="00396B97" w:rsidRPr="002A51B1" w:rsidRDefault="00396B97" w:rsidP="00FF2D29">
            <w:pPr>
              <w:jc w:val="center"/>
              <w:rPr>
                <w:sz w:val="20"/>
                <w:szCs w:val="20"/>
              </w:rPr>
            </w:pPr>
            <w:r w:rsidRPr="002A51B1">
              <w:rPr>
                <w:sz w:val="20"/>
                <w:szCs w:val="20"/>
              </w:rPr>
              <w:t>10.6</w:t>
            </w:r>
          </w:p>
        </w:tc>
      </w:tr>
    </w:tbl>
    <w:p w14:paraId="421A9DC5" w14:textId="77777777" w:rsidR="00396B97" w:rsidRPr="002A51B1" w:rsidRDefault="00396B97" w:rsidP="00396B97">
      <w:pPr>
        <w:rPr>
          <w:sz w:val="20"/>
          <w:szCs w:val="20"/>
          <w:lang w:val="hy-AM"/>
        </w:rPr>
      </w:pPr>
    </w:p>
    <w:p w14:paraId="12235C7F" w14:textId="77777777" w:rsidR="00396B97" w:rsidRPr="00E455AC" w:rsidRDefault="00396B97" w:rsidP="00396B97">
      <w:pPr>
        <w:rPr>
          <w:rFonts w:ascii="Cambria Math" w:hAnsi="Cambria Math"/>
          <w:lang w:val="hy-AM"/>
        </w:rPr>
      </w:pPr>
      <w:r w:rsidRPr="00E16537">
        <w:rPr>
          <w:rFonts w:cs="Arial"/>
          <w:lang w:val="hy-AM"/>
        </w:rPr>
        <w:t>ՀՀ</w:t>
      </w:r>
      <w:r w:rsidRPr="00E16537">
        <w:rPr>
          <w:lang w:val="af-ZA"/>
        </w:rPr>
        <w:t xml:space="preserve"> 2021-2023 </w:t>
      </w:r>
      <w:r w:rsidRPr="00E16537">
        <w:rPr>
          <w:rFonts w:cs="Arial"/>
          <w:lang w:val="hy-AM"/>
        </w:rPr>
        <w:t>թվականների</w:t>
      </w:r>
      <w:r w:rsidRPr="00E16537">
        <w:rPr>
          <w:lang w:val="af-ZA"/>
        </w:rPr>
        <w:t xml:space="preserve"> </w:t>
      </w:r>
      <w:r w:rsidRPr="00E16537">
        <w:rPr>
          <w:rFonts w:cs="Arial"/>
          <w:lang w:val="hy-AM"/>
        </w:rPr>
        <w:t>պետական</w:t>
      </w:r>
      <w:r w:rsidRPr="002D692C">
        <w:rPr>
          <w:rFonts w:cs="Arial"/>
          <w:lang w:val="hy-AM"/>
        </w:rPr>
        <w:t xml:space="preserve"> </w:t>
      </w:r>
      <w:r w:rsidRPr="00E455AC">
        <w:rPr>
          <w:rFonts w:cs="Arial"/>
          <w:lang w:val="hy-AM"/>
        </w:rPr>
        <w:t>բյուջեի</w:t>
      </w:r>
      <w:r w:rsidRPr="002D692C">
        <w:rPr>
          <w:rFonts w:cs="Arial"/>
          <w:lang w:val="hy-AM"/>
        </w:rPr>
        <w:t xml:space="preserve"> </w:t>
      </w:r>
      <w:r w:rsidRPr="00E455AC">
        <w:rPr>
          <w:rFonts w:cs="Arial"/>
          <w:lang w:val="hy-AM"/>
        </w:rPr>
        <w:t>ծախսեր</w:t>
      </w:r>
      <w:r>
        <w:rPr>
          <w:rFonts w:cs="Arial"/>
          <w:lang w:val="hy-AM"/>
        </w:rPr>
        <w:t>ի</w:t>
      </w:r>
      <w:r w:rsidRPr="002D692C">
        <w:rPr>
          <w:rFonts w:cs="Arial"/>
          <w:lang w:val="hy-AM"/>
        </w:rPr>
        <w:t xml:space="preserve"> ըստ ոլորտների</w:t>
      </w:r>
      <w:r w:rsidRPr="00E455AC">
        <w:rPr>
          <w:rFonts w:cs="Arial"/>
          <w:lang w:val="hy-AM"/>
        </w:rPr>
        <w:t xml:space="preserve"> </w:t>
      </w:r>
      <w:r w:rsidRPr="00EB1197">
        <w:rPr>
          <w:rFonts w:cs="Arial"/>
          <w:lang w:val="hy-AM"/>
        </w:rPr>
        <w:t>կ</w:t>
      </w:r>
      <w:r w:rsidRPr="00E455AC">
        <w:rPr>
          <w:rFonts w:cs="Arial"/>
          <w:lang w:val="hy-AM"/>
        </w:rPr>
        <w:t>անխատեսումները</w:t>
      </w:r>
      <w:r>
        <w:rPr>
          <w:rFonts w:cs="Arial"/>
          <w:lang w:val="hy-AM"/>
        </w:rPr>
        <w:t xml:space="preserve"> գրաֆիկորեն </w:t>
      </w:r>
      <w:r w:rsidRPr="002D692C">
        <w:rPr>
          <w:rFonts w:cs="Arial"/>
          <w:lang w:val="hy-AM"/>
        </w:rPr>
        <w:t>ուն</w:t>
      </w:r>
      <w:r w:rsidR="002A51B1" w:rsidRPr="00BE7F99">
        <w:rPr>
          <w:rFonts w:cs="Arial"/>
          <w:lang w:val="hy-AM"/>
        </w:rPr>
        <w:t>են</w:t>
      </w:r>
      <w:r w:rsidRPr="002D692C">
        <w:rPr>
          <w:rFonts w:cs="Arial"/>
          <w:lang w:val="hy-AM"/>
        </w:rPr>
        <w:t xml:space="preserve"> հետևյալ</w:t>
      </w:r>
      <w:r>
        <w:rPr>
          <w:lang w:val="hy-AM"/>
        </w:rPr>
        <w:t xml:space="preserve"> տեսքը</w:t>
      </w:r>
      <w:r>
        <w:rPr>
          <w:rFonts w:ascii="Cambria Math" w:hAnsi="Cambria Math"/>
          <w:lang w:val="hy-AM"/>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gridCol w:w="221"/>
        <w:gridCol w:w="221"/>
      </w:tblGrid>
      <w:tr w:rsidR="00396B97" w14:paraId="227856B8" w14:textId="77777777" w:rsidTr="002A51B1">
        <w:tc>
          <w:tcPr>
            <w:tcW w:w="9764"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gridCol w:w="3093"/>
              <w:gridCol w:w="3093"/>
            </w:tblGrid>
            <w:tr w:rsidR="00396B97" w:rsidRPr="003A741E" w14:paraId="115E5FAE" w14:textId="77777777" w:rsidTr="007C008F">
              <w:tc>
                <w:tcPr>
                  <w:tcW w:w="3299" w:type="dxa"/>
                </w:tcPr>
                <w:p w14:paraId="71A02403" w14:textId="77777777" w:rsidR="00396B97" w:rsidRPr="003A741E" w:rsidRDefault="00396B97" w:rsidP="007C008F">
                  <w:r w:rsidRPr="003A741E">
                    <w:t>2021</w:t>
                  </w:r>
                </w:p>
              </w:tc>
              <w:tc>
                <w:tcPr>
                  <w:tcW w:w="3299" w:type="dxa"/>
                </w:tcPr>
                <w:p w14:paraId="279289EB" w14:textId="77777777" w:rsidR="00396B97" w:rsidRPr="003A741E" w:rsidRDefault="00396B97" w:rsidP="007C008F">
                  <w:r w:rsidRPr="003A741E">
                    <w:t>2022</w:t>
                  </w:r>
                </w:p>
              </w:tc>
              <w:tc>
                <w:tcPr>
                  <w:tcW w:w="3040" w:type="dxa"/>
                </w:tcPr>
                <w:p w14:paraId="3BC1B58B" w14:textId="77777777" w:rsidR="00396B97" w:rsidRPr="003A741E" w:rsidRDefault="00396B97" w:rsidP="007C008F">
                  <w:r w:rsidRPr="003A741E">
                    <w:t>2023</w:t>
                  </w:r>
                </w:p>
              </w:tc>
            </w:tr>
            <w:tr w:rsidR="00396B97" w:rsidRPr="003A741E" w14:paraId="09A8F9CB" w14:textId="77777777" w:rsidTr="007C008F">
              <w:tc>
                <w:tcPr>
                  <w:tcW w:w="3299" w:type="dxa"/>
                </w:tcPr>
                <w:p w14:paraId="6C8942F1" w14:textId="77777777" w:rsidR="00396B97" w:rsidRPr="003A741E" w:rsidRDefault="00396B97" w:rsidP="007C008F">
                  <w:pPr>
                    <w:ind w:left="-247" w:right="-156"/>
                  </w:pPr>
                  <w:r w:rsidRPr="003A741E">
                    <w:rPr>
                      <w:noProof/>
                    </w:rPr>
                    <w:drawing>
                      <wp:inline distT="0" distB="0" distL="0" distR="0" wp14:anchorId="0F3B26F8" wp14:editId="6B52BFCC">
                        <wp:extent cx="2114550" cy="1628775"/>
                        <wp:effectExtent l="0" t="0" r="0" b="0"/>
                        <wp:docPr id="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c>
                <w:tcPr>
                  <w:tcW w:w="3299" w:type="dxa"/>
                </w:tcPr>
                <w:p w14:paraId="68DA023F" w14:textId="77777777" w:rsidR="00396B97" w:rsidRPr="003A741E" w:rsidRDefault="00396B97" w:rsidP="007C008F">
                  <w:pPr>
                    <w:ind w:left="-247" w:right="-156"/>
                  </w:pPr>
                  <w:r w:rsidRPr="003A741E">
                    <w:rPr>
                      <w:noProof/>
                    </w:rPr>
                    <w:drawing>
                      <wp:inline distT="0" distB="0" distL="0" distR="0" wp14:anchorId="6094EECB" wp14:editId="4C99BAFC">
                        <wp:extent cx="2114550" cy="1628775"/>
                        <wp:effectExtent l="0" t="0" r="0" b="0"/>
                        <wp:docPr id="3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c>
                <w:tcPr>
                  <w:tcW w:w="3040" w:type="dxa"/>
                </w:tcPr>
                <w:p w14:paraId="0E951DE8" w14:textId="77777777" w:rsidR="00396B97" w:rsidRPr="003A741E" w:rsidRDefault="00396B97" w:rsidP="007C008F">
                  <w:pPr>
                    <w:ind w:left="-247" w:right="-156"/>
                  </w:pPr>
                  <w:r w:rsidRPr="003A741E">
                    <w:rPr>
                      <w:noProof/>
                    </w:rPr>
                    <w:drawing>
                      <wp:inline distT="0" distB="0" distL="0" distR="0" wp14:anchorId="40A73C33" wp14:editId="6ABD4485">
                        <wp:extent cx="2114550" cy="1628775"/>
                        <wp:effectExtent l="0" t="0" r="0" b="0"/>
                        <wp:docPr id="3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r w:rsidR="00396B97" w:rsidRPr="003A741E" w14:paraId="7C3EE75C" w14:textId="77777777" w:rsidTr="007C008F">
              <w:tc>
                <w:tcPr>
                  <w:tcW w:w="9638" w:type="dxa"/>
                  <w:gridSpan w:val="3"/>
                </w:tcPr>
                <w:p w14:paraId="3283902D" w14:textId="77777777" w:rsidR="00396B97" w:rsidRPr="003A741E" w:rsidRDefault="003A3699" w:rsidP="007C008F">
                  <w:r w:rsidRPr="003A3699">
                    <w:rPr>
                      <w:rFonts w:asciiTheme="minorHAnsi" w:hAnsiTheme="minorHAnsi"/>
                      <w:noProof/>
                    </w:rPr>
                    <w:object w:dxaOrig="6975" w:dyaOrig="1635" w14:anchorId="79FA93E8">
                      <v:shape id="_x0000_i1026" type="#_x0000_t75" alt="" style="width:345.75pt;height:80.25pt;mso-width-percent:0;mso-height-percent:0;mso-width-percent:0;mso-height-percent:0" o:ole="">
                        <v:imagedata r:id="rId69" o:title=""/>
                      </v:shape>
                      <o:OLEObject Type="Embed" ProgID="PBrush" ShapeID="_x0000_i1026" DrawAspect="Content" ObjectID="_1656916186" r:id="rId70"/>
                    </w:object>
                  </w:r>
                </w:p>
              </w:tc>
            </w:tr>
          </w:tbl>
          <w:p w14:paraId="143EAC89" w14:textId="77777777" w:rsidR="00396B97" w:rsidRDefault="00396B97" w:rsidP="007C008F"/>
        </w:tc>
        <w:tc>
          <w:tcPr>
            <w:tcW w:w="221" w:type="dxa"/>
          </w:tcPr>
          <w:p w14:paraId="436DBDD7" w14:textId="77777777" w:rsidR="00396B97" w:rsidRPr="005B02E2" w:rsidRDefault="00396B97" w:rsidP="007C008F"/>
        </w:tc>
        <w:tc>
          <w:tcPr>
            <w:tcW w:w="221" w:type="dxa"/>
          </w:tcPr>
          <w:p w14:paraId="6418B22D" w14:textId="77777777" w:rsidR="00396B97" w:rsidRPr="005B02E2" w:rsidRDefault="00396B97" w:rsidP="007C008F"/>
        </w:tc>
      </w:tr>
    </w:tbl>
    <w:p w14:paraId="7DA399AC" w14:textId="77777777" w:rsidR="00396B97" w:rsidRPr="002A51B1" w:rsidRDefault="00192498" w:rsidP="002A51B1">
      <w:pPr>
        <w:spacing w:line="276" w:lineRule="auto"/>
        <w:ind w:firstLine="720"/>
        <w:rPr>
          <w:lang w:val="hy-AM"/>
        </w:rPr>
      </w:pPr>
      <w:r>
        <w:rPr>
          <w:lang w:val="hy-AM"/>
        </w:rPr>
        <w:t>Մ</w:t>
      </w:r>
      <w:r w:rsidR="00396B97" w:rsidRPr="002A51B1">
        <w:rPr>
          <w:lang w:val="hy-AM"/>
        </w:rPr>
        <w:t>իջնաժամկետ կտրվածքում պետական բյուջեի ընդամենը ծախսերում գերակայելու են սոցիալական ոլորտի՝ (կրթություն, սոց,պաշտպանություն, առողջապահություն և այլն) միջինում 41,6%, ընդհանուր բնույթի հանրային ծառայությունների՝ միջինում 29%, պաշտպանության, հասարակական կարգի,  անվտանգության և դատական գործունեությանն՝ միջինում 25%, տնտեսական ոլորտի՝ միջինում 12.3% ոլորտների ֆինանսավորումը։</w:t>
      </w:r>
    </w:p>
    <w:p w14:paraId="084B4A9B" w14:textId="77777777" w:rsidR="00396B97" w:rsidRDefault="00396B97" w:rsidP="002A51B1">
      <w:pPr>
        <w:spacing w:line="276" w:lineRule="auto"/>
        <w:ind w:firstLine="720"/>
        <w:rPr>
          <w:lang w:val="hy-AM"/>
        </w:rPr>
      </w:pPr>
      <w:r w:rsidRPr="002A51B1">
        <w:rPr>
          <w:lang w:val="hy-AM"/>
        </w:rPr>
        <w:t>Սոցիալական ոլորտի խմբում 2021-2023 թվականներին կարևոր</w:t>
      </w:r>
      <w:r w:rsidRPr="002A51B1">
        <w:rPr>
          <w:lang w:val="hy-AM"/>
        </w:rPr>
        <w:softHyphen/>
      </w:r>
      <w:r w:rsidRPr="002A51B1">
        <w:rPr>
          <w:lang w:val="hy-AM"/>
        </w:rPr>
        <w:softHyphen/>
      </w:r>
      <w:r w:rsidRPr="002A51B1">
        <w:rPr>
          <w:lang w:val="hy-AM"/>
        </w:rPr>
        <w:softHyphen/>
      </w:r>
      <w:r w:rsidRPr="002A51B1">
        <w:rPr>
          <w:lang w:val="hy-AM"/>
        </w:rPr>
        <w:softHyphen/>
        <w:t>վելու է հատկապես սոցիալական ապահովության,  կրթության և առողջապահության բնա</w:t>
      </w:r>
      <w:r w:rsidRPr="002A51B1">
        <w:rPr>
          <w:lang w:val="hy-AM"/>
        </w:rPr>
        <w:softHyphen/>
        <w:t>գա</w:t>
      </w:r>
      <w:r w:rsidRPr="002A51B1">
        <w:rPr>
          <w:lang w:val="hy-AM"/>
        </w:rPr>
        <w:softHyphen/>
        <w:t>վառ</w:t>
      </w:r>
      <w:r w:rsidRPr="002A51B1">
        <w:rPr>
          <w:lang w:val="hy-AM"/>
        </w:rPr>
        <w:softHyphen/>
        <w:t>նե</w:t>
      </w:r>
      <w:r w:rsidRPr="002A51B1">
        <w:rPr>
          <w:lang w:val="hy-AM"/>
        </w:rPr>
        <w:softHyphen/>
        <w:t>րի զարգաց</w:t>
      </w:r>
      <w:r w:rsidRPr="002A51B1">
        <w:rPr>
          <w:lang w:val="hy-AM"/>
        </w:rPr>
        <w:softHyphen/>
        <w:t xml:space="preserve">ման ռազմավարական ծրագրերի իրականացումը: </w:t>
      </w:r>
    </w:p>
    <w:p w14:paraId="4B79DE2C" w14:textId="77777777" w:rsidR="002A51B1" w:rsidRPr="002A51B1" w:rsidRDefault="002A51B1" w:rsidP="002A51B1">
      <w:pPr>
        <w:spacing w:line="276" w:lineRule="auto"/>
        <w:ind w:firstLine="720"/>
        <w:rPr>
          <w:lang w:val="hy-AM"/>
        </w:rPr>
      </w:pPr>
    </w:p>
    <w:p w14:paraId="1D4D0ADD" w14:textId="77777777" w:rsidR="00396B97" w:rsidRPr="002A51B1" w:rsidRDefault="00396B97" w:rsidP="00396B97">
      <w:pPr>
        <w:rPr>
          <w:i/>
          <w:sz w:val="20"/>
          <w:szCs w:val="20"/>
          <w:lang w:val="hy-AM"/>
        </w:rPr>
      </w:pPr>
      <w:r w:rsidRPr="002A51B1">
        <w:rPr>
          <w:b/>
          <w:sz w:val="20"/>
          <w:szCs w:val="20"/>
          <w:lang w:val="hy-AM"/>
        </w:rPr>
        <w:t>Աղյուսակ</w:t>
      </w:r>
      <w:r w:rsidR="00231073" w:rsidRPr="002A51B1">
        <w:rPr>
          <w:b/>
          <w:sz w:val="20"/>
          <w:szCs w:val="20"/>
          <w:lang w:val="hy-AM"/>
        </w:rPr>
        <w:t xml:space="preserve"> 4.</w:t>
      </w:r>
      <w:r w:rsidR="002A51B1" w:rsidRPr="00BE7F99">
        <w:rPr>
          <w:b/>
          <w:sz w:val="20"/>
          <w:szCs w:val="20"/>
          <w:lang w:val="hy-AM"/>
        </w:rPr>
        <w:t>3</w:t>
      </w:r>
      <w:r w:rsidRPr="002A51B1">
        <w:rPr>
          <w:b/>
          <w:sz w:val="20"/>
          <w:szCs w:val="20"/>
          <w:lang w:val="hy-AM"/>
        </w:rPr>
        <w:t>.</w:t>
      </w:r>
      <w:r w:rsidR="002A51B1" w:rsidRPr="00BE7F99">
        <w:rPr>
          <w:b/>
          <w:sz w:val="20"/>
          <w:szCs w:val="20"/>
          <w:lang w:val="hy-AM"/>
        </w:rPr>
        <w:t>1</w:t>
      </w:r>
      <w:r w:rsidRPr="002A51B1">
        <w:rPr>
          <w:b/>
          <w:sz w:val="20"/>
          <w:szCs w:val="20"/>
          <w:lang w:val="hy-AM"/>
        </w:rPr>
        <w:t xml:space="preserve"> </w:t>
      </w:r>
      <w:r w:rsidRPr="002A51B1">
        <w:rPr>
          <w:i/>
          <w:sz w:val="20"/>
          <w:szCs w:val="20"/>
          <w:lang w:val="hy-AM"/>
        </w:rPr>
        <w:t>Սոցիալական ոլորտի բյուջետային ծախսերը  (մլն դրամ)</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395"/>
        <w:gridCol w:w="1432"/>
        <w:gridCol w:w="1321"/>
        <w:gridCol w:w="1310"/>
        <w:gridCol w:w="1448"/>
      </w:tblGrid>
      <w:tr w:rsidR="00396B97" w:rsidRPr="00C810AC" w14:paraId="0354B0E0" w14:textId="77777777" w:rsidTr="004873B5">
        <w:trPr>
          <w:trHeight w:val="20"/>
          <w:tblHeader/>
        </w:trPr>
        <w:tc>
          <w:tcPr>
            <w:tcW w:w="2218" w:type="pct"/>
            <w:tcBorders>
              <w:top w:val="double" w:sz="4" w:space="0" w:color="auto"/>
              <w:bottom w:val="double" w:sz="4" w:space="0" w:color="auto"/>
            </w:tcBorders>
            <w:shd w:val="clear" w:color="auto" w:fill="4F81BD" w:themeFill="accent1"/>
            <w:tcMar>
              <w:left w:w="57" w:type="dxa"/>
              <w:right w:w="85" w:type="dxa"/>
            </w:tcMar>
            <w:vAlign w:val="center"/>
          </w:tcPr>
          <w:p w14:paraId="2FA681B3" w14:textId="77777777" w:rsidR="00396B97" w:rsidRPr="002A51B1" w:rsidRDefault="00396B97" w:rsidP="007C008F">
            <w:pPr>
              <w:pStyle w:val="BodyText"/>
              <w:spacing w:after="0" w:line="256" w:lineRule="auto"/>
              <w:jc w:val="center"/>
              <w:rPr>
                <w:rFonts w:cs="Sylfaen"/>
                <w:color w:val="FFFFFF" w:themeColor="background1"/>
                <w:sz w:val="20"/>
                <w:szCs w:val="20"/>
              </w:rPr>
            </w:pPr>
            <w:r w:rsidRPr="002A51B1">
              <w:rPr>
                <w:rFonts w:cs="Sylfaen"/>
                <w:color w:val="FFFFFF" w:themeColor="background1"/>
                <w:sz w:val="20"/>
                <w:szCs w:val="20"/>
              </w:rPr>
              <w:t>Ցուցանիշներ</w:t>
            </w:r>
          </w:p>
        </w:tc>
        <w:tc>
          <w:tcPr>
            <w:tcW w:w="723" w:type="pct"/>
            <w:tcBorders>
              <w:top w:val="double" w:sz="4" w:space="0" w:color="auto"/>
              <w:bottom w:val="double" w:sz="4" w:space="0" w:color="auto"/>
            </w:tcBorders>
            <w:shd w:val="clear" w:color="auto" w:fill="4F81BD" w:themeFill="accent1"/>
            <w:tcMar>
              <w:left w:w="57" w:type="dxa"/>
              <w:right w:w="85" w:type="dxa"/>
            </w:tcMar>
            <w:vAlign w:val="center"/>
          </w:tcPr>
          <w:p w14:paraId="21CA7976" w14:textId="77777777" w:rsidR="00396B97" w:rsidRPr="002A51B1" w:rsidRDefault="00396B97" w:rsidP="00872BE2">
            <w:pPr>
              <w:pStyle w:val="BodyText"/>
              <w:spacing w:after="0" w:line="256" w:lineRule="auto"/>
              <w:ind w:firstLine="0"/>
              <w:jc w:val="center"/>
              <w:rPr>
                <w:rFonts w:cs="Sylfaen"/>
                <w:color w:val="FFFFFF" w:themeColor="background1"/>
                <w:sz w:val="20"/>
                <w:szCs w:val="20"/>
              </w:rPr>
            </w:pPr>
            <w:r w:rsidRPr="002A51B1">
              <w:rPr>
                <w:rFonts w:cs="Sylfaen"/>
                <w:color w:val="FFFFFF" w:themeColor="background1"/>
                <w:sz w:val="20"/>
                <w:szCs w:val="20"/>
              </w:rPr>
              <w:t xml:space="preserve">2020թ հաստատված </w:t>
            </w:r>
          </w:p>
        </w:tc>
        <w:tc>
          <w:tcPr>
            <w:tcW w:w="667" w:type="pct"/>
            <w:tcBorders>
              <w:top w:val="double" w:sz="4" w:space="0" w:color="auto"/>
              <w:bottom w:val="double" w:sz="4" w:space="0" w:color="auto"/>
            </w:tcBorders>
            <w:shd w:val="clear" w:color="auto" w:fill="4F81BD" w:themeFill="accent1"/>
            <w:tcMar>
              <w:left w:w="57" w:type="dxa"/>
              <w:right w:w="85" w:type="dxa"/>
            </w:tcMar>
            <w:vAlign w:val="center"/>
          </w:tcPr>
          <w:p w14:paraId="6FA257A4" w14:textId="77777777" w:rsidR="00396B97" w:rsidRPr="002A51B1" w:rsidRDefault="00396B97" w:rsidP="003D408A">
            <w:pPr>
              <w:pStyle w:val="BodyText"/>
              <w:spacing w:after="0" w:line="256" w:lineRule="auto"/>
              <w:ind w:firstLine="0"/>
              <w:jc w:val="center"/>
              <w:rPr>
                <w:rFonts w:cs="Sylfaen"/>
                <w:color w:val="FFFFFF" w:themeColor="background1"/>
                <w:sz w:val="20"/>
                <w:szCs w:val="20"/>
              </w:rPr>
            </w:pPr>
            <w:r w:rsidRPr="002A51B1">
              <w:rPr>
                <w:rFonts w:cs="Sylfaen"/>
                <w:color w:val="FFFFFF" w:themeColor="background1"/>
                <w:sz w:val="20"/>
                <w:szCs w:val="20"/>
              </w:rPr>
              <w:t>2021թ ծրագիր</w:t>
            </w:r>
          </w:p>
        </w:tc>
        <w:tc>
          <w:tcPr>
            <w:tcW w:w="661" w:type="pct"/>
            <w:tcBorders>
              <w:top w:val="double" w:sz="4" w:space="0" w:color="auto"/>
              <w:bottom w:val="double" w:sz="4" w:space="0" w:color="auto"/>
            </w:tcBorders>
            <w:shd w:val="clear" w:color="auto" w:fill="4F81BD" w:themeFill="accent1"/>
            <w:vAlign w:val="center"/>
          </w:tcPr>
          <w:p w14:paraId="42091C20" w14:textId="77777777" w:rsidR="00396B97" w:rsidRPr="002A51B1" w:rsidRDefault="00396B97" w:rsidP="003D408A">
            <w:pPr>
              <w:pStyle w:val="BodyText"/>
              <w:spacing w:after="0" w:line="256" w:lineRule="auto"/>
              <w:ind w:firstLine="0"/>
              <w:jc w:val="center"/>
              <w:rPr>
                <w:rFonts w:cs="Sylfaen"/>
                <w:color w:val="FFFFFF" w:themeColor="background1"/>
                <w:sz w:val="20"/>
                <w:szCs w:val="20"/>
              </w:rPr>
            </w:pPr>
            <w:r w:rsidRPr="002A51B1">
              <w:rPr>
                <w:rFonts w:cs="Sylfaen"/>
                <w:color w:val="FFFFFF" w:themeColor="background1"/>
                <w:sz w:val="20"/>
                <w:szCs w:val="20"/>
              </w:rPr>
              <w:t>2022թ ծրագիր</w:t>
            </w:r>
          </w:p>
        </w:tc>
        <w:tc>
          <w:tcPr>
            <w:tcW w:w="731" w:type="pct"/>
            <w:tcBorders>
              <w:top w:val="double" w:sz="4" w:space="0" w:color="auto"/>
              <w:bottom w:val="double" w:sz="4" w:space="0" w:color="auto"/>
            </w:tcBorders>
            <w:shd w:val="clear" w:color="auto" w:fill="4F81BD" w:themeFill="accent1"/>
            <w:vAlign w:val="center"/>
          </w:tcPr>
          <w:p w14:paraId="7288C0AD" w14:textId="77777777" w:rsidR="00396B97" w:rsidRPr="002A51B1" w:rsidRDefault="00396B97" w:rsidP="003D408A">
            <w:pPr>
              <w:pStyle w:val="BodyText"/>
              <w:spacing w:after="0" w:line="256" w:lineRule="auto"/>
              <w:ind w:firstLine="0"/>
              <w:jc w:val="center"/>
              <w:rPr>
                <w:rFonts w:cs="Sylfaen"/>
                <w:color w:val="FFFFFF" w:themeColor="background1"/>
                <w:sz w:val="20"/>
                <w:szCs w:val="20"/>
              </w:rPr>
            </w:pPr>
            <w:r w:rsidRPr="002A51B1">
              <w:rPr>
                <w:rFonts w:cs="Sylfaen"/>
                <w:color w:val="FFFFFF" w:themeColor="background1"/>
                <w:sz w:val="20"/>
                <w:szCs w:val="20"/>
              </w:rPr>
              <w:t>2023թ ծրագիր</w:t>
            </w:r>
          </w:p>
        </w:tc>
      </w:tr>
      <w:tr w:rsidR="00396B97" w:rsidRPr="00C810AC" w14:paraId="19E67A75" w14:textId="77777777" w:rsidTr="004873B5">
        <w:tblPrEx>
          <w:tblCellMar>
            <w:left w:w="30" w:type="dxa"/>
            <w:right w:w="30" w:type="dxa"/>
          </w:tblCellMar>
        </w:tblPrEx>
        <w:trPr>
          <w:trHeight w:val="20"/>
        </w:trPr>
        <w:tc>
          <w:tcPr>
            <w:tcW w:w="2218" w:type="pct"/>
            <w:tcBorders>
              <w:top w:val="double" w:sz="4" w:space="0" w:color="auto"/>
              <w:bottom w:val="single" w:sz="6" w:space="0" w:color="auto"/>
            </w:tcBorders>
            <w:shd w:val="clear" w:color="auto" w:fill="C6D9F1" w:themeFill="text2" w:themeFillTint="33"/>
            <w:tcMar>
              <w:left w:w="57" w:type="dxa"/>
              <w:right w:w="85" w:type="dxa"/>
            </w:tcMar>
            <w:vAlign w:val="center"/>
          </w:tcPr>
          <w:p w14:paraId="631236F2" w14:textId="77777777" w:rsidR="00396B97" w:rsidRPr="002A51B1" w:rsidRDefault="00396B97" w:rsidP="000C7BC1">
            <w:pPr>
              <w:ind w:firstLine="0"/>
              <w:rPr>
                <w:rFonts w:cs="Arial"/>
                <w:b/>
                <w:sz w:val="20"/>
                <w:szCs w:val="20"/>
                <w:lang w:val="hy-AM"/>
              </w:rPr>
            </w:pPr>
            <w:r w:rsidRPr="002A51B1">
              <w:rPr>
                <w:rFonts w:cs="Arial"/>
                <w:b/>
                <w:sz w:val="20"/>
                <w:szCs w:val="20"/>
                <w:lang w:val="hy-AM"/>
              </w:rPr>
              <w:t>ՍՈՑԻԱԼԱԿԱՆ ՈԼՈՐՏ</w:t>
            </w:r>
            <w:r w:rsidR="000C7BC1" w:rsidRPr="002A51B1">
              <w:rPr>
                <w:rFonts w:cs="Arial"/>
                <w:b/>
                <w:sz w:val="20"/>
                <w:szCs w:val="20"/>
                <w:lang w:val="hy-AM"/>
              </w:rPr>
              <w:t xml:space="preserve"> </w:t>
            </w:r>
            <w:r w:rsidRPr="002A51B1">
              <w:rPr>
                <w:rFonts w:cs="Arial"/>
                <w:b/>
                <w:sz w:val="20"/>
                <w:szCs w:val="20"/>
                <w:lang w:val="hy-AM"/>
              </w:rPr>
              <w:t>ԸՆԴԱՄԵՆԸ</w:t>
            </w:r>
          </w:p>
        </w:tc>
        <w:tc>
          <w:tcPr>
            <w:tcW w:w="723" w:type="pct"/>
            <w:tcBorders>
              <w:top w:val="double" w:sz="4" w:space="0" w:color="auto"/>
              <w:bottom w:val="single" w:sz="4" w:space="0" w:color="auto"/>
            </w:tcBorders>
            <w:shd w:val="clear" w:color="auto" w:fill="C6D9F1" w:themeFill="text2" w:themeFillTint="33"/>
            <w:tcMar>
              <w:left w:w="57" w:type="dxa"/>
              <w:right w:w="85" w:type="dxa"/>
            </w:tcMar>
          </w:tcPr>
          <w:p w14:paraId="4CD2DD3F" w14:textId="77777777" w:rsidR="00396B97" w:rsidRPr="002A51B1" w:rsidRDefault="00396B97" w:rsidP="00FF2D29">
            <w:pPr>
              <w:ind w:firstLine="0"/>
              <w:jc w:val="center"/>
              <w:rPr>
                <w:b/>
                <w:sz w:val="20"/>
                <w:szCs w:val="20"/>
              </w:rPr>
            </w:pPr>
            <w:r w:rsidRPr="002A51B1">
              <w:rPr>
                <w:b/>
                <w:sz w:val="20"/>
                <w:szCs w:val="20"/>
              </w:rPr>
              <w:t>797,818.1</w:t>
            </w:r>
          </w:p>
        </w:tc>
        <w:tc>
          <w:tcPr>
            <w:tcW w:w="667" w:type="pct"/>
            <w:tcBorders>
              <w:top w:val="double" w:sz="4" w:space="0" w:color="auto"/>
              <w:bottom w:val="single" w:sz="4" w:space="0" w:color="auto"/>
            </w:tcBorders>
            <w:shd w:val="clear" w:color="auto" w:fill="C6D9F1" w:themeFill="text2" w:themeFillTint="33"/>
            <w:tcMar>
              <w:left w:w="57" w:type="dxa"/>
              <w:right w:w="85" w:type="dxa"/>
            </w:tcMar>
          </w:tcPr>
          <w:p w14:paraId="507EA9FB" w14:textId="77777777" w:rsidR="00396B97" w:rsidRPr="002A51B1" w:rsidRDefault="00396B97" w:rsidP="00FF2D29">
            <w:pPr>
              <w:ind w:firstLine="0"/>
              <w:jc w:val="center"/>
              <w:rPr>
                <w:b/>
                <w:sz w:val="20"/>
                <w:szCs w:val="20"/>
              </w:rPr>
            </w:pPr>
            <w:r w:rsidRPr="002A51B1">
              <w:rPr>
                <w:b/>
                <w:sz w:val="20"/>
                <w:szCs w:val="20"/>
              </w:rPr>
              <w:t>808,151.3</w:t>
            </w:r>
          </w:p>
        </w:tc>
        <w:tc>
          <w:tcPr>
            <w:tcW w:w="661" w:type="pct"/>
            <w:tcBorders>
              <w:top w:val="double" w:sz="4" w:space="0" w:color="auto"/>
              <w:bottom w:val="single" w:sz="4" w:space="0" w:color="auto"/>
            </w:tcBorders>
            <w:shd w:val="clear" w:color="auto" w:fill="C6D9F1" w:themeFill="text2" w:themeFillTint="33"/>
          </w:tcPr>
          <w:p w14:paraId="264BD1D6" w14:textId="77777777" w:rsidR="00396B97" w:rsidRPr="002A51B1" w:rsidRDefault="00396B97" w:rsidP="00FF2D29">
            <w:pPr>
              <w:ind w:firstLine="0"/>
              <w:jc w:val="center"/>
              <w:rPr>
                <w:b/>
                <w:sz w:val="20"/>
                <w:szCs w:val="20"/>
              </w:rPr>
            </w:pPr>
            <w:r w:rsidRPr="002A51B1">
              <w:rPr>
                <w:b/>
                <w:sz w:val="20"/>
                <w:szCs w:val="20"/>
              </w:rPr>
              <w:t>853,279.6</w:t>
            </w:r>
          </w:p>
        </w:tc>
        <w:tc>
          <w:tcPr>
            <w:tcW w:w="731" w:type="pct"/>
            <w:tcBorders>
              <w:top w:val="double" w:sz="4" w:space="0" w:color="auto"/>
              <w:bottom w:val="single" w:sz="4" w:space="0" w:color="auto"/>
            </w:tcBorders>
            <w:shd w:val="clear" w:color="auto" w:fill="C6D9F1" w:themeFill="text2" w:themeFillTint="33"/>
          </w:tcPr>
          <w:p w14:paraId="45BDB571" w14:textId="77777777" w:rsidR="00396B97" w:rsidRPr="002A51B1" w:rsidRDefault="00396B97" w:rsidP="00FF2D29">
            <w:pPr>
              <w:ind w:firstLine="0"/>
              <w:jc w:val="center"/>
              <w:rPr>
                <w:b/>
                <w:sz w:val="20"/>
                <w:szCs w:val="20"/>
              </w:rPr>
            </w:pPr>
            <w:r w:rsidRPr="002A51B1">
              <w:rPr>
                <w:b/>
                <w:sz w:val="20"/>
                <w:szCs w:val="20"/>
              </w:rPr>
              <w:t>890,165.8</w:t>
            </w:r>
          </w:p>
        </w:tc>
      </w:tr>
      <w:tr w:rsidR="00396B97" w:rsidRPr="00C810AC" w14:paraId="28ADF37A" w14:textId="77777777" w:rsidTr="004873B5">
        <w:tblPrEx>
          <w:tblCellMar>
            <w:left w:w="108" w:type="dxa"/>
            <w:right w:w="108" w:type="dxa"/>
          </w:tblCellMar>
        </w:tblPrEx>
        <w:trPr>
          <w:trHeight w:val="20"/>
        </w:trPr>
        <w:tc>
          <w:tcPr>
            <w:tcW w:w="2218" w:type="pct"/>
          </w:tcPr>
          <w:p w14:paraId="39F49C24" w14:textId="77777777" w:rsidR="00396B97" w:rsidRPr="002A51B1" w:rsidRDefault="00396B97" w:rsidP="00872BE2">
            <w:pPr>
              <w:ind w:firstLine="0"/>
              <w:jc w:val="left"/>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723" w:type="pct"/>
            <w:vAlign w:val="center"/>
          </w:tcPr>
          <w:p w14:paraId="7816EF69" w14:textId="77777777" w:rsidR="00396B97" w:rsidRPr="002A51B1" w:rsidRDefault="00396B97" w:rsidP="00FF2D29">
            <w:pPr>
              <w:jc w:val="center"/>
              <w:rPr>
                <w:rFonts w:cs="Arial"/>
                <w:sz w:val="20"/>
                <w:szCs w:val="20"/>
              </w:rPr>
            </w:pPr>
            <w:r w:rsidRPr="002A51B1">
              <w:rPr>
                <w:rFonts w:cs="Arial"/>
                <w:sz w:val="20"/>
                <w:szCs w:val="20"/>
              </w:rPr>
              <w:t>12.3</w:t>
            </w:r>
          </w:p>
        </w:tc>
        <w:tc>
          <w:tcPr>
            <w:tcW w:w="667" w:type="pct"/>
            <w:vAlign w:val="center"/>
          </w:tcPr>
          <w:p w14:paraId="22EB8349" w14:textId="77777777" w:rsidR="00396B97" w:rsidRPr="002A51B1" w:rsidRDefault="00396B97" w:rsidP="00FF2D29">
            <w:pPr>
              <w:jc w:val="center"/>
              <w:rPr>
                <w:rFonts w:cs="Arial"/>
                <w:sz w:val="20"/>
                <w:szCs w:val="20"/>
              </w:rPr>
            </w:pPr>
            <w:r w:rsidRPr="002A51B1">
              <w:rPr>
                <w:rFonts w:cs="Arial"/>
                <w:sz w:val="20"/>
                <w:szCs w:val="20"/>
              </w:rPr>
              <w:t>11.3</w:t>
            </w:r>
          </w:p>
        </w:tc>
        <w:tc>
          <w:tcPr>
            <w:tcW w:w="661" w:type="pct"/>
            <w:vAlign w:val="center"/>
          </w:tcPr>
          <w:p w14:paraId="40184FFA" w14:textId="77777777" w:rsidR="00396B97" w:rsidRPr="002A51B1" w:rsidRDefault="00396B97" w:rsidP="00FF2D29">
            <w:pPr>
              <w:jc w:val="center"/>
              <w:rPr>
                <w:rFonts w:cs="Arial"/>
                <w:sz w:val="20"/>
                <w:szCs w:val="20"/>
              </w:rPr>
            </w:pPr>
            <w:r w:rsidRPr="002A51B1">
              <w:rPr>
                <w:rFonts w:cs="Arial"/>
                <w:sz w:val="20"/>
                <w:szCs w:val="20"/>
              </w:rPr>
              <w:t>10.9</w:t>
            </w:r>
          </w:p>
        </w:tc>
        <w:tc>
          <w:tcPr>
            <w:tcW w:w="731" w:type="pct"/>
            <w:vAlign w:val="center"/>
          </w:tcPr>
          <w:p w14:paraId="7FC0F618" w14:textId="77777777" w:rsidR="00396B97" w:rsidRPr="002A51B1" w:rsidRDefault="00396B97" w:rsidP="00FF2D29">
            <w:pPr>
              <w:jc w:val="center"/>
              <w:rPr>
                <w:rFonts w:cs="Arial"/>
                <w:sz w:val="20"/>
                <w:szCs w:val="20"/>
              </w:rPr>
            </w:pPr>
            <w:r w:rsidRPr="002A51B1">
              <w:rPr>
                <w:rFonts w:cs="Arial"/>
                <w:sz w:val="20"/>
                <w:szCs w:val="20"/>
              </w:rPr>
              <w:t>10.4</w:t>
            </w:r>
          </w:p>
        </w:tc>
      </w:tr>
      <w:tr w:rsidR="00396B97" w:rsidRPr="00C810AC" w14:paraId="00BD60D7" w14:textId="77777777" w:rsidTr="004873B5">
        <w:tblPrEx>
          <w:tblCellMar>
            <w:left w:w="108" w:type="dxa"/>
            <w:right w:w="108" w:type="dxa"/>
          </w:tblCellMar>
        </w:tblPrEx>
        <w:trPr>
          <w:trHeight w:val="20"/>
        </w:trPr>
        <w:tc>
          <w:tcPr>
            <w:tcW w:w="2218" w:type="pct"/>
          </w:tcPr>
          <w:p w14:paraId="3462536E" w14:textId="77777777" w:rsidR="00396B97" w:rsidRPr="002A51B1" w:rsidRDefault="00396B97" w:rsidP="00872BE2">
            <w:pPr>
              <w:ind w:firstLine="0"/>
              <w:jc w:val="left"/>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723" w:type="pct"/>
            <w:vAlign w:val="center"/>
          </w:tcPr>
          <w:p w14:paraId="3B278112" w14:textId="77777777" w:rsidR="00396B97" w:rsidRPr="002A51B1" w:rsidRDefault="00396B97" w:rsidP="00FF2D29">
            <w:pPr>
              <w:jc w:val="center"/>
              <w:rPr>
                <w:rFonts w:cs="Arial"/>
                <w:sz w:val="20"/>
                <w:szCs w:val="20"/>
              </w:rPr>
            </w:pPr>
            <w:r w:rsidRPr="002A51B1">
              <w:rPr>
                <w:rFonts w:cs="Arial"/>
                <w:sz w:val="20"/>
                <w:szCs w:val="20"/>
              </w:rPr>
              <w:t>43.0</w:t>
            </w:r>
          </w:p>
        </w:tc>
        <w:tc>
          <w:tcPr>
            <w:tcW w:w="667" w:type="pct"/>
            <w:vAlign w:val="center"/>
          </w:tcPr>
          <w:p w14:paraId="758F6EC5" w14:textId="77777777" w:rsidR="00396B97" w:rsidRPr="002A51B1" w:rsidRDefault="00396B97" w:rsidP="00FF2D29">
            <w:pPr>
              <w:jc w:val="center"/>
              <w:rPr>
                <w:rFonts w:cs="Arial"/>
                <w:sz w:val="20"/>
                <w:szCs w:val="20"/>
              </w:rPr>
            </w:pPr>
            <w:r w:rsidRPr="002A51B1">
              <w:rPr>
                <w:rFonts w:cs="Arial"/>
                <w:sz w:val="20"/>
                <w:szCs w:val="20"/>
              </w:rPr>
              <w:t>43.0</w:t>
            </w:r>
          </w:p>
        </w:tc>
        <w:tc>
          <w:tcPr>
            <w:tcW w:w="661" w:type="pct"/>
            <w:vAlign w:val="center"/>
          </w:tcPr>
          <w:p w14:paraId="1A99769A" w14:textId="77777777" w:rsidR="00396B97" w:rsidRPr="002A51B1" w:rsidRDefault="00396B97" w:rsidP="00FF2D29">
            <w:pPr>
              <w:jc w:val="center"/>
              <w:rPr>
                <w:rFonts w:cs="Arial"/>
                <w:sz w:val="20"/>
                <w:szCs w:val="20"/>
              </w:rPr>
            </w:pPr>
            <w:r w:rsidRPr="002A51B1">
              <w:rPr>
                <w:rFonts w:cs="Arial"/>
                <w:sz w:val="20"/>
                <w:szCs w:val="20"/>
              </w:rPr>
              <w:t>42.1</w:t>
            </w:r>
          </w:p>
        </w:tc>
        <w:tc>
          <w:tcPr>
            <w:tcW w:w="731" w:type="pct"/>
            <w:vAlign w:val="center"/>
          </w:tcPr>
          <w:p w14:paraId="0C67AF51" w14:textId="77777777" w:rsidR="00396B97" w:rsidRPr="002A51B1" w:rsidRDefault="00396B97" w:rsidP="00FF2D29">
            <w:pPr>
              <w:jc w:val="center"/>
              <w:rPr>
                <w:rFonts w:cs="Arial"/>
                <w:sz w:val="20"/>
                <w:szCs w:val="20"/>
              </w:rPr>
            </w:pPr>
            <w:r w:rsidRPr="002A51B1">
              <w:rPr>
                <w:rFonts w:cs="Arial"/>
                <w:sz w:val="20"/>
                <w:szCs w:val="20"/>
              </w:rPr>
              <w:t>39.7</w:t>
            </w:r>
          </w:p>
        </w:tc>
      </w:tr>
      <w:tr w:rsidR="00396B97" w:rsidRPr="00C810AC" w14:paraId="0C7A7C58" w14:textId="77777777" w:rsidTr="004873B5">
        <w:tblPrEx>
          <w:tblCellMar>
            <w:left w:w="30" w:type="dxa"/>
            <w:right w:w="30" w:type="dxa"/>
          </w:tblCellMar>
        </w:tblPrEx>
        <w:trPr>
          <w:trHeight w:val="20"/>
        </w:trPr>
        <w:tc>
          <w:tcPr>
            <w:tcW w:w="2218" w:type="pct"/>
            <w:tcBorders>
              <w:top w:val="single" w:sz="6" w:space="0" w:color="auto"/>
              <w:bottom w:val="single" w:sz="6" w:space="0" w:color="auto"/>
              <w:right w:val="single" w:sz="4" w:space="0" w:color="auto"/>
            </w:tcBorders>
            <w:shd w:val="solid" w:color="FFFFFF" w:fill="auto"/>
            <w:tcMar>
              <w:left w:w="57" w:type="dxa"/>
              <w:right w:w="85" w:type="dxa"/>
            </w:tcMar>
            <w:vAlign w:val="center"/>
          </w:tcPr>
          <w:p w14:paraId="7C38C43C" w14:textId="77777777" w:rsidR="00396B97" w:rsidRPr="002A51B1" w:rsidRDefault="00396B97" w:rsidP="00872BE2">
            <w:pPr>
              <w:jc w:val="left"/>
              <w:rPr>
                <w:sz w:val="20"/>
                <w:szCs w:val="20"/>
              </w:rPr>
            </w:pPr>
            <w:r w:rsidRPr="002A51B1">
              <w:rPr>
                <w:rFonts w:cs="Arial"/>
                <w:sz w:val="20"/>
                <w:szCs w:val="20"/>
              </w:rPr>
              <w:lastRenderedPageBreak/>
              <w:t>այդ</w:t>
            </w:r>
            <w:r w:rsidRPr="002A51B1">
              <w:rPr>
                <w:sz w:val="20"/>
                <w:szCs w:val="20"/>
              </w:rPr>
              <w:t xml:space="preserve"> </w:t>
            </w:r>
            <w:r w:rsidRPr="002A51B1">
              <w:rPr>
                <w:rFonts w:cs="Arial"/>
                <w:sz w:val="20"/>
                <w:szCs w:val="20"/>
              </w:rPr>
              <w:t>թվում</w:t>
            </w:r>
            <w:r w:rsidRPr="002A51B1">
              <w:rPr>
                <w:sz w:val="20"/>
                <w:szCs w:val="20"/>
              </w:rPr>
              <w:t>`</w:t>
            </w:r>
          </w:p>
        </w:tc>
        <w:tc>
          <w:tcPr>
            <w:tcW w:w="723" w:type="pct"/>
            <w:tcBorders>
              <w:top w:val="single" w:sz="4" w:space="0" w:color="auto"/>
              <w:left w:val="single" w:sz="4" w:space="0" w:color="auto"/>
              <w:bottom w:val="single" w:sz="4" w:space="0" w:color="auto"/>
              <w:right w:val="single" w:sz="4" w:space="0" w:color="auto"/>
            </w:tcBorders>
            <w:shd w:val="solid" w:color="FFFFFF" w:fill="auto"/>
            <w:tcMar>
              <w:left w:w="57" w:type="dxa"/>
              <w:right w:w="85" w:type="dxa"/>
            </w:tcMar>
            <w:vAlign w:val="center"/>
          </w:tcPr>
          <w:p w14:paraId="28CD317A" w14:textId="77777777" w:rsidR="00396B97" w:rsidRPr="002A51B1" w:rsidRDefault="00396B97" w:rsidP="00FF2D29">
            <w:pPr>
              <w:jc w:val="center"/>
              <w:rPr>
                <w:sz w:val="20"/>
                <w:szCs w:val="20"/>
                <w:lang w:val="hy-AM"/>
              </w:rPr>
            </w:pPr>
          </w:p>
        </w:tc>
        <w:tc>
          <w:tcPr>
            <w:tcW w:w="667" w:type="pct"/>
            <w:tcBorders>
              <w:top w:val="single" w:sz="4" w:space="0" w:color="auto"/>
              <w:left w:val="single" w:sz="4" w:space="0" w:color="auto"/>
              <w:bottom w:val="single" w:sz="4" w:space="0" w:color="auto"/>
              <w:right w:val="single" w:sz="4" w:space="0" w:color="auto"/>
            </w:tcBorders>
            <w:shd w:val="solid" w:color="FFFFFF" w:fill="auto"/>
            <w:tcMar>
              <w:left w:w="57" w:type="dxa"/>
              <w:right w:w="85" w:type="dxa"/>
            </w:tcMar>
            <w:vAlign w:val="center"/>
          </w:tcPr>
          <w:p w14:paraId="62EFE81D" w14:textId="77777777" w:rsidR="00396B97" w:rsidRPr="002A51B1" w:rsidRDefault="00396B97" w:rsidP="00FF2D29">
            <w:pPr>
              <w:jc w:val="center"/>
              <w:rPr>
                <w:sz w:val="20"/>
                <w:szCs w:val="20"/>
                <w:lang w:val="hy-AM"/>
              </w:rPr>
            </w:pPr>
          </w:p>
        </w:tc>
        <w:tc>
          <w:tcPr>
            <w:tcW w:w="661" w:type="pct"/>
            <w:tcBorders>
              <w:top w:val="single" w:sz="4" w:space="0" w:color="auto"/>
              <w:left w:val="single" w:sz="4" w:space="0" w:color="auto"/>
              <w:bottom w:val="single" w:sz="4" w:space="0" w:color="auto"/>
              <w:right w:val="single" w:sz="4" w:space="0" w:color="auto"/>
            </w:tcBorders>
            <w:shd w:val="solid" w:color="FFFFFF" w:fill="auto"/>
            <w:vAlign w:val="center"/>
          </w:tcPr>
          <w:p w14:paraId="28A895BA" w14:textId="77777777" w:rsidR="00396B97" w:rsidRPr="002A51B1" w:rsidRDefault="00396B97" w:rsidP="00FF2D29">
            <w:pPr>
              <w:jc w:val="center"/>
              <w:rPr>
                <w:sz w:val="20"/>
                <w:szCs w:val="20"/>
                <w:lang w:val="hy-AM"/>
              </w:rPr>
            </w:pPr>
          </w:p>
        </w:tc>
        <w:tc>
          <w:tcPr>
            <w:tcW w:w="731" w:type="pct"/>
            <w:tcBorders>
              <w:top w:val="single" w:sz="4" w:space="0" w:color="auto"/>
              <w:left w:val="single" w:sz="4" w:space="0" w:color="auto"/>
              <w:bottom w:val="single" w:sz="4" w:space="0" w:color="auto"/>
              <w:right w:val="double" w:sz="4" w:space="0" w:color="auto"/>
            </w:tcBorders>
            <w:shd w:val="solid" w:color="FFFFFF" w:fill="auto"/>
            <w:vAlign w:val="center"/>
          </w:tcPr>
          <w:p w14:paraId="6684B757" w14:textId="77777777" w:rsidR="00396B97" w:rsidRPr="002A51B1" w:rsidRDefault="00396B97" w:rsidP="00FF2D29">
            <w:pPr>
              <w:jc w:val="center"/>
              <w:rPr>
                <w:sz w:val="20"/>
                <w:szCs w:val="20"/>
                <w:lang w:val="hy-AM"/>
              </w:rPr>
            </w:pPr>
          </w:p>
        </w:tc>
      </w:tr>
      <w:tr w:rsidR="00396B97" w:rsidRPr="00C810AC" w14:paraId="0F147603" w14:textId="77777777" w:rsidTr="004873B5">
        <w:tblPrEx>
          <w:tblCellMar>
            <w:left w:w="30" w:type="dxa"/>
            <w:right w:w="30" w:type="dxa"/>
          </w:tblCellMar>
        </w:tblPrEx>
        <w:trPr>
          <w:trHeight w:val="20"/>
        </w:trPr>
        <w:tc>
          <w:tcPr>
            <w:tcW w:w="2218" w:type="pct"/>
            <w:tcBorders>
              <w:top w:val="single" w:sz="6" w:space="0" w:color="auto"/>
              <w:right w:val="single" w:sz="4" w:space="0" w:color="auto"/>
            </w:tcBorders>
            <w:shd w:val="clear" w:color="auto" w:fill="C6D9F1" w:themeFill="text2" w:themeFillTint="33"/>
            <w:tcMar>
              <w:left w:w="57" w:type="dxa"/>
              <w:right w:w="85" w:type="dxa"/>
            </w:tcMar>
            <w:vAlign w:val="center"/>
          </w:tcPr>
          <w:p w14:paraId="5200F97C" w14:textId="77777777" w:rsidR="00396B97" w:rsidRPr="002A51B1" w:rsidRDefault="00396B97" w:rsidP="000C7BC1">
            <w:pPr>
              <w:ind w:firstLine="0"/>
              <w:jc w:val="left"/>
              <w:rPr>
                <w:b/>
                <w:sz w:val="20"/>
                <w:szCs w:val="20"/>
                <w:lang w:val="hy-AM"/>
              </w:rPr>
            </w:pPr>
            <w:r w:rsidRPr="002A51B1">
              <w:rPr>
                <w:b/>
                <w:sz w:val="20"/>
                <w:szCs w:val="20"/>
                <w:lang w:val="hy-AM"/>
              </w:rPr>
              <w:t xml:space="preserve">1. </w:t>
            </w:r>
            <w:r w:rsidRPr="002A51B1">
              <w:rPr>
                <w:rFonts w:cs="Arial"/>
                <w:b/>
                <w:sz w:val="20"/>
                <w:szCs w:val="20"/>
                <w:lang w:val="hy-AM"/>
              </w:rPr>
              <w:t>ԿՐԹՈՒԹՅՈՒՆ</w:t>
            </w:r>
          </w:p>
        </w:tc>
        <w:tc>
          <w:tcPr>
            <w:tcW w:w="723"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57" w:type="dxa"/>
              <w:right w:w="85" w:type="dxa"/>
            </w:tcMar>
          </w:tcPr>
          <w:p w14:paraId="0A6FE8C3" w14:textId="77777777" w:rsidR="00396B97" w:rsidRPr="002A51B1" w:rsidRDefault="00396B97" w:rsidP="00FF2D29">
            <w:pPr>
              <w:ind w:firstLine="0"/>
              <w:jc w:val="center"/>
              <w:rPr>
                <w:b/>
                <w:sz w:val="20"/>
                <w:szCs w:val="20"/>
              </w:rPr>
            </w:pPr>
            <w:r w:rsidRPr="002A51B1">
              <w:rPr>
                <w:b/>
                <w:sz w:val="20"/>
                <w:szCs w:val="20"/>
              </w:rPr>
              <w:t>161,053.5</w:t>
            </w:r>
          </w:p>
        </w:tc>
        <w:tc>
          <w:tcPr>
            <w:tcW w:w="667" w:type="pct"/>
            <w:tcBorders>
              <w:top w:val="single" w:sz="4" w:space="0" w:color="auto"/>
              <w:left w:val="single" w:sz="4" w:space="0" w:color="auto"/>
              <w:bottom w:val="single" w:sz="4" w:space="0" w:color="auto"/>
              <w:right w:val="single" w:sz="4" w:space="0" w:color="auto"/>
            </w:tcBorders>
            <w:shd w:val="clear" w:color="auto" w:fill="C6D9F1" w:themeFill="text2" w:themeFillTint="33"/>
            <w:tcMar>
              <w:left w:w="57" w:type="dxa"/>
              <w:right w:w="85" w:type="dxa"/>
            </w:tcMar>
          </w:tcPr>
          <w:p w14:paraId="024124BC" w14:textId="77777777" w:rsidR="00396B97" w:rsidRPr="002A51B1" w:rsidRDefault="00396B97" w:rsidP="00FF2D29">
            <w:pPr>
              <w:ind w:firstLine="0"/>
              <w:jc w:val="center"/>
              <w:rPr>
                <w:b/>
                <w:sz w:val="20"/>
                <w:szCs w:val="20"/>
              </w:rPr>
            </w:pPr>
            <w:r w:rsidRPr="002A51B1">
              <w:rPr>
                <w:b/>
                <w:sz w:val="20"/>
                <w:szCs w:val="20"/>
              </w:rPr>
              <w:t>158,065.6</w:t>
            </w:r>
          </w:p>
        </w:tc>
        <w:tc>
          <w:tcPr>
            <w:tcW w:w="66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82AF400" w14:textId="77777777" w:rsidR="00396B97" w:rsidRPr="002A51B1" w:rsidRDefault="00396B97" w:rsidP="00FF2D29">
            <w:pPr>
              <w:ind w:firstLine="0"/>
              <w:jc w:val="center"/>
              <w:rPr>
                <w:b/>
                <w:sz w:val="20"/>
                <w:szCs w:val="20"/>
              </w:rPr>
            </w:pPr>
            <w:r w:rsidRPr="002A51B1">
              <w:rPr>
                <w:b/>
                <w:sz w:val="20"/>
                <w:szCs w:val="20"/>
              </w:rPr>
              <w:t>177,032.2</w:t>
            </w:r>
          </w:p>
        </w:tc>
        <w:tc>
          <w:tcPr>
            <w:tcW w:w="731" w:type="pct"/>
            <w:tcBorders>
              <w:top w:val="single" w:sz="4" w:space="0" w:color="auto"/>
              <w:left w:val="single" w:sz="4" w:space="0" w:color="auto"/>
              <w:bottom w:val="single" w:sz="4" w:space="0" w:color="auto"/>
              <w:right w:val="double" w:sz="4" w:space="0" w:color="auto"/>
            </w:tcBorders>
            <w:shd w:val="clear" w:color="auto" w:fill="C6D9F1" w:themeFill="text2" w:themeFillTint="33"/>
          </w:tcPr>
          <w:p w14:paraId="42DF6437" w14:textId="77777777" w:rsidR="00396B97" w:rsidRPr="002A51B1" w:rsidRDefault="00396B97" w:rsidP="00FF2D29">
            <w:pPr>
              <w:ind w:firstLine="0"/>
              <w:jc w:val="center"/>
              <w:rPr>
                <w:b/>
                <w:sz w:val="20"/>
                <w:szCs w:val="20"/>
              </w:rPr>
            </w:pPr>
            <w:r w:rsidRPr="002A51B1">
              <w:rPr>
                <w:b/>
                <w:sz w:val="20"/>
                <w:szCs w:val="20"/>
              </w:rPr>
              <w:t>194,382.2</w:t>
            </w:r>
          </w:p>
        </w:tc>
      </w:tr>
      <w:tr w:rsidR="00396B97" w:rsidRPr="00C810AC" w14:paraId="7B8C44C2" w14:textId="77777777" w:rsidTr="004873B5">
        <w:trPr>
          <w:trHeight w:val="20"/>
        </w:trPr>
        <w:tc>
          <w:tcPr>
            <w:tcW w:w="2218" w:type="pct"/>
            <w:shd w:val="clear" w:color="auto" w:fill="FFFFFF"/>
            <w:tcMar>
              <w:left w:w="57" w:type="dxa"/>
              <w:right w:w="85" w:type="dxa"/>
            </w:tcMar>
            <w:vAlign w:val="center"/>
          </w:tcPr>
          <w:p w14:paraId="1F001760" w14:textId="77777777" w:rsidR="00396B97" w:rsidRPr="002A51B1" w:rsidRDefault="00396B97" w:rsidP="00872BE2">
            <w:pPr>
              <w:ind w:firstLine="0"/>
              <w:jc w:val="left"/>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723" w:type="pct"/>
            <w:tcBorders>
              <w:top w:val="single" w:sz="4" w:space="0" w:color="auto"/>
            </w:tcBorders>
            <w:shd w:val="clear" w:color="auto" w:fill="FFFFFF"/>
            <w:tcMar>
              <w:left w:w="57" w:type="dxa"/>
              <w:right w:w="85" w:type="dxa"/>
            </w:tcMar>
          </w:tcPr>
          <w:p w14:paraId="618D7FE3" w14:textId="77777777" w:rsidR="00396B97" w:rsidRPr="002A51B1" w:rsidRDefault="00396B97" w:rsidP="00FF2D29">
            <w:pPr>
              <w:jc w:val="center"/>
              <w:rPr>
                <w:sz w:val="20"/>
                <w:szCs w:val="20"/>
              </w:rPr>
            </w:pPr>
            <w:r w:rsidRPr="002A51B1">
              <w:rPr>
                <w:sz w:val="20"/>
                <w:szCs w:val="20"/>
              </w:rPr>
              <w:t>2.48</w:t>
            </w:r>
          </w:p>
        </w:tc>
        <w:tc>
          <w:tcPr>
            <w:tcW w:w="667" w:type="pct"/>
            <w:tcBorders>
              <w:top w:val="single" w:sz="4" w:space="0" w:color="auto"/>
            </w:tcBorders>
            <w:shd w:val="clear" w:color="auto" w:fill="FFFFFF"/>
            <w:tcMar>
              <w:left w:w="57" w:type="dxa"/>
              <w:right w:w="85" w:type="dxa"/>
            </w:tcMar>
          </w:tcPr>
          <w:p w14:paraId="0C700248" w14:textId="77777777" w:rsidR="00396B97" w:rsidRPr="002A51B1" w:rsidRDefault="00396B97" w:rsidP="00FF2D29">
            <w:pPr>
              <w:jc w:val="center"/>
              <w:rPr>
                <w:sz w:val="20"/>
                <w:szCs w:val="20"/>
              </w:rPr>
            </w:pPr>
            <w:r w:rsidRPr="002A51B1">
              <w:rPr>
                <w:sz w:val="20"/>
                <w:szCs w:val="20"/>
              </w:rPr>
              <w:t>2.21</w:t>
            </w:r>
          </w:p>
        </w:tc>
        <w:tc>
          <w:tcPr>
            <w:tcW w:w="661" w:type="pct"/>
            <w:tcBorders>
              <w:top w:val="single" w:sz="4" w:space="0" w:color="auto"/>
            </w:tcBorders>
            <w:shd w:val="clear" w:color="auto" w:fill="FFFFFF"/>
          </w:tcPr>
          <w:p w14:paraId="40143D54" w14:textId="77777777" w:rsidR="00396B97" w:rsidRPr="002A51B1" w:rsidRDefault="00396B97" w:rsidP="00FF2D29">
            <w:pPr>
              <w:jc w:val="center"/>
              <w:rPr>
                <w:sz w:val="20"/>
                <w:szCs w:val="20"/>
              </w:rPr>
            </w:pPr>
            <w:r w:rsidRPr="002A51B1">
              <w:rPr>
                <w:sz w:val="20"/>
                <w:szCs w:val="20"/>
              </w:rPr>
              <w:t>2.25</w:t>
            </w:r>
          </w:p>
        </w:tc>
        <w:tc>
          <w:tcPr>
            <w:tcW w:w="731" w:type="pct"/>
            <w:tcBorders>
              <w:top w:val="single" w:sz="4" w:space="0" w:color="auto"/>
            </w:tcBorders>
            <w:shd w:val="clear" w:color="auto" w:fill="FFFFFF"/>
          </w:tcPr>
          <w:p w14:paraId="638189B1" w14:textId="77777777" w:rsidR="00396B97" w:rsidRPr="002A51B1" w:rsidRDefault="00396B97" w:rsidP="00FF2D29">
            <w:pPr>
              <w:jc w:val="center"/>
              <w:rPr>
                <w:sz w:val="20"/>
                <w:szCs w:val="20"/>
              </w:rPr>
            </w:pPr>
            <w:r w:rsidRPr="002A51B1">
              <w:rPr>
                <w:sz w:val="20"/>
                <w:szCs w:val="20"/>
              </w:rPr>
              <w:t>2.26</w:t>
            </w:r>
          </w:p>
        </w:tc>
      </w:tr>
      <w:tr w:rsidR="00396B97" w:rsidRPr="00C810AC" w14:paraId="7CC370FB" w14:textId="77777777" w:rsidTr="004873B5">
        <w:trPr>
          <w:trHeight w:val="20"/>
        </w:trPr>
        <w:tc>
          <w:tcPr>
            <w:tcW w:w="2218" w:type="pct"/>
            <w:shd w:val="clear" w:color="auto" w:fill="FFFFFF"/>
            <w:tcMar>
              <w:left w:w="57" w:type="dxa"/>
              <w:right w:w="85" w:type="dxa"/>
            </w:tcMar>
            <w:vAlign w:val="center"/>
          </w:tcPr>
          <w:p w14:paraId="4F36B12D" w14:textId="77777777" w:rsidR="00396B97" w:rsidRPr="002A51B1" w:rsidRDefault="00396B97" w:rsidP="00872BE2">
            <w:pPr>
              <w:ind w:firstLine="0"/>
              <w:jc w:val="left"/>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723" w:type="pct"/>
            <w:shd w:val="clear" w:color="auto" w:fill="FFFFFF"/>
            <w:tcMar>
              <w:left w:w="57" w:type="dxa"/>
              <w:right w:w="85" w:type="dxa"/>
            </w:tcMar>
            <w:vAlign w:val="center"/>
          </w:tcPr>
          <w:p w14:paraId="0037D801" w14:textId="77777777" w:rsidR="00396B97" w:rsidRPr="002A51B1" w:rsidRDefault="00396B97" w:rsidP="00FF2D29">
            <w:pPr>
              <w:jc w:val="center"/>
              <w:rPr>
                <w:sz w:val="20"/>
                <w:szCs w:val="20"/>
              </w:rPr>
            </w:pPr>
            <w:r w:rsidRPr="002A51B1">
              <w:rPr>
                <w:sz w:val="20"/>
                <w:szCs w:val="20"/>
              </w:rPr>
              <w:t>8.</w:t>
            </w:r>
            <w:r w:rsidRPr="002A51B1">
              <w:rPr>
                <w:sz w:val="20"/>
                <w:szCs w:val="20"/>
                <w:lang w:val="hy-AM"/>
              </w:rPr>
              <w:t>7</w:t>
            </w:r>
          </w:p>
        </w:tc>
        <w:tc>
          <w:tcPr>
            <w:tcW w:w="667" w:type="pct"/>
            <w:shd w:val="clear" w:color="auto" w:fill="FFFFFF"/>
            <w:tcMar>
              <w:left w:w="57" w:type="dxa"/>
              <w:right w:w="85" w:type="dxa"/>
            </w:tcMar>
            <w:vAlign w:val="center"/>
          </w:tcPr>
          <w:p w14:paraId="79664ADE" w14:textId="77777777" w:rsidR="00396B97" w:rsidRPr="002A51B1" w:rsidRDefault="00396B97" w:rsidP="00FF2D29">
            <w:pPr>
              <w:jc w:val="center"/>
              <w:rPr>
                <w:sz w:val="20"/>
                <w:szCs w:val="20"/>
              </w:rPr>
            </w:pPr>
            <w:r w:rsidRPr="002A51B1">
              <w:rPr>
                <w:sz w:val="20"/>
                <w:szCs w:val="20"/>
              </w:rPr>
              <w:t>8.4</w:t>
            </w:r>
          </w:p>
        </w:tc>
        <w:tc>
          <w:tcPr>
            <w:tcW w:w="661" w:type="pct"/>
            <w:shd w:val="clear" w:color="auto" w:fill="FFFFFF"/>
            <w:vAlign w:val="center"/>
          </w:tcPr>
          <w:p w14:paraId="645322CE" w14:textId="77777777" w:rsidR="00396B97" w:rsidRPr="002A51B1" w:rsidRDefault="00396B97" w:rsidP="00FF2D29">
            <w:pPr>
              <w:jc w:val="center"/>
              <w:rPr>
                <w:sz w:val="20"/>
                <w:szCs w:val="20"/>
              </w:rPr>
            </w:pPr>
            <w:r w:rsidRPr="002A51B1">
              <w:rPr>
                <w:sz w:val="20"/>
                <w:szCs w:val="20"/>
              </w:rPr>
              <w:t>8.7</w:t>
            </w:r>
          </w:p>
        </w:tc>
        <w:tc>
          <w:tcPr>
            <w:tcW w:w="731" w:type="pct"/>
            <w:shd w:val="clear" w:color="auto" w:fill="FFFFFF"/>
            <w:vAlign w:val="center"/>
          </w:tcPr>
          <w:p w14:paraId="646B204F" w14:textId="77777777" w:rsidR="00396B97" w:rsidRPr="002A51B1" w:rsidRDefault="00192498" w:rsidP="00FF2D29">
            <w:pPr>
              <w:jc w:val="center"/>
              <w:rPr>
                <w:sz w:val="20"/>
                <w:szCs w:val="20"/>
              </w:rPr>
            </w:pPr>
            <w:r>
              <w:rPr>
                <w:sz w:val="20"/>
                <w:szCs w:val="20"/>
              </w:rPr>
              <w:t>8.</w:t>
            </w:r>
            <w:r w:rsidR="00396B97" w:rsidRPr="002A51B1">
              <w:rPr>
                <w:sz w:val="20"/>
                <w:szCs w:val="20"/>
              </w:rPr>
              <w:t>7</w:t>
            </w:r>
          </w:p>
        </w:tc>
      </w:tr>
      <w:tr w:rsidR="00396B97" w:rsidRPr="00C810AC" w14:paraId="140E3040" w14:textId="77777777" w:rsidTr="004873B5">
        <w:tblPrEx>
          <w:tblCellMar>
            <w:left w:w="30" w:type="dxa"/>
            <w:right w:w="30" w:type="dxa"/>
          </w:tblCellMar>
        </w:tblPrEx>
        <w:trPr>
          <w:trHeight w:val="20"/>
        </w:trPr>
        <w:tc>
          <w:tcPr>
            <w:tcW w:w="2218" w:type="pct"/>
            <w:shd w:val="clear" w:color="auto" w:fill="C6D9F1" w:themeFill="text2" w:themeFillTint="33"/>
            <w:tcMar>
              <w:left w:w="57" w:type="dxa"/>
              <w:right w:w="85" w:type="dxa"/>
            </w:tcMar>
            <w:vAlign w:val="center"/>
          </w:tcPr>
          <w:p w14:paraId="70D237CE" w14:textId="77777777" w:rsidR="00396B97" w:rsidRPr="002A51B1" w:rsidRDefault="00396B97" w:rsidP="000C7BC1">
            <w:pPr>
              <w:ind w:firstLine="0"/>
              <w:jc w:val="left"/>
              <w:rPr>
                <w:b/>
                <w:sz w:val="20"/>
                <w:szCs w:val="20"/>
                <w:lang w:val="hy-AM"/>
              </w:rPr>
            </w:pPr>
            <w:r w:rsidRPr="002A51B1">
              <w:rPr>
                <w:b/>
                <w:sz w:val="20"/>
                <w:szCs w:val="20"/>
                <w:lang w:val="hy-AM"/>
              </w:rPr>
              <w:t xml:space="preserve">2. </w:t>
            </w:r>
            <w:r w:rsidRPr="002A51B1">
              <w:rPr>
                <w:rFonts w:cs="Arial"/>
                <w:b/>
                <w:sz w:val="20"/>
                <w:szCs w:val="20"/>
                <w:lang w:val="hy-AM"/>
              </w:rPr>
              <w:t>ՍՈՑԻԱԼԱԿԱՆ</w:t>
            </w:r>
            <w:r w:rsidRPr="002A51B1">
              <w:rPr>
                <w:b/>
                <w:sz w:val="20"/>
                <w:szCs w:val="20"/>
                <w:lang w:val="hy-AM"/>
              </w:rPr>
              <w:t xml:space="preserve"> </w:t>
            </w:r>
            <w:r w:rsidRPr="002A51B1">
              <w:rPr>
                <w:rFonts w:cs="Arial"/>
                <w:b/>
                <w:sz w:val="20"/>
                <w:szCs w:val="20"/>
                <w:lang w:val="hy-AM"/>
              </w:rPr>
              <w:t>ՊԱՇՏՊԱՆՈՒԹՅՈՒՆ</w:t>
            </w:r>
          </w:p>
        </w:tc>
        <w:tc>
          <w:tcPr>
            <w:tcW w:w="723" w:type="pct"/>
            <w:shd w:val="clear" w:color="auto" w:fill="C6D9F1" w:themeFill="text2" w:themeFillTint="33"/>
            <w:tcMar>
              <w:left w:w="57" w:type="dxa"/>
              <w:right w:w="85" w:type="dxa"/>
            </w:tcMar>
            <w:vAlign w:val="center"/>
          </w:tcPr>
          <w:p w14:paraId="4BB3C5F5" w14:textId="77777777" w:rsidR="00396B97" w:rsidRPr="002A51B1" w:rsidRDefault="00396B97" w:rsidP="00FF2D29">
            <w:pPr>
              <w:ind w:firstLine="0"/>
              <w:jc w:val="center"/>
              <w:rPr>
                <w:rFonts w:cs="Arial"/>
                <w:b/>
                <w:bCs/>
                <w:sz w:val="20"/>
                <w:szCs w:val="20"/>
              </w:rPr>
            </w:pPr>
            <w:r w:rsidRPr="002A51B1">
              <w:rPr>
                <w:rFonts w:cs="Arial"/>
                <w:b/>
                <w:bCs/>
                <w:sz w:val="20"/>
                <w:szCs w:val="20"/>
              </w:rPr>
              <w:t>492,045.9</w:t>
            </w:r>
          </w:p>
        </w:tc>
        <w:tc>
          <w:tcPr>
            <w:tcW w:w="667" w:type="pct"/>
            <w:shd w:val="clear" w:color="auto" w:fill="C6D9F1" w:themeFill="text2" w:themeFillTint="33"/>
            <w:tcMar>
              <w:left w:w="57" w:type="dxa"/>
              <w:right w:w="85" w:type="dxa"/>
            </w:tcMar>
            <w:vAlign w:val="center"/>
          </w:tcPr>
          <w:p w14:paraId="4ABE260A" w14:textId="77777777" w:rsidR="00396B97" w:rsidRPr="002A51B1" w:rsidRDefault="00396B97" w:rsidP="00FF2D29">
            <w:pPr>
              <w:ind w:firstLine="0"/>
              <w:jc w:val="center"/>
              <w:rPr>
                <w:rFonts w:cs="Arial"/>
                <w:b/>
                <w:bCs/>
                <w:sz w:val="20"/>
                <w:szCs w:val="20"/>
              </w:rPr>
            </w:pPr>
            <w:r w:rsidRPr="002A51B1">
              <w:rPr>
                <w:rFonts w:cs="Arial"/>
                <w:b/>
                <w:bCs/>
                <w:sz w:val="20"/>
                <w:szCs w:val="20"/>
              </w:rPr>
              <w:t>504,817.1</w:t>
            </w:r>
          </w:p>
        </w:tc>
        <w:tc>
          <w:tcPr>
            <w:tcW w:w="661" w:type="pct"/>
            <w:shd w:val="clear" w:color="auto" w:fill="C6D9F1" w:themeFill="text2" w:themeFillTint="33"/>
            <w:vAlign w:val="center"/>
          </w:tcPr>
          <w:p w14:paraId="7BC625E5" w14:textId="77777777" w:rsidR="00396B97" w:rsidRPr="002A51B1" w:rsidRDefault="00396B97" w:rsidP="00FF2D29">
            <w:pPr>
              <w:ind w:firstLine="0"/>
              <w:jc w:val="center"/>
              <w:rPr>
                <w:rFonts w:cs="Arial"/>
                <w:b/>
                <w:bCs/>
                <w:sz w:val="20"/>
                <w:szCs w:val="20"/>
              </w:rPr>
            </w:pPr>
            <w:r w:rsidRPr="002A51B1">
              <w:rPr>
                <w:rFonts w:cs="Arial"/>
                <w:b/>
                <w:bCs/>
                <w:sz w:val="20"/>
                <w:szCs w:val="20"/>
              </w:rPr>
              <w:t>509,612.7</w:t>
            </w:r>
          </w:p>
        </w:tc>
        <w:tc>
          <w:tcPr>
            <w:tcW w:w="731" w:type="pct"/>
            <w:shd w:val="clear" w:color="auto" w:fill="C6D9F1" w:themeFill="text2" w:themeFillTint="33"/>
            <w:vAlign w:val="center"/>
          </w:tcPr>
          <w:p w14:paraId="7BA8C157" w14:textId="77777777" w:rsidR="00396B97" w:rsidRPr="002A51B1" w:rsidRDefault="00396B97" w:rsidP="00FF2D29">
            <w:pPr>
              <w:ind w:firstLine="0"/>
              <w:jc w:val="center"/>
              <w:rPr>
                <w:rFonts w:cs="Arial"/>
                <w:b/>
                <w:bCs/>
                <w:sz w:val="20"/>
                <w:szCs w:val="20"/>
              </w:rPr>
            </w:pPr>
            <w:r w:rsidRPr="002A51B1">
              <w:rPr>
                <w:rFonts w:cs="Arial"/>
                <w:b/>
                <w:bCs/>
                <w:sz w:val="20"/>
                <w:szCs w:val="20"/>
              </w:rPr>
              <w:t>515,881.5</w:t>
            </w:r>
          </w:p>
        </w:tc>
      </w:tr>
      <w:tr w:rsidR="00396B97" w:rsidRPr="00C810AC" w14:paraId="1AE4D8D5" w14:textId="77777777" w:rsidTr="004873B5">
        <w:trPr>
          <w:trHeight w:val="20"/>
        </w:trPr>
        <w:tc>
          <w:tcPr>
            <w:tcW w:w="2218" w:type="pct"/>
            <w:shd w:val="clear" w:color="auto" w:fill="FFFFFF"/>
            <w:tcMar>
              <w:left w:w="57" w:type="dxa"/>
              <w:right w:w="85" w:type="dxa"/>
            </w:tcMar>
            <w:vAlign w:val="center"/>
          </w:tcPr>
          <w:p w14:paraId="7F5DD4A6" w14:textId="77777777" w:rsidR="00396B97" w:rsidRPr="002A51B1" w:rsidRDefault="00396B97" w:rsidP="00872BE2">
            <w:pPr>
              <w:ind w:firstLine="0"/>
              <w:jc w:val="left"/>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723" w:type="pct"/>
            <w:shd w:val="clear" w:color="auto" w:fill="FFFFFF"/>
            <w:tcMar>
              <w:left w:w="57" w:type="dxa"/>
              <w:right w:w="85" w:type="dxa"/>
            </w:tcMar>
            <w:vAlign w:val="center"/>
          </w:tcPr>
          <w:p w14:paraId="4DB3D67F" w14:textId="77777777" w:rsidR="00396B97" w:rsidRPr="002A51B1" w:rsidRDefault="00396B97" w:rsidP="00FF2D29">
            <w:pPr>
              <w:jc w:val="center"/>
              <w:rPr>
                <w:sz w:val="20"/>
                <w:szCs w:val="20"/>
              </w:rPr>
            </w:pPr>
            <w:r w:rsidRPr="002A51B1">
              <w:rPr>
                <w:sz w:val="20"/>
                <w:szCs w:val="20"/>
              </w:rPr>
              <w:t>7.56</w:t>
            </w:r>
          </w:p>
        </w:tc>
        <w:tc>
          <w:tcPr>
            <w:tcW w:w="667" w:type="pct"/>
            <w:shd w:val="clear" w:color="auto" w:fill="FFFFFF"/>
            <w:tcMar>
              <w:left w:w="57" w:type="dxa"/>
              <w:right w:w="85" w:type="dxa"/>
            </w:tcMar>
            <w:vAlign w:val="center"/>
          </w:tcPr>
          <w:p w14:paraId="07389916" w14:textId="77777777" w:rsidR="00396B97" w:rsidRPr="002A51B1" w:rsidRDefault="00396B97" w:rsidP="00FF2D29">
            <w:pPr>
              <w:jc w:val="center"/>
              <w:rPr>
                <w:sz w:val="20"/>
                <w:szCs w:val="20"/>
              </w:rPr>
            </w:pPr>
            <w:r w:rsidRPr="002A51B1">
              <w:rPr>
                <w:sz w:val="20"/>
                <w:szCs w:val="20"/>
              </w:rPr>
              <w:t>7.07</w:t>
            </w:r>
          </w:p>
        </w:tc>
        <w:tc>
          <w:tcPr>
            <w:tcW w:w="661" w:type="pct"/>
            <w:shd w:val="clear" w:color="auto" w:fill="FFFFFF"/>
            <w:vAlign w:val="center"/>
          </w:tcPr>
          <w:p w14:paraId="21559764" w14:textId="77777777" w:rsidR="00396B97" w:rsidRPr="002A51B1" w:rsidRDefault="00396B97" w:rsidP="00FF2D29">
            <w:pPr>
              <w:jc w:val="center"/>
              <w:rPr>
                <w:sz w:val="20"/>
                <w:szCs w:val="20"/>
              </w:rPr>
            </w:pPr>
            <w:r w:rsidRPr="002A51B1">
              <w:rPr>
                <w:sz w:val="20"/>
                <w:szCs w:val="20"/>
              </w:rPr>
              <w:t>6.49</w:t>
            </w:r>
          </w:p>
        </w:tc>
        <w:tc>
          <w:tcPr>
            <w:tcW w:w="731" w:type="pct"/>
            <w:shd w:val="clear" w:color="auto" w:fill="FFFFFF"/>
            <w:vAlign w:val="center"/>
          </w:tcPr>
          <w:p w14:paraId="6B9DAC38" w14:textId="77777777" w:rsidR="00396B97" w:rsidRPr="002A51B1" w:rsidRDefault="00396B97" w:rsidP="00FF2D29">
            <w:pPr>
              <w:jc w:val="center"/>
              <w:rPr>
                <w:sz w:val="20"/>
                <w:szCs w:val="20"/>
              </w:rPr>
            </w:pPr>
            <w:r w:rsidRPr="002A51B1">
              <w:rPr>
                <w:sz w:val="20"/>
                <w:szCs w:val="20"/>
              </w:rPr>
              <w:t>6.01</w:t>
            </w:r>
          </w:p>
        </w:tc>
      </w:tr>
      <w:tr w:rsidR="00396B97" w:rsidRPr="00C810AC" w14:paraId="76016615" w14:textId="77777777" w:rsidTr="004873B5">
        <w:trPr>
          <w:trHeight w:val="20"/>
        </w:trPr>
        <w:tc>
          <w:tcPr>
            <w:tcW w:w="2218" w:type="pct"/>
            <w:shd w:val="clear" w:color="auto" w:fill="FFFFFF"/>
            <w:tcMar>
              <w:left w:w="57" w:type="dxa"/>
              <w:right w:w="85" w:type="dxa"/>
            </w:tcMar>
            <w:vAlign w:val="center"/>
          </w:tcPr>
          <w:p w14:paraId="585F19DA" w14:textId="77777777" w:rsidR="00396B97" w:rsidRPr="002A51B1" w:rsidRDefault="00396B97" w:rsidP="00872BE2">
            <w:pPr>
              <w:ind w:firstLine="0"/>
              <w:jc w:val="left"/>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723" w:type="pct"/>
            <w:shd w:val="clear" w:color="auto" w:fill="FFFFFF"/>
            <w:tcMar>
              <w:left w:w="57" w:type="dxa"/>
              <w:right w:w="85" w:type="dxa"/>
            </w:tcMar>
            <w:vAlign w:val="center"/>
          </w:tcPr>
          <w:p w14:paraId="536F9C0E" w14:textId="77777777" w:rsidR="00396B97" w:rsidRPr="002A51B1" w:rsidRDefault="00396B97" w:rsidP="00FF2D29">
            <w:pPr>
              <w:jc w:val="center"/>
              <w:rPr>
                <w:sz w:val="20"/>
                <w:szCs w:val="20"/>
              </w:rPr>
            </w:pPr>
            <w:r w:rsidRPr="002A51B1">
              <w:rPr>
                <w:sz w:val="20"/>
                <w:szCs w:val="20"/>
              </w:rPr>
              <w:t>26.5</w:t>
            </w:r>
          </w:p>
        </w:tc>
        <w:tc>
          <w:tcPr>
            <w:tcW w:w="667" w:type="pct"/>
            <w:shd w:val="clear" w:color="auto" w:fill="FFFFFF"/>
            <w:tcMar>
              <w:left w:w="57" w:type="dxa"/>
              <w:right w:w="85" w:type="dxa"/>
            </w:tcMar>
            <w:vAlign w:val="center"/>
          </w:tcPr>
          <w:p w14:paraId="7BC2B972" w14:textId="77777777" w:rsidR="00396B97" w:rsidRPr="002A51B1" w:rsidRDefault="00396B97" w:rsidP="00FF2D29">
            <w:pPr>
              <w:jc w:val="center"/>
              <w:rPr>
                <w:sz w:val="20"/>
                <w:szCs w:val="20"/>
              </w:rPr>
            </w:pPr>
            <w:r w:rsidRPr="002A51B1">
              <w:rPr>
                <w:sz w:val="20"/>
                <w:szCs w:val="20"/>
              </w:rPr>
              <w:t>26.</w:t>
            </w:r>
            <w:r w:rsidRPr="002A51B1">
              <w:rPr>
                <w:sz w:val="20"/>
                <w:szCs w:val="20"/>
                <w:lang w:val="hy-AM"/>
              </w:rPr>
              <w:t>9</w:t>
            </w:r>
          </w:p>
        </w:tc>
        <w:tc>
          <w:tcPr>
            <w:tcW w:w="661" w:type="pct"/>
            <w:shd w:val="clear" w:color="auto" w:fill="FFFFFF"/>
            <w:vAlign w:val="center"/>
          </w:tcPr>
          <w:p w14:paraId="78514DFC" w14:textId="77777777" w:rsidR="00396B97" w:rsidRPr="002A51B1" w:rsidRDefault="00396B97" w:rsidP="00FF2D29">
            <w:pPr>
              <w:jc w:val="center"/>
              <w:rPr>
                <w:sz w:val="20"/>
                <w:szCs w:val="20"/>
              </w:rPr>
            </w:pPr>
            <w:r w:rsidRPr="002A51B1">
              <w:rPr>
                <w:sz w:val="20"/>
                <w:szCs w:val="20"/>
              </w:rPr>
              <w:t>25.1</w:t>
            </w:r>
          </w:p>
        </w:tc>
        <w:tc>
          <w:tcPr>
            <w:tcW w:w="731" w:type="pct"/>
            <w:shd w:val="clear" w:color="auto" w:fill="FFFFFF"/>
            <w:vAlign w:val="center"/>
          </w:tcPr>
          <w:p w14:paraId="6229BB40" w14:textId="77777777" w:rsidR="00396B97" w:rsidRPr="002A51B1" w:rsidRDefault="00396B97" w:rsidP="00FF2D29">
            <w:pPr>
              <w:jc w:val="center"/>
              <w:rPr>
                <w:sz w:val="20"/>
                <w:szCs w:val="20"/>
              </w:rPr>
            </w:pPr>
            <w:r w:rsidRPr="002A51B1">
              <w:rPr>
                <w:sz w:val="20"/>
                <w:szCs w:val="20"/>
              </w:rPr>
              <w:t>23.0</w:t>
            </w:r>
          </w:p>
        </w:tc>
      </w:tr>
      <w:tr w:rsidR="00396B97" w:rsidRPr="00C810AC" w14:paraId="13B8D597" w14:textId="77777777" w:rsidTr="004873B5">
        <w:tblPrEx>
          <w:tblCellMar>
            <w:left w:w="30" w:type="dxa"/>
            <w:right w:w="30" w:type="dxa"/>
          </w:tblCellMar>
        </w:tblPrEx>
        <w:trPr>
          <w:trHeight w:val="20"/>
        </w:trPr>
        <w:tc>
          <w:tcPr>
            <w:tcW w:w="2218" w:type="pct"/>
            <w:shd w:val="clear" w:color="auto" w:fill="C6D9F1" w:themeFill="text2" w:themeFillTint="33"/>
            <w:tcMar>
              <w:left w:w="57" w:type="dxa"/>
              <w:right w:w="85" w:type="dxa"/>
            </w:tcMar>
            <w:vAlign w:val="center"/>
          </w:tcPr>
          <w:p w14:paraId="2EB619AF" w14:textId="77777777" w:rsidR="00396B97" w:rsidRPr="002A51B1" w:rsidRDefault="00396B97" w:rsidP="000C7BC1">
            <w:pPr>
              <w:ind w:firstLine="0"/>
              <w:jc w:val="left"/>
              <w:rPr>
                <w:b/>
                <w:sz w:val="20"/>
                <w:szCs w:val="20"/>
                <w:lang w:val="hy-AM"/>
              </w:rPr>
            </w:pPr>
            <w:r w:rsidRPr="002A51B1">
              <w:rPr>
                <w:b/>
                <w:sz w:val="20"/>
                <w:szCs w:val="20"/>
                <w:lang w:val="hy-AM"/>
              </w:rPr>
              <w:t xml:space="preserve">3. </w:t>
            </w:r>
            <w:r w:rsidRPr="002A51B1">
              <w:rPr>
                <w:rFonts w:cs="Arial"/>
                <w:b/>
                <w:sz w:val="20"/>
                <w:szCs w:val="20"/>
                <w:lang w:val="hy-AM"/>
              </w:rPr>
              <w:t>ԱՌՈՂՋԱՊԱՀՈՒԹՅՈՒՆ</w:t>
            </w:r>
          </w:p>
        </w:tc>
        <w:tc>
          <w:tcPr>
            <w:tcW w:w="723" w:type="pct"/>
            <w:shd w:val="clear" w:color="auto" w:fill="C6D9F1" w:themeFill="text2" w:themeFillTint="33"/>
            <w:tcMar>
              <w:left w:w="57" w:type="dxa"/>
              <w:right w:w="85" w:type="dxa"/>
            </w:tcMar>
            <w:vAlign w:val="center"/>
          </w:tcPr>
          <w:p w14:paraId="1B041157" w14:textId="77777777" w:rsidR="00396B97" w:rsidRPr="002A51B1" w:rsidRDefault="00396B97" w:rsidP="00872BE2">
            <w:pPr>
              <w:ind w:firstLine="0"/>
              <w:jc w:val="center"/>
              <w:rPr>
                <w:b/>
                <w:bCs/>
                <w:sz w:val="20"/>
                <w:szCs w:val="20"/>
              </w:rPr>
            </w:pPr>
            <w:r w:rsidRPr="002A51B1">
              <w:rPr>
                <w:b/>
                <w:bCs/>
                <w:sz w:val="20"/>
                <w:szCs w:val="20"/>
              </w:rPr>
              <w:t>113,734.3</w:t>
            </w:r>
          </w:p>
        </w:tc>
        <w:tc>
          <w:tcPr>
            <w:tcW w:w="667" w:type="pct"/>
            <w:shd w:val="clear" w:color="auto" w:fill="C6D9F1" w:themeFill="text2" w:themeFillTint="33"/>
            <w:tcMar>
              <w:left w:w="57" w:type="dxa"/>
              <w:right w:w="85" w:type="dxa"/>
            </w:tcMar>
            <w:vAlign w:val="center"/>
          </w:tcPr>
          <w:p w14:paraId="0619E404" w14:textId="77777777" w:rsidR="00396B97" w:rsidRPr="002A51B1" w:rsidRDefault="00396B97" w:rsidP="00872BE2">
            <w:pPr>
              <w:ind w:firstLine="0"/>
              <w:jc w:val="center"/>
              <w:rPr>
                <w:b/>
                <w:bCs/>
                <w:sz w:val="20"/>
                <w:szCs w:val="20"/>
              </w:rPr>
            </w:pPr>
            <w:r w:rsidRPr="002A51B1">
              <w:rPr>
                <w:b/>
                <w:bCs/>
                <w:sz w:val="20"/>
                <w:szCs w:val="20"/>
              </w:rPr>
              <w:t>114,760.2</w:t>
            </w:r>
          </w:p>
        </w:tc>
        <w:tc>
          <w:tcPr>
            <w:tcW w:w="661" w:type="pct"/>
            <w:shd w:val="clear" w:color="auto" w:fill="C6D9F1" w:themeFill="text2" w:themeFillTint="33"/>
            <w:vAlign w:val="center"/>
          </w:tcPr>
          <w:p w14:paraId="2A4D23C7" w14:textId="77777777" w:rsidR="00396B97" w:rsidRPr="002A51B1" w:rsidRDefault="00396B97" w:rsidP="00872BE2">
            <w:pPr>
              <w:ind w:firstLine="0"/>
              <w:jc w:val="center"/>
              <w:rPr>
                <w:b/>
                <w:bCs/>
                <w:sz w:val="20"/>
                <w:szCs w:val="20"/>
              </w:rPr>
            </w:pPr>
            <w:r w:rsidRPr="002A51B1">
              <w:rPr>
                <w:b/>
                <w:bCs/>
                <w:sz w:val="20"/>
                <w:szCs w:val="20"/>
              </w:rPr>
              <w:t>134,622.4</w:t>
            </w:r>
          </w:p>
        </w:tc>
        <w:tc>
          <w:tcPr>
            <w:tcW w:w="731" w:type="pct"/>
            <w:shd w:val="clear" w:color="auto" w:fill="C6D9F1" w:themeFill="text2" w:themeFillTint="33"/>
            <w:vAlign w:val="center"/>
          </w:tcPr>
          <w:p w14:paraId="6C625737" w14:textId="77777777" w:rsidR="00396B97" w:rsidRPr="002A51B1" w:rsidRDefault="00396B97" w:rsidP="00872BE2">
            <w:pPr>
              <w:ind w:firstLine="0"/>
              <w:jc w:val="center"/>
              <w:rPr>
                <w:b/>
                <w:bCs/>
                <w:sz w:val="20"/>
                <w:szCs w:val="20"/>
              </w:rPr>
            </w:pPr>
            <w:r w:rsidRPr="002A51B1">
              <w:rPr>
                <w:b/>
                <w:bCs/>
                <w:sz w:val="20"/>
                <w:szCs w:val="20"/>
              </w:rPr>
              <w:t>147,404.7</w:t>
            </w:r>
          </w:p>
        </w:tc>
      </w:tr>
      <w:tr w:rsidR="00396B97" w:rsidRPr="00C810AC" w14:paraId="4743A954" w14:textId="77777777" w:rsidTr="004873B5">
        <w:trPr>
          <w:trHeight w:val="20"/>
        </w:trPr>
        <w:tc>
          <w:tcPr>
            <w:tcW w:w="2218" w:type="pct"/>
            <w:shd w:val="clear" w:color="auto" w:fill="FFFFFF"/>
            <w:tcMar>
              <w:left w:w="57" w:type="dxa"/>
              <w:right w:w="85" w:type="dxa"/>
            </w:tcMar>
            <w:vAlign w:val="center"/>
          </w:tcPr>
          <w:p w14:paraId="34E6B808" w14:textId="77777777" w:rsidR="00396B97" w:rsidRPr="002A51B1" w:rsidRDefault="00396B97" w:rsidP="00872BE2">
            <w:pPr>
              <w:ind w:firstLine="0"/>
              <w:jc w:val="left"/>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723" w:type="pct"/>
            <w:shd w:val="clear" w:color="auto" w:fill="FFFFFF"/>
            <w:tcMar>
              <w:left w:w="57" w:type="dxa"/>
              <w:right w:w="85" w:type="dxa"/>
            </w:tcMar>
            <w:vAlign w:val="center"/>
          </w:tcPr>
          <w:p w14:paraId="122ECAE6" w14:textId="77777777" w:rsidR="00396B97" w:rsidRPr="002A51B1" w:rsidRDefault="00396B97" w:rsidP="00872BE2">
            <w:pPr>
              <w:jc w:val="center"/>
              <w:rPr>
                <w:sz w:val="20"/>
                <w:szCs w:val="20"/>
              </w:rPr>
            </w:pPr>
            <w:r w:rsidRPr="002A51B1">
              <w:rPr>
                <w:sz w:val="20"/>
                <w:szCs w:val="20"/>
              </w:rPr>
              <w:t>1.75</w:t>
            </w:r>
          </w:p>
        </w:tc>
        <w:tc>
          <w:tcPr>
            <w:tcW w:w="667" w:type="pct"/>
            <w:shd w:val="clear" w:color="auto" w:fill="FFFFFF"/>
            <w:tcMar>
              <w:left w:w="57" w:type="dxa"/>
              <w:right w:w="85" w:type="dxa"/>
            </w:tcMar>
            <w:vAlign w:val="center"/>
          </w:tcPr>
          <w:p w14:paraId="282A91AE" w14:textId="77777777" w:rsidR="00396B97" w:rsidRPr="002A51B1" w:rsidRDefault="00396B97" w:rsidP="00872BE2">
            <w:pPr>
              <w:jc w:val="center"/>
              <w:rPr>
                <w:sz w:val="20"/>
                <w:szCs w:val="20"/>
              </w:rPr>
            </w:pPr>
            <w:r w:rsidRPr="002A51B1">
              <w:rPr>
                <w:sz w:val="20"/>
                <w:szCs w:val="20"/>
              </w:rPr>
              <w:t>1.61</w:t>
            </w:r>
          </w:p>
        </w:tc>
        <w:tc>
          <w:tcPr>
            <w:tcW w:w="661" w:type="pct"/>
            <w:shd w:val="clear" w:color="auto" w:fill="FFFFFF"/>
            <w:vAlign w:val="center"/>
          </w:tcPr>
          <w:p w14:paraId="04237590" w14:textId="77777777" w:rsidR="00396B97" w:rsidRPr="002A51B1" w:rsidRDefault="00396B97" w:rsidP="00872BE2">
            <w:pPr>
              <w:jc w:val="center"/>
              <w:rPr>
                <w:sz w:val="20"/>
                <w:szCs w:val="20"/>
              </w:rPr>
            </w:pPr>
            <w:r w:rsidRPr="002A51B1">
              <w:rPr>
                <w:sz w:val="20"/>
                <w:szCs w:val="20"/>
              </w:rPr>
              <w:t>1.71</w:t>
            </w:r>
          </w:p>
        </w:tc>
        <w:tc>
          <w:tcPr>
            <w:tcW w:w="731" w:type="pct"/>
            <w:shd w:val="clear" w:color="auto" w:fill="FFFFFF"/>
            <w:vAlign w:val="center"/>
          </w:tcPr>
          <w:p w14:paraId="5F61D560" w14:textId="77777777" w:rsidR="00396B97" w:rsidRPr="002A51B1" w:rsidRDefault="00396B97" w:rsidP="00872BE2">
            <w:pPr>
              <w:jc w:val="center"/>
              <w:rPr>
                <w:sz w:val="20"/>
                <w:szCs w:val="20"/>
              </w:rPr>
            </w:pPr>
            <w:r w:rsidRPr="002A51B1">
              <w:rPr>
                <w:sz w:val="20"/>
                <w:szCs w:val="20"/>
              </w:rPr>
              <w:t>1.72</w:t>
            </w:r>
          </w:p>
        </w:tc>
      </w:tr>
      <w:tr w:rsidR="00396B97" w:rsidRPr="00C810AC" w14:paraId="5B35770E" w14:textId="77777777" w:rsidTr="004873B5">
        <w:trPr>
          <w:trHeight w:val="426"/>
        </w:trPr>
        <w:tc>
          <w:tcPr>
            <w:tcW w:w="2218" w:type="pct"/>
            <w:shd w:val="clear" w:color="auto" w:fill="FFFFFF"/>
            <w:tcMar>
              <w:left w:w="57" w:type="dxa"/>
              <w:right w:w="85" w:type="dxa"/>
            </w:tcMar>
            <w:vAlign w:val="center"/>
          </w:tcPr>
          <w:p w14:paraId="09C3D31C" w14:textId="77777777" w:rsidR="00396B97" w:rsidRPr="002A51B1" w:rsidRDefault="00396B97" w:rsidP="00872BE2">
            <w:pPr>
              <w:ind w:firstLine="0"/>
              <w:jc w:val="left"/>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723" w:type="pct"/>
            <w:shd w:val="clear" w:color="auto" w:fill="FFFFFF"/>
            <w:tcMar>
              <w:left w:w="57" w:type="dxa"/>
              <w:right w:w="85" w:type="dxa"/>
            </w:tcMar>
            <w:vAlign w:val="center"/>
          </w:tcPr>
          <w:p w14:paraId="3886999C" w14:textId="77777777" w:rsidR="00396B97" w:rsidRPr="002A51B1" w:rsidRDefault="00396B97" w:rsidP="00872BE2">
            <w:pPr>
              <w:jc w:val="center"/>
              <w:rPr>
                <w:sz w:val="20"/>
                <w:szCs w:val="20"/>
              </w:rPr>
            </w:pPr>
            <w:r w:rsidRPr="002A51B1">
              <w:rPr>
                <w:sz w:val="20"/>
                <w:szCs w:val="20"/>
              </w:rPr>
              <w:t>6.1</w:t>
            </w:r>
          </w:p>
        </w:tc>
        <w:tc>
          <w:tcPr>
            <w:tcW w:w="667" w:type="pct"/>
            <w:shd w:val="clear" w:color="auto" w:fill="FFFFFF"/>
            <w:tcMar>
              <w:left w:w="57" w:type="dxa"/>
              <w:right w:w="85" w:type="dxa"/>
            </w:tcMar>
            <w:vAlign w:val="center"/>
          </w:tcPr>
          <w:p w14:paraId="1EBFD79B" w14:textId="77777777" w:rsidR="00396B97" w:rsidRPr="002A51B1" w:rsidRDefault="00396B97" w:rsidP="00872BE2">
            <w:pPr>
              <w:jc w:val="center"/>
              <w:rPr>
                <w:sz w:val="20"/>
                <w:szCs w:val="20"/>
              </w:rPr>
            </w:pPr>
            <w:r w:rsidRPr="002A51B1">
              <w:rPr>
                <w:sz w:val="20"/>
                <w:szCs w:val="20"/>
              </w:rPr>
              <w:t>6.1</w:t>
            </w:r>
          </w:p>
        </w:tc>
        <w:tc>
          <w:tcPr>
            <w:tcW w:w="661" w:type="pct"/>
            <w:shd w:val="clear" w:color="auto" w:fill="FFFFFF"/>
            <w:vAlign w:val="center"/>
          </w:tcPr>
          <w:p w14:paraId="40BF184B" w14:textId="77777777" w:rsidR="00396B97" w:rsidRPr="002A51B1" w:rsidRDefault="00396B97" w:rsidP="00872BE2">
            <w:pPr>
              <w:jc w:val="center"/>
              <w:rPr>
                <w:sz w:val="20"/>
                <w:szCs w:val="20"/>
              </w:rPr>
            </w:pPr>
            <w:r w:rsidRPr="002A51B1">
              <w:rPr>
                <w:sz w:val="20"/>
                <w:szCs w:val="20"/>
              </w:rPr>
              <w:t>6.6</w:t>
            </w:r>
          </w:p>
        </w:tc>
        <w:tc>
          <w:tcPr>
            <w:tcW w:w="731" w:type="pct"/>
            <w:shd w:val="clear" w:color="auto" w:fill="FFFFFF"/>
            <w:vAlign w:val="center"/>
          </w:tcPr>
          <w:p w14:paraId="7E13DDEB" w14:textId="77777777" w:rsidR="00396B97" w:rsidRPr="002A51B1" w:rsidRDefault="00396B97" w:rsidP="00872BE2">
            <w:pPr>
              <w:jc w:val="center"/>
              <w:rPr>
                <w:sz w:val="20"/>
                <w:szCs w:val="20"/>
                <w:lang w:val="hy-AM"/>
              </w:rPr>
            </w:pPr>
            <w:r w:rsidRPr="002A51B1">
              <w:rPr>
                <w:sz w:val="20"/>
                <w:szCs w:val="20"/>
              </w:rPr>
              <w:t>6.</w:t>
            </w:r>
            <w:r w:rsidRPr="002A51B1">
              <w:rPr>
                <w:sz w:val="20"/>
                <w:szCs w:val="20"/>
                <w:lang w:val="hy-AM"/>
              </w:rPr>
              <w:t>6</w:t>
            </w:r>
          </w:p>
        </w:tc>
      </w:tr>
      <w:tr w:rsidR="00396B97" w:rsidRPr="00C810AC" w14:paraId="6D97B30F" w14:textId="77777777" w:rsidTr="004873B5">
        <w:tblPrEx>
          <w:tblCellMar>
            <w:left w:w="30" w:type="dxa"/>
            <w:right w:w="30" w:type="dxa"/>
          </w:tblCellMar>
        </w:tblPrEx>
        <w:trPr>
          <w:trHeight w:val="20"/>
        </w:trPr>
        <w:tc>
          <w:tcPr>
            <w:tcW w:w="2218" w:type="pct"/>
            <w:shd w:val="clear" w:color="auto" w:fill="C6D9F1" w:themeFill="text2" w:themeFillTint="33"/>
            <w:tcMar>
              <w:left w:w="57" w:type="dxa"/>
              <w:right w:w="85" w:type="dxa"/>
            </w:tcMar>
            <w:vAlign w:val="center"/>
          </w:tcPr>
          <w:p w14:paraId="2D254980" w14:textId="77777777" w:rsidR="00396B97" w:rsidRPr="002A51B1" w:rsidRDefault="00396B97" w:rsidP="000C7BC1">
            <w:pPr>
              <w:ind w:firstLine="0"/>
              <w:rPr>
                <w:b/>
                <w:sz w:val="20"/>
                <w:szCs w:val="20"/>
                <w:lang w:val="hy-AM"/>
              </w:rPr>
            </w:pPr>
            <w:r w:rsidRPr="002A51B1">
              <w:rPr>
                <w:b/>
                <w:sz w:val="20"/>
                <w:szCs w:val="20"/>
              </w:rPr>
              <w:t>4</w:t>
            </w:r>
            <w:r w:rsidRPr="002A51B1">
              <w:rPr>
                <w:b/>
                <w:sz w:val="20"/>
                <w:szCs w:val="20"/>
                <w:lang w:val="hy-AM"/>
              </w:rPr>
              <w:t xml:space="preserve">. </w:t>
            </w:r>
            <w:r w:rsidRPr="002A51B1">
              <w:rPr>
                <w:rFonts w:cs="Arial"/>
                <w:b/>
                <w:sz w:val="20"/>
                <w:szCs w:val="20"/>
                <w:lang w:val="hy-AM"/>
              </w:rPr>
              <w:t>ՀԱՆԳԻՍՏ, ՄՇԱԿՈՒՅԹ ԵՎ ԿՐՈՆ</w:t>
            </w:r>
          </w:p>
        </w:tc>
        <w:tc>
          <w:tcPr>
            <w:tcW w:w="723" w:type="pct"/>
            <w:shd w:val="clear" w:color="auto" w:fill="C6D9F1" w:themeFill="text2" w:themeFillTint="33"/>
            <w:tcMar>
              <w:left w:w="57" w:type="dxa"/>
              <w:right w:w="85" w:type="dxa"/>
            </w:tcMar>
            <w:vAlign w:val="center"/>
          </w:tcPr>
          <w:p w14:paraId="0A817F2E" w14:textId="77777777" w:rsidR="00396B97" w:rsidRPr="002A51B1" w:rsidRDefault="00396B97" w:rsidP="00872BE2">
            <w:pPr>
              <w:ind w:firstLine="0"/>
              <w:jc w:val="center"/>
              <w:rPr>
                <w:b/>
                <w:bCs/>
                <w:sz w:val="20"/>
                <w:szCs w:val="20"/>
              </w:rPr>
            </w:pPr>
            <w:r w:rsidRPr="002A51B1">
              <w:rPr>
                <w:b/>
                <w:bCs/>
                <w:sz w:val="20"/>
                <w:szCs w:val="20"/>
              </w:rPr>
              <w:t>30,984.4</w:t>
            </w:r>
          </w:p>
        </w:tc>
        <w:tc>
          <w:tcPr>
            <w:tcW w:w="667" w:type="pct"/>
            <w:shd w:val="clear" w:color="auto" w:fill="C6D9F1" w:themeFill="text2" w:themeFillTint="33"/>
            <w:tcMar>
              <w:left w:w="57" w:type="dxa"/>
              <w:right w:w="85" w:type="dxa"/>
            </w:tcMar>
            <w:vAlign w:val="center"/>
          </w:tcPr>
          <w:p w14:paraId="24F8CCB9" w14:textId="77777777" w:rsidR="00396B97" w:rsidRPr="002A51B1" w:rsidRDefault="00396B97" w:rsidP="00872BE2">
            <w:pPr>
              <w:ind w:firstLine="0"/>
              <w:jc w:val="center"/>
              <w:rPr>
                <w:b/>
                <w:bCs/>
                <w:sz w:val="20"/>
                <w:szCs w:val="20"/>
              </w:rPr>
            </w:pPr>
            <w:r w:rsidRPr="002A51B1">
              <w:rPr>
                <w:b/>
                <w:bCs/>
                <w:sz w:val="20"/>
                <w:szCs w:val="20"/>
              </w:rPr>
              <w:t>30,508.4</w:t>
            </w:r>
          </w:p>
        </w:tc>
        <w:tc>
          <w:tcPr>
            <w:tcW w:w="661" w:type="pct"/>
            <w:shd w:val="clear" w:color="auto" w:fill="C6D9F1" w:themeFill="text2" w:themeFillTint="33"/>
            <w:vAlign w:val="center"/>
          </w:tcPr>
          <w:p w14:paraId="77D293D8" w14:textId="77777777" w:rsidR="00396B97" w:rsidRPr="002A51B1" w:rsidRDefault="00396B97" w:rsidP="00872BE2">
            <w:pPr>
              <w:ind w:firstLine="0"/>
              <w:jc w:val="center"/>
              <w:rPr>
                <w:b/>
                <w:bCs/>
                <w:sz w:val="20"/>
                <w:szCs w:val="20"/>
              </w:rPr>
            </w:pPr>
            <w:r w:rsidRPr="002A51B1">
              <w:rPr>
                <w:b/>
                <w:bCs/>
                <w:sz w:val="20"/>
                <w:szCs w:val="20"/>
              </w:rPr>
              <w:t>32,012.4</w:t>
            </w:r>
          </w:p>
        </w:tc>
        <w:tc>
          <w:tcPr>
            <w:tcW w:w="731" w:type="pct"/>
            <w:shd w:val="clear" w:color="auto" w:fill="C6D9F1" w:themeFill="text2" w:themeFillTint="33"/>
            <w:vAlign w:val="center"/>
          </w:tcPr>
          <w:p w14:paraId="647EBFFA" w14:textId="77777777" w:rsidR="00396B97" w:rsidRPr="002A51B1" w:rsidRDefault="00396B97" w:rsidP="00872BE2">
            <w:pPr>
              <w:ind w:firstLine="0"/>
              <w:jc w:val="center"/>
              <w:rPr>
                <w:b/>
                <w:bCs/>
                <w:sz w:val="20"/>
                <w:szCs w:val="20"/>
              </w:rPr>
            </w:pPr>
            <w:r w:rsidRPr="002A51B1">
              <w:rPr>
                <w:b/>
                <w:bCs/>
                <w:sz w:val="20"/>
                <w:szCs w:val="20"/>
              </w:rPr>
              <w:t>32,497.4</w:t>
            </w:r>
          </w:p>
        </w:tc>
      </w:tr>
      <w:tr w:rsidR="00396B97" w:rsidRPr="00C810AC" w14:paraId="5C51E187" w14:textId="77777777" w:rsidTr="004873B5">
        <w:tblPrEx>
          <w:tblCellMar>
            <w:left w:w="30" w:type="dxa"/>
            <w:right w:w="30" w:type="dxa"/>
          </w:tblCellMar>
        </w:tblPrEx>
        <w:trPr>
          <w:trHeight w:val="395"/>
        </w:trPr>
        <w:tc>
          <w:tcPr>
            <w:tcW w:w="2218" w:type="pct"/>
            <w:shd w:val="solid" w:color="FFFFFF" w:fill="auto"/>
            <w:tcMar>
              <w:left w:w="57" w:type="dxa"/>
              <w:right w:w="85" w:type="dxa"/>
            </w:tcMar>
            <w:vAlign w:val="center"/>
          </w:tcPr>
          <w:p w14:paraId="6FBD2D19" w14:textId="77777777" w:rsidR="00396B97" w:rsidRPr="002A51B1" w:rsidRDefault="00396B97" w:rsidP="00872BE2">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723" w:type="pct"/>
            <w:shd w:val="solid" w:color="FFFFFF" w:fill="auto"/>
            <w:tcMar>
              <w:left w:w="57" w:type="dxa"/>
              <w:right w:w="85" w:type="dxa"/>
            </w:tcMar>
            <w:vAlign w:val="center"/>
          </w:tcPr>
          <w:p w14:paraId="47781297" w14:textId="77777777" w:rsidR="00396B97" w:rsidRPr="002A51B1" w:rsidRDefault="00396B97" w:rsidP="00872BE2">
            <w:pPr>
              <w:jc w:val="center"/>
              <w:rPr>
                <w:sz w:val="20"/>
                <w:szCs w:val="20"/>
              </w:rPr>
            </w:pPr>
            <w:r w:rsidRPr="002A51B1">
              <w:rPr>
                <w:sz w:val="20"/>
                <w:szCs w:val="20"/>
              </w:rPr>
              <w:t>0.48</w:t>
            </w:r>
          </w:p>
        </w:tc>
        <w:tc>
          <w:tcPr>
            <w:tcW w:w="667" w:type="pct"/>
            <w:shd w:val="solid" w:color="FFFFFF" w:fill="auto"/>
            <w:tcMar>
              <w:left w:w="57" w:type="dxa"/>
              <w:right w:w="85" w:type="dxa"/>
            </w:tcMar>
            <w:vAlign w:val="center"/>
          </w:tcPr>
          <w:p w14:paraId="646E0418" w14:textId="77777777" w:rsidR="00396B97" w:rsidRPr="002A51B1" w:rsidRDefault="00396B97" w:rsidP="00872BE2">
            <w:pPr>
              <w:jc w:val="center"/>
              <w:rPr>
                <w:sz w:val="20"/>
                <w:szCs w:val="20"/>
              </w:rPr>
            </w:pPr>
            <w:r w:rsidRPr="002A51B1">
              <w:rPr>
                <w:sz w:val="20"/>
                <w:szCs w:val="20"/>
              </w:rPr>
              <w:t>0.43</w:t>
            </w:r>
          </w:p>
        </w:tc>
        <w:tc>
          <w:tcPr>
            <w:tcW w:w="661" w:type="pct"/>
            <w:shd w:val="solid" w:color="FFFFFF" w:fill="auto"/>
            <w:vAlign w:val="center"/>
          </w:tcPr>
          <w:p w14:paraId="6B9FF35E" w14:textId="77777777" w:rsidR="00396B97" w:rsidRPr="002A51B1" w:rsidRDefault="00396B97" w:rsidP="00872BE2">
            <w:pPr>
              <w:jc w:val="center"/>
              <w:rPr>
                <w:sz w:val="20"/>
                <w:szCs w:val="20"/>
              </w:rPr>
            </w:pPr>
            <w:r w:rsidRPr="002A51B1">
              <w:rPr>
                <w:sz w:val="20"/>
                <w:szCs w:val="20"/>
              </w:rPr>
              <w:t>0.41</w:t>
            </w:r>
          </w:p>
        </w:tc>
        <w:tc>
          <w:tcPr>
            <w:tcW w:w="731" w:type="pct"/>
            <w:shd w:val="solid" w:color="FFFFFF" w:fill="auto"/>
            <w:vAlign w:val="center"/>
          </w:tcPr>
          <w:p w14:paraId="72485781" w14:textId="77777777" w:rsidR="00396B97" w:rsidRPr="002A51B1" w:rsidRDefault="00396B97" w:rsidP="00872BE2">
            <w:pPr>
              <w:jc w:val="center"/>
              <w:rPr>
                <w:sz w:val="20"/>
                <w:szCs w:val="20"/>
              </w:rPr>
            </w:pPr>
            <w:r w:rsidRPr="002A51B1">
              <w:rPr>
                <w:sz w:val="20"/>
                <w:szCs w:val="20"/>
              </w:rPr>
              <w:t>0.38</w:t>
            </w:r>
          </w:p>
        </w:tc>
      </w:tr>
      <w:tr w:rsidR="00396B97" w:rsidRPr="00C810AC" w14:paraId="0A62EEDA" w14:textId="77777777" w:rsidTr="004873B5">
        <w:tblPrEx>
          <w:tblCellMar>
            <w:left w:w="30" w:type="dxa"/>
            <w:right w:w="30" w:type="dxa"/>
          </w:tblCellMar>
        </w:tblPrEx>
        <w:trPr>
          <w:trHeight w:val="20"/>
        </w:trPr>
        <w:tc>
          <w:tcPr>
            <w:tcW w:w="2218" w:type="pct"/>
            <w:shd w:val="solid" w:color="FFFFFF" w:fill="auto"/>
            <w:tcMar>
              <w:left w:w="57" w:type="dxa"/>
              <w:right w:w="85" w:type="dxa"/>
            </w:tcMar>
            <w:vAlign w:val="center"/>
          </w:tcPr>
          <w:p w14:paraId="4C45E703" w14:textId="77777777" w:rsidR="00396B97" w:rsidRPr="002A51B1" w:rsidRDefault="00396B97" w:rsidP="00872BE2">
            <w:pPr>
              <w:ind w:firstLine="0"/>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723" w:type="pct"/>
            <w:shd w:val="solid" w:color="FFFFFF" w:fill="auto"/>
            <w:tcMar>
              <w:left w:w="57" w:type="dxa"/>
              <w:right w:w="85" w:type="dxa"/>
            </w:tcMar>
            <w:vAlign w:val="center"/>
          </w:tcPr>
          <w:p w14:paraId="30BC384E" w14:textId="77777777" w:rsidR="00396B97" w:rsidRPr="002A51B1" w:rsidRDefault="00396B97" w:rsidP="00872BE2">
            <w:pPr>
              <w:jc w:val="center"/>
              <w:rPr>
                <w:sz w:val="20"/>
                <w:szCs w:val="20"/>
              </w:rPr>
            </w:pPr>
            <w:r w:rsidRPr="002A51B1">
              <w:rPr>
                <w:sz w:val="20"/>
                <w:szCs w:val="20"/>
              </w:rPr>
              <w:t>1.</w:t>
            </w:r>
            <w:r w:rsidRPr="002A51B1">
              <w:rPr>
                <w:sz w:val="20"/>
                <w:szCs w:val="20"/>
                <w:lang w:val="hy-AM"/>
              </w:rPr>
              <w:t>7</w:t>
            </w:r>
          </w:p>
        </w:tc>
        <w:tc>
          <w:tcPr>
            <w:tcW w:w="667" w:type="pct"/>
            <w:shd w:val="solid" w:color="FFFFFF" w:fill="auto"/>
            <w:tcMar>
              <w:left w:w="57" w:type="dxa"/>
              <w:right w:w="85" w:type="dxa"/>
            </w:tcMar>
            <w:vAlign w:val="center"/>
          </w:tcPr>
          <w:p w14:paraId="3FC8D67D" w14:textId="77777777" w:rsidR="00396B97" w:rsidRPr="002A51B1" w:rsidRDefault="00396B97" w:rsidP="00872BE2">
            <w:pPr>
              <w:jc w:val="center"/>
              <w:rPr>
                <w:sz w:val="20"/>
                <w:szCs w:val="20"/>
              </w:rPr>
            </w:pPr>
            <w:r w:rsidRPr="002A51B1">
              <w:rPr>
                <w:sz w:val="20"/>
                <w:szCs w:val="20"/>
              </w:rPr>
              <w:t>1.</w:t>
            </w:r>
            <w:r w:rsidRPr="002A51B1">
              <w:rPr>
                <w:sz w:val="20"/>
                <w:szCs w:val="20"/>
                <w:lang w:val="hy-AM"/>
              </w:rPr>
              <w:t>7</w:t>
            </w:r>
          </w:p>
        </w:tc>
        <w:tc>
          <w:tcPr>
            <w:tcW w:w="661" w:type="pct"/>
            <w:shd w:val="solid" w:color="FFFFFF" w:fill="auto"/>
            <w:vAlign w:val="center"/>
          </w:tcPr>
          <w:p w14:paraId="16D93E32" w14:textId="77777777" w:rsidR="00396B97" w:rsidRPr="002A51B1" w:rsidRDefault="00396B97" w:rsidP="00872BE2">
            <w:pPr>
              <w:jc w:val="center"/>
              <w:rPr>
                <w:sz w:val="20"/>
                <w:szCs w:val="20"/>
              </w:rPr>
            </w:pPr>
            <w:r w:rsidRPr="002A51B1">
              <w:rPr>
                <w:sz w:val="20"/>
                <w:szCs w:val="20"/>
              </w:rPr>
              <w:t>1.</w:t>
            </w:r>
            <w:r w:rsidRPr="002A51B1">
              <w:rPr>
                <w:sz w:val="20"/>
                <w:szCs w:val="20"/>
                <w:lang w:val="hy-AM"/>
              </w:rPr>
              <w:t>6</w:t>
            </w:r>
          </w:p>
        </w:tc>
        <w:tc>
          <w:tcPr>
            <w:tcW w:w="731" w:type="pct"/>
            <w:shd w:val="solid" w:color="FFFFFF" w:fill="auto"/>
            <w:vAlign w:val="center"/>
          </w:tcPr>
          <w:p w14:paraId="2733D444" w14:textId="77777777" w:rsidR="00396B97" w:rsidRPr="002A51B1" w:rsidRDefault="00396B97" w:rsidP="00872BE2">
            <w:pPr>
              <w:jc w:val="center"/>
              <w:rPr>
                <w:sz w:val="20"/>
                <w:szCs w:val="20"/>
              </w:rPr>
            </w:pPr>
            <w:r w:rsidRPr="002A51B1">
              <w:rPr>
                <w:sz w:val="20"/>
                <w:szCs w:val="20"/>
              </w:rPr>
              <w:t>1.</w:t>
            </w:r>
            <w:r w:rsidRPr="002A51B1">
              <w:rPr>
                <w:sz w:val="20"/>
                <w:szCs w:val="20"/>
                <w:lang w:val="hy-AM"/>
              </w:rPr>
              <w:t>5</w:t>
            </w:r>
          </w:p>
        </w:tc>
      </w:tr>
    </w:tbl>
    <w:p w14:paraId="1071D2E0" w14:textId="77777777" w:rsidR="00396B97" w:rsidRPr="006062D6" w:rsidRDefault="00396B97" w:rsidP="00396B97">
      <w:pPr>
        <w:rPr>
          <w:rFonts w:ascii="Cambria Math" w:hAnsi="Cambria Math"/>
          <w:lang w:val="hy-AM"/>
        </w:rPr>
      </w:pPr>
    </w:p>
    <w:p w14:paraId="79B39F42" w14:textId="77777777" w:rsidR="00396B97" w:rsidRPr="002A51B1" w:rsidRDefault="00396B97" w:rsidP="002A51B1">
      <w:pPr>
        <w:spacing w:line="276" w:lineRule="auto"/>
        <w:rPr>
          <w:lang w:val="hy-AM"/>
        </w:rPr>
      </w:pPr>
      <w:r w:rsidRPr="002A51B1">
        <w:rPr>
          <w:lang w:val="hy-AM"/>
        </w:rPr>
        <w:tab/>
        <w:t xml:space="preserve">2021-2023 թթ համար կրթության և առողջապահության ոլորտների բյուջետային ծախսերի չափաքանակները սահմանելիս առաջնային է դիտարկվել նշված ոլորտների համար ծախսեր/ՀՆԱ  ցուցանիշի առաջանցիկ մակարդակի ապահովումը։ </w:t>
      </w:r>
    </w:p>
    <w:p w14:paraId="7AF1968B" w14:textId="77777777" w:rsidR="00396B97" w:rsidRPr="002A51B1" w:rsidRDefault="00396B97" w:rsidP="002A51B1">
      <w:pPr>
        <w:spacing w:line="276" w:lineRule="auto"/>
        <w:ind w:firstLine="720"/>
        <w:rPr>
          <w:lang w:val="hy-AM"/>
        </w:rPr>
      </w:pPr>
      <w:r w:rsidRPr="002A51B1">
        <w:rPr>
          <w:lang w:val="hy-AM"/>
        </w:rPr>
        <w:t>Միջնաժամկետ կտրվածքում կրթության ոլորտի ֆինանսավորումը աճման միտում է կրելու՝ 2021-2023թթ համապատասխանաբար կազմելով 158,065</w:t>
      </w:r>
      <w:r w:rsidRPr="002A51B1">
        <w:rPr>
          <w:rFonts w:ascii="Cambria Math" w:hAnsi="Cambria Math" w:cs="Cambria Math"/>
          <w:lang w:val="hy-AM"/>
        </w:rPr>
        <w:t>․</w:t>
      </w:r>
      <w:r w:rsidRPr="002A51B1">
        <w:rPr>
          <w:rFonts w:cs="Cambria Math"/>
          <w:lang w:val="hy-AM"/>
        </w:rPr>
        <w:t>6</w:t>
      </w:r>
      <w:r w:rsidRPr="002A51B1">
        <w:rPr>
          <w:lang w:val="hy-AM"/>
        </w:rPr>
        <w:t>, 177,032</w:t>
      </w:r>
      <w:r w:rsidRPr="002A51B1">
        <w:rPr>
          <w:rFonts w:ascii="Cambria Math" w:hAnsi="Cambria Math" w:cs="Cambria Math"/>
          <w:lang w:val="hy-AM"/>
        </w:rPr>
        <w:t>․</w:t>
      </w:r>
      <w:r w:rsidRPr="002A51B1">
        <w:rPr>
          <w:lang w:val="hy-AM"/>
        </w:rPr>
        <w:t>2 և 194,382</w:t>
      </w:r>
      <w:r w:rsidRPr="002A51B1">
        <w:rPr>
          <w:rFonts w:ascii="Cambria Math" w:hAnsi="Cambria Math" w:cs="Cambria Math"/>
          <w:lang w:val="hy-AM"/>
        </w:rPr>
        <w:t>․</w:t>
      </w:r>
      <w:r w:rsidRPr="002A51B1">
        <w:rPr>
          <w:lang w:val="hy-AM"/>
        </w:rPr>
        <w:t>2 մլ</w:t>
      </w:r>
      <w:r w:rsidR="004873B5">
        <w:rPr>
          <w:lang w:val="hy-AM"/>
        </w:rPr>
        <w:t>ն</w:t>
      </w:r>
      <w:r w:rsidRPr="002A51B1">
        <w:rPr>
          <w:rFonts w:ascii="Cambria Math" w:hAnsi="Cambria Math" w:cs="Cambria Math"/>
          <w:lang w:val="hy-AM"/>
        </w:rPr>
        <w:t>․</w:t>
      </w:r>
      <w:r w:rsidRPr="002A51B1">
        <w:rPr>
          <w:lang w:val="hy-AM"/>
        </w:rPr>
        <w:t xml:space="preserve"> դրամ։ Այս միջոցները նախատեսվում է համամասնորեն ուղղել կրթության առանձին տեսակների՝ նախադպրոցական, տարրական, միջնակարգ, մասնագիտական, բարձրագույն, հետբուհական, ինչպես նաև կրթությանը տրամադրվող օժանդակ ծառայությունների ֆինանսավորմանը։</w:t>
      </w:r>
    </w:p>
    <w:p w14:paraId="21293E2C" w14:textId="0741DFC6" w:rsidR="00396B97" w:rsidRPr="002A51B1" w:rsidRDefault="00396B97" w:rsidP="002A51B1">
      <w:pPr>
        <w:spacing w:line="276" w:lineRule="auto"/>
        <w:ind w:firstLine="720"/>
        <w:rPr>
          <w:lang w:val="hy-AM"/>
        </w:rPr>
      </w:pPr>
      <w:r w:rsidRPr="002A51B1">
        <w:rPr>
          <w:lang w:val="hy-AM"/>
        </w:rPr>
        <w:t>Առողջապահության ոլորտի ֆինանսավորման համար նախատեսվել է 2021-2023 թթ համապատասխանաբար՝ 114,760</w:t>
      </w:r>
      <w:r w:rsidRPr="002A51B1">
        <w:rPr>
          <w:rFonts w:ascii="Cambria Math" w:hAnsi="Cambria Math" w:cs="Cambria Math"/>
          <w:lang w:val="hy-AM"/>
        </w:rPr>
        <w:t>․</w:t>
      </w:r>
      <w:r w:rsidRPr="002A51B1">
        <w:rPr>
          <w:lang w:val="hy-AM"/>
        </w:rPr>
        <w:t>2, 134,622</w:t>
      </w:r>
      <w:r w:rsidRPr="002A51B1">
        <w:rPr>
          <w:rFonts w:ascii="Cambria Math" w:hAnsi="Cambria Math" w:cs="Cambria Math"/>
          <w:lang w:val="hy-AM"/>
        </w:rPr>
        <w:t>․</w:t>
      </w:r>
      <w:r w:rsidRPr="002A51B1">
        <w:rPr>
          <w:lang w:val="hy-AM"/>
        </w:rPr>
        <w:t>4 և 147,404</w:t>
      </w:r>
      <w:r w:rsidRPr="002A51B1">
        <w:rPr>
          <w:rFonts w:ascii="Cambria Math" w:hAnsi="Cambria Math" w:cs="Cambria Math"/>
          <w:lang w:val="hy-AM"/>
        </w:rPr>
        <w:t>․</w:t>
      </w:r>
      <w:r w:rsidRPr="002A51B1">
        <w:rPr>
          <w:lang w:val="hy-AM"/>
        </w:rPr>
        <w:t>7մլ</w:t>
      </w:r>
      <w:r w:rsidR="004873B5">
        <w:rPr>
          <w:lang w:val="hy-AM"/>
        </w:rPr>
        <w:t>ն</w:t>
      </w:r>
      <w:r w:rsidRPr="002A51B1">
        <w:rPr>
          <w:lang w:val="hy-AM"/>
        </w:rPr>
        <w:t xml:space="preserve"> դրամ։ Հաշվի առնելով առողջապահության համակարգի համաշխարհային արդի մարտահրավերները՝ միջնաժամկետ հատվածում ոլորտի աճողական ֆինանսավորումն ուղղվելու է նոր իրավիճակներին ադապտացմանը, առողջապահական համակարգի ռիսկերին արագ և համարժեք արձագանքմանը։ </w:t>
      </w:r>
    </w:p>
    <w:p w14:paraId="4642D236" w14:textId="793AFE59" w:rsidR="00396B97" w:rsidRPr="002A51B1" w:rsidRDefault="00396B97" w:rsidP="002A51B1">
      <w:pPr>
        <w:spacing w:line="276" w:lineRule="auto"/>
        <w:ind w:firstLine="720"/>
        <w:rPr>
          <w:lang w:val="hy-AM"/>
        </w:rPr>
      </w:pPr>
      <w:r w:rsidRPr="002A51B1">
        <w:rPr>
          <w:lang w:val="hy-AM"/>
        </w:rPr>
        <w:t>Սոցիալական պաշտպանության ոլորտի ֆինանսավորումը 2021-2023թթ միջնաժամկետ կտրվածքում նախատեսվում է 504,817</w:t>
      </w:r>
      <w:r w:rsidRPr="002A51B1">
        <w:rPr>
          <w:rFonts w:ascii="Cambria Math" w:hAnsi="Cambria Math" w:cs="Cambria Math"/>
          <w:lang w:val="hy-AM"/>
        </w:rPr>
        <w:t>․</w:t>
      </w:r>
      <w:r w:rsidRPr="002A51B1">
        <w:rPr>
          <w:lang w:val="hy-AM"/>
        </w:rPr>
        <w:t>1 մլրդ</w:t>
      </w:r>
      <w:r w:rsidRPr="002A51B1">
        <w:rPr>
          <w:rFonts w:ascii="Cambria Math" w:hAnsi="Cambria Math" w:cs="Cambria Math"/>
          <w:lang w:val="hy-AM"/>
        </w:rPr>
        <w:t>․</w:t>
      </w:r>
      <w:r w:rsidRPr="002A51B1">
        <w:rPr>
          <w:lang w:val="hy-AM"/>
        </w:rPr>
        <w:t>, 509,612</w:t>
      </w:r>
      <w:r w:rsidRPr="002A51B1">
        <w:rPr>
          <w:rFonts w:ascii="Cambria Math" w:hAnsi="Cambria Math" w:cs="Cambria Math"/>
          <w:lang w:val="hy-AM"/>
        </w:rPr>
        <w:t>․</w:t>
      </w:r>
      <w:r w:rsidRPr="002A51B1">
        <w:rPr>
          <w:lang w:val="hy-AM"/>
        </w:rPr>
        <w:t>7 մլրդ</w:t>
      </w:r>
      <w:r w:rsidRPr="002A51B1">
        <w:rPr>
          <w:rFonts w:ascii="Cambria Math" w:hAnsi="Cambria Math" w:cs="Cambria Math"/>
          <w:lang w:val="hy-AM"/>
        </w:rPr>
        <w:t>․</w:t>
      </w:r>
      <w:r w:rsidRPr="002A51B1">
        <w:rPr>
          <w:lang w:val="hy-AM"/>
        </w:rPr>
        <w:t xml:space="preserve"> և 515,881</w:t>
      </w:r>
      <w:r w:rsidRPr="002A51B1">
        <w:rPr>
          <w:rFonts w:ascii="Cambria Math" w:hAnsi="Cambria Math" w:cs="Cambria Math"/>
          <w:lang w:val="hy-AM"/>
        </w:rPr>
        <w:t>․</w:t>
      </w:r>
      <w:r w:rsidRPr="002A51B1">
        <w:rPr>
          <w:lang w:val="hy-AM"/>
        </w:rPr>
        <w:t>5 մլ</w:t>
      </w:r>
      <w:r w:rsidR="004873B5">
        <w:rPr>
          <w:lang w:val="hy-AM"/>
        </w:rPr>
        <w:t>ն</w:t>
      </w:r>
      <w:r w:rsidRPr="002A51B1">
        <w:rPr>
          <w:rFonts w:ascii="Cambria Math" w:hAnsi="Cambria Math" w:cs="Cambria Math"/>
          <w:lang w:val="hy-AM"/>
        </w:rPr>
        <w:t>․</w:t>
      </w:r>
      <w:r w:rsidRPr="002A51B1">
        <w:rPr>
          <w:lang w:val="hy-AM"/>
        </w:rPr>
        <w:t xml:space="preserve"> դրամի չափով։ </w:t>
      </w:r>
      <w:r w:rsidRPr="002A51B1">
        <w:rPr>
          <w:lang w:val="hy-AM"/>
        </w:rPr>
        <w:lastRenderedPageBreak/>
        <w:t>Սոցիալական պաշտպանության ոլորտի զգալի մասը (միջինում 75</w:t>
      </w:r>
      <w:r w:rsidRPr="002A51B1">
        <w:rPr>
          <w:rFonts w:ascii="Cambria Math" w:hAnsi="Cambria Math" w:cs="Cambria Math"/>
          <w:lang w:val="hy-AM"/>
        </w:rPr>
        <w:t>․</w:t>
      </w:r>
      <w:r w:rsidRPr="002A51B1">
        <w:rPr>
          <w:lang w:val="hy-AM"/>
        </w:rPr>
        <w:t>8%) ուղղվելու են տարեցներին և հաշմանդամներին աջակցության տրամադրմանը, մնացած (միջինում 24</w:t>
      </w:r>
      <w:r w:rsidRPr="002A51B1">
        <w:rPr>
          <w:rFonts w:ascii="Cambria Math" w:hAnsi="Cambria Math" w:cs="Cambria Math"/>
          <w:lang w:val="hy-AM"/>
        </w:rPr>
        <w:t>․</w:t>
      </w:r>
      <w:r w:rsidRPr="002A51B1">
        <w:rPr>
          <w:lang w:val="hy-AM"/>
        </w:rPr>
        <w:t>2%) ծախսերը նախատեսվում են ուղղվել գործազրկության, սոցիալական հատուկ արտոնությունների, բնակարա</w:t>
      </w:r>
      <w:r w:rsidR="007724F4">
        <w:rPr>
          <w:lang w:val="hy-AM"/>
        </w:rPr>
        <w:t>նա</w:t>
      </w:r>
      <w:r w:rsidRPr="002A51B1">
        <w:rPr>
          <w:lang w:val="hy-AM"/>
        </w:rPr>
        <w:t>յին ապահովման, ընտանեկան նպաստների տրամադրման և այլ սոցիալական ծառայությունների ապահովմանը։</w:t>
      </w:r>
    </w:p>
    <w:p w14:paraId="0C872C40" w14:textId="77777777" w:rsidR="002A51B1" w:rsidRDefault="002A51B1" w:rsidP="00396B97">
      <w:pPr>
        <w:rPr>
          <w:rFonts w:cs="Arial"/>
          <w:b/>
          <w:lang w:val="hy-AM"/>
        </w:rPr>
      </w:pPr>
    </w:p>
    <w:p w14:paraId="38B9436E" w14:textId="77777777" w:rsidR="00396B97" w:rsidRPr="002A51B1" w:rsidRDefault="00396B97" w:rsidP="00396B97">
      <w:pPr>
        <w:rPr>
          <w:i/>
          <w:sz w:val="20"/>
          <w:szCs w:val="20"/>
          <w:lang w:val="hy-AM"/>
        </w:rPr>
      </w:pPr>
      <w:r w:rsidRPr="002A51B1">
        <w:rPr>
          <w:rFonts w:cs="Arial"/>
          <w:b/>
          <w:sz w:val="20"/>
          <w:szCs w:val="20"/>
          <w:lang w:val="hy-AM"/>
        </w:rPr>
        <w:t>Աղյուսակ</w:t>
      </w:r>
      <w:r w:rsidRPr="002A51B1">
        <w:rPr>
          <w:b/>
          <w:sz w:val="20"/>
          <w:szCs w:val="20"/>
          <w:lang w:val="hy-AM"/>
        </w:rPr>
        <w:t xml:space="preserve"> 4.</w:t>
      </w:r>
      <w:r w:rsidR="002A51B1" w:rsidRPr="00BE7F99">
        <w:rPr>
          <w:b/>
          <w:sz w:val="20"/>
          <w:szCs w:val="20"/>
          <w:lang w:val="hy-AM"/>
        </w:rPr>
        <w:t>3</w:t>
      </w:r>
      <w:r w:rsidRPr="002A51B1">
        <w:rPr>
          <w:b/>
          <w:sz w:val="20"/>
          <w:szCs w:val="20"/>
          <w:lang w:val="hy-AM"/>
        </w:rPr>
        <w:t>.</w:t>
      </w:r>
      <w:r w:rsidR="002A51B1" w:rsidRPr="00BE7F99">
        <w:rPr>
          <w:b/>
          <w:sz w:val="20"/>
          <w:szCs w:val="20"/>
          <w:lang w:val="hy-AM"/>
        </w:rPr>
        <w:t>2</w:t>
      </w:r>
      <w:r w:rsidRPr="002A51B1">
        <w:rPr>
          <w:b/>
          <w:sz w:val="20"/>
          <w:szCs w:val="20"/>
          <w:lang w:val="hy-AM"/>
        </w:rPr>
        <w:t xml:space="preserve"> </w:t>
      </w:r>
      <w:r w:rsidRPr="002A51B1">
        <w:rPr>
          <w:rFonts w:cs="Arial"/>
          <w:i/>
          <w:sz w:val="20"/>
          <w:szCs w:val="20"/>
          <w:lang w:val="hy-AM"/>
        </w:rPr>
        <w:t>Տնտեսական ոլորտի</w:t>
      </w:r>
      <w:r w:rsidRPr="002A51B1">
        <w:rPr>
          <w:i/>
          <w:sz w:val="20"/>
          <w:szCs w:val="20"/>
          <w:lang w:val="hy-AM"/>
        </w:rPr>
        <w:t xml:space="preserve"> 2021-2023</w:t>
      </w:r>
      <w:r w:rsidRPr="002A51B1">
        <w:rPr>
          <w:rFonts w:cs="Arial"/>
          <w:i/>
          <w:sz w:val="20"/>
          <w:szCs w:val="20"/>
          <w:lang w:val="hy-AM"/>
        </w:rPr>
        <w:t>թթ</w:t>
      </w:r>
      <w:r w:rsidRPr="002A51B1">
        <w:rPr>
          <w:i/>
          <w:sz w:val="20"/>
          <w:szCs w:val="20"/>
          <w:lang w:val="hy-AM"/>
        </w:rPr>
        <w:t xml:space="preserve"> </w:t>
      </w:r>
      <w:r w:rsidRPr="002A51B1">
        <w:rPr>
          <w:rFonts w:cs="Arial"/>
          <w:i/>
          <w:sz w:val="20"/>
          <w:szCs w:val="20"/>
          <w:lang w:val="hy-AM"/>
        </w:rPr>
        <w:t>բյուջետային</w:t>
      </w:r>
      <w:r w:rsidRPr="002A51B1">
        <w:rPr>
          <w:i/>
          <w:sz w:val="20"/>
          <w:szCs w:val="20"/>
          <w:lang w:val="hy-AM"/>
        </w:rPr>
        <w:t xml:space="preserve"> </w:t>
      </w:r>
      <w:r w:rsidRPr="002A51B1">
        <w:rPr>
          <w:rFonts w:cs="Arial"/>
          <w:i/>
          <w:sz w:val="20"/>
          <w:szCs w:val="20"/>
          <w:lang w:val="hy-AM"/>
        </w:rPr>
        <w:t>ծախսերը</w:t>
      </w:r>
      <w:r w:rsidRPr="002A51B1">
        <w:rPr>
          <w:i/>
          <w:sz w:val="20"/>
          <w:szCs w:val="20"/>
          <w:lang w:val="hy-AM"/>
        </w:rPr>
        <w:t xml:space="preserve"> (</w:t>
      </w:r>
      <w:r w:rsidRPr="002A51B1">
        <w:rPr>
          <w:rFonts w:cs="Arial"/>
          <w:i/>
          <w:sz w:val="20"/>
          <w:szCs w:val="20"/>
          <w:lang w:val="hy-AM"/>
        </w:rPr>
        <w:t>մլն</w:t>
      </w:r>
      <w:r w:rsidRPr="002A51B1">
        <w:rPr>
          <w:i/>
          <w:sz w:val="20"/>
          <w:szCs w:val="20"/>
          <w:lang w:val="hy-AM"/>
        </w:rPr>
        <w:t xml:space="preserve"> </w:t>
      </w:r>
      <w:r w:rsidRPr="002A51B1">
        <w:rPr>
          <w:rFonts w:cs="Arial"/>
          <w:i/>
          <w:sz w:val="20"/>
          <w:szCs w:val="20"/>
          <w:lang w:val="hy-AM"/>
        </w:rPr>
        <w:t>դրամ</w:t>
      </w:r>
      <w:r w:rsidRPr="002A51B1">
        <w:rPr>
          <w:i/>
          <w:sz w:val="20"/>
          <w:szCs w:val="20"/>
          <w:lang w:val="hy-AM"/>
        </w:rPr>
        <w:t>)</w:t>
      </w:r>
    </w:p>
    <w:tbl>
      <w:tblPr>
        <w:tblW w:w="5000" w:type="pct"/>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91"/>
        <w:gridCol w:w="1324"/>
        <w:gridCol w:w="1324"/>
        <w:gridCol w:w="1323"/>
        <w:gridCol w:w="1244"/>
      </w:tblGrid>
      <w:tr w:rsidR="00396B97" w:rsidRPr="00C810AC" w14:paraId="377C8414" w14:textId="77777777" w:rsidTr="00FF2D29">
        <w:trPr>
          <w:trHeight w:val="20"/>
          <w:tblHeader/>
        </w:trPr>
        <w:tc>
          <w:tcPr>
            <w:tcW w:w="2367" w:type="pct"/>
            <w:shd w:val="clear" w:color="auto" w:fill="4F81BD" w:themeFill="accent1"/>
            <w:tcMar>
              <w:left w:w="57" w:type="dxa"/>
              <w:right w:w="57" w:type="dxa"/>
            </w:tcMar>
            <w:vAlign w:val="center"/>
          </w:tcPr>
          <w:p w14:paraId="365CA4EF" w14:textId="77777777" w:rsidR="00396B97" w:rsidRPr="002A51B1" w:rsidRDefault="00396B97" w:rsidP="007C008F">
            <w:pPr>
              <w:pStyle w:val="BodyText"/>
              <w:spacing w:after="0" w:line="256" w:lineRule="auto"/>
              <w:jc w:val="center"/>
              <w:rPr>
                <w:rFonts w:cs="Sylfaen"/>
                <w:color w:val="FFFFFF" w:themeColor="background1"/>
                <w:sz w:val="20"/>
                <w:szCs w:val="20"/>
              </w:rPr>
            </w:pPr>
            <w:r w:rsidRPr="002A51B1">
              <w:rPr>
                <w:rFonts w:cs="Sylfaen"/>
                <w:color w:val="FFFFFF" w:themeColor="background1"/>
                <w:sz w:val="20"/>
                <w:szCs w:val="20"/>
              </w:rPr>
              <w:t>Ցուցանիշներ</w:t>
            </w:r>
          </w:p>
        </w:tc>
        <w:tc>
          <w:tcPr>
            <w:tcW w:w="668" w:type="pct"/>
            <w:shd w:val="clear" w:color="auto" w:fill="4F81BD" w:themeFill="accent1"/>
            <w:tcMar>
              <w:left w:w="57" w:type="dxa"/>
              <w:right w:w="57" w:type="dxa"/>
            </w:tcMar>
            <w:vAlign w:val="center"/>
          </w:tcPr>
          <w:p w14:paraId="1B3033BA" w14:textId="77777777" w:rsidR="00396B97" w:rsidRPr="002A51B1" w:rsidRDefault="00396B97" w:rsidP="00FF2D29">
            <w:pPr>
              <w:pStyle w:val="BodyText"/>
              <w:spacing w:after="0" w:line="256" w:lineRule="auto"/>
              <w:ind w:firstLine="0"/>
              <w:jc w:val="center"/>
              <w:rPr>
                <w:rFonts w:cs="Sylfaen"/>
                <w:color w:val="FFFFFF" w:themeColor="background1"/>
                <w:sz w:val="20"/>
                <w:szCs w:val="20"/>
              </w:rPr>
            </w:pPr>
            <w:r w:rsidRPr="002A51B1">
              <w:rPr>
                <w:rFonts w:cs="Sylfaen"/>
                <w:color w:val="FFFFFF" w:themeColor="background1"/>
                <w:sz w:val="20"/>
                <w:szCs w:val="20"/>
              </w:rPr>
              <w:t>20</w:t>
            </w:r>
            <w:r w:rsidR="00FF2D29" w:rsidRPr="002A51B1">
              <w:rPr>
                <w:rFonts w:cs="Sylfaen"/>
                <w:color w:val="FFFFFF" w:themeColor="background1"/>
                <w:sz w:val="20"/>
                <w:szCs w:val="20"/>
              </w:rPr>
              <w:t>20</w:t>
            </w:r>
            <w:r w:rsidRPr="002A51B1">
              <w:rPr>
                <w:rFonts w:cs="Sylfaen"/>
                <w:color w:val="FFFFFF" w:themeColor="background1"/>
                <w:sz w:val="20"/>
                <w:szCs w:val="20"/>
              </w:rPr>
              <w:t>թ հաստատված</w:t>
            </w:r>
          </w:p>
        </w:tc>
        <w:tc>
          <w:tcPr>
            <w:tcW w:w="668" w:type="pct"/>
            <w:shd w:val="clear" w:color="auto" w:fill="4F81BD" w:themeFill="accent1"/>
            <w:tcMar>
              <w:left w:w="57" w:type="dxa"/>
              <w:right w:w="57" w:type="dxa"/>
            </w:tcMar>
            <w:vAlign w:val="center"/>
          </w:tcPr>
          <w:p w14:paraId="233D2450" w14:textId="77777777" w:rsidR="00396B97" w:rsidRPr="002A51B1" w:rsidRDefault="00396B97" w:rsidP="00FF2D29">
            <w:pPr>
              <w:pStyle w:val="BodyText"/>
              <w:spacing w:after="0" w:line="256" w:lineRule="auto"/>
              <w:ind w:firstLine="0"/>
              <w:jc w:val="center"/>
              <w:rPr>
                <w:rFonts w:cs="Sylfaen"/>
                <w:color w:val="FFFFFF" w:themeColor="background1"/>
                <w:sz w:val="20"/>
                <w:szCs w:val="20"/>
              </w:rPr>
            </w:pPr>
            <w:r w:rsidRPr="002A51B1">
              <w:rPr>
                <w:rFonts w:cs="Sylfaen"/>
                <w:color w:val="FFFFFF" w:themeColor="background1"/>
                <w:sz w:val="20"/>
                <w:szCs w:val="20"/>
              </w:rPr>
              <w:t>20</w:t>
            </w:r>
            <w:r w:rsidR="00FF2D29" w:rsidRPr="002A51B1">
              <w:rPr>
                <w:rFonts w:cs="Sylfaen"/>
                <w:color w:val="FFFFFF" w:themeColor="background1"/>
                <w:sz w:val="20"/>
                <w:szCs w:val="20"/>
              </w:rPr>
              <w:t>2</w:t>
            </w:r>
            <w:r w:rsidRPr="002A51B1">
              <w:rPr>
                <w:rFonts w:cs="Sylfaen"/>
                <w:color w:val="FFFFFF" w:themeColor="background1"/>
                <w:sz w:val="20"/>
                <w:szCs w:val="20"/>
              </w:rPr>
              <w:t>1թ</w:t>
            </w:r>
          </w:p>
          <w:p w14:paraId="7BA6DE4F" w14:textId="77777777" w:rsidR="00396B97" w:rsidRPr="002A51B1" w:rsidRDefault="00396B97" w:rsidP="00FF2D29">
            <w:pPr>
              <w:pStyle w:val="BodyText"/>
              <w:spacing w:after="0" w:line="256" w:lineRule="auto"/>
              <w:ind w:firstLine="0"/>
              <w:jc w:val="center"/>
              <w:rPr>
                <w:rFonts w:cs="Sylfaen"/>
                <w:color w:val="FFFFFF" w:themeColor="background1"/>
                <w:sz w:val="20"/>
                <w:szCs w:val="20"/>
              </w:rPr>
            </w:pPr>
            <w:r w:rsidRPr="002A51B1">
              <w:rPr>
                <w:rFonts w:cs="Sylfaen"/>
                <w:color w:val="FFFFFF" w:themeColor="background1"/>
                <w:sz w:val="20"/>
                <w:szCs w:val="20"/>
              </w:rPr>
              <w:t>ծրագիր</w:t>
            </w:r>
          </w:p>
        </w:tc>
        <w:tc>
          <w:tcPr>
            <w:tcW w:w="668" w:type="pct"/>
            <w:shd w:val="clear" w:color="auto" w:fill="4F81BD" w:themeFill="accent1"/>
            <w:vAlign w:val="center"/>
          </w:tcPr>
          <w:p w14:paraId="4BAB8751" w14:textId="77777777" w:rsidR="00396B97" w:rsidRPr="002A51B1" w:rsidRDefault="00396B97" w:rsidP="00FF2D29">
            <w:pPr>
              <w:pStyle w:val="BodyText"/>
              <w:spacing w:after="0" w:line="256" w:lineRule="auto"/>
              <w:ind w:firstLine="0"/>
              <w:jc w:val="center"/>
              <w:rPr>
                <w:rFonts w:cs="Sylfaen"/>
                <w:color w:val="FFFFFF" w:themeColor="background1"/>
                <w:sz w:val="20"/>
                <w:szCs w:val="20"/>
              </w:rPr>
            </w:pPr>
            <w:r w:rsidRPr="002A51B1">
              <w:rPr>
                <w:rFonts w:cs="Sylfaen"/>
                <w:color w:val="FFFFFF" w:themeColor="background1"/>
                <w:sz w:val="20"/>
                <w:szCs w:val="20"/>
              </w:rPr>
              <w:t>202</w:t>
            </w:r>
            <w:r w:rsidR="00FF2D29" w:rsidRPr="002A51B1">
              <w:rPr>
                <w:rFonts w:cs="Sylfaen"/>
                <w:color w:val="FFFFFF" w:themeColor="background1"/>
                <w:sz w:val="20"/>
                <w:szCs w:val="20"/>
              </w:rPr>
              <w:t>2</w:t>
            </w:r>
            <w:r w:rsidRPr="002A51B1">
              <w:rPr>
                <w:rFonts w:cs="Sylfaen"/>
                <w:color w:val="FFFFFF" w:themeColor="background1"/>
                <w:sz w:val="20"/>
                <w:szCs w:val="20"/>
              </w:rPr>
              <w:t>թ ծրագիր</w:t>
            </w:r>
          </w:p>
        </w:tc>
        <w:tc>
          <w:tcPr>
            <w:tcW w:w="628" w:type="pct"/>
            <w:shd w:val="clear" w:color="auto" w:fill="4F81BD" w:themeFill="accent1"/>
            <w:vAlign w:val="center"/>
          </w:tcPr>
          <w:p w14:paraId="0E7309C4" w14:textId="77777777" w:rsidR="00396B97" w:rsidRPr="002A51B1" w:rsidRDefault="00396B97" w:rsidP="00FF2D29">
            <w:pPr>
              <w:pStyle w:val="BodyText"/>
              <w:spacing w:after="0" w:line="256" w:lineRule="auto"/>
              <w:ind w:firstLine="0"/>
              <w:jc w:val="center"/>
              <w:rPr>
                <w:rFonts w:cs="Sylfaen"/>
                <w:color w:val="FFFFFF" w:themeColor="background1"/>
                <w:sz w:val="20"/>
                <w:szCs w:val="20"/>
              </w:rPr>
            </w:pPr>
            <w:r w:rsidRPr="002A51B1">
              <w:rPr>
                <w:rFonts w:cs="Sylfaen"/>
                <w:color w:val="FFFFFF" w:themeColor="background1"/>
                <w:sz w:val="20"/>
                <w:szCs w:val="20"/>
              </w:rPr>
              <w:t>202</w:t>
            </w:r>
            <w:r w:rsidR="00FF2D29" w:rsidRPr="002A51B1">
              <w:rPr>
                <w:rFonts w:cs="Sylfaen"/>
                <w:color w:val="FFFFFF" w:themeColor="background1"/>
                <w:sz w:val="20"/>
                <w:szCs w:val="20"/>
              </w:rPr>
              <w:t>3</w:t>
            </w:r>
            <w:r w:rsidRPr="002A51B1">
              <w:rPr>
                <w:rFonts w:cs="Sylfaen"/>
                <w:color w:val="FFFFFF" w:themeColor="background1"/>
                <w:sz w:val="20"/>
                <w:szCs w:val="20"/>
              </w:rPr>
              <w:t>թ</w:t>
            </w:r>
          </w:p>
          <w:p w14:paraId="6E4A67C9" w14:textId="77777777" w:rsidR="00396B97" w:rsidRPr="002A51B1" w:rsidRDefault="009D66F0" w:rsidP="00FF2D29">
            <w:pPr>
              <w:pStyle w:val="BodyText"/>
              <w:spacing w:after="0" w:line="256" w:lineRule="auto"/>
              <w:ind w:firstLine="0"/>
              <w:jc w:val="center"/>
              <w:rPr>
                <w:rFonts w:cs="Sylfaen"/>
                <w:color w:val="FFFFFF" w:themeColor="background1"/>
                <w:sz w:val="20"/>
                <w:szCs w:val="20"/>
              </w:rPr>
            </w:pPr>
            <w:r w:rsidRPr="002A51B1">
              <w:rPr>
                <w:rFonts w:cs="Sylfaen"/>
                <w:color w:val="FFFFFF" w:themeColor="background1"/>
                <w:sz w:val="20"/>
                <w:szCs w:val="20"/>
              </w:rPr>
              <w:t>Ծ</w:t>
            </w:r>
            <w:r w:rsidR="00396B97" w:rsidRPr="002A51B1">
              <w:rPr>
                <w:rFonts w:cs="Sylfaen"/>
                <w:color w:val="FFFFFF" w:themeColor="background1"/>
                <w:sz w:val="20"/>
                <w:szCs w:val="20"/>
              </w:rPr>
              <w:t>րագիր</w:t>
            </w:r>
          </w:p>
        </w:tc>
      </w:tr>
      <w:tr w:rsidR="00396B97" w:rsidRPr="00C810AC" w14:paraId="5EA88E0D" w14:textId="77777777" w:rsidTr="00FF2D29">
        <w:tblPrEx>
          <w:tblCellMar>
            <w:left w:w="30" w:type="dxa"/>
            <w:right w:w="30" w:type="dxa"/>
          </w:tblCellMar>
        </w:tblPrEx>
        <w:trPr>
          <w:trHeight w:val="20"/>
        </w:trPr>
        <w:tc>
          <w:tcPr>
            <w:tcW w:w="2367" w:type="pct"/>
            <w:shd w:val="clear" w:color="auto" w:fill="C6D9F1" w:themeFill="text2" w:themeFillTint="33"/>
            <w:tcMar>
              <w:left w:w="57" w:type="dxa"/>
              <w:right w:w="85" w:type="dxa"/>
            </w:tcMar>
            <w:vAlign w:val="center"/>
          </w:tcPr>
          <w:p w14:paraId="3EE3C90F" w14:textId="77777777" w:rsidR="00396B97" w:rsidRPr="002A51B1" w:rsidRDefault="00396B97" w:rsidP="00FF2D29">
            <w:pPr>
              <w:ind w:firstLine="0"/>
              <w:rPr>
                <w:rFonts w:cs="Arial"/>
                <w:b/>
                <w:sz w:val="20"/>
                <w:szCs w:val="20"/>
                <w:lang w:val="hy-AM"/>
              </w:rPr>
            </w:pPr>
            <w:r w:rsidRPr="002A51B1">
              <w:rPr>
                <w:rFonts w:cs="Arial"/>
                <w:b/>
                <w:sz w:val="20"/>
                <w:szCs w:val="20"/>
                <w:lang w:val="hy-AM"/>
              </w:rPr>
              <w:t>ՏՆՏԵՍԱԿԱՆ ՈԼՈՐՏ</w:t>
            </w:r>
            <w:r w:rsidR="00FF2D29" w:rsidRPr="002A51B1">
              <w:rPr>
                <w:rFonts w:cs="Arial"/>
                <w:b/>
                <w:sz w:val="20"/>
                <w:szCs w:val="20"/>
                <w:lang w:val="hy-AM"/>
              </w:rPr>
              <w:t xml:space="preserve"> </w:t>
            </w:r>
            <w:r w:rsidRPr="002A51B1">
              <w:rPr>
                <w:rFonts w:cs="Arial"/>
                <w:b/>
                <w:sz w:val="20"/>
                <w:szCs w:val="20"/>
                <w:lang w:val="hy-AM"/>
              </w:rPr>
              <w:t>ԸՆԴԱՄԵՆԸ</w:t>
            </w:r>
          </w:p>
        </w:tc>
        <w:tc>
          <w:tcPr>
            <w:tcW w:w="668" w:type="pct"/>
            <w:shd w:val="clear" w:color="auto" w:fill="C6D9F1" w:themeFill="text2" w:themeFillTint="33"/>
            <w:tcMar>
              <w:left w:w="57" w:type="dxa"/>
              <w:right w:w="85" w:type="dxa"/>
            </w:tcMar>
          </w:tcPr>
          <w:p w14:paraId="43A51D77" w14:textId="77777777" w:rsidR="00396B97" w:rsidRPr="002A51B1" w:rsidRDefault="00396B97" w:rsidP="00FF2D29">
            <w:pPr>
              <w:ind w:firstLine="0"/>
              <w:jc w:val="center"/>
              <w:rPr>
                <w:b/>
                <w:sz w:val="20"/>
                <w:szCs w:val="20"/>
              </w:rPr>
            </w:pPr>
            <w:r w:rsidRPr="002A51B1">
              <w:rPr>
                <w:b/>
                <w:sz w:val="20"/>
                <w:szCs w:val="20"/>
              </w:rPr>
              <w:t>230,831.5</w:t>
            </w:r>
          </w:p>
        </w:tc>
        <w:tc>
          <w:tcPr>
            <w:tcW w:w="668" w:type="pct"/>
            <w:shd w:val="clear" w:color="auto" w:fill="C6D9F1" w:themeFill="text2" w:themeFillTint="33"/>
            <w:tcMar>
              <w:left w:w="57" w:type="dxa"/>
              <w:right w:w="85" w:type="dxa"/>
            </w:tcMar>
          </w:tcPr>
          <w:p w14:paraId="30682FFA" w14:textId="77777777" w:rsidR="00396B97" w:rsidRPr="002A51B1" w:rsidRDefault="00396B97" w:rsidP="00FF2D29">
            <w:pPr>
              <w:ind w:firstLine="0"/>
              <w:jc w:val="center"/>
              <w:rPr>
                <w:b/>
                <w:sz w:val="20"/>
                <w:szCs w:val="20"/>
              </w:rPr>
            </w:pPr>
            <w:r w:rsidRPr="002A51B1">
              <w:rPr>
                <w:b/>
                <w:sz w:val="20"/>
                <w:szCs w:val="20"/>
              </w:rPr>
              <w:t>211,658.5</w:t>
            </w:r>
          </w:p>
        </w:tc>
        <w:tc>
          <w:tcPr>
            <w:tcW w:w="668" w:type="pct"/>
            <w:shd w:val="clear" w:color="auto" w:fill="C6D9F1" w:themeFill="text2" w:themeFillTint="33"/>
          </w:tcPr>
          <w:p w14:paraId="28056A2E" w14:textId="77777777" w:rsidR="00396B97" w:rsidRPr="002A51B1" w:rsidRDefault="00396B97" w:rsidP="00FF2D29">
            <w:pPr>
              <w:ind w:firstLine="0"/>
              <w:jc w:val="center"/>
              <w:rPr>
                <w:b/>
                <w:sz w:val="20"/>
                <w:szCs w:val="20"/>
              </w:rPr>
            </w:pPr>
            <w:r w:rsidRPr="002A51B1">
              <w:rPr>
                <w:b/>
                <w:sz w:val="20"/>
                <w:szCs w:val="20"/>
              </w:rPr>
              <w:t>252,006.7</w:t>
            </w:r>
          </w:p>
        </w:tc>
        <w:tc>
          <w:tcPr>
            <w:tcW w:w="628" w:type="pct"/>
            <w:shd w:val="clear" w:color="auto" w:fill="C6D9F1" w:themeFill="text2" w:themeFillTint="33"/>
          </w:tcPr>
          <w:p w14:paraId="72C730D0" w14:textId="77777777" w:rsidR="00396B97" w:rsidRPr="002A51B1" w:rsidRDefault="00396B97" w:rsidP="00FF2D29">
            <w:pPr>
              <w:ind w:firstLine="0"/>
              <w:jc w:val="center"/>
              <w:rPr>
                <w:b/>
                <w:sz w:val="20"/>
                <w:szCs w:val="20"/>
              </w:rPr>
            </w:pPr>
            <w:r w:rsidRPr="002A51B1">
              <w:rPr>
                <w:b/>
                <w:sz w:val="20"/>
                <w:szCs w:val="20"/>
              </w:rPr>
              <w:t>254,425.9</w:t>
            </w:r>
          </w:p>
        </w:tc>
      </w:tr>
      <w:tr w:rsidR="00396B97" w:rsidRPr="00C810AC" w14:paraId="09D82220" w14:textId="77777777" w:rsidTr="007C008F">
        <w:tblPrEx>
          <w:tblCellMar>
            <w:left w:w="30" w:type="dxa"/>
            <w:right w:w="30" w:type="dxa"/>
          </w:tblCellMar>
        </w:tblPrEx>
        <w:trPr>
          <w:trHeight w:val="20"/>
        </w:trPr>
        <w:tc>
          <w:tcPr>
            <w:tcW w:w="2367" w:type="pct"/>
            <w:shd w:val="solid" w:color="FFFFFF" w:fill="auto"/>
            <w:tcMar>
              <w:left w:w="57" w:type="dxa"/>
              <w:right w:w="85" w:type="dxa"/>
            </w:tcMar>
            <w:vAlign w:val="center"/>
          </w:tcPr>
          <w:p w14:paraId="035E778C"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68" w:type="pct"/>
            <w:shd w:val="solid" w:color="FFFFFF" w:fill="auto"/>
            <w:tcMar>
              <w:left w:w="57" w:type="dxa"/>
              <w:right w:w="85" w:type="dxa"/>
            </w:tcMar>
          </w:tcPr>
          <w:p w14:paraId="5A1CDBC6" w14:textId="77777777" w:rsidR="00396B97" w:rsidRPr="002A51B1" w:rsidRDefault="00396B97" w:rsidP="00FF2D29">
            <w:pPr>
              <w:jc w:val="center"/>
              <w:rPr>
                <w:sz w:val="20"/>
                <w:szCs w:val="20"/>
              </w:rPr>
            </w:pPr>
            <w:r w:rsidRPr="002A51B1">
              <w:rPr>
                <w:sz w:val="20"/>
                <w:szCs w:val="20"/>
              </w:rPr>
              <w:t>3.5</w:t>
            </w:r>
          </w:p>
        </w:tc>
        <w:tc>
          <w:tcPr>
            <w:tcW w:w="668" w:type="pct"/>
            <w:shd w:val="solid" w:color="FFFFFF" w:fill="auto"/>
            <w:tcMar>
              <w:left w:w="57" w:type="dxa"/>
              <w:right w:w="85" w:type="dxa"/>
            </w:tcMar>
          </w:tcPr>
          <w:p w14:paraId="20281153" w14:textId="77777777" w:rsidR="00396B97" w:rsidRPr="002A51B1" w:rsidRDefault="00396B97" w:rsidP="00FF2D29">
            <w:pPr>
              <w:jc w:val="center"/>
              <w:rPr>
                <w:sz w:val="20"/>
                <w:szCs w:val="20"/>
              </w:rPr>
            </w:pPr>
            <w:r w:rsidRPr="002A51B1">
              <w:rPr>
                <w:sz w:val="20"/>
                <w:szCs w:val="20"/>
              </w:rPr>
              <w:t>3.0</w:t>
            </w:r>
          </w:p>
        </w:tc>
        <w:tc>
          <w:tcPr>
            <w:tcW w:w="668" w:type="pct"/>
            <w:shd w:val="solid" w:color="FFFFFF" w:fill="auto"/>
          </w:tcPr>
          <w:p w14:paraId="3C2D6130" w14:textId="77777777" w:rsidR="00396B97" w:rsidRPr="002A51B1" w:rsidRDefault="00396B97" w:rsidP="00FF2D29">
            <w:pPr>
              <w:jc w:val="center"/>
              <w:rPr>
                <w:sz w:val="20"/>
                <w:szCs w:val="20"/>
              </w:rPr>
            </w:pPr>
            <w:r w:rsidRPr="002A51B1">
              <w:rPr>
                <w:sz w:val="20"/>
                <w:szCs w:val="20"/>
              </w:rPr>
              <w:t>3.2</w:t>
            </w:r>
          </w:p>
        </w:tc>
        <w:tc>
          <w:tcPr>
            <w:tcW w:w="628" w:type="pct"/>
            <w:shd w:val="solid" w:color="FFFFFF" w:fill="auto"/>
          </w:tcPr>
          <w:p w14:paraId="33F64595" w14:textId="77777777" w:rsidR="00396B97" w:rsidRPr="002A51B1" w:rsidRDefault="00396B97" w:rsidP="00FF2D29">
            <w:pPr>
              <w:jc w:val="center"/>
              <w:rPr>
                <w:sz w:val="20"/>
                <w:szCs w:val="20"/>
              </w:rPr>
            </w:pPr>
            <w:r w:rsidRPr="002A51B1">
              <w:rPr>
                <w:sz w:val="20"/>
                <w:szCs w:val="20"/>
              </w:rPr>
              <w:t>3.0</w:t>
            </w:r>
          </w:p>
        </w:tc>
      </w:tr>
      <w:tr w:rsidR="00396B97" w:rsidRPr="00C810AC" w14:paraId="11BDB300" w14:textId="77777777" w:rsidTr="007C008F">
        <w:tblPrEx>
          <w:tblCellMar>
            <w:left w:w="30" w:type="dxa"/>
            <w:right w:w="30" w:type="dxa"/>
          </w:tblCellMar>
        </w:tblPrEx>
        <w:trPr>
          <w:trHeight w:val="20"/>
        </w:trPr>
        <w:tc>
          <w:tcPr>
            <w:tcW w:w="2367" w:type="pct"/>
            <w:shd w:val="solid" w:color="FFFFFF" w:fill="auto"/>
            <w:tcMar>
              <w:left w:w="57" w:type="dxa"/>
              <w:right w:w="85" w:type="dxa"/>
            </w:tcMar>
            <w:vAlign w:val="center"/>
          </w:tcPr>
          <w:p w14:paraId="43A1D38E"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668" w:type="pct"/>
            <w:shd w:val="solid" w:color="FFFFFF" w:fill="auto"/>
            <w:tcMar>
              <w:left w:w="57" w:type="dxa"/>
              <w:right w:w="85" w:type="dxa"/>
            </w:tcMar>
          </w:tcPr>
          <w:p w14:paraId="323DD5B0" w14:textId="77777777" w:rsidR="00396B97" w:rsidRPr="002A51B1" w:rsidRDefault="00396B97" w:rsidP="00FF2D29">
            <w:pPr>
              <w:jc w:val="center"/>
              <w:rPr>
                <w:sz w:val="20"/>
                <w:szCs w:val="20"/>
              </w:rPr>
            </w:pPr>
            <w:r w:rsidRPr="002A51B1">
              <w:rPr>
                <w:sz w:val="20"/>
                <w:szCs w:val="20"/>
              </w:rPr>
              <w:t>12.4</w:t>
            </w:r>
          </w:p>
        </w:tc>
        <w:tc>
          <w:tcPr>
            <w:tcW w:w="668" w:type="pct"/>
            <w:shd w:val="solid" w:color="FFFFFF" w:fill="auto"/>
            <w:tcMar>
              <w:left w:w="57" w:type="dxa"/>
              <w:right w:w="85" w:type="dxa"/>
            </w:tcMar>
          </w:tcPr>
          <w:p w14:paraId="093B9862" w14:textId="77777777" w:rsidR="00396B97" w:rsidRPr="002A51B1" w:rsidRDefault="00396B97" w:rsidP="00FF2D29">
            <w:pPr>
              <w:jc w:val="center"/>
              <w:rPr>
                <w:sz w:val="20"/>
                <w:szCs w:val="20"/>
              </w:rPr>
            </w:pPr>
            <w:r w:rsidRPr="002A51B1">
              <w:rPr>
                <w:sz w:val="20"/>
                <w:szCs w:val="20"/>
              </w:rPr>
              <w:t>11.3</w:t>
            </w:r>
          </w:p>
        </w:tc>
        <w:tc>
          <w:tcPr>
            <w:tcW w:w="668" w:type="pct"/>
            <w:shd w:val="solid" w:color="FFFFFF" w:fill="auto"/>
          </w:tcPr>
          <w:p w14:paraId="4E519A1A" w14:textId="77777777" w:rsidR="00396B97" w:rsidRPr="002A51B1" w:rsidRDefault="00396B97" w:rsidP="00FF2D29">
            <w:pPr>
              <w:jc w:val="center"/>
              <w:rPr>
                <w:sz w:val="20"/>
                <w:szCs w:val="20"/>
              </w:rPr>
            </w:pPr>
            <w:r w:rsidRPr="002A51B1">
              <w:rPr>
                <w:sz w:val="20"/>
                <w:szCs w:val="20"/>
              </w:rPr>
              <w:t>12.4</w:t>
            </w:r>
          </w:p>
        </w:tc>
        <w:tc>
          <w:tcPr>
            <w:tcW w:w="628" w:type="pct"/>
            <w:shd w:val="solid" w:color="FFFFFF" w:fill="auto"/>
          </w:tcPr>
          <w:p w14:paraId="2B91C19F" w14:textId="77777777" w:rsidR="00396B97" w:rsidRPr="002A51B1" w:rsidRDefault="00396B97" w:rsidP="00FF2D29">
            <w:pPr>
              <w:jc w:val="center"/>
              <w:rPr>
                <w:sz w:val="20"/>
                <w:szCs w:val="20"/>
              </w:rPr>
            </w:pPr>
            <w:r w:rsidRPr="002A51B1">
              <w:rPr>
                <w:sz w:val="20"/>
                <w:szCs w:val="20"/>
              </w:rPr>
              <w:t>11.4</w:t>
            </w:r>
          </w:p>
        </w:tc>
      </w:tr>
      <w:tr w:rsidR="00396B97" w:rsidRPr="00C810AC" w14:paraId="237280A2" w14:textId="77777777" w:rsidTr="007C008F">
        <w:tblPrEx>
          <w:tblCellMar>
            <w:left w:w="30" w:type="dxa"/>
            <w:right w:w="30" w:type="dxa"/>
          </w:tblCellMar>
        </w:tblPrEx>
        <w:trPr>
          <w:trHeight w:val="20"/>
        </w:trPr>
        <w:tc>
          <w:tcPr>
            <w:tcW w:w="2367" w:type="pct"/>
            <w:shd w:val="solid" w:color="FFFFFF" w:fill="auto"/>
            <w:tcMar>
              <w:left w:w="57" w:type="dxa"/>
              <w:right w:w="85" w:type="dxa"/>
            </w:tcMar>
            <w:vAlign w:val="center"/>
          </w:tcPr>
          <w:p w14:paraId="3588D05B" w14:textId="77777777" w:rsidR="00396B97" w:rsidRPr="002A51B1" w:rsidRDefault="00396B97" w:rsidP="007C008F">
            <w:pPr>
              <w:rPr>
                <w:sz w:val="20"/>
                <w:szCs w:val="20"/>
                <w:lang w:val="hy-AM"/>
              </w:rPr>
            </w:pPr>
            <w:r w:rsidRPr="002A51B1">
              <w:rPr>
                <w:rFonts w:cs="Arial"/>
                <w:sz w:val="20"/>
                <w:szCs w:val="20"/>
              </w:rPr>
              <w:t>այդ</w:t>
            </w:r>
            <w:r w:rsidRPr="002A51B1">
              <w:rPr>
                <w:sz w:val="20"/>
                <w:szCs w:val="20"/>
              </w:rPr>
              <w:t xml:space="preserve"> </w:t>
            </w:r>
            <w:r w:rsidRPr="002A51B1">
              <w:rPr>
                <w:rFonts w:cs="Arial"/>
                <w:sz w:val="20"/>
                <w:szCs w:val="20"/>
              </w:rPr>
              <w:t>թվում</w:t>
            </w:r>
            <w:r w:rsidRPr="002A51B1">
              <w:rPr>
                <w:sz w:val="20"/>
                <w:szCs w:val="20"/>
              </w:rPr>
              <w:t>`</w:t>
            </w:r>
          </w:p>
        </w:tc>
        <w:tc>
          <w:tcPr>
            <w:tcW w:w="668" w:type="pct"/>
            <w:shd w:val="solid" w:color="FFFFFF" w:fill="auto"/>
            <w:tcMar>
              <w:left w:w="57" w:type="dxa"/>
              <w:right w:w="85" w:type="dxa"/>
            </w:tcMar>
            <w:vAlign w:val="center"/>
          </w:tcPr>
          <w:p w14:paraId="5CAE063A" w14:textId="77777777" w:rsidR="00396B97" w:rsidRPr="002A51B1" w:rsidRDefault="00396B97" w:rsidP="00FF2D29">
            <w:pPr>
              <w:jc w:val="center"/>
              <w:rPr>
                <w:sz w:val="20"/>
                <w:szCs w:val="20"/>
              </w:rPr>
            </w:pPr>
          </w:p>
        </w:tc>
        <w:tc>
          <w:tcPr>
            <w:tcW w:w="668" w:type="pct"/>
            <w:shd w:val="solid" w:color="FFFFFF" w:fill="auto"/>
            <w:tcMar>
              <w:left w:w="57" w:type="dxa"/>
              <w:right w:w="85" w:type="dxa"/>
            </w:tcMar>
            <w:vAlign w:val="center"/>
          </w:tcPr>
          <w:p w14:paraId="1B31D0BD" w14:textId="77777777" w:rsidR="00396B97" w:rsidRPr="002A51B1" w:rsidRDefault="00396B97" w:rsidP="00FF2D29">
            <w:pPr>
              <w:jc w:val="center"/>
              <w:rPr>
                <w:sz w:val="20"/>
                <w:szCs w:val="20"/>
              </w:rPr>
            </w:pPr>
          </w:p>
        </w:tc>
        <w:tc>
          <w:tcPr>
            <w:tcW w:w="668" w:type="pct"/>
            <w:shd w:val="solid" w:color="FFFFFF" w:fill="auto"/>
            <w:vAlign w:val="center"/>
          </w:tcPr>
          <w:p w14:paraId="6121AB30" w14:textId="77777777" w:rsidR="00396B97" w:rsidRPr="002A51B1" w:rsidRDefault="00396B97" w:rsidP="00FF2D29">
            <w:pPr>
              <w:jc w:val="center"/>
              <w:rPr>
                <w:sz w:val="20"/>
                <w:szCs w:val="20"/>
              </w:rPr>
            </w:pPr>
          </w:p>
        </w:tc>
        <w:tc>
          <w:tcPr>
            <w:tcW w:w="628" w:type="pct"/>
            <w:shd w:val="solid" w:color="FFFFFF" w:fill="auto"/>
            <w:vAlign w:val="center"/>
          </w:tcPr>
          <w:p w14:paraId="63B14A0B" w14:textId="77777777" w:rsidR="00396B97" w:rsidRPr="002A51B1" w:rsidRDefault="00396B97" w:rsidP="00FF2D29">
            <w:pPr>
              <w:jc w:val="center"/>
              <w:rPr>
                <w:sz w:val="20"/>
                <w:szCs w:val="20"/>
              </w:rPr>
            </w:pPr>
          </w:p>
        </w:tc>
      </w:tr>
      <w:tr w:rsidR="00396B97" w:rsidRPr="00C810AC" w14:paraId="07FAF5B4" w14:textId="77777777" w:rsidTr="00FF2D29">
        <w:tblPrEx>
          <w:tblCellMar>
            <w:left w:w="30" w:type="dxa"/>
            <w:right w:w="30" w:type="dxa"/>
          </w:tblCellMar>
        </w:tblPrEx>
        <w:trPr>
          <w:trHeight w:val="20"/>
        </w:trPr>
        <w:tc>
          <w:tcPr>
            <w:tcW w:w="2367" w:type="pct"/>
            <w:shd w:val="clear" w:color="auto" w:fill="C6D9F1" w:themeFill="text2" w:themeFillTint="33"/>
            <w:tcMar>
              <w:left w:w="57" w:type="dxa"/>
              <w:right w:w="85" w:type="dxa"/>
            </w:tcMar>
            <w:vAlign w:val="center"/>
          </w:tcPr>
          <w:p w14:paraId="7ABD8B42" w14:textId="77777777" w:rsidR="00396B97" w:rsidRPr="002A51B1" w:rsidRDefault="00FF2D29" w:rsidP="00FF2D29">
            <w:pPr>
              <w:ind w:firstLine="0"/>
              <w:rPr>
                <w:b/>
                <w:sz w:val="20"/>
                <w:szCs w:val="20"/>
                <w:lang w:val="hy-AM"/>
              </w:rPr>
            </w:pPr>
            <w:r w:rsidRPr="002A51B1">
              <w:rPr>
                <w:b/>
                <w:sz w:val="20"/>
                <w:szCs w:val="20"/>
                <w:lang w:val="hy-AM"/>
              </w:rPr>
              <w:t>1.</w:t>
            </w:r>
            <w:r w:rsidR="00396B97" w:rsidRPr="002A51B1">
              <w:rPr>
                <w:rFonts w:cs="Arial"/>
                <w:b/>
                <w:sz w:val="20"/>
                <w:szCs w:val="20"/>
                <w:lang w:val="hy-AM"/>
              </w:rPr>
              <w:t>ՏՆՏԵՍԱԿԱՆ ՀԱՐԱԲԵՐՈՒԹՅՈՒՆՆԵՐ</w:t>
            </w:r>
          </w:p>
        </w:tc>
        <w:tc>
          <w:tcPr>
            <w:tcW w:w="668" w:type="pct"/>
            <w:shd w:val="clear" w:color="auto" w:fill="C6D9F1" w:themeFill="text2" w:themeFillTint="33"/>
            <w:tcMar>
              <w:left w:w="57" w:type="dxa"/>
              <w:right w:w="85" w:type="dxa"/>
            </w:tcMar>
            <w:vAlign w:val="center"/>
          </w:tcPr>
          <w:p w14:paraId="54945CF5" w14:textId="77777777" w:rsidR="00396B97" w:rsidRPr="002A51B1" w:rsidRDefault="00396B97" w:rsidP="00FF2D29">
            <w:pPr>
              <w:ind w:firstLine="0"/>
              <w:jc w:val="center"/>
              <w:rPr>
                <w:b/>
                <w:bCs/>
                <w:sz w:val="20"/>
                <w:szCs w:val="20"/>
              </w:rPr>
            </w:pPr>
            <w:r w:rsidRPr="002A51B1">
              <w:rPr>
                <w:b/>
                <w:bCs/>
                <w:sz w:val="20"/>
                <w:szCs w:val="20"/>
              </w:rPr>
              <w:t>195,608.7</w:t>
            </w:r>
          </w:p>
        </w:tc>
        <w:tc>
          <w:tcPr>
            <w:tcW w:w="668" w:type="pct"/>
            <w:shd w:val="clear" w:color="auto" w:fill="C6D9F1" w:themeFill="text2" w:themeFillTint="33"/>
            <w:tcMar>
              <w:left w:w="57" w:type="dxa"/>
              <w:right w:w="85" w:type="dxa"/>
            </w:tcMar>
            <w:vAlign w:val="center"/>
          </w:tcPr>
          <w:p w14:paraId="5ABF181E" w14:textId="77777777" w:rsidR="00396B97" w:rsidRPr="002A51B1" w:rsidRDefault="00396B97" w:rsidP="00FF2D29">
            <w:pPr>
              <w:ind w:firstLine="0"/>
              <w:jc w:val="center"/>
              <w:rPr>
                <w:b/>
                <w:bCs/>
                <w:sz w:val="20"/>
                <w:szCs w:val="20"/>
              </w:rPr>
            </w:pPr>
            <w:r w:rsidRPr="002A51B1">
              <w:rPr>
                <w:b/>
                <w:bCs/>
                <w:sz w:val="20"/>
                <w:szCs w:val="20"/>
              </w:rPr>
              <w:t>180,657.1</w:t>
            </w:r>
          </w:p>
        </w:tc>
        <w:tc>
          <w:tcPr>
            <w:tcW w:w="668" w:type="pct"/>
            <w:shd w:val="clear" w:color="auto" w:fill="C6D9F1" w:themeFill="text2" w:themeFillTint="33"/>
            <w:vAlign w:val="center"/>
          </w:tcPr>
          <w:p w14:paraId="700D0D10" w14:textId="77777777" w:rsidR="00396B97" w:rsidRPr="002A51B1" w:rsidRDefault="00396B97" w:rsidP="00FF2D29">
            <w:pPr>
              <w:ind w:firstLine="0"/>
              <w:jc w:val="center"/>
              <w:rPr>
                <w:b/>
                <w:bCs/>
                <w:sz w:val="20"/>
                <w:szCs w:val="20"/>
              </w:rPr>
            </w:pPr>
            <w:r w:rsidRPr="002A51B1">
              <w:rPr>
                <w:b/>
                <w:bCs/>
                <w:sz w:val="20"/>
                <w:szCs w:val="20"/>
              </w:rPr>
              <w:t>225,983.6</w:t>
            </w:r>
          </w:p>
        </w:tc>
        <w:tc>
          <w:tcPr>
            <w:tcW w:w="628" w:type="pct"/>
            <w:shd w:val="clear" w:color="auto" w:fill="C6D9F1" w:themeFill="text2" w:themeFillTint="33"/>
            <w:vAlign w:val="center"/>
          </w:tcPr>
          <w:p w14:paraId="3FBB1AAB" w14:textId="77777777" w:rsidR="00396B97" w:rsidRPr="002A51B1" w:rsidRDefault="00396B97" w:rsidP="00FF2D29">
            <w:pPr>
              <w:ind w:firstLine="0"/>
              <w:jc w:val="center"/>
              <w:rPr>
                <w:b/>
                <w:bCs/>
                <w:sz w:val="20"/>
                <w:szCs w:val="20"/>
              </w:rPr>
            </w:pPr>
            <w:r w:rsidRPr="002A51B1">
              <w:rPr>
                <w:b/>
                <w:bCs/>
                <w:sz w:val="20"/>
                <w:szCs w:val="20"/>
              </w:rPr>
              <w:t>239,454.7</w:t>
            </w:r>
          </w:p>
        </w:tc>
      </w:tr>
      <w:tr w:rsidR="00396B97" w:rsidRPr="00C810AC" w14:paraId="72638759" w14:textId="77777777" w:rsidTr="007C008F">
        <w:trPr>
          <w:trHeight w:val="20"/>
        </w:trPr>
        <w:tc>
          <w:tcPr>
            <w:tcW w:w="2367" w:type="pct"/>
            <w:shd w:val="clear" w:color="auto" w:fill="FFFFFF"/>
            <w:tcMar>
              <w:left w:w="57" w:type="dxa"/>
              <w:right w:w="85" w:type="dxa"/>
            </w:tcMar>
            <w:vAlign w:val="center"/>
          </w:tcPr>
          <w:p w14:paraId="41B0BD3A"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68" w:type="pct"/>
            <w:shd w:val="clear" w:color="auto" w:fill="FFFFFF"/>
            <w:tcMar>
              <w:left w:w="57" w:type="dxa"/>
              <w:right w:w="85" w:type="dxa"/>
            </w:tcMar>
            <w:vAlign w:val="center"/>
          </w:tcPr>
          <w:p w14:paraId="345834CF" w14:textId="77777777" w:rsidR="00396B97" w:rsidRPr="002A51B1" w:rsidRDefault="00396B97" w:rsidP="00FF2D29">
            <w:pPr>
              <w:jc w:val="center"/>
              <w:rPr>
                <w:sz w:val="20"/>
                <w:szCs w:val="20"/>
              </w:rPr>
            </w:pPr>
            <w:r w:rsidRPr="002A51B1">
              <w:rPr>
                <w:sz w:val="20"/>
                <w:szCs w:val="20"/>
              </w:rPr>
              <w:t>3.01</w:t>
            </w:r>
          </w:p>
        </w:tc>
        <w:tc>
          <w:tcPr>
            <w:tcW w:w="668" w:type="pct"/>
            <w:shd w:val="clear" w:color="auto" w:fill="FFFFFF"/>
            <w:tcMar>
              <w:left w:w="57" w:type="dxa"/>
              <w:right w:w="85" w:type="dxa"/>
            </w:tcMar>
            <w:vAlign w:val="center"/>
          </w:tcPr>
          <w:p w14:paraId="36EEC1C4" w14:textId="77777777" w:rsidR="00396B97" w:rsidRPr="002A51B1" w:rsidRDefault="00396B97" w:rsidP="00FF2D29">
            <w:pPr>
              <w:jc w:val="center"/>
              <w:rPr>
                <w:sz w:val="20"/>
                <w:szCs w:val="20"/>
              </w:rPr>
            </w:pPr>
            <w:r w:rsidRPr="002A51B1">
              <w:rPr>
                <w:sz w:val="20"/>
                <w:szCs w:val="20"/>
              </w:rPr>
              <w:t>2.53</w:t>
            </w:r>
          </w:p>
        </w:tc>
        <w:tc>
          <w:tcPr>
            <w:tcW w:w="668" w:type="pct"/>
            <w:shd w:val="clear" w:color="auto" w:fill="FFFFFF"/>
            <w:vAlign w:val="center"/>
          </w:tcPr>
          <w:p w14:paraId="008C4A82" w14:textId="77777777" w:rsidR="00396B97" w:rsidRPr="002A51B1" w:rsidRDefault="00396B97" w:rsidP="00FF2D29">
            <w:pPr>
              <w:jc w:val="center"/>
              <w:rPr>
                <w:sz w:val="20"/>
                <w:szCs w:val="20"/>
              </w:rPr>
            </w:pPr>
            <w:r w:rsidRPr="002A51B1">
              <w:rPr>
                <w:sz w:val="20"/>
                <w:szCs w:val="20"/>
              </w:rPr>
              <w:t>2.88</w:t>
            </w:r>
          </w:p>
        </w:tc>
        <w:tc>
          <w:tcPr>
            <w:tcW w:w="628" w:type="pct"/>
            <w:shd w:val="clear" w:color="auto" w:fill="FFFFFF"/>
            <w:vAlign w:val="center"/>
          </w:tcPr>
          <w:p w14:paraId="21130996" w14:textId="77777777" w:rsidR="00396B97" w:rsidRPr="002A51B1" w:rsidRDefault="00396B97" w:rsidP="00FF2D29">
            <w:pPr>
              <w:jc w:val="center"/>
              <w:rPr>
                <w:sz w:val="20"/>
                <w:szCs w:val="20"/>
              </w:rPr>
            </w:pPr>
            <w:r w:rsidRPr="002A51B1">
              <w:rPr>
                <w:sz w:val="20"/>
                <w:szCs w:val="20"/>
              </w:rPr>
              <w:t>2.79</w:t>
            </w:r>
          </w:p>
        </w:tc>
      </w:tr>
      <w:tr w:rsidR="00396B97" w:rsidRPr="00C810AC" w14:paraId="35C4C681" w14:textId="77777777" w:rsidTr="007C008F">
        <w:trPr>
          <w:trHeight w:val="20"/>
        </w:trPr>
        <w:tc>
          <w:tcPr>
            <w:tcW w:w="2367" w:type="pct"/>
            <w:shd w:val="clear" w:color="auto" w:fill="FFFFFF"/>
            <w:tcMar>
              <w:left w:w="57" w:type="dxa"/>
              <w:right w:w="85" w:type="dxa"/>
            </w:tcMar>
            <w:vAlign w:val="center"/>
          </w:tcPr>
          <w:p w14:paraId="6F4C4E16"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668" w:type="pct"/>
            <w:shd w:val="clear" w:color="auto" w:fill="FFFFFF"/>
            <w:tcMar>
              <w:left w:w="57" w:type="dxa"/>
              <w:right w:w="85" w:type="dxa"/>
            </w:tcMar>
            <w:vAlign w:val="center"/>
          </w:tcPr>
          <w:p w14:paraId="5D5CA80A" w14:textId="77777777" w:rsidR="00396B97" w:rsidRPr="002A51B1" w:rsidRDefault="00396B97" w:rsidP="00FF2D29">
            <w:pPr>
              <w:jc w:val="center"/>
              <w:rPr>
                <w:sz w:val="20"/>
                <w:szCs w:val="20"/>
              </w:rPr>
            </w:pPr>
            <w:r w:rsidRPr="002A51B1">
              <w:rPr>
                <w:sz w:val="20"/>
                <w:szCs w:val="20"/>
              </w:rPr>
              <w:t>10.54</w:t>
            </w:r>
          </w:p>
        </w:tc>
        <w:tc>
          <w:tcPr>
            <w:tcW w:w="668" w:type="pct"/>
            <w:shd w:val="clear" w:color="auto" w:fill="FFFFFF"/>
            <w:tcMar>
              <w:left w:w="57" w:type="dxa"/>
              <w:right w:w="85" w:type="dxa"/>
            </w:tcMar>
            <w:vAlign w:val="center"/>
          </w:tcPr>
          <w:p w14:paraId="46A75FD3" w14:textId="77777777" w:rsidR="00396B97" w:rsidRPr="002A51B1" w:rsidRDefault="00396B97" w:rsidP="00FF2D29">
            <w:pPr>
              <w:jc w:val="center"/>
              <w:rPr>
                <w:sz w:val="20"/>
                <w:szCs w:val="20"/>
              </w:rPr>
            </w:pPr>
            <w:r w:rsidRPr="002A51B1">
              <w:rPr>
                <w:sz w:val="20"/>
                <w:szCs w:val="20"/>
              </w:rPr>
              <w:t>9.61</w:t>
            </w:r>
          </w:p>
        </w:tc>
        <w:tc>
          <w:tcPr>
            <w:tcW w:w="668" w:type="pct"/>
            <w:shd w:val="clear" w:color="auto" w:fill="FFFFFF"/>
            <w:vAlign w:val="center"/>
          </w:tcPr>
          <w:p w14:paraId="1E13F37A" w14:textId="77777777" w:rsidR="00396B97" w:rsidRPr="002A51B1" w:rsidRDefault="00396B97" w:rsidP="00FF2D29">
            <w:pPr>
              <w:jc w:val="center"/>
              <w:rPr>
                <w:sz w:val="20"/>
                <w:szCs w:val="20"/>
              </w:rPr>
            </w:pPr>
            <w:r w:rsidRPr="002A51B1">
              <w:rPr>
                <w:sz w:val="20"/>
                <w:szCs w:val="20"/>
              </w:rPr>
              <w:t>11.15</w:t>
            </w:r>
          </w:p>
        </w:tc>
        <w:tc>
          <w:tcPr>
            <w:tcW w:w="628" w:type="pct"/>
            <w:shd w:val="clear" w:color="auto" w:fill="FFFFFF"/>
            <w:vAlign w:val="center"/>
          </w:tcPr>
          <w:p w14:paraId="7E705048" w14:textId="77777777" w:rsidR="00396B97" w:rsidRPr="002A51B1" w:rsidRDefault="00396B97" w:rsidP="00FF2D29">
            <w:pPr>
              <w:jc w:val="center"/>
              <w:rPr>
                <w:sz w:val="20"/>
                <w:szCs w:val="20"/>
              </w:rPr>
            </w:pPr>
            <w:r w:rsidRPr="002A51B1">
              <w:rPr>
                <w:sz w:val="20"/>
                <w:szCs w:val="20"/>
              </w:rPr>
              <w:t>10.68</w:t>
            </w:r>
          </w:p>
        </w:tc>
      </w:tr>
      <w:tr w:rsidR="00396B97" w:rsidRPr="00C810AC" w14:paraId="35DB2201" w14:textId="77777777" w:rsidTr="00FF2D29">
        <w:tblPrEx>
          <w:tblCellMar>
            <w:left w:w="30" w:type="dxa"/>
            <w:right w:w="30" w:type="dxa"/>
          </w:tblCellMar>
        </w:tblPrEx>
        <w:trPr>
          <w:trHeight w:val="20"/>
        </w:trPr>
        <w:tc>
          <w:tcPr>
            <w:tcW w:w="2367" w:type="pct"/>
            <w:shd w:val="clear" w:color="auto" w:fill="C6D9F1" w:themeFill="text2" w:themeFillTint="33"/>
            <w:tcMar>
              <w:left w:w="57" w:type="dxa"/>
              <w:right w:w="85" w:type="dxa"/>
            </w:tcMar>
            <w:vAlign w:val="center"/>
          </w:tcPr>
          <w:p w14:paraId="59000F84" w14:textId="77777777" w:rsidR="00396B97" w:rsidRPr="002A51B1" w:rsidRDefault="00FF2D29" w:rsidP="00FF2D29">
            <w:pPr>
              <w:ind w:firstLine="0"/>
              <w:jc w:val="left"/>
              <w:rPr>
                <w:sz w:val="20"/>
                <w:szCs w:val="20"/>
              </w:rPr>
            </w:pPr>
            <w:r w:rsidRPr="002A51B1">
              <w:rPr>
                <w:sz w:val="20"/>
                <w:szCs w:val="20"/>
              </w:rPr>
              <w:t>2.</w:t>
            </w:r>
            <w:proofErr w:type="gramStart"/>
            <w:r w:rsidR="00396B97" w:rsidRPr="002A51B1">
              <w:rPr>
                <w:b/>
                <w:bCs/>
                <w:sz w:val="20"/>
                <w:szCs w:val="20"/>
              </w:rPr>
              <w:t>ՇՐՋԱԿԱ  ՄԻՋԱՎԱՅՐԻ</w:t>
            </w:r>
            <w:proofErr w:type="gramEnd"/>
            <w:r w:rsidRPr="002A51B1">
              <w:rPr>
                <w:b/>
                <w:bCs/>
                <w:sz w:val="20"/>
                <w:szCs w:val="20"/>
              </w:rPr>
              <w:t xml:space="preserve"> </w:t>
            </w:r>
            <w:r w:rsidR="00396B97" w:rsidRPr="002A51B1">
              <w:rPr>
                <w:b/>
                <w:bCs/>
                <w:sz w:val="20"/>
                <w:szCs w:val="20"/>
              </w:rPr>
              <w:t>ՊԱՇՏՊԱՆՈՒԹՅՈՒՆ</w:t>
            </w:r>
          </w:p>
        </w:tc>
        <w:tc>
          <w:tcPr>
            <w:tcW w:w="668" w:type="pct"/>
            <w:shd w:val="clear" w:color="auto" w:fill="C6D9F1" w:themeFill="text2" w:themeFillTint="33"/>
            <w:tcMar>
              <w:left w:w="57" w:type="dxa"/>
              <w:right w:w="85" w:type="dxa"/>
            </w:tcMar>
            <w:vAlign w:val="center"/>
          </w:tcPr>
          <w:p w14:paraId="72600DD2" w14:textId="77777777" w:rsidR="00396B97" w:rsidRPr="002A51B1" w:rsidRDefault="00396B97" w:rsidP="00FF2D29">
            <w:pPr>
              <w:ind w:firstLine="0"/>
              <w:jc w:val="center"/>
              <w:rPr>
                <w:b/>
                <w:bCs/>
                <w:sz w:val="20"/>
                <w:szCs w:val="20"/>
              </w:rPr>
            </w:pPr>
            <w:r w:rsidRPr="002A51B1">
              <w:rPr>
                <w:b/>
                <w:bCs/>
                <w:sz w:val="20"/>
                <w:szCs w:val="20"/>
              </w:rPr>
              <w:t>12,294.5</w:t>
            </w:r>
          </w:p>
        </w:tc>
        <w:tc>
          <w:tcPr>
            <w:tcW w:w="668" w:type="pct"/>
            <w:shd w:val="clear" w:color="auto" w:fill="C6D9F1" w:themeFill="text2" w:themeFillTint="33"/>
            <w:tcMar>
              <w:left w:w="57" w:type="dxa"/>
              <w:right w:w="85" w:type="dxa"/>
            </w:tcMar>
            <w:vAlign w:val="center"/>
          </w:tcPr>
          <w:p w14:paraId="69FF2D71" w14:textId="77777777" w:rsidR="00396B97" w:rsidRPr="002A51B1" w:rsidRDefault="00396B97" w:rsidP="00FF2D29">
            <w:pPr>
              <w:ind w:firstLine="0"/>
              <w:jc w:val="center"/>
              <w:rPr>
                <w:b/>
                <w:bCs/>
                <w:sz w:val="20"/>
                <w:szCs w:val="20"/>
              </w:rPr>
            </w:pPr>
            <w:r w:rsidRPr="002A51B1">
              <w:rPr>
                <w:b/>
                <w:bCs/>
                <w:sz w:val="20"/>
                <w:szCs w:val="20"/>
              </w:rPr>
              <w:t>10,517.8</w:t>
            </w:r>
          </w:p>
        </w:tc>
        <w:tc>
          <w:tcPr>
            <w:tcW w:w="668" w:type="pct"/>
            <w:shd w:val="clear" w:color="auto" w:fill="C6D9F1" w:themeFill="text2" w:themeFillTint="33"/>
            <w:vAlign w:val="center"/>
          </w:tcPr>
          <w:p w14:paraId="7D7F4780" w14:textId="77777777" w:rsidR="00396B97" w:rsidRPr="002A51B1" w:rsidRDefault="00396B97" w:rsidP="00FF2D29">
            <w:pPr>
              <w:ind w:firstLine="0"/>
              <w:jc w:val="center"/>
              <w:rPr>
                <w:b/>
                <w:bCs/>
                <w:sz w:val="20"/>
                <w:szCs w:val="20"/>
              </w:rPr>
            </w:pPr>
            <w:r w:rsidRPr="002A51B1">
              <w:rPr>
                <w:b/>
                <w:bCs/>
                <w:sz w:val="20"/>
                <w:szCs w:val="20"/>
              </w:rPr>
              <w:t>7,349.2</w:t>
            </w:r>
          </w:p>
        </w:tc>
        <w:tc>
          <w:tcPr>
            <w:tcW w:w="628" w:type="pct"/>
            <w:shd w:val="clear" w:color="auto" w:fill="C6D9F1" w:themeFill="text2" w:themeFillTint="33"/>
            <w:vAlign w:val="center"/>
          </w:tcPr>
          <w:p w14:paraId="16E6F895" w14:textId="77777777" w:rsidR="00396B97" w:rsidRPr="002A51B1" w:rsidRDefault="00396B97" w:rsidP="00FF2D29">
            <w:pPr>
              <w:ind w:firstLine="0"/>
              <w:jc w:val="center"/>
              <w:rPr>
                <w:b/>
                <w:bCs/>
                <w:sz w:val="20"/>
                <w:szCs w:val="20"/>
              </w:rPr>
            </w:pPr>
            <w:r w:rsidRPr="002A51B1">
              <w:rPr>
                <w:b/>
                <w:bCs/>
                <w:sz w:val="20"/>
                <w:szCs w:val="20"/>
              </w:rPr>
              <w:t>5,847.2</w:t>
            </w:r>
          </w:p>
        </w:tc>
      </w:tr>
      <w:tr w:rsidR="00396B97" w:rsidRPr="00C810AC" w14:paraId="4A061353" w14:textId="77777777" w:rsidTr="007C008F">
        <w:tblPrEx>
          <w:tblCellMar>
            <w:left w:w="30" w:type="dxa"/>
            <w:right w:w="30" w:type="dxa"/>
          </w:tblCellMar>
        </w:tblPrEx>
        <w:trPr>
          <w:trHeight w:val="20"/>
        </w:trPr>
        <w:tc>
          <w:tcPr>
            <w:tcW w:w="2367" w:type="pct"/>
            <w:shd w:val="solid" w:color="FFFFFF" w:fill="auto"/>
            <w:tcMar>
              <w:left w:w="57" w:type="dxa"/>
              <w:right w:w="85" w:type="dxa"/>
            </w:tcMar>
            <w:vAlign w:val="center"/>
          </w:tcPr>
          <w:p w14:paraId="32B44AD8"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68" w:type="pct"/>
            <w:shd w:val="solid" w:color="FFFFFF" w:fill="auto"/>
            <w:tcMar>
              <w:left w:w="57" w:type="dxa"/>
              <w:right w:w="85" w:type="dxa"/>
            </w:tcMar>
            <w:vAlign w:val="center"/>
          </w:tcPr>
          <w:p w14:paraId="49A80913" w14:textId="77777777" w:rsidR="00396B97" w:rsidRPr="002A51B1" w:rsidRDefault="00396B97" w:rsidP="00FF2D29">
            <w:pPr>
              <w:jc w:val="center"/>
              <w:rPr>
                <w:sz w:val="20"/>
                <w:szCs w:val="20"/>
              </w:rPr>
            </w:pPr>
            <w:r w:rsidRPr="002A51B1">
              <w:rPr>
                <w:sz w:val="20"/>
                <w:szCs w:val="20"/>
              </w:rPr>
              <w:t>0.19</w:t>
            </w:r>
          </w:p>
        </w:tc>
        <w:tc>
          <w:tcPr>
            <w:tcW w:w="668" w:type="pct"/>
            <w:shd w:val="solid" w:color="FFFFFF" w:fill="auto"/>
            <w:tcMar>
              <w:left w:w="57" w:type="dxa"/>
              <w:right w:w="85" w:type="dxa"/>
            </w:tcMar>
            <w:vAlign w:val="center"/>
          </w:tcPr>
          <w:p w14:paraId="4E70F81E" w14:textId="77777777" w:rsidR="00396B97" w:rsidRPr="002A51B1" w:rsidRDefault="00396B97" w:rsidP="00FF2D29">
            <w:pPr>
              <w:jc w:val="center"/>
              <w:rPr>
                <w:sz w:val="20"/>
                <w:szCs w:val="20"/>
              </w:rPr>
            </w:pPr>
            <w:r w:rsidRPr="002A51B1">
              <w:rPr>
                <w:sz w:val="20"/>
                <w:szCs w:val="20"/>
              </w:rPr>
              <w:t>0.15</w:t>
            </w:r>
          </w:p>
        </w:tc>
        <w:tc>
          <w:tcPr>
            <w:tcW w:w="668" w:type="pct"/>
            <w:shd w:val="solid" w:color="FFFFFF" w:fill="auto"/>
            <w:vAlign w:val="center"/>
          </w:tcPr>
          <w:p w14:paraId="5EEB650C" w14:textId="77777777" w:rsidR="00396B97" w:rsidRPr="002A51B1" w:rsidRDefault="00396B97" w:rsidP="00FF2D29">
            <w:pPr>
              <w:jc w:val="center"/>
              <w:rPr>
                <w:sz w:val="20"/>
                <w:szCs w:val="20"/>
              </w:rPr>
            </w:pPr>
            <w:r w:rsidRPr="002A51B1">
              <w:rPr>
                <w:sz w:val="20"/>
                <w:szCs w:val="20"/>
              </w:rPr>
              <w:t>0.09</w:t>
            </w:r>
          </w:p>
        </w:tc>
        <w:tc>
          <w:tcPr>
            <w:tcW w:w="628" w:type="pct"/>
            <w:shd w:val="solid" w:color="FFFFFF" w:fill="auto"/>
            <w:vAlign w:val="center"/>
          </w:tcPr>
          <w:p w14:paraId="07906883" w14:textId="77777777" w:rsidR="00396B97" w:rsidRPr="002A51B1" w:rsidRDefault="00396B97" w:rsidP="00FF2D29">
            <w:pPr>
              <w:jc w:val="center"/>
              <w:rPr>
                <w:sz w:val="20"/>
                <w:szCs w:val="20"/>
              </w:rPr>
            </w:pPr>
            <w:r w:rsidRPr="002A51B1">
              <w:rPr>
                <w:sz w:val="20"/>
                <w:szCs w:val="20"/>
              </w:rPr>
              <w:t>0.07</w:t>
            </w:r>
          </w:p>
        </w:tc>
      </w:tr>
      <w:tr w:rsidR="00396B97" w:rsidRPr="00C810AC" w14:paraId="5FE1EE9B" w14:textId="77777777" w:rsidTr="007C008F">
        <w:tblPrEx>
          <w:tblCellMar>
            <w:left w:w="30" w:type="dxa"/>
            <w:right w:w="30" w:type="dxa"/>
          </w:tblCellMar>
        </w:tblPrEx>
        <w:trPr>
          <w:trHeight w:val="20"/>
        </w:trPr>
        <w:tc>
          <w:tcPr>
            <w:tcW w:w="2367" w:type="pct"/>
            <w:shd w:val="solid" w:color="FFFFFF" w:fill="auto"/>
            <w:tcMar>
              <w:left w:w="57" w:type="dxa"/>
              <w:right w:w="85" w:type="dxa"/>
            </w:tcMar>
            <w:vAlign w:val="center"/>
          </w:tcPr>
          <w:p w14:paraId="662037A8"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668" w:type="pct"/>
            <w:shd w:val="solid" w:color="FFFFFF" w:fill="auto"/>
            <w:tcMar>
              <w:left w:w="57" w:type="dxa"/>
              <w:right w:w="85" w:type="dxa"/>
            </w:tcMar>
            <w:vAlign w:val="center"/>
          </w:tcPr>
          <w:p w14:paraId="7D04266F" w14:textId="77777777" w:rsidR="00396B97" w:rsidRPr="002A51B1" w:rsidRDefault="00396B97" w:rsidP="00FF2D29">
            <w:pPr>
              <w:jc w:val="center"/>
              <w:rPr>
                <w:sz w:val="20"/>
                <w:szCs w:val="20"/>
              </w:rPr>
            </w:pPr>
            <w:r w:rsidRPr="002A51B1">
              <w:rPr>
                <w:sz w:val="20"/>
                <w:szCs w:val="20"/>
              </w:rPr>
              <w:t>0.66</w:t>
            </w:r>
          </w:p>
        </w:tc>
        <w:tc>
          <w:tcPr>
            <w:tcW w:w="668" w:type="pct"/>
            <w:shd w:val="solid" w:color="FFFFFF" w:fill="auto"/>
            <w:tcMar>
              <w:left w:w="57" w:type="dxa"/>
              <w:right w:w="85" w:type="dxa"/>
            </w:tcMar>
            <w:vAlign w:val="center"/>
          </w:tcPr>
          <w:p w14:paraId="23435A93" w14:textId="77777777" w:rsidR="00396B97" w:rsidRPr="002A51B1" w:rsidRDefault="00396B97" w:rsidP="00FF2D29">
            <w:pPr>
              <w:jc w:val="center"/>
              <w:rPr>
                <w:sz w:val="20"/>
                <w:szCs w:val="20"/>
              </w:rPr>
            </w:pPr>
            <w:r w:rsidRPr="002A51B1">
              <w:rPr>
                <w:sz w:val="20"/>
                <w:szCs w:val="20"/>
              </w:rPr>
              <w:t>0.56</w:t>
            </w:r>
          </w:p>
        </w:tc>
        <w:tc>
          <w:tcPr>
            <w:tcW w:w="668" w:type="pct"/>
            <w:shd w:val="solid" w:color="FFFFFF" w:fill="auto"/>
            <w:vAlign w:val="center"/>
          </w:tcPr>
          <w:p w14:paraId="69F682C1" w14:textId="77777777" w:rsidR="00396B97" w:rsidRPr="002A51B1" w:rsidRDefault="00396B97" w:rsidP="00FF2D29">
            <w:pPr>
              <w:jc w:val="center"/>
              <w:rPr>
                <w:sz w:val="20"/>
                <w:szCs w:val="20"/>
              </w:rPr>
            </w:pPr>
            <w:r w:rsidRPr="002A51B1">
              <w:rPr>
                <w:sz w:val="20"/>
                <w:szCs w:val="20"/>
              </w:rPr>
              <w:t>0.36</w:t>
            </w:r>
          </w:p>
        </w:tc>
        <w:tc>
          <w:tcPr>
            <w:tcW w:w="628" w:type="pct"/>
            <w:shd w:val="solid" w:color="FFFFFF" w:fill="auto"/>
            <w:vAlign w:val="center"/>
          </w:tcPr>
          <w:p w14:paraId="31031FA6" w14:textId="77777777" w:rsidR="00396B97" w:rsidRPr="002A51B1" w:rsidRDefault="00396B97" w:rsidP="00FF2D29">
            <w:pPr>
              <w:jc w:val="center"/>
              <w:rPr>
                <w:sz w:val="20"/>
                <w:szCs w:val="20"/>
              </w:rPr>
            </w:pPr>
            <w:r w:rsidRPr="002A51B1">
              <w:rPr>
                <w:sz w:val="20"/>
                <w:szCs w:val="20"/>
              </w:rPr>
              <w:t>0.26</w:t>
            </w:r>
          </w:p>
        </w:tc>
      </w:tr>
      <w:tr w:rsidR="00396B97" w:rsidRPr="00C810AC" w14:paraId="52A4ED23" w14:textId="77777777" w:rsidTr="00FF2D29">
        <w:tblPrEx>
          <w:tblCellMar>
            <w:left w:w="30" w:type="dxa"/>
            <w:right w:w="30" w:type="dxa"/>
          </w:tblCellMar>
        </w:tblPrEx>
        <w:trPr>
          <w:trHeight w:val="20"/>
        </w:trPr>
        <w:tc>
          <w:tcPr>
            <w:tcW w:w="2367" w:type="pct"/>
            <w:shd w:val="clear" w:color="auto" w:fill="C6D9F1" w:themeFill="text2" w:themeFillTint="33"/>
            <w:tcMar>
              <w:left w:w="57" w:type="dxa"/>
              <w:right w:w="85" w:type="dxa"/>
            </w:tcMar>
            <w:vAlign w:val="center"/>
          </w:tcPr>
          <w:p w14:paraId="798B9F33" w14:textId="77777777" w:rsidR="00396B97" w:rsidRPr="002A51B1" w:rsidRDefault="00396B97" w:rsidP="00FF2D29">
            <w:pPr>
              <w:ind w:firstLine="0"/>
              <w:rPr>
                <w:sz w:val="20"/>
                <w:szCs w:val="20"/>
                <w:lang w:val="hy-AM"/>
              </w:rPr>
            </w:pPr>
            <w:r w:rsidRPr="002A51B1">
              <w:rPr>
                <w:sz w:val="20"/>
                <w:szCs w:val="20"/>
              </w:rPr>
              <w:t>3</w:t>
            </w:r>
            <w:r w:rsidRPr="002A51B1">
              <w:rPr>
                <w:sz w:val="20"/>
                <w:szCs w:val="20"/>
                <w:lang w:val="hy-AM"/>
              </w:rPr>
              <w:t xml:space="preserve">. </w:t>
            </w:r>
            <w:r w:rsidRPr="002A51B1">
              <w:rPr>
                <w:b/>
                <w:bCs/>
                <w:sz w:val="20"/>
                <w:szCs w:val="20"/>
              </w:rPr>
              <w:t>ԲՆԱԿԱՐԱՆԱՅԻՆ ՇԻՆԱՐԱՐՈՒԹՅՈՒՆ ԵՎ ԿՈՄՈՒՆԱԼ ԾԱՌԱՅՈՒԹՅՈՒՆՆԵՐ</w:t>
            </w:r>
          </w:p>
        </w:tc>
        <w:tc>
          <w:tcPr>
            <w:tcW w:w="668" w:type="pct"/>
            <w:shd w:val="clear" w:color="auto" w:fill="C6D9F1" w:themeFill="text2" w:themeFillTint="33"/>
            <w:tcMar>
              <w:left w:w="57" w:type="dxa"/>
              <w:right w:w="85" w:type="dxa"/>
            </w:tcMar>
            <w:vAlign w:val="center"/>
          </w:tcPr>
          <w:p w14:paraId="7C676122" w14:textId="77777777" w:rsidR="00396B97" w:rsidRPr="002A51B1" w:rsidRDefault="00396B97" w:rsidP="00FF2D29">
            <w:pPr>
              <w:ind w:firstLine="0"/>
              <w:jc w:val="center"/>
              <w:rPr>
                <w:b/>
                <w:bCs/>
                <w:sz w:val="20"/>
                <w:szCs w:val="20"/>
              </w:rPr>
            </w:pPr>
            <w:r w:rsidRPr="002A51B1">
              <w:rPr>
                <w:b/>
                <w:bCs/>
                <w:sz w:val="20"/>
                <w:szCs w:val="20"/>
              </w:rPr>
              <w:t>22,928.3</w:t>
            </w:r>
          </w:p>
        </w:tc>
        <w:tc>
          <w:tcPr>
            <w:tcW w:w="668" w:type="pct"/>
            <w:shd w:val="clear" w:color="auto" w:fill="C6D9F1" w:themeFill="text2" w:themeFillTint="33"/>
            <w:tcMar>
              <w:left w:w="57" w:type="dxa"/>
              <w:right w:w="85" w:type="dxa"/>
            </w:tcMar>
            <w:vAlign w:val="center"/>
          </w:tcPr>
          <w:p w14:paraId="25064E10" w14:textId="77777777" w:rsidR="00396B97" w:rsidRPr="002A51B1" w:rsidRDefault="00396B97" w:rsidP="00FF2D29">
            <w:pPr>
              <w:ind w:firstLine="0"/>
              <w:jc w:val="center"/>
              <w:rPr>
                <w:b/>
                <w:bCs/>
                <w:sz w:val="20"/>
                <w:szCs w:val="20"/>
              </w:rPr>
            </w:pPr>
            <w:r w:rsidRPr="002A51B1">
              <w:rPr>
                <w:b/>
                <w:bCs/>
                <w:sz w:val="20"/>
                <w:szCs w:val="20"/>
              </w:rPr>
              <w:t>20,483.6</w:t>
            </w:r>
          </w:p>
        </w:tc>
        <w:tc>
          <w:tcPr>
            <w:tcW w:w="668" w:type="pct"/>
            <w:shd w:val="clear" w:color="auto" w:fill="C6D9F1" w:themeFill="text2" w:themeFillTint="33"/>
            <w:vAlign w:val="center"/>
          </w:tcPr>
          <w:p w14:paraId="7DED8743" w14:textId="77777777" w:rsidR="00396B97" w:rsidRPr="002A51B1" w:rsidRDefault="00396B97" w:rsidP="00FF2D29">
            <w:pPr>
              <w:ind w:firstLine="0"/>
              <w:jc w:val="center"/>
              <w:rPr>
                <w:b/>
                <w:bCs/>
                <w:sz w:val="20"/>
                <w:szCs w:val="20"/>
              </w:rPr>
            </w:pPr>
            <w:r w:rsidRPr="002A51B1">
              <w:rPr>
                <w:b/>
                <w:bCs/>
                <w:sz w:val="20"/>
                <w:szCs w:val="20"/>
              </w:rPr>
              <w:t>18,673.9</w:t>
            </w:r>
          </w:p>
        </w:tc>
        <w:tc>
          <w:tcPr>
            <w:tcW w:w="628" w:type="pct"/>
            <w:shd w:val="clear" w:color="auto" w:fill="C6D9F1" w:themeFill="text2" w:themeFillTint="33"/>
            <w:vAlign w:val="center"/>
          </w:tcPr>
          <w:p w14:paraId="1C6B122C" w14:textId="77777777" w:rsidR="00396B97" w:rsidRPr="002A51B1" w:rsidRDefault="00396B97" w:rsidP="00FF2D29">
            <w:pPr>
              <w:ind w:firstLine="0"/>
              <w:jc w:val="center"/>
              <w:rPr>
                <w:b/>
                <w:bCs/>
                <w:sz w:val="20"/>
                <w:szCs w:val="20"/>
              </w:rPr>
            </w:pPr>
            <w:r w:rsidRPr="002A51B1">
              <w:rPr>
                <w:b/>
                <w:bCs/>
                <w:sz w:val="20"/>
                <w:szCs w:val="20"/>
              </w:rPr>
              <w:t>9,124.1</w:t>
            </w:r>
          </w:p>
        </w:tc>
      </w:tr>
      <w:tr w:rsidR="00396B97" w:rsidRPr="00C810AC" w14:paraId="0746F195" w14:textId="77777777" w:rsidTr="007C008F">
        <w:tblPrEx>
          <w:tblCellMar>
            <w:left w:w="30" w:type="dxa"/>
            <w:right w:w="30" w:type="dxa"/>
          </w:tblCellMar>
        </w:tblPrEx>
        <w:trPr>
          <w:trHeight w:val="20"/>
        </w:trPr>
        <w:tc>
          <w:tcPr>
            <w:tcW w:w="2367" w:type="pct"/>
            <w:shd w:val="solid" w:color="FFFFFF" w:fill="auto"/>
            <w:tcMar>
              <w:left w:w="57" w:type="dxa"/>
              <w:right w:w="85" w:type="dxa"/>
            </w:tcMar>
            <w:vAlign w:val="center"/>
          </w:tcPr>
          <w:p w14:paraId="1C2A38AD"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Հարաբերությունը</w:t>
            </w:r>
            <w:r w:rsidRPr="002A51B1">
              <w:rPr>
                <w:sz w:val="20"/>
                <w:szCs w:val="20"/>
                <w:lang w:val="hy-AM"/>
              </w:rPr>
              <w:t xml:space="preserve"> </w:t>
            </w:r>
            <w:r w:rsidRPr="002A51B1">
              <w:rPr>
                <w:rFonts w:cs="Arial"/>
                <w:sz w:val="20"/>
                <w:szCs w:val="20"/>
                <w:lang w:val="hy-AM"/>
              </w:rPr>
              <w:t>ՀՆԱ</w:t>
            </w:r>
            <w:r w:rsidRPr="002A51B1">
              <w:rPr>
                <w:sz w:val="20"/>
                <w:szCs w:val="20"/>
                <w:lang w:val="hy-AM"/>
              </w:rPr>
              <w:t>-</w:t>
            </w:r>
            <w:r w:rsidRPr="002A51B1">
              <w:rPr>
                <w:rFonts w:cs="Arial"/>
                <w:sz w:val="20"/>
                <w:szCs w:val="20"/>
                <w:lang w:val="hy-AM"/>
              </w:rPr>
              <w:t>ի</w:t>
            </w:r>
            <w:r w:rsidRPr="002A51B1">
              <w:rPr>
                <w:sz w:val="20"/>
                <w:szCs w:val="20"/>
                <w:lang w:val="hy-AM"/>
              </w:rPr>
              <w:t xml:space="preserve"> </w:t>
            </w:r>
            <w:r w:rsidRPr="002A51B1">
              <w:rPr>
                <w:rFonts w:cs="Arial"/>
                <w:sz w:val="20"/>
                <w:szCs w:val="20"/>
                <w:lang w:val="hy-AM"/>
              </w:rPr>
              <w:t>նկատմամբ</w:t>
            </w:r>
            <w:r w:rsidRPr="002A51B1">
              <w:rPr>
                <w:sz w:val="20"/>
                <w:szCs w:val="20"/>
                <w:lang w:val="hy-AM"/>
              </w:rPr>
              <w:t xml:space="preserve"> (%)</w:t>
            </w:r>
          </w:p>
        </w:tc>
        <w:tc>
          <w:tcPr>
            <w:tcW w:w="668" w:type="pct"/>
            <w:shd w:val="solid" w:color="FFFFFF" w:fill="auto"/>
            <w:tcMar>
              <w:left w:w="57" w:type="dxa"/>
              <w:right w:w="85" w:type="dxa"/>
            </w:tcMar>
            <w:vAlign w:val="center"/>
          </w:tcPr>
          <w:p w14:paraId="1ACCF9F9" w14:textId="77777777" w:rsidR="00396B97" w:rsidRPr="002A51B1" w:rsidRDefault="00396B97" w:rsidP="00FF2D29">
            <w:pPr>
              <w:jc w:val="center"/>
              <w:rPr>
                <w:sz w:val="20"/>
                <w:szCs w:val="20"/>
              </w:rPr>
            </w:pPr>
            <w:r w:rsidRPr="002A51B1">
              <w:rPr>
                <w:sz w:val="20"/>
                <w:szCs w:val="20"/>
              </w:rPr>
              <w:t>0.35</w:t>
            </w:r>
          </w:p>
        </w:tc>
        <w:tc>
          <w:tcPr>
            <w:tcW w:w="668" w:type="pct"/>
            <w:shd w:val="solid" w:color="FFFFFF" w:fill="auto"/>
            <w:tcMar>
              <w:left w:w="57" w:type="dxa"/>
              <w:right w:w="85" w:type="dxa"/>
            </w:tcMar>
            <w:vAlign w:val="center"/>
          </w:tcPr>
          <w:p w14:paraId="449E96FB" w14:textId="77777777" w:rsidR="00396B97" w:rsidRPr="002A51B1" w:rsidRDefault="00396B97" w:rsidP="00FF2D29">
            <w:pPr>
              <w:jc w:val="center"/>
              <w:rPr>
                <w:sz w:val="20"/>
                <w:szCs w:val="20"/>
              </w:rPr>
            </w:pPr>
            <w:r w:rsidRPr="002A51B1">
              <w:rPr>
                <w:sz w:val="20"/>
                <w:szCs w:val="20"/>
              </w:rPr>
              <w:t>0.29</w:t>
            </w:r>
          </w:p>
        </w:tc>
        <w:tc>
          <w:tcPr>
            <w:tcW w:w="668" w:type="pct"/>
            <w:shd w:val="solid" w:color="FFFFFF" w:fill="auto"/>
            <w:vAlign w:val="center"/>
          </w:tcPr>
          <w:p w14:paraId="1312E6A4" w14:textId="77777777" w:rsidR="00396B97" w:rsidRPr="002A51B1" w:rsidRDefault="00396B97" w:rsidP="00FF2D29">
            <w:pPr>
              <w:jc w:val="center"/>
              <w:rPr>
                <w:sz w:val="20"/>
                <w:szCs w:val="20"/>
              </w:rPr>
            </w:pPr>
            <w:r w:rsidRPr="002A51B1">
              <w:rPr>
                <w:sz w:val="20"/>
                <w:szCs w:val="20"/>
              </w:rPr>
              <w:t>0.24</w:t>
            </w:r>
          </w:p>
        </w:tc>
        <w:tc>
          <w:tcPr>
            <w:tcW w:w="628" w:type="pct"/>
            <w:shd w:val="solid" w:color="FFFFFF" w:fill="auto"/>
            <w:vAlign w:val="center"/>
          </w:tcPr>
          <w:p w14:paraId="5726D1AE" w14:textId="77777777" w:rsidR="00396B97" w:rsidRPr="002A51B1" w:rsidRDefault="00396B97" w:rsidP="00FF2D29">
            <w:pPr>
              <w:jc w:val="center"/>
              <w:rPr>
                <w:sz w:val="20"/>
                <w:szCs w:val="20"/>
              </w:rPr>
            </w:pPr>
            <w:r w:rsidRPr="002A51B1">
              <w:rPr>
                <w:sz w:val="20"/>
                <w:szCs w:val="20"/>
              </w:rPr>
              <w:t>0.11</w:t>
            </w:r>
          </w:p>
        </w:tc>
      </w:tr>
      <w:tr w:rsidR="00396B97" w:rsidRPr="00C810AC" w14:paraId="0F1D9405" w14:textId="77777777" w:rsidTr="007C008F">
        <w:tblPrEx>
          <w:tblCellMar>
            <w:left w:w="30" w:type="dxa"/>
            <w:right w:w="30" w:type="dxa"/>
          </w:tblCellMar>
        </w:tblPrEx>
        <w:trPr>
          <w:trHeight w:val="20"/>
        </w:trPr>
        <w:tc>
          <w:tcPr>
            <w:tcW w:w="2367" w:type="pct"/>
            <w:shd w:val="solid" w:color="FFFFFF" w:fill="auto"/>
            <w:tcMar>
              <w:left w:w="57" w:type="dxa"/>
              <w:right w:w="85" w:type="dxa"/>
            </w:tcMar>
            <w:vAlign w:val="center"/>
          </w:tcPr>
          <w:p w14:paraId="47AE8DC9" w14:textId="77777777" w:rsidR="00396B97" w:rsidRPr="002A51B1" w:rsidRDefault="00396B97" w:rsidP="00FF2D29">
            <w:pPr>
              <w:ind w:firstLine="0"/>
              <w:rPr>
                <w:sz w:val="20"/>
                <w:szCs w:val="20"/>
                <w:lang w:val="hy-AM"/>
              </w:rPr>
            </w:pPr>
            <w:r w:rsidRPr="002A51B1">
              <w:rPr>
                <w:sz w:val="20"/>
                <w:szCs w:val="20"/>
                <w:lang w:val="hy-AM"/>
              </w:rPr>
              <w:t xml:space="preserve">- </w:t>
            </w:r>
            <w:r w:rsidRPr="002A51B1">
              <w:rPr>
                <w:rFonts w:cs="Arial"/>
                <w:sz w:val="20"/>
                <w:szCs w:val="20"/>
                <w:lang w:val="hy-AM"/>
              </w:rPr>
              <w:t>տեսակարար</w:t>
            </w:r>
            <w:r w:rsidRPr="002A51B1">
              <w:rPr>
                <w:sz w:val="20"/>
                <w:szCs w:val="20"/>
                <w:lang w:val="hy-AM"/>
              </w:rPr>
              <w:t xml:space="preserve"> </w:t>
            </w:r>
            <w:r w:rsidRPr="002A51B1">
              <w:rPr>
                <w:rFonts w:cs="Arial"/>
                <w:sz w:val="20"/>
                <w:szCs w:val="20"/>
                <w:lang w:val="hy-AM"/>
              </w:rPr>
              <w:t>կշիռը</w:t>
            </w:r>
            <w:r w:rsidRPr="002A51B1">
              <w:rPr>
                <w:sz w:val="20"/>
                <w:szCs w:val="20"/>
                <w:lang w:val="hy-AM"/>
              </w:rPr>
              <w:t xml:space="preserve"> </w:t>
            </w:r>
            <w:r w:rsidRPr="002A51B1">
              <w:rPr>
                <w:rFonts w:cs="Arial"/>
                <w:sz w:val="20"/>
                <w:szCs w:val="20"/>
                <w:lang w:val="hy-AM"/>
              </w:rPr>
              <w:t>ծախսերի</w:t>
            </w:r>
            <w:r w:rsidRPr="002A51B1">
              <w:rPr>
                <w:sz w:val="20"/>
                <w:szCs w:val="20"/>
                <w:lang w:val="hy-AM"/>
              </w:rPr>
              <w:t xml:space="preserve"> </w:t>
            </w:r>
            <w:r w:rsidRPr="002A51B1">
              <w:rPr>
                <w:rFonts w:cs="Arial"/>
                <w:sz w:val="20"/>
                <w:szCs w:val="20"/>
                <w:lang w:val="hy-AM"/>
              </w:rPr>
              <w:t>ամբողջ</w:t>
            </w:r>
            <w:r w:rsidRPr="002A51B1">
              <w:rPr>
                <w:sz w:val="20"/>
                <w:szCs w:val="20"/>
                <w:lang w:val="hy-AM"/>
              </w:rPr>
              <w:t xml:space="preserve"> </w:t>
            </w:r>
            <w:r w:rsidRPr="002A51B1">
              <w:rPr>
                <w:rFonts w:cs="Arial"/>
                <w:sz w:val="20"/>
                <w:szCs w:val="20"/>
                <w:lang w:val="hy-AM"/>
              </w:rPr>
              <w:t>ծավալում</w:t>
            </w:r>
            <w:r w:rsidRPr="002A51B1">
              <w:rPr>
                <w:sz w:val="20"/>
                <w:szCs w:val="20"/>
                <w:lang w:val="hy-AM"/>
              </w:rPr>
              <w:t xml:space="preserve"> (%)</w:t>
            </w:r>
          </w:p>
        </w:tc>
        <w:tc>
          <w:tcPr>
            <w:tcW w:w="668" w:type="pct"/>
            <w:shd w:val="solid" w:color="FFFFFF" w:fill="auto"/>
            <w:tcMar>
              <w:left w:w="57" w:type="dxa"/>
              <w:right w:w="85" w:type="dxa"/>
            </w:tcMar>
            <w:vAlign w:val="center"/>
          </w:tcPr>
          <w:p w14:paraId="0E823BC1" w14:textId="77777777" w:rsidR="00396B97" w:rsidRPr="002A51B1" w:rsidRDefault="00396B97" w:rsidP="00FF2D29">
            <w:pPr>
              <w:jc w:val="center"/>
              <w:rPr>
                <w:sz w:val="20"/>
                <w:szCs w:val="20"/>
              </w:rPr>
            </w:pPr>
            <w:r w:rsidRPr="002A51B1">
              <w:rPr>
                <w:sz w:val="20"/>
                <w:szCs w:val="20"/>
              </w:rPr>
              <w:t>1.24</w:t>
            </w:r>
          </w:p>
        </w:tc>
        <w:tc>
          <w:tcPr>
            <w:tcW w:w="668" w:type="pct"/>
            <w:shd w:val="solid" w:color="FFFFFF" w:fill="auto"/>
            <w:tcMar>
              <w:left w:w="57" w:type="dxa"/>
              <w:right w:w="85" w:type="dxa"/>
            </w:tcMar>
            <w:vAlign w:val="center"/>
          </w:tcPr>
          <w:p w14:paraId="353B0586" w14:textId="77777777" w:rsidR="00396B97" w:rsidRPr="002A51B1" w:rsidRDefault="00396B97" w:rsidP="00FF2D29">
            <w:pPr>
              <w:jc w:val="center"/>
              <w:rPr>
                <w:sz w:val="20"/>
                <w:szCs w:val="20"/>
              </w:rPr>
            </w:pPr>
            <w:r w:rsidRPr="002A51B1">
              <w:rPr>
                <w:sz w:val="20"/>
                <w:szCs w:val="20"/>
              </w:rPr>
              <w:t>1.09</w:t>
            </w:r>
          </w:p>
        </w:tc>
        <w:tc>
          <w:tcPr>
            <w:tcW w:w="668" w:type="pct"/>
            <w:shd w:val="solid" w:color="FFFFFF" w:fill="auto"/>
            <w:vAlign w:val="center"/>
          </w:tcPr>
          <w:p w14:paraId="344FB82D" w14:textId="77777777" w:rsidR="00396B97" w:rsidRPr="002A51B1" w:rsidRDefault="00396B97" w:rsidP="00FF2D29">
            <w:pPr>
              <w:jc w:val="center"/>
              <w:rPr>
                <w:sz w:val="20"/>
                <w:szCs w:val="20"/>
              </w:rPr>
            </w:pPr>
            <w:r w:rsidRPr="002A51B1">
              <w:rPr>
                <w:sz w:val="20"/>
                <w:szCs w:val="20"/>
              </w:rPr>
              <w:t>0.92</w:t>
            </w:r>
          </w:p>
        </w:tc>
        <w:tc>
          <w:tcPr>
            <w:tcW w:w="628" w:type="pct"/>
            <w:shd w:val="solid" w:color="FFFFFF" w:fill="auto"/>
            <w:vAlign w:val="center"/>
          </w:tcPr>
          <w:p w14:paraId="71596FA9" w14:textId="77777777" w:rsidR="00396B97" w:rsidRPr="002A51B1" w:rsidRDefault="00396B97" w:rsidP="00FF2D29">
            <w:pPr>
              <w:jc w:val="center"/>
              <w:rPr>
                <w:sz w:val="20"/>
                <w:szCs w:val="20"/>
              </w:rPr>
            </w:pPr>
            <w:r w:rsidRPr="002A51B1">
              <w:rPr>
                <w:sz w:val="20"/>
                <w:szCs w:val="20"/>
              </w:rPr>
              <w:t>0.41</w:t>
            </w:r>
          </w:p>
        </w:tc>
      </w:tr>
    </w:tbl>
    <w:p w14:paraId="7CC42D66" w14:textId="77777777" w:rsidR="00396B97" w:rsidRPr="00C810AC" w:rsidRDefault="00396B97" w:rsidP="00396B97">
      <w:pPr>
        <w:rPr>
          <w:rFonts w:cs="Arial"/>
          <w:lang w:val="hy-AM"/>
        </w:rPr>
      </w:pPr>
    </w:p>
    <w:p w14:paraId="0D0E9AFE" w14:textId="77777777" w:rsidR="00396B97" w:rsidRPr="002A51B1" w:rsidRDefault="00396B97" w:rsidP="002A51B1">
      <w:pPr>
        <w:spacing w:line="276" w:lineRule="auto"/>
        <w:ind w:firstLine="562"/>
        <w:rPr>
          <w:lang w:val="hy-AM"/>
        </w:rPr>
      </w:pPr>
      <w:r w:rsidRPr="002A51B1">
        <w:rPr>
          <w:rFonts w:cs="Arial"/>
          <w:lang w:val="hy-AM"/>
        </w:rPr>
        <w:t>Տնտեսության</w:t>
      </w:r>
      <w:r w:rsidRPr="002A51B1">
        <w:rPr>
          <w:lang w:val="hy-AM"/>
        </w:rPr>
        <w:t xml:space="preserve"> </w:t>
      </w:r>
      <w:r w:rsidRPr="002A51B1">
        <w:rPr>
          <w:rFonts w:cs="Arial"/>
          <w:lang w:val="hy-AM"/>
        </w:rPr>
        <w:t>ճյուղերի</w:t>
      </w:r>
      <w:r w:rsidRPr="002A51B1">
        <w:rPr>
          <w:lang w:val="hy-AM"/>
        </w:rPr>
        <w:t xml:space="preserve"> 2021-2023 </w:t>
      </w:r>
      <w:r w:rsidRPr="002A51B1">
        <w:rPr>
          <w:rFonts w:cs="Arial"/>
          <w:lang w:val="hy-AM"/>
        </w:rPr>
        <w:t>թվականների</w:t>
      </w:r>
      <w:r w:rsidRPr="002A51B1">
        <w:rPr>
          <w:lang w:val="hy-AM"/>
        </w:rPr>
        <w:t xml:space="preserve"> </w:t>
      </w:r>
      <w:r w:rsidRPr="002A51B1">
        <w:rPr>
          <w:rFonts w:cs="Arial"/>
          <w:lang w:val="hy-AM"/>
        </w:rPr>
        <w:t>ծախսերը</w:t>
      </w:r>
      <w:r w:rsidRPr="002A51B1">
        <w:rPr>
          <w:lang w:val="hy-AM"/>
        </w:rPr>
        <w:t xml:space="preserve"> </w:t>
      </w:r>
      <w:r w:rsidRPr="002A51B1">
        <w:rPr>
          <w:rFonts w:cs="Arial"/>
          <w:lang w:val="hy-AM"/>
        </w:rPr>
        <w:t>նպատակաուղղված</w:t>
      </w:r>
      <w:r w:rsidRPr="002A51B1">
        <w:rPr>
          <w:lang w:val="hy-AM"/>
        </w:rPr>
        <w:t xml:space="preserve"> </w:t>
      </w:r>
      <w:r w:rsidRPr="002A51B1">
        <w:rPr>
          <w:rFonts w:cs="Arial"/>
          <w:lang w:val="hy-AM"/>
        </w:rPr>
        <w:t>են</w:t>
      </w:r>
      <w:r w:rsidRPr="002A51B1">
        <w:rPr>
          <w:lang w:val="hy-AM"/>
        </w:rPr>
        <w:t xml:space="preserve"> </w:t>
      </w:r>
      <w:r w:rsidRPr="002A51B1">
        <w:rPr>
          <w:rFonts w:cs="Arial"/>
          <w:lang w:val="hy-AM"/>
        </w:rPr>
        <w:t>լինելու</w:t>
      </w:r>
      <w:r w:rsidRPr="002A51B1">
        <w:rPr>
          <w:lang w:val="hy-AM"/>
        </w:rPr>
        <w:t xml:space="preserve">  </w:t>
      </w:r>
      <w:r w:rsidRPr="002A51B1">
        <w:rPr>
          <w:rFonts w:cs="Arial"/>
          <w:lang w:val="hy-AM"/>
        </w:rPr>
        <w:t>ենթակառուցվածքների, տնտեսության իրական հատվածի, բարձր տեխնոլոգիական արդյունաբերական, ինչպես նաև բնապահպանական բարձր չափանիշներին համապատասխանող՝ արտահանմանը միտված մրցունակ և ներառական տնտեսության կառուցմանն ուղղված ծրագրերի իրականացմանը։</w:t>
      </w:r>
    </w:p>
    <w:p w14:paraId="045CBC59" w14:textId="77777777" w:rsidR="00396B97" w:rsidRPr="002A51B1" w:rsidRDefault="00396B97" w:rsidP="002A51B1">
      <w:pPr>
        <w:spacing w:line="276" w:lineRule="auto"/>
        <w:ind w:firstLine="562"/>
        <w:rPr>
          <w:lang w:val="hy-AM"/>
        </w:rPr>
      </w:pPr>
      <w:r w:rsidRPr="002A51B1">
        <w:rPr>
          <w:lang w:val="hy-AM"/>
        </w:rPr>
        <w:lastRenderedPageBreak/>
        <w:t>2021-2023</w:t>
      </w:r>
      <w:r w:rsidRPr="002A51B1">
        <w:rPr>
          <w:rFonts w:cs="Arial"/>
          <w:lang w:val="hy-AM"/>
        </w:rPr>
        <w:t>թթ</w:t>
      </w:r>
      <w:r w:rsidRPr="002A51B1">
        <w:rPr>
          <w:lang w:val="hy-AM"/>
        </w:rPr>
        <w:t xml:space="preserve"> </w:t>
      </w:r>
      <w:r w:rsidRPr="002A51B1">
        <w:rPr>
          <w:rFonts w:cs="Arial"/>
          <w:lang w:val="hy-AM"/>
        </w:rPr>
        <w:t>ժամանակահատվածում</w:t>
      </w:r>
      <w:r w:rsidRPr="002A51B1">
        <w:rPr>
          <w:lang w:val="hy-AM"/>
        </w:rPr>
        <w:t xml:space="preserve"> </w:t>
      </w:r>
      <w:r w:rsidRPr="002A51B1">
        <w:rPr>
          <w:rFonts w:cs="Arial"/>
          <w:lang w:val="hy-AM"/>
        </w:rPr>
        <w:t>պետական</w:t>
      </w:r>
      <w:r w:rsidRPr="002A51B1">
        <w:rPr>
          <w:lang w:val="hy-AM"/>
        </w:rPr>
        <w:t xml:space="preserve"> </w:t>
      </w:r>
      <w:r w:rsidRPr="002A51B1">
        <w:rPr>
          <w:rFonts w:cs="Arial"/>
          <w:lang w:val="hy-AM"/>
        </w:rPr>
        <w:t>բյուջեների</w:t>
      </w:r>
      <w:r w:rsidRPr="002A51B1">
        <w:rPr>
          <w:lang w:val="hy-AM"/>
        </w:rPr>
        <w:t xml:space="preserve"> </w:t>
      </w:r>
      <w:r w:rsidRPr="002A51B1">
        <w:rPr>
          <w:rFonts w:cs="Arial"/>
          <w:lang w:val="hy-AM"/>
        </w:rPr>
        <w:t>ծախ</w:t>
      </w:r>
      <w:r w:rsidRPr="002A51B1">
        <w:rPr>
          <w:lang w:val="hy-AM"/>
        </w:rPr>
        <w:softHyphen/>
      </w:r>
      <w:r w:rsidRPr="002A51B1">
        <w:rPr>
          <w:rFonts w:cs="Arial"/>
          <w:lang w:val="hy-AM"/>
        </w:rPr>
        <w:t>սերի</w:t>
      </w:r>
      <w:r w:rsidRPr="002A51B1">
        <w:rPr>
          <w:lang w:val="hy-AM"/>
        </w:rPr>
        <w:t xml:space="preserve"> </w:t>
      </w:r>
      <w:r w:rsidRPr="002A51B1">
        <w:rPr>
          <w:rFonts w:cs="Arial"/>
          <w:lang w:val="hy-AM"/>
        </w:rPr>
        <w:t>ընդհանուր</w:t>
      </w:r>
      <w:r w:rsidRPr="002A51B1">
        <w:rPr>
          <w:lang w:val="hy-AM"/>
        </w:rPr>
        <w:t xml:space="preserve"> </w:t>
      </w:r>
      <w:r w:rsidRPr="002A51B1">
        <w:rPr>
          <w:rFonts w:cs="Arial"/>
          <w:lang w:val="hy-AM"/>
        </w:rPr>
        <w:t>ծավալը</w:t>
      </w:r>
      <w:r w:rsidRPr="002A51B1">
        <w:rPr>
          <w:lang w:val="hy-AM"/>
        </w:rPr>
        <w:t xml:space="preserve"> </w:t>
      </w:r>
      <w:r w:rsidRPr="002A51B1">
        <w:rPr>
          <w:rFonts w:cs="Arial"/>
          <w:lang w:val="hy-AM"/>
        </w:rPr>
        <w:t>որոշ</w:t>
      </w:r>
      <w:r w:rsidRPr="002A51B1">
        <w:rPr>
          <w:lang w:val="hy-AM"/>
        </w:rPr>
        <w:t xml:space="preserve"> </w:t>
      </w:r>
      <w:r w:rsidRPr="002A51B1">
        <w:rPr>
          <w:rFonts w:cs="Arial"/>
          <w:lang w:val="hy-AM"/>
        </w:rPr>
        <w:t>կախ</w:t>
      </w:r>
      <w:r w:rsidRPr="002A51B1">
        <w:rPr>
          <w:lang w:val="hy-AM"/>
        </w:rPr>
        <w:softHyphen/>
      </w:r>
      <w:r w:rsidRPr="002A51B1">
        <w:rPr>
          <w:rFonts w:cs="Arial"/>
          <w:lang w:val="hy-AM"/>
        </w:rPr>
        <w:t>վածության</w:t>
      </w:r>
      <w:r w:rsidRPr="002A51B1">
        <w:rPr>
          <w:lang w:val="hy-AM"/>
        </w:rPr>
        <w:t xml:space="preserve"> </w:t>
      </w:r>
      <w:r w:rsidRPr="002A51B1">
        <w:rPr>
          <w:rFonts w:cs="Arial"/>
          <w:lang w:val="hy-AM"/>
        </w:rPr>
        <w:t>մեջ</w:t>
      </w:r>
      <w:r w:rsidRPr="002A51B1">
        <w:rPr>
          <w:lang w:val="hy-AM"/>
        </w:rPr>
        <w:t xml:space="preserve"> </w:t>
      </w:r>
      <w:r w:rsidRPr="002A51B1">
        <w:rPr>
          <w:rFonts w:cs="Arial"/>
          <w:lang w:val="hy-AM"/>
        </w:rPr>
        <w:t>կլինի</w:t>
      </w:r>
      <w:r w:rsidRPr="002A51B1">
        <w:rPr>
          <w:lang w:val="hy-AM"/>
        </w:rPr>
        <w:t xml:space="preserve"> նաև </w:t>
      </w:r>
      <w:r w:rsidRPr="002A51B1">
        <w:rPr>
          <w:rFonts w:cs="Arial"/>
          <w:lang w:val="hy-AM"/>
        </w:rPr>
        <w:t>արտաքին</w:t>
      </w:r>
      <w:r w:rsidRPr="002A51B1">
        <w:rPr>
          <w:lang w:val="hy-AM"/>
        </w:rPr>
        <w:t xml:space="preserve"> </w:t>
      </w:r>
      <w:r w:rsidRPr="002A51B1">
        <w:rPr>
          <w:rFonts w:cs="Arial"/>
          <w:lang w:val="hy-AM"/>
        </w:rPr>
        <w:t>հոսքերից</w:t>
      </w:r>
      <w:r w:rsidRPr="002A51B1">
        <w:rPr>
          <w:lang w:val="hy-AM"/>
        </w:rPr>
        <w:t xml:space="preserve">: </w:t>
      </w:r>
    </w:p>
    <w:p w14:paraId="74B24D0A" w14:textId="77777777" w:rsidR="00396B97" w:rsidRPr="00634C4C" w:rsidRDefault="00396B97" w:rsidP="002A51B1">
      <w:pPr>
        <w:spacing w:line="276" w:lineRule="auto"/>
        <w:ind w:firstLine="562"/>
        <w:rPr>
          <w:rFonts w:cs="Arial"/>
          <w:sz w:val="24"/>
          <w:szCs w:val="24"/>
          <w:lang w:val="hy-AM"/>
        </w:rPr>
      </w:pPr>
    </w:p>
    <w:p w14:paraId="77426700" w14:textId="77777777" w:rsidR="00396B97" w:rsidRPr="002A51B1" w:rsidRDefault="00396B97" w:rsidP="00396B97">
      <w:pPr>
        <w:rPr>
          <w:rFonts w:cs="Arial"/>
          <w:i/>
          <w:sz w:val="20"/>
          <w:szCs w:val="20"/>
          <w:lang w:val="hy-AM"/>
        </w:rPr>
      </w:pPr>
      <w:r w:rsidRPr="002A51B1">
        <w:rPr>
          <w:rFonts w:cs="Arial"/>
          <w:b/>
          <w:sz w:val="20"/>
          <w:szCs w:val="20"/>
          <w:lang w:val="hy-AM"/>
        </w:rPr>
        <w:t>Աղյուսակ 4.</w:t>
      </w:r>
      <w:r w:rsidR="002A51B1" w:rsidRPr="00BE7F99">
        <w:rPr>
          <w:rFonts w:cs="Arial"/>
          <w:b/>
          <w:sz w:val="20"/>
          <w:szCs w:val="20"/>
          <w:lang w:val="hy-AM"/>
        </w:rPr>
        <w:t>3</w:t>
      </w:r>
      <w:r w:rsidRPr="002A51B1">
        <w:rPr>
          <w:rFonts w:cs="Arial"/>
          <w:b/>
          <w:sz w:val="20"/>
          <w:szCs w:val="20"/>
          <w:lang w:val="hy-AM"/>
        </w:rPr>
        <w:t>.</w:t>
      </w:r>
      <w:r w:rsidR="002A51B1" w:rsidRPr="00BE7F99">
        <w:rPr>
          <w:rFonts w:cs="Arial"/>
          <w:b/>
          <w:sz w:val="20"/>
          <w:szCs w:val="20"/>
          <w:lang w:val="hy-AM"/>
        </w:rPr>
        <w:t>3</w:t>
      </w:r>
      <w:r w:rsidRPr="002A51B1">
        <w:rPr>
          <w:rFonts w:cs="Arial"/>
          <w:b/>
          <w:sz w:val="20"/>
          <w:szCs w:val="20"/>
          <w:lang w:val="hy-AM"/>
        </w:rPr>
        <w:t xml:space="preserve"> </w:t>
      </w:r>
      <w:r w:rsidRPr="002A51B1">
        <w:rPr>
          <w:rFonts w:cs="Arial"/>
          <w:i/>
          <w:sz w:val="20"/>
          <w:szCs w:val="20"/>
          <w:lang w:val="hy-AM"/>
        </w:rPr>
        <w:t>Արտաքին աղբյուրներից 2021-2023թթ ստացվելիք միջոցների (վարկերի և պաշտո</w:t>
      </w:r>
      <w:r w:rsidRPr="002A51B1">
        <w:rPr>
          <w:rFonts w:cs="Arial"/>
          <w:i/>
          <w:sz w:val="20"/>
          <w:szCs w:val="20"/>
          <w:lang w:val="hy-AM"/>
        </w:rPr>
        <w:softHyphen/>
        <w:t>նական դրամաշնորհներ) հաշվին ֆինանսավորվող ծախսերը</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559"/>
        <w:gridCol w:w="1378"/>
        <w:gridCol w:w="1355"/>
        <w:gridCol w:w="1345"/>
        <w:gridCol w:w="1269"/>
      </w:tblGrid>
      <w:tr w:rsidR="00FF2D29" w14:paraId="04692AAA" w14:textId="77777777" w:rsidTr="00B57206">
        <w:trPr>
          <w:trHeight w:val="20"/>
          <w:tblHeader/>
        </w:trPr>
        <w:tc>
          <w:tcPr>
            <w:tcW w:w="2303" w:type="pct"/>
            <w:tcBorders>
              <w:top w:val="double" w:sz="4" w:space="0" w:color="auto"/>
              <w:left w:val="double" w:sz="4" w:space="0" w:color="auto"/>
              <w:bottom w:val="double" w:sz="4" w:space="0" w:color="auto"/>
              <w:right w:val="single" w:sz="6" w:space="0" w:color="auto"/>
            </w:tcBorders>
            <w:shd w:val="clear" w:color="auto" w:fill="4F81BD" w:themeFill="accent1"/>
            <w:tcMar>
              <w:top w:w="0" w:type="dxa"/>
              <w:left w:w="57" w:type="dxa"/>
              <w:bottom w:w="0" w:type="dxa"/>
              <w:right w:w="57" w:type="dxa"/>
            </w:tcMar>
            <w:vAlign w:val="center"/>
            <w:hideMark/>
          </w:tcPr>
          <w:p w14:paraId="49765A45" w14:textId="77777777" w:rsidR="00FF2D29" w:rsidRDefault="00FF2D29" w:rsidP="00FF2D29">
            <w:pPr>
              <w:pStyle w:val="BodyText"/>
              <w:spacing w:after="0" w:line="256" w:lineRule="auto"/>
              <w:jc w:val="center"/>
              <w:rPr>
                <w:bCs/>
                <w:sz w:val="20"/>
                <w:szCs w:val="20"/>
                <w:lang w:val="hy-AM"/>
              </w:rPr>
            </w:pPr>
            <w:r w:rsidRPr="00FF2D29">
              <w:rPr>
                <w:rFonts w:cs="Sylfaen"/>
                <w:color w:val="FFFFFF" w:themeColor="background1"/>
                <w:sz w:val="20"/>
                <w:szCs w:val="20"/>
              </w:rPr>
              <w:t>Ցուցանիշներ</w:t>
            </w:r>
          </w:p>
        </w:tc>
        <w:tc>
          <w:tcPr>
            <w:tcW w:w="688" w:type="pct"/>
            <w:tcBorders>
              <w:top w:val="double" w:sz="4" w:space="0" w:color="auto"/>
              <w:left w:val="single" w:sz="6" w:space="0" w:color="auto"/>
              <w:bottom w:val="double" w:sz="4" w:space="0" w:color="auto"/>
              <w:right w:val="single" w:sz="6" w:space="0" w:color="auto"/>
            </w:tcBorders>
            <w:shd w:val="clear" w:color="auto" w:fill="4F81BD" w:themeFill="accent1"/>
            <w:tcMar>
              <w:top w:w="0" w:type="dxa"/>
              <w:left w:w="57" w:type="dxa"/>
              <w:bottom w:w="0" w:type="dxa"/>
              <w:right w:w="57" w:type="dxa"/>
            </w:tcMar>
            <w:vAlign w:val="center"/>
            <w:hideMark/>
          </w:tcPr>
          <w:p w14:paraId="5C71D8DD" w14:textId="77777777" w:rsidR="00FF2D29" w:rsidRDefault="00FF2D29" w:rsidP="00FF2D29">
            <w:pPr>
              <w:pStyle w:val="BodyText"/>
              <w:spacing w:after="0" w:line="256" w:lineRule="auto"/>
              <w:ind w:firstLine="0"/>
              <w:jc w:val="center"/>
              <w:rPr>
                <w:bCs/>
                <w:sz w:val="20"/>
                <w:szCs w:val="20"/>
                <w:lang w:val="hy-AM"/>
              </w:rPr>
            </w:pPr>
            <w:r w:rsidRPr="00FF2D29">
              <w:rPr>
                <w:rFonts w:cs="Sylfaen"/>
                <w:color w:val="FFFFFF" w:themeColor="background1"/>
                <w:sz w:val="20"/>
                <w:szCs w:val="20"/>
              </w:rPr>
              <w:t>20</w:t>
            </w:r>
            <w:r>
              <w:rPr>
                <w:rFonts w:cs="Sylfaen"/>
                <w:color w:val="FFFFFF" w:themeColor="background1"/>
                <w:sz w:val="20"/>
                <w:szCs w:val="20"/>
              </w:rPr>
              <w:t>20</w:t>
            </w:r>
            <w:r w:rsidRPr="00FF2D29">
              <w:rPr>
                <w:rFonts w:cs="Sylfaen"/>
                <w:color w:val="FFFFFF" w:themeColor="background1"/>
                <w:sz w:val="20"/>
                <w:szCs w:val="20"/>
              </w:rPr>
              <w:t>թ հաստատված</w:t>
            </w:r>
          </w:p>
        </w:tc>
        <w:tc>
          <w:tcPr>
            <w:tcW w:w="686" w:type="pct"/>
            <w:tcBorders>
              <w:top w:val="double" w:sz="4" w:space="0" w:color="auto"/>
              <w:left w:val="single" w:sz="6" w:space="0" w:color="auto"/>
              <w:bottom w:val="double" w:sz="4" w:space="0" w:color="auto"/>
              <w:right w:val="single" w:sz="6" w:space="0" w:color="auto"/>
            </w:tcBorders>
            <w:shd w:val="clear" w:color="auto" w:fill="4F81BD" w:themeFill="accent1"/>
            <w:tcMar>
              <w:top w:w="0" w:type="dxa"/>
              <w:left w:w="57" w:type="dxa"/>
              <w:bottom w:w="0" w:type="dxa"/>
              <w:right w:w="57" w:type="dxa"/>
            </w:tcMar>
            <w:vAlign w:val="center"/>
            <w:hideMark/>
          </w:tcPr>
          <w:p w14:paraId="16998149" w14:textId="77777777" w:rsidR="00FF2D29" w:rsidRDefault="00FF2D29" w:rsidP="00FF2D29">
            <w:pPr>
              <w:pStyle w:val="BodyText"/>
              <w:spacing w:after="0" w:line="256" w:lineRule="auto"/>
              <w:ind w:firstLine="0"/>
              <w:jc w:val="center"/>
              <w:rPr>
                <w:rFonts w:eastAsia="Arial Unicode MS"/>
                <w:bCs/>
                <w:sz w:val="20"/>
                <w:szCs w:val="20"/>
                <w:lang w:val="hy-AM"/>
              </w:rPr>
            </w:pPr>
            <w:r w:rsidRPr="00FF2D29">
              <w:rPr>
                <w:rFonts w:cs="Sylfaen"/>
                <w:color w:val="FFFFFF" w:themeColor="background1"/>
                <w:sz w:val="20"/>
                <w:szCs w:val="20"/>
              </w:rPr>
              <w:t>20</w:t>
            </w:r>
            <w:r>
              <w:rPr>
                <w:rFonts w:cs="Sylfaen"/>
                <w:color w:val="FFFFFF" w:themeColor="background1"/>
                <w:sz w:val="20"/>
                <w:szCs w:val="20"/>
              </w:rPr>
              <w:t>2</w:t>
            </w:r>
            <w:r w:rsidRPr="00FF2D29">
              <w:rPr>
                <w:rFonts w:cs="Sylfaen"/>
                <w:color w:val="FFFFFF" w:themeColor="background1"/>
                <w:sz w:val="20"/>
                <w:szCs w:val="20"/>
              </w:rPr>
              <w:t>1թ</w:t>
            </w:r>
            <w:r>
              <w:rPr>
                <w:rFonts w:cs="Sylfaen"/>
                <w:color w:val="FFFFFF" w:themeColor="background1"/>
                <w:sz w:val="20"/>
                <w:szCs w:val="20"/>
              </w:rPr>
              <w:t xml:space="preserve"> </w:t>
            </w:r>
            <w:r w:rsidRPr="00FF2D29">
              <w:rPr>
                <w:rFonts w:cs="Sylfaen"/>
                <w:color w:val="FFFFFF" w:themeColor="background1"/>
                <w:sz w:val="20"/>
                <w:szCs w:val="20"/>
              </w:rPr>
              <w:t>ծրագիր</w:t>
            </w:r>
          </w:p>
        </w:tc>
        <w:tc>
          <w:tcPr>
            <w:tcW w:w="681" w:type="pct"/>
            <w:tcBorders>
              <w:top w:val="double" w:sz="4" w:space="0" w:color="auto"/>
              <w:left w:val="single" w:sz="6" w:space="0" w:color="auto"/>
              <w:bottom w:val="double" w:sz="4" w:space="0" w:color="auto"/>
              <w:right w:val="single" w:sz="6" w:space="0" w:color="auto"/>
            </w:tcBorders>
            <w:shd w:val="clear" w:color="auto" w:fill="4F81BD" w:themeFill="accent1"/>
            <w:vAlign w:val="center"/>
            <w:hideMark/>
          </w:tcPr>
          <w:p w14:paraId="1A018FAF" w14:textId="77777777" w:rsidR="00FF2D29" w:rsidRDefault="00FF2D29" w:rsidP="00FF2D29">
            <w:pPr>
              <w:pStyle w:val="BodyText"/>
              <w:spacing w:after="0" w:line="256" w:lineRule="auto"/>
              <w:ind w:firstLine="0"/>
              <w:jc w:val="center"/>
              <w:rPr>
                <w:bCs/>
                <w:sz w:val="20"/>
                <w:szCs w:val="20"/>
                <w:lang w:val="hy-AM"/>
              </w:rPr>
            </w:pPr>
            <w:r w:rsidRPr="00FF2D29">
              <w:rPr>
                <w:rFonts w:cs="Sylfaen"/>
                <w:color w:val="FFFFFF" w:themeColor="background1"/>
                <w:sz w:val="20"/>
                <w:szCs w:val="20"/>
              </w:rPr>
              <w:t>202</w:t>
            </w:r>
            <w:r>
              <w:rPr>
                <w:rFonts w:cs="Sylfaen"/>
                <w:color w:val="FFFFFF" w:themeColor="background1"/>
                <w:sz w:val="20"/>
                <w:szCs w:val="20"/>
              </w:rPr>
              <w:t>2</w:t>
            </w:r>
            <w:proofErr w:type="gramStart"/>
            <w:r w:rsidRPr="00FF2D29">
              <w:rPr>
                <w:rFonts w:cs="Sylfaen"/>
                <w:color w:val="FFFFFF" w:themeColor="background1"/>
                <w:sz w:val="20"/>
                <w:szCs w:val="20"/>
              </w:rPr>
              <w:t>թ</w:t>
            </w:r>
            <w:r>
              <w:rPr>
                <w:rFonts w:cs="Sylfaen"/>
                <w:color w:val="FFFFFF" w:themeColor="background1"/>
                <w:sz w:val="20"/>
                <w:szCs w:val="20"/>
              </w:rPr>
              <w:t xml:space="preserve"> </w:t>
            </w:r>
            <w:r w:rsidRPr="00FF2D29">
              <w:rPr>
                <w:rFonts w:cs="Sylfaen"/>
                <w:color w:val="FFFFFF" w:themeColor="background1"/>
                <w:sz w:val="20"/>
                <w:szCs w:val="20"/>
              </w:rPr>
              <w:t xml:space="preserve"> ծրագիր</w:t>
            </w:r>
            <w:proofErr w:type="gramEnd"/>
          </w:p>
        </w:tc>
        <w:tc>
          <w:tcPr>
            <w:tcW w:w="642" w:type="pct"/>
            <w:tcBorders>
              <w:top w:val="double" w:sz="4" w:space="0" w:color="auto"/>
              <w:left w:val="single" w:sz="6" w:space="0" w:color="auto"/>
              <w:bottom w:val="double" w:sz="4" w:space="0" w:color="auto"/>
              <w:right w:val="double" w:sz="4" w:space="0" w:color="auto"/>
            </w:tcBorders>
            <w:shd w:val="clear" w:color="auto" w:fill="4F81BD" w:themeFill="accent1"/>
            <w:vAlign w:val="center"/>
            <w:hideMark/>
          </w:tcPr>
          <w:p w14:paraId="48F1EEF6" w14:textId="77777777" w:rsidR="00FF2D29" w:rsidRDefault="00FF2D29" w:rsidP="00FF2D29">
            <w:pPr>
              <w:pStyle w:val="BodyText"/>
              <w:spacing w:after="0" w:line="256" w:lineRule="auto"/>
              <w:ind w:firstLine="0"/>
              <w:jc w:val="center"/>
              <w:rPr>
                <w:bCs/>
                <w:sz w:val="20"/>
                <w:szCs w:val="20"/>
                <w:lang w:val="hy-AM"/>
              </w:rPr>
            </w:pPr>
            <w:r w:rsidRPr="00FF2D29">
              <w:rPr>
                <w:rFonts w:cs="Sylfaen"/>
                <w:color w:val="FFFFFF" w:themeColor="background1"/>
                <w:sz w:val="20"/>
                <w:szCs w:val="20"/>
              </w:rPr>
              <w:t>202</w:t>
            </w:r>
            <w:r>
              <w:rPr>
                <w:rFonts w:cs="Sylfaen"/>
                <w:color w:val="FFFFFF" w:themeColor="background1"/>
                <w:sz w:val="20"/>
                <w:szCs w:val="20"/>
              </w:rPr>
              <w:t>3</w:t>
            </w:r>
            <w:r w:rsidRPr="00FF2D29">
              <w:rPr>
                <w:rFonts w:cs="Sylfaen"/>
                <w:color w:val="FFFFFF" w:themeColor="background1"/>
                <w:sz w:val="20"/>
                <w:szCs w:val="20"/>
              </w:rPr>
              <w:t>թ</w:t>
            </w:r>
            <w:r>
              <w:rPr>
                <w:rFonts w:cs="Sylfaen"/>
                <w:color w:val="FFFFFF" w:themeColor="background1"/>
                <w:sz w:val="20"/>
                <w:szCs w:val="20"/>
              </w:rPr>
              <w:t xml:space="preserve"> </w:t>
            </w:r>
            <w:r w:rsidRPr="00FF2D29">
              <w:rPr>
                <w:rFonts w:cs="Sylfaen"/>
                <w:color w:val="FFFFFF" w:themeColor="background1"/>
                <w:sz w:val="20"/>
                <w:szCs w:val="20"/>
              </w:rPr>
              <w:t>ծրագիր</w:t>
            </w:r>
          </w:p>
        </w:tc>
      </w:tr>
      <w:tr w:rsidR="00B57206" w14:paraId="6E9AFD2B" w14:textId="77777777" w:rsidTr="00B57206">
        <w:trPr>
          <w:trHeight w:val="20"/>
        </w:trPr>
        <w:tc>
          <w:tcPr>
            <w:tcW w:w="2303" w:type="pct"/>
            <w:tcBorders>
              <w:top w:val="double" w:sz="4" w:space="0" w:color="auto"/>
              <w:left w:val="double" w:sz="4" w:space="0" w:color="auto"/>
              <w:bottom w:val="single" w:sz="6" w:space="0" w:color="auto"/>
              <w:right w:val="single" w:sz="6" w:space="0" w:color="auto"/>
            </w:tcBorders>
            <w:shd w:val="clear" w:color="auto" w:fill="C6D9F1" w:themeFill="text2" w:themeFillTint="33"/>
            <w:tcMar>
              <w:top w:w="0" w:type="dxa"/>
              <w:left w:w="57" w:type="dxa"/>
              <w:bottom w:w="0" w:type="dxa"/>
              <w:right w:w="85" w:type="dxa"/>
            </w:tcMar>
            <w:vAlign w:val="center"/>
            <w:hideMark/>
          </w:tcPr>
          <w:p w14:paraId="51966052" w14:textId="77777777" w:rsidR="00B57206" w:rsidRDefault="00B57206" w:rsidP="008C19B5">
            <w:pPr>
              <w:spacing w:line="256" w:lineRule="auto"/>
              <w:ind w:firstLine="7"/>
              <w:jc w:val="left"/>
              <w:rPr>
                <w:rFonts w:eastAsia="Times New Roman" w:cs="Times New Roman"/>
                <w:b/>
                <w:sz w:val="20"/>
                <w:szCs w:val="20"/>
                <w:lang w:val="hy-AM"/>
              </w:rPr>
            </w:pPr>
            <w:r>
              <w:rPr>
                <w:rFonts w:cs="Sylfaen"/>
                <w:b/>
                <w:sz w:val="20"/>
                <w:szCs w:val="20"/>
                <w:lang w:val="hy-AM"/>
              </w:rPr>
              <w:t>Արտաքին</w:t>
            </w:r>
            <w:r>
              <w:rPr>
                <w:b/>
                <w:sz w:val="20"/>
                <w:szCs w:val="20"/>
                <w:lang w:val="hy-AM"/>
              </w:rPr>
              <w:t xml:space="preserve"> </w:t>
            </w:r>
            <w:r>
              <w:rPr>
                <w:rFonts w:cs="Sylfaen"/>
                <w:b/>
                <w:sz w:val="20"/>
                <w:szCs w:val="20"/>
                <w:lang w:val="hy-AM"/>
              </w:rPr>
              <w:t>աղբյուրների</w:t>
            </w:r>
            <w:r>
              <w:rPr>
                <w:b/>
                <w:sz w:val="20"/>
                <w:szCs w:val="20"/>
                <w:lang w:val="hy-AM"/>
              </w:rPr>
              <w:t xml:space="preserve"> </w:t>
            </w:r>
            <w:r>
              <w:rPr>
                <w:rFonts w:cs="Sylfaen"/>
                <w:b/>
                <w:sz w:val="20"/>
                <w:szCs w:val="20"/>
                <w:lang w:val="hy-AM"/>
              </w:rPr>
              <w:t>հաշվին</w:t>
            </w:r>
            <w:r>
              <w:rPr>
                <w:b/>
                <w:sz w:val="20"/>
                <w:szCs w:val="20"/>
                <w:lang w:val="hy-AM"/>
              </w:rPr>
              <w:t xml:space="preserve"> </w:t>
            </w:r>
            <w:r>
              <w:rPr>
                <w:rFonts w:cs="Sylfaen"/>
                <w:b/>
                <w:sz w:val="20"/>
                <w:szCs w:val="20"/>
                <w:lang w:val="hy-AM"/>
              </w:rPr>
              <w:t>ֆինանսավորվող</w:t>
            </w:r>
            <w:r>
              <w:rPr>
                <w:b/>
                <w:sz w:val="20"/>
                <w:szCs w:val="20"/>
                <w:lang w:val="hy-AM"/>
              </w:rPr>
              <w:t xml:space="preserve"> </w:t>
            </w:r>
            <w:r>
              <w:rPr>
                <w:rFonts w:cs="Sylfaen"/>
                <w:b/>
                <w:sz w:val="20"/>
                <w:szCs w:val="20"/>
                <w:lang w:val="hy-AM"/>
              </w:rPr>
              <w:t>ծախսերի</w:t>
            </w:r>
            <w:r>
              <w:rPr>
                <w:b/>
                <w:sz w:val="20"/>
                <w:szCs w:val="20"/>
                <w:lang w:val="hy-AM"/>
              </w:rPr>
              <w:t xml:space="preserve"> </w:t>
            </w:r>
            <w:r>
              <w:rPr>
                <w:rFonts w:cs="Sylfaen"/>
                <w:b/>
                <w:sz w:val="20"/>
                <w:szCs w:val="20"/>
                <w:lang w:val="hy-AM"/>
              </w:rPr>
              <w:t>ծավալը</w:t>
            </w:r>
            <w:r>
              <w:rPr>
                <w:b/>
                <w:sz w:val="20"/>
                <w:szCs w:val="20"/>
                <w:lang w:val="hy-AM"/>
              </w:rPr>
              <w:t xml:space="preserve"> (</w:t>
            </w:r>
            <w:r>
              <w:rPr>
                <w:rFonts w:cs="Sylfaen"/>
                <w:b/>
                <w:sz w:val="20"/>
                <w:szCs w:val="20"/>
                <w:lang w:val="hy-AM"/>
              </w:rPr>
              <w:t>մլն</w:t>
            </w:r>
            <w:r>
              <w:rPr>
                <w:b/>
                <w:sz w:val="20"/>
                <w:szCs w:val="20"/>
                <w:lang w:val="hy-AM"/>
              </w:rPr>
              <w:t xml:space="preserve"> </w:t>
            </w:r>
            <w:r>
              <w:rPr>
                <w:rFonts w:cs="Sylfaen"/>
                <w:b/>
                <w:sz w:val="20"/>
                <w:szCs w:val="20"/>
                <w:lang w:val="hy-AM"/>
              </w:rPr>
              <w:t>դրամ</w:t>
            </w:r>
            <w:r>
              <w:rPr>
                <w:b/>
                <w:sz w:val="20"/>
                <w:szCs w:val="20"/>
                <w:lang w:val="hy-AM"/>
              </w:rPr>
              <w:t>)</w:t>
            </w:r>
          </w:p>
        </w:tc>
        <w:tc>
          <w:tcPr>
            <w:tcW w:w="688" w:type="pct"/>
            <w:tcBorders>
              <w:top w:val="double" w:sz="4" w:space="0" w:color="auto"/>
              <w:left w:val="single" w:sz="6" w:space="0" w:color="auto"/>
              <w:bottom w:val="single" w:sz="6" w:space="0" w:color="auto"/>
              <w:right w:val="single" w:sz="6" w:space="0" w:color="auto"/>
            </w:tcBorders>
            <w:shd w:val="clear" w:color="auto" w:fill="C6D9F1" w:themeFill="text2" w:themeFillTint="33"/>
            <w:tcMar>
              <w:top w:w="0" w:type="dxa"/>
              <w:left w:w="57" w:type="dxa"/>
              <w:bottom w:w="0" w:type="dxa"/>
              <w:right w:w="85" w:type="dxa"/>
            </w:tcMar>
            <w:vAlign w:val="bottom"/>
            <w:hideMark/>
          </w:tcPr>
          <w:p w14:paraId="10FA1C35" w14:textId="77777777" w:rsidR="00B57206" w:rsidRDefault="00B57206" w:rsidP="00B57206">
            <w:pPr>
              <w:ind w:firstLine="0"/>
              <w:jc w:val="center"/>
              <w:rPr>
                <w:rFonts w:ascii="Calibri" w:hAnsi="Calibri" w:cs="Calibri"/>
                <w:color w:val="000000"/>
              </w:rPr>
            </w:pPr>
            <w:r>
              <w:rPr>
                <w:rFonts w:ascii="Calibri" w:hAnsi="Calibri" w:cs="Calibri"/>
                <w:color w:val="000000"/>
              </w:rPr>
              <w:t>161,535.7</w:t>
            </w:r>
          </w:p>
        </w:tc>
        <w:tc>
          <w:tcPr>
            <w:tcW w:w="686" w:type="pct"/>
            <w:tcBorders>
              <w:top w:val="double" w:sz="4" w:space="0" w:color="auto"/>
              <w:left w:val="single" w:sz="6" w:space="0" w:color="auto"/>
              <w:bottom w:val="single" w:sz="6" w:space="0" w:color="auto"/>
              <w:right w:val="single" w:sz="6" w:space="0" w:color="auto"/>
            </w:tcBorders>
            <w:shd w:val="clear" w:color="auto" w:fill="C6D9F1" w:themeFill="text2" w:themeFillTint="33"/>
            <w:tcMar>
              <w:top w:w="0" w:type="dxa"/>
              <w:left w:w="57" w:type="dxa"/>
              <w:bottom w:w="0" w:type="dxa"/>
              <w:right w:w="85" w:type="dxa"/>
            </w:tcMar>
            <w:vAlign w:val="bottom"/>
            <w:hideMark/>
          </w:tcPr>
          <w:p w14:paraId="6618DEBD" w14:textId="77777777" w:rsidR="00B57206" w:rsidRDefault="00B57206" w:rsidP="00B57206">
            <w:pPr>
              <w:ind w:firstLine="0"/>
              <w:jc w:val="center"/>
              <w:rPr>
                <w:rFonts w:ascii="Calibri" w:hAnsi="Calibri" w:cs="Calibri"/>
                <w:color w:val="000000"/>
              </w:rPr>
            </w:pPr>
            <w:r>
              <w:rPr>
                <w:rFonts w:ascii="Calibri" w:hAnsi="Calibri" w:cs="Calibri"/>
                <w:color w:val="000000"/>
              </w:rPr>
              <w:t>117,423.2</w:t>
            </w:r>
          </w:p>
        </w:tc>
        <w:tc>
          <w:tcPr>
            <w:tcW w:w="681" w:type="pct"/>
            <w:tcBorders>
              <w:top w:val="double" w:sz="4" w:space="0" w:color="auto"/>
              <w:left w:val="single" w:sz="6" w:space="0" w:color="auto"/>
              <w:bottom w:val="single" w:sz="6" w:space="0" w:color="auto"/>
              <w:right w:val="single" w:sz="6" w:space="0" w:color="auto"/>
            </w:tcBorders>
            <w:shd w:val="clear" w:color="auto" w:fill="C6D9F1" w:themeFill="text2" w:themeFillTint="33"/>
            <w:tcMar>
              <w:top w:w="0" w:type="dxa"/>
              <w:left w:w="108" w:type="dxa"/>
              <w:bottom w:w="0" w:type="dxa"/>
              <w:right w:w="108" w:type="dxa"/>
            </w:tcMar>
            <w:vAlign w:val="bottom"/>
            <w:hideMark/>
          </w:tcPr>
          <w:p w14:paraId="6325EF6B" w14:textId="77777777" w:rsidR="00B57206" w:rsidRDefault="00B57206" w:rsidP="00B57206">
            <w:pPr>
              <w:ind w:firstLine="0"/>
              <w:jc w:val="center"/>
              <w:rPr>
                <w:rFonts w:ascii="Calibri" w:hAnsi="Calibri" w:cs="Calibri"/>
                <w:color w:val="000000"/>
              </w:rPr>
            </w:pPr>
            <w:r>
              <w:rPr>
                <w:rFonts w:ascii="Calibri" w:hAnsi="Calibri" w:cs="Calibri"/>
                <w:color w:val="000000"/>
              </w:rPr>
              <w:t>162,071.5</w:t>
            </w:r>
          </w:p>
        </w:tc>
        <w:tc>
          <w:tcPr>
            <w:tcW w:w="642" w:type="pct"/>
            <w:tcBorders>
              <w:top w:val="double" w:sz="4" w:space="0" w:color="auto"/>
              <w:left w:val="single" w:sz="6" w:space="0" w:color="auto"/>
              <w:bottom w:val="single" w:sz="6" w:space="0" w:color="auto"/>
              <w:right w:val="double" w:sz="4" w:space="0" w:color="auto"/>
            </w:tcBorders>
            <w:shd w:val="clear" w:color="auto" w:fill="C6D9F1" w:themeFill="text2" w:themeFillTint="33"/>
            <w:tcMar>
              <w:top w:w="0" w:type="dxa"/>
              <w:left w:w="108" w:type="dxa"/>
              <w:bottom w:w="0" w:type="dxa"/>
              <w:right w:w="108" w:type="dxa"/>
            </w:tcMar>
            <w:vAlign w:val="bottom"/>
            <w:hideMark/>
          </w:tcPr>
          <w:p w14:paraId="415ED841" w14:textId="77777777" w:rsidR="00B57206" w:rsidRDefault="00B57206" w:rsidP="00B57206">
            <w:pPr>
              <w:ind w:firstLine="0"/>
              <w:jc w:val="center"/>
              <w:rPr>
                <w:rFonts w:ascii="Calibri" w:hAnsi="Calibri" w:cs="Calibri"/>
                <w:color w:val="000000"/>
              </w:rPr>
            </w:pPr>
            <w:r>
              <w:rPr>
                <w:rFonts w:ascii="Calibri" w:hAnsi="Calibri" w:cs="Calibri"/>
                <w:color w:val="000000"/>
              </w:rPr>
              <w:t>49,608.5</w:t>
            </w:r>
          </w:p>
        </w:tc>
      </w:tr>
      <w:tr w:rsidR="00B57206" w14:paraId="2A4453A0" w14:textId="77777777" w:rsidTr="00CB6CFF">
        <w:trPr>
          <w:trHeight w:val="20"/>
        </w:trPr>
        <w:tc>
          <w:tcPr>
            <w:tcW w:w="2303" w:type="pct"/>
            <w:tcBorders>
              <w:top w:val="single" w:sz="6" w:space="0" w:color="auto"/>
              <w:left w:val="double" w:sz="4" w:space="0" w:color="auto"/>
              <w:bottom w:val="single" w:sz="6" w:space="0" w:color="auto"/>
              <w:right w:val="single" w:sz="6" w:space="0" w:color="auto"/>
            </w:tcBorders>
            <w:tcMar>
              <w:top w:w="0" w:type="dxa"/>
              <w:left w:w="57" w:type="dxa"/>
              <w:bottom w:w="0" w:type="dxa"/>
              <w:right w:w="85" w:type="dxa"/>
            </w:tcMar>
            <w:vAlign w:val="center"/>
            <w:hideMark/>
          </w:tcPr>
          <w:p w14:paraId="4AEF465E" w14:textId="77777777" w:rsidR="00B57206" w:rsidRDefault="00B57206" w:rsidP="00FF2D29">
            <w:pPr>
              <w:pStyle w:val="BodyText"/>
              <w:spacing w:after="0" w:line="256" w:lineRule="auto"/>
              <w:ind w:firstLine="0"/>
              <w:rPr>
                <w:sz w:val="20"/>
                <w:szCs w:val="20"/>
                <w:lang w:val="hy-AM"/>
              </w:rPr>
            </w:pPr>
            <w:r>
              <w:rPr>
                <w:sz w:val="20"/>
                <w:szCs w:val="20"/>
                <w:lang w:val="hy-AM"/>
              </w:rPr>
              <w:t xml:space="preserve">- </w:t>
            </w:r>
            <w:r>
              <w:rPr>
                <w:rFonts w:cs="Sylfaen"/>
                <w:sz w:val="20"/>
                <w:szCs w:val="20"/>
                <w:lang w:val="hy-AM"/>
              </w:rPr>
              <w:t>Հարաբերությունը</w:t>
            </w:r>
            <w:r>
              <w:rPr>
                <w:sz w:val="20"/>
                <w:szCs w:val="20"/>
                <w:lang w:val="hy-AM"/>
              </w:rPr>
              <w:t xml:space="preserve"> </w:t>
            </w:r>
            <w:r>
              <w:rPr>
                <w:rFonts w:cs="Sylfaen"/>
                <w:sz w:val="20"/>
                <w:szCs w:val="20"/>
                <w:lang w:val="hy-AM"/>
              </w:rPr>
              <w:t>ՀՆԱ</w:t>
            </w:r>
            <w:r>
              <w:rPr>
                <w:sz w:val="20"/>
                <w:szCs w:val="20"/>
                <w:lang w:val="hy-AM"/>
              </w:rPr>
              <w:t>-</w:t>
            </w:r>
            <w:r>
              <w:rPr>
                <w:rFonts w:cs="Sylfaen"/>
                <w:sz w:val="20"/>
                <w:szCs w:val="20"/>
                <w:lang w:val="hy-AM"/>
              </w:rPr>
              <w:t>ի</w:t>
            </w:r>
            <w:r>
              <w:rPr>
                <w:sz w:val="20"/>
                <w:szCs w:val="20"/>
                <w:lang w:val="hy-AM"/>
              </w:rPr>
              <w:t xml:space="preserve"> </w:t>
            </w:r>
            <w:r>
              <w:rPr>
                <w:rFonts w:cs="Sylfaen"/>
                <w:sz w:val="20"/>
                <w:szCs w:val="20"/>
                <w:lang w:val="hy-AM"/>
              </w:rPr>
              <w:t>նկատմամբ</w:t>
            </w:r>
            <w:r>
              <w:rPr>
                <w:sz w:val="20"/>
                <w:szCs w:val="20"/>
                <w:lang w:val="hy-AM"/>
              </w:rPr>
              <w:t xml:space="preserve"> (%)</w:t>
            </w:r>
          </w:p>
        </w:tc>
        <w:tc>
          <w:tcPr>
            <w:tcW w:w="688" w:type="pct"/>
            <w:tcBorders>
              <w:top w:val="single" w:sz="6" w:space="0" w:color="auto"/>
              <w:left w:val="single" w:sz="6" w:space="0" w:color="auto"/>
              <w:bottom w:val="single" w:sz="6" w:space="0" w:color="auto"/>
              <w:right w:val="single" w:sz="6" w:space="0" w:color="auto"/>
            </w:tcBorders>
            <w:tcMar>
              <w:top w:w="0" w:type="dxa"/>
              <w:left w:w="57" w:type="dxa"/>
              <w:bottom w:w="0" w:type="dxa"/>
              <w:right w:w="85" w:type="dxa"/>
            </w:tcMar>
            <w:vAlign w:val="center"/>
            <w:hideMark/>
          </w:tcPr>
          <w:p w14:paraId="586B65C7" w14:textId="77777777" w:rsidR="00B57206" w:rsidRPr="00B57206" w:rsidRDefault="00B57206">
            <w:pPr>
              <w:jc w:val="right"/>
              <w:rPr>
                <w:rFonts w:cs="Calibri"/>
                <w:bCs/>
                <w:color w:val="000000"/>
                <w:sz w:val="20"/>
                <w:szCs w:val="20"/>
              </w:rPr>
            </w:pPr>
            <w:r w:rsidRPr="00B57206">
              <w:rPr>
                <w:rFonts w:cs="Calibri"/>
                <w:bCs/>
                <w:color w:val="000000"/>
                <w:sz w:val="20"/>
                <w:szCs w:val="20"/>
              </w:rPr>
              <w:t>2.5%</w:t>
            </w:r>
          </w:p>
        </w:tc>
        <w:tc>
          <w:tcPr>
            <w:tcW w:w="686" w:type="pct"/>
            <w:tcBorders>
              <w:top w:val="single" w:sz="6" w:space="0" w:color="auto"/>
              <w:left w:val="single" w:sz="6" w:space="0" w:color="auto"/>
              <w:bottom w:val="single" w:sz="6" w:space="0" w:color="auto"/>
              <w:right w:val="single" w:sz="6" w:space="0" w:color="auto"/>
            </w:tcBorders>
            <w:tcMar>
              <w:top w:w="0" w:type="dxa"/>
              <w:left w:w="57" w:type="dxa"/>
              <w:bottom w:w="0" w:type="dxa"/>
              <w:right w:w="85" w:type="dxa"/>
            </w:tcMar>
            <w:vAlign w:val="center"/>
            <w:hideMark/>
          </w:tcPr>
          <w:p w14:paraId="2B2C7722" w14:textId="77777777" w:rsidR="00B57206" w:rsidRPr="00B57206" w:rsidRDefault="00B57206">
            <w:pPr>
              <w:jc w:val="right"/>
              <w:rPr>
                <w:rFonts w:cs="Calibri"/>
                <w:bCs/>
                <w:color w:val="000000"/>
                <w:sz w:val="20"/>
                <w:szCs w:val="20"/>
              </w:rPr>
            </w:pPr>
            <w:r w:rsidRPr="00B57206">
              <w:rPr>
                <w:rFonts w:cs="Calibri"/>
                <w:bCs/>
                <w:color w:val="000000"/>
                <w:sz w:val="20"/>
                <w:szCs w:val="20"/>
              </w:rPr>
              <w:t>1.6%</w:t>
            </w:r>
          </w:p>
        </w:tc>
        <w:tc>
          <w:tcPr>
            <w:tcW w:w="68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14:paraId="63E32625" w14:textId="77777777" w:rsidR="00B57206" w:rsidRPr="00B57206" w:rsidRDefault="00B57206">
            <w:pPr>
              <w:jc w:val="right"/>
              <w:rPr>
                <w:rFonts w:cs="Calibri"/>
                <w:bCs/>
                <w:color w:val="000000"/>
                <w:sz w:val="20"/>
                <w:szCs w:val="20"/>
              </w:rPr>
            </w:pPr>
            <w:r w:rsidRPr="00B57206">
              <w:rPr>
                <w:rFonts w:cs="Calibri"/>
                <w:bCs/>
                <w:color w:val="000000"/>
                <w:sz w:val="20"/>
                <w:szCs w:val="20"/>
              </w:rPr>
              <w:t>2.1%</w:t>
            </w:r>
          </w:p>
        </w:tc>
        <w:tc>
          <w:tcPr>
            <w:tcW w:w="642" w:type="pct"/>
            <w:tcBorders>
              <w:top w:val="single" w:sz="6" w:space="0" w:color="auto"/>
              <w:left w:val="single" w:sz="6" w:space="0" w:color="auto"/>
              <w:bottom w:val="single" w:sz="6" w:space="0" w:color="auto"/>
              <w:right w:val="double" w:sz="4" w:space="0" w:color="auto"/>
            </w:tcBorders>
            <w:tcMar>
              <w:top w:w="0" w:type="dxa"/>
              <w:left w:w="108" w:type="dxa"/>
              <w:bottom w:w="0" w:type="dxa"/>
              <w:right w:w="108" w:type="dxa"/>
            </w:tcMar>
            <w:vAlign w:val="center"/>
            <w:hideMark/>
          </w:tcPr>
          <w:p w14:paraId="1C3B4EA2" w14:textId="77777777" w:rsidR="00B57206" w:rsidRPr="00B57206" w:rsidRDefault="00B57206">
            <w:pPr>
              <w:jc w:val="right"/>
              <w:rPr>
                <w:rFonts w:cs="Calibri"/>
                <w:bCs/>
                <w:color w:val="000000"/>
                <w:sz w:val="20"/>
                <w:szCs w:val="20"/>
              </w:rPr>
            </w:pPr>
            <w:r w:rsidRPr="00B57206">
              <w:rPr>
                <w:rFonts w:cs="Calibri"/>
                <w:bCs/>
                <w:color w:val="000000"/>
                <w:sz w:val="20"/>
                <w:szCs w:val="20"/>
              </w:rPr>
              <w:t>0.6%</w:t>
            </w:r>
          </w:p>
        </w:tc>
      </w:tr>
      <w:tr w:rsidR="00B57206" w14:paraId="20F8273F" w14:textId="77777777" w:rsidTr="00CB6CFF">
        <w:trPr>
          <w:trHeight w:val="20"/>
        </w:trPr>
        <w:tc>
          <w:tcPr>
            <w:tcW w:w="2303" w:type="pct"/>
            <w:tcBorders>
              <w:top w:val="single" w:sz="6" w:space="0" w:color="auto"/>
              <w:left w:val="double" w:sz="4" w:space="0" w:color="auto"/>
              <w:bottom w:val="single" w:sz="6" w:space="0" w:color="auto"/>
              <w:right w:val="single" w:sz="6" w:space="0" w:color="auto"/>
            </w:tcBorders>
            <w:tcMar>
              <w:top w:w="0" w:type="dxa"/>
              <w:left w:w="57" w:type="dxa"/>
              <w:bottom w:w="0" w:type="dxa"/>
              <w:right w:w="85" w:type="dxa"/>
            </w:tcMar>
            <w:vAlign w:val="center"/>
            <w:hideMark/>
          </w:tcPr>
          <w:p w14:paraId="1A48F280" w14:textId="77777777" w:rsidR="00B57206" w:rsidRDefault="00B57206" w:rsidP="00FF2D29">
            <w:pPr>
              <w:pStyle w:val="BodyText"/>
              <w:spacing w:after="0" w:line="256" w:lineRule="auto"/>
              <w:ind w:firstLine="0"/>
              <w:rPr>
                <w:sz w:val="20"/>
                <w:szCs w:val="20"/>
                <w:lang w:val="hy-AM"/>
              </w:rPr>
            </w:pPr>
            <w:r>
              <w:rPr>
                <w:sz w:val="20"/>
                <w:szCs w:val="20"/>
                <w:lang w:val="hy-AM"/>
              </w:rPr>
              <w:t xml:space="preserve">- </w:t>
            </w:r>
            <w:r>
              <w:rPr>
                <w:rFonts w:cs="Sylfaen"/>
                <w:bCs/>
                <w:iCs/>
                <w:sz w:val="20"/>
                <w:szCs w:val="20"/>
                <w:lang w:val="hy-AM"/>
              </w:rPr>
              <w:t>տեսակարար</w:t>
            </w:r>
            <w:r>
              <w:rPr>
                <w:rFonts w:cs="Times Armenian"/>
                <w:bCs/>
                <w:iCs/>
                <w:sz w:val="20"/>
                <w:szCs w:val="20"/>
                <w:lang w:val="hy-AM"/>
              </w:rPr>
              <w:t xml:space="preserve"> </w:t>
            </w:r>
            <w:r>
              <w:rPr>
                <w:rFonts w:cs="Sylfaen"/>
                <w:bCs/>
                <w:iCs/>
                <w:sz w:val="20"/>
                <w:szCs w:val="20"/>
                <w:lang w:val="hy-AM"/>
              </w:rPr>
              <w:t>կշիռը</w:t>
            </w:r>
            <w:r>
              <w:rPr>
                <w:rFonts w:cs="Times Armenian"/>
                <w:bCs/>
                <w:iCs/>
                <w:sz w:val="20"/>
                <w:szCs w:val="20"/>
                <w:lang w:val="hy-AM"/>
              </w:rPr>
              <w:t xml:space="preserve"> </w:t>
            </w:r>
            <w:r>
              <w:rPr>
                <w:rFonts w:cs="Sylfaen"/>
                <w:bCs/>
                <w:iCs/>
                <w:sz w:val="20"/>
                <w:szCs w:val="20"/>
                <w:lang w:val="hy-AM"/>
              </w:rPr>
              <w:t>ծախսերի</w:t>
            </w:r>
            <w:r>
              <w:rPr>
                <w:rFonts w:cs="Times Armenian"/>
                <w:bCs/>
                <w:iCs/>
                <w:sz w:val="20"/>
                <w:szCs w:val="20"/>
                <w:lang w:val="hy-AM"/>
              </w:rPr>
              <w:t xml:space="preserve"> </w:t>
            </w:r>
            <w:r>
              <w:rPr>
                <w:rFonts w:cs="Sylfaen"/>
                <w:bCs/>
                <w:iCs/>
                <w:sz w:val="20"/>
                <w:szCs w:val="20"/>
                <w:lang w:val="hy-AM"/>
              </w:rPr>
              <w:t>ամբողջ</w:t>
            </w:r>
            <w:r>
              <w:rPr>
                <w:rFonts w:cs="Times Armenian"/>
                <w:bCs/>
                <w:iCs/>
                <w:sz w:val="20"/>
                <w:szCs w:val="20"/>
                <w:lang w:val="hy-AM"/>
              </w:rPr>
              <w:t xml:space="preserve"> </w:t>
            </w:r>
            <w:r>
              <w:rPr>
                <w:rFonts w:cs="Sylfaen"/>
                <w:bCs/>
                <w:iCs/>
                <w:sz w:val="20"/>
                <w:szCs w:val="20"/>
                <w:lang w:val="hy-AM"/>
              </w:rPr>
              <w:t>ծավալում</w:t>
            </w:r>
            <w:r>
              <w:rPr>
                <w:rFonts w:cs="Times Armenian"/>
                <w:bCs/>
                <w:iCs/>
                <w:sz w:val="20"/>
                <w:szCs w:val="20"/>
                <w:lang w:val="hy-AM"/>
              </w:rPr>
              <w:t xml:space="preserve"> (%</w:t>
            </w:r>
            <w:r>
              <w:rPr>
                <w:bCs/>
                <w:iCs/>
                <w:sz w:val="20"/>
                <w:szCs w:val="20"/>
                <w:lang w:val="hy-AM"/>
              </w:rPr>
              <w:t>)</w:t>
            </w:r>
          </w:p>
        </w:tc>
        <w:tc>
          <w:tcPr>
            <w:tcW w:w="688" w:type="pct"/>
            <w:tcBorders>
              <w:top w:val="single" w:sz="6" w:space="0" w:color="auto"/>
              <w:left w:val="single" w:sz="6" w:space="0" w:color="auto"/>
              <w:bottom w:val="single" w:sz="6" w:space="0" w:color="auto"/>
              <w:right w:val="single" w:sz="6" w:space="0" w:color="auto"/>
            </w:tcBorders>
            <w:tcMar>
              <w:top w:w="0" w:type="dxa"/>
              <w:left w:w="57" w:type="dxa"/>
              <w:bottom w:w="0" w:type="dxa"/>
              <w:right w:w="85" w:type="dxa"/>
            </w:tcMar>
            <w:vAlign w:val="center"/>
            <w:hideMark/>
          </w:tcPr>
          <w:p w14:paraId="7B8BD603" w14:textId="77777777" w:rsidR="00B57206" w:rsidRPr="00B57206" w:rsidRDefault="00B57206">
            <w:pPr>
              <w:jc w:val="right"/>
              <w:rPr>
                <w:rFonts w:cs="Calibri"/>
                <w:bCs/>
                <w:color w:val="000000"/>
                <w:sz w:val="20"/>
                <w:szCs w:val="20"/>
              </w:rPr>
            </w:pPr>
            <w:r w:rsidRPr="00B57206">
              <w:rPr>
                <w:rFonts w:cs="Calibri"/>
                <w:bCs/>
                <w:color w:val="000000"/>
                <w:sz w:val="20"/>
                <w:szCs w:val="20"/>
              </w:rPr>
              <w:t>8.7%</w:t>
            </w:r>
          </w:p>
        </w:tc>
        <w:tc>
          <w:tcPr>
            <w:tcW w:w="686" w:type="pct"/>
            <w:tcBorders>
              <w:top w:val="single" w:sz="6" w:space="0" w:color="auto"/>
              <w:left w:val="single" w:sz="6" w:space="0" w:color="auto"/>
              <w:bottom w:val="single" w:sz="6" w:space="0" w:color="auto"/>
              <w:right w:val="single" w:sz="6" w:space="0" w:color="auto"/>
            </w:tcBorders>
            <w:tcMar>
              <w:top w:w="0" w:type="dxa"/>
              <w:left w:w="57" w:type="dxa"/>
              <w:bottom w:w="0" w:type="dxa"/>
              <w:right w:w="85" w:type="dxa"/>
            </w:tcMar>
            <w:vAlign w:val="center"/>
            <w:hideMark/>
          </w:tcPr>
          <w:p w14:paraId="3E9E362A" w14:textId="77777777" w:rsidR="00B57206" w:rsidRPr="00B57206" w:rsidRDefault="00B57206">
            <w:pPr>
              <w:jc w:val="right"/>
              <w:rPr>
                <w:rFonts w:cs="Calibri"/>
                <w:bCs/>
                <w:color w:val="000000"/>
                <w:sz w:val="20"/>
                <w:szCs w:val="20"/>
              </w:rPr>
            </w:pPr>
            <w:r w:rsidRPr="00B57206">
              <w:rPr>
                <w:rFonts w:cs="Calibri"/>
                <w:bCs/>
                <w:color w:val="000000"/>
                <w:sz w:val="20"/>
                <w:szCs w:val="20"/>
              </w:rPr>
              <w:t>6.2%</w:t>
            </w:r>
          </w:p>
        </w:tc>
        <w:tc>
          <w:tcPr>
            <w:tcW w:w="681" w:type="pc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14:paraId="5690B383" w14:textId="77777777" w:rsidR="00B57206" w:rsidRPr="00B57206" w:rsidRDefault="00B57206">
            <w:pPr>
              <w:jc w:val="right"/>
              <w:rPr>
                <w:rFonts w:cs="Calibri"/>
                <w:bCs/>
                <w:color w:val="000000"/>
                <w:sz w:val="20"/>
                <w:szCs w:val="20"/>
              </w:rPr>
            </w:pPr>
            <w:r w:rsidRPr="00B57206">
              <w:rPr>
                <w:rFonts w:cs="Calibri"/>
                <w:bCs/>
                <w:color w:val="000000"/>
                <w:sz w:val="20"/>
                <w:szCs w:val="20"/>
              </w:rPr>
              <w:t>8.0%</w:t>
            </w:r>
          </w:p>
        </w:tc>
        <w:tc>
          <w:tcPr>
            <w:tcW w:w="642" w:type="pct"/>
            <w:tcBorders>
              <w:top w:val="single" w:sz="6" w:space="0" w:color="auto"/>
              <w:left w:val="single" w:sz="6" w:space="0" w:color="auto"/>
              <w:bottom w:val="single" w:sz="6" w:space="0" w:color="auto"/>
              <w:right w:val="double" w:sz="4" w:space="0" w:color="auto"/>
            </w:tcBorders>
            <w:tcMar>
              <w:top w:w="0" w:type="dxa"/>
              <w:left w:w="108" w:type="dxa"/>
              <w:bottom w:w="0" w:type="dxa"/>
              <w:right w:w="108" w:type="dxa"/>
            </w:tcMar>
            <w:vAlign w:val="center"/>
            <w:hideMark/>
          </w:tcPr>
          <w:p w14:paraId="084382A8" w14:textId="77777777" w:rsidR="00B57206" w:rsidRPr="00B57206" w:rsidRDefault="00B57206">
            <w:pPr>
              <w:jc w:val="right"/>
              <w:rPr>
                <w:rFonts w:cs="Calibri"/>
                <w:bCs/>
                <w:color w:val="000000"/>
                <w:sz w:val="20"/>
                <w:szCs w:val="20"/>
              </w:rPr>
            </w:pPr>
            <w:r w:rsidRPr="00B57206">
              <w:rPr>
                <w:rFonts w:cs="Calibri"/>
                <w:bCs/>
                <w:color w:val="000000"/>
                <w:sz w:val="20"/>
                <w:szCs w:val="20"/>
              </w:rPr>
              <w:t>2.2%</w:t>
            </w:r>
          </w:p>
        </w:tc>
      </w:tr>
    </w:tbl>
    <w:p w14:paraId="6B0668E9" w14:textId="77777777" w:rsidR="00396B97" w:rsidRDefault="00396B97" w:rsidP="00396B97">
      <w:pPr>
        <w:spacing w:line="360" w:lineRule="auto"/>
        <w:ind w:firstLine="720"/>
        <w:rPr>
          <w:rFonts w:eastAsia="Times New Roman" w:cs="Sylfaen"/>
        </w:rPr>
      </w:pPr>
    </w:p>
    <w:p w14:paraId="6FF3A85B" w14:textId="77777777" w:rsidR="002A51B1" w:rsidRDefault="00396B97" w:rsidP="002A51B1">
      <w:pPr>
        <w:spacing w:line="276" w:lineRule="auto"/>
        <w:rPr>
          <w:rFonts w:eastAsia="Times New Roman" w:cs="Times New Roman"/>
          <w:b/>
          <w:color w:val="1F497D" w:themeColor="text2"/>
          <w:sz w:val="28"/>
          <w:szCs w:val="28"/>
        </w:rPr>
      </w:pPr>
      <w:r w:rsidRPr="002A51B1">
        <w:rPr>
          <w:rFonts w:cs="Arial"/>
          <w:lang w:val="hy-AM"/>
        </w:rPr>
        <w:t>Արտաքին</w:t>
      </w:r>
      <w:r w:rsidRPr="002A51B1">
        <w:rPr>
          <w:lang w:val="hy-AM"/>
        </w:rPr>
        <w:t xml:space="preserve">  </w:t>
      </w:r>
      <w:r w:rsidRPr="002A51B1">
        <w:rPr>
          <w:rFonts w:cs="Arial"/>
          <w:lang w:val="hy-AM"/>
        </w:rPr>
        <w:t>աղբյուրներից</w:t>
      </w:r>
      <w:r w:rsidRPr="002A51B1">
        <w:rPr>
          <w:lang w:val="hy-AM"/>
        </w:rPr>
        <w:t xml:space="preserve"> </w:t>
      </w:r>
      <w:r w:rsidRPr="002A51B1">
        <w:rPr>
          <w:rFonts w:cs="Arial"/>
          <w:lang w:val="hy-AM"/>
        </w:rPr>
        <w:t>վարկերի</w:t>
      </w:r>
      <w:r w:rsidRPr="002A51B1">
        <w:rPr>
          <w:lang w:val="hy-AM"/>
        </w:rPr>
        <w:t xml:space="preserve"> </w:t>
      </w:r>
      <w:r w:rsidRPr="002A51B1">
        <w:rPr>
          <w:rFonts w:cs="Arial"/>
          <w:lang w:val="hy-AM"/>
        </w:rPr>
        <w:t>և</w:t>
      </w:r>
      <w:r w:rsidRPr="002A51B1">
        <w:rPr>
          <w:lang w:val="hy-AM"/>
        </w:rPr>
        <w:t xml:space="preserve"> </w:t>
      </w:r>
      <w:r w:rsidRPr="002A51B1">
        <w:rPr>
          <w:rFonts w:cs="Arial"/>
          <w:lang w:val="hy-AM"/>
        </w:rPr>
        <w:t>պաշտոնական</w:t>
      </w:r>
      <w:r w:rsidRPr="002A51B1">
        <w:rPr>
          <w:lang w:val="hy-AM"/>
        </w:rPr>
        <w:t xml:space="preserve"> </w:t>
      </w:r>
      <w:r w:rsidRPr="002A51B1">
        <w:rPr>
          <w:rFonts w:cs="Arial"/>
          <w:lang w:val="hy-AM"/>
        </w:rPr>
        <w:t>դրամաշնորհների</w:t>
      </w:r>
      <w:r w:rsidRPr="002A51B1">
        <w:rPr>
          <w:lang w:val="hy-AM"/>
        </w:rPr>
        <w:t xml:space="preserve"> </w:t>
      </w:r>
      <w:r w:rsidRPr="002A51B1">
        <w:rPr>
          <w:rFonts w:cs="Arial"/>
          <w:lang w:val="hy-AM"/>
        </w:rPr>
        <w:t>տեսքով</w:t>
      </w:r>
      <w:r w:rsidRPr="002A51B1">
        <w:rPr>
          <w:lang w:val="hy-AM"/>
        </w:rPr>
        <w:t xml:space="preserve"> </w:t>
      </w:r>
      <w:r w:rsidRPr="002A51B1">
        <w:rPr>
          <w:rFonts w:cs="Arial"/>
          <w:lang w:val="hy-AM"/>
        </w:rPr>
        <w:t>ստաց</w:t>
      </w:r>
      <w:r w:rsidRPr="002A51B1">
        <w:rPr>
          <w:lang w:val="hy-AM"/>
        </w:rPr>
        <w:softHyphen/>
      </w:r>
      <w:r w:rsidRPr="002A51B1">
        <w:rPr>
          <w:rFonts w:cs="Arial"/>
          <w:lang w:val="hy-AM"/>
        </w:rPr>
        <w:t>վե</w:t>
      </w:r>
      <w:r w:rsidRPr="002A51B1">
        <w:rPr>
          <w:lang w:val="hy-AM"/>
        </w:rPr>
        <w:softHyphen/>
      </w:r>
      <w:r w:rsidRPr="002A51B1">
        <w:rPr>
          <w:rFonts w:cs="Arial"/>
          <w:lang w:val="hy-AM"/>
        </w:rPr>
        <w:t>լիք</w:t>
      </w:r>
      <w:r w:rsidRPr="002A51B1">
        <w:rPr>
          <w:lang w:val="hy-AM"/>
        </w:rPr>
        <w:t xml:space="preserve"> </w:t>
      </w:r>
      <w:r w:rsidRPr="002A51B1">
        <w:rPr>
          <w:rFonts w:cs="Arial"/>
          <w:lang w:val="hy-AM"/>
        </w:rPr>
        <w:t>մի</w:t>
      </w:r>
      <w:r w:rsidRPr="002A51B1">
        <w:rPr>
          <w:lang w:val="hy-AM"/>
        </w:rPr>
        <w:softHyphen/>
      </w:r>
      <w:r w:rsidRPr="002A51B1">
        <w:rPr>
          <w:rFonts w:cs="Arial"/>
          <w:lang w:val="hy-AM"/>
        </w:rPr>
        <w:t>ջոցների</w:t>
      </w:r>
      <w:r w:rsidRPr="002A51B1">
        <w:rPr>
          <w:lang w:val="hy-AM"/>
        </w:rPr>
        <w:t xml:space="preserve"> </w:t>
      </w:r>
      <w:r w:rsidRPr="002A51B1">
        <w:rPr>
          <w:rFonts w:cs="Arial"/>
          <w:lang w:val="hy-AM"/>
        </w:rPr>
        <w:t>հաշվին</w:t>
      </w:r>
      <w:r w:rsidRPr="002A51B1">
        <w:rPr>
          <w:lang w:val="hy-AM"/>
        </w:rPr>
        <w:t xml:space="preserve"> </w:t>
      </w:r>
      <w:r w:rsidRPr="002A51B1">
        <w:rPr>
          <w:rFonts w:cs="Arial"/>
          <w:lang w:val="hy-AM"/>
        </w:rPr>
        <w:t>կանխատեսվող</w:t>
      </w:r>
      <w:r w:rsidRPr="002A51B1">
        <w:rPr>
          <w:lang w:val="hy-AM"/>
        </w:rPr>
        <w:t xml:space="preserve"> 2021-2023</w:t>
      </w:r>
      <w:r w:rsidR="00823E7A">
        <w:rPr>
          <w:lang w:val="hy-AM"/>
        </w:rPr>
        <w:t xml:space="preserve"> </w:t>
      </w:r>
      <w:r w:rsidRPr="002A51B1">
        <w:rPr>
          <w:rFonts w:cs="Arial"/>
          <w:lang w:val="hy-AM"/>
        </w:rPr>
        <w:t>թվականների</w:t>
      </w:r>
      <w:r w:rsidRPr="002A51B1">
        <w:rPr>
          <w:lang w:val="hy-AM"/>
        </w:rPr>
        <w:t xml:space="preserve"> </w:t>
      </w:r>
      <w:r w:rsidRPr="002A51B1">
        <w:rPr>
          <w:rFonts w:cs="Arial"/>
          <w:lang w:val="hy-AM"/>
        </w:rPr>
        <w:t>ծախսերի</w:t>
      </w:r>
      <w:r w:rsidRPr="002A51B1">
        <w:rPr>
          <w:lang w:val="hy-AM"/>
        </w:rPr>
        <w:t xml:space="preserve"> </w:t>
      </w:r>
      <w:r w:rsidRPr="002A51B1">
        <w:rPr>
          <w:rFonts w:cs="Arial"/>
          <w:lang w:val="hy-AM"/>
        </w:rPr>
        <w:t>միջին</w:t>
      </w:r>
      <w:r w:rsidRPr="002A51B1">
        <w:rPr>
          <w:lang w:val="hy-AM"/>
        </w:rPr>
        <w:t xml:space="preserve"> </w:t>
      </w:r>
      <w:r w:rsidRPr="002A51B1">
        <w:rPr>
          <w:rFonts w:cs="Arial"/>
          <w:lang w:val="hy-AM"/>
        </w:rPr>
        <w:t>տարեկան</w:t>
      </w:r>
      <w:r w:rsidRPr="002A51B1">
        <w:rPr>
          <w:lang w:val="hy-AM"/>
        </w:rPr>
        <w:t xml:space="preserve"> </w:t>
      </w:r>
      <w:r w:rsidRPr="002A51B1">
        <w:rPr>
          <w:rFonts w:cs="Arial"/>
          <w:lang w:val="hy-AM"/>
        </w:rPr>
        <w:t>տե</w:t>
      </w:r>
      <w:r w:rsidRPr="002A51B1">
        <w:rPr>
          <w:lang w:val="hy-AM"/>
        </w:rPr>
        <w:softHyphen/>
      </w:r>
      <w:r w:rsidRPr="002A51B1">
        <w:rPr>
          <w:rFonts w:cs="Arial"/>
          <w:lang w:val="hy-AM"/>
        </w:rPr>
        <w:t>սա</w:t>
      </w:r>
      <w:r w:rsidRPr="002A51B1">
        <w:rPr>
          <w:lang w:val="hy-AM"/>
        </w:rPr>
        <w:softHyphen/>
      </w:r>
      <w:r w:rsidRPr="002A51B1">
        <w:rPr>
          <w:rFonts w:cs="Arial"/>
          <w:lang w:val="hy-AM"/>
        </w:rPr>
        <w:t>կա</w:t>
      </w:r>
      <w:r w:rsidRPr="002A51B1">
        <w:rPr>
          <w:lang w:val="hy-AM"/>
        </w:rPr>
        <w:softHyphen/>
      </w:r>
      <w:r w:rsidRPr="002A51B1">
        <w:rPr>
          <w:rFonts w:cs="Arial"/>
          <w:lang w:val="hy-AM"/>
        </w:rPr>
        <w:t>րար</w:t>
      </w:r>
      <w:r w:rsidRPr="002A51B1">
        <w:rPr>
          <w:lang w:val="hy-AM"/>
        </w:rPr>
        <w:t xml:space="preserve"> </w:t>
      </w:r>
      <w:r w:rsidRPr="002A51B1">
        <w:rPr>
          <w:rFonts w:cs="Arial"/>
          <w:lang w:val="hy-AM"/>
        </w:rPr>
        <w:t>կշիռը</w:t>
      </w:r>
      <w:r w:rsidRPr="002A51B1">
        <w:rPr>
          <w:lang w:val="hy-AM"/>
        </w:rPr>
        <w:t xml:space="preserve"> </w:t>
      </w:r>
      <w:r w:rsidRPr="002A51B1">
        <w:rPr>
          <w:rFonts w:cs="Arial"/>
          <w:lang w:val="hy-AM"/>
        </w:rPr>
        <w:t>բյուջետային</w:t>
      </w:r>
      <w:r w:rsidRPr="002A51B1">
        <w:rPr>
          <w:lang w:val="hy-AM"/>
        </w:rPr>
        <w:t xml:space="preserve"> </w:t>
      </w:r>
      <w:r w:rsidRPr="002A51B1">
        <w:rPr>
          <w:rFonts w:cs="Arial"/>
          <w:lang w:val="hy-AM"/>
        </w:rPr>
        <w:t>ծախսերի</w:t>
      </w:r>
      <w:r w:rsidRPr="002A51B1">
        <w:rPr>
          <w:lang w:val="hy-AM"/>
        </w:rPr>
        <w:t xml:space="preserve"> </w:t>
      </w:r>
      <w:r w:rsidRPr="002A51B1">
        <w:rPr>
          <w:rFonts w:cs="Arial"/>
          <w:lang w:val="hy-AM"/>
        </w:rPr>
        <w:t>ամբողջ</w:t>
      </w:r>
      <w:r w:rsidRPr="002A51B1">
        <w:rPr>
          <w:lang w:val="hy-AM"/>
        </w:rPr>
        <w:t xml:space="preserve"> </w:t>
      </w:r>
      <w:r w:rsidRPr="002A51B1">
        <w:rPr>
          <w:rFonts w:cs="Arial"/>
          <w:lang w:val="hy-AM"/>
        </w:rPr>
        <w:t>ծավալում</w:t>
      </w:r>
      <w:r w:rsidRPr="002A51B1">
        <w:rPr>
          <w:lang w:val="hy-AM"/>
        </w:rPr>
        <w:t xml:space="preserve"> </w:t>
      </w:r>
      <w:r w:rsidRPr="002A51B1">
        <w:rPr>
          <w:rFonts w:cs="Arial"/>
          <w:lang w:val="hy-AM"/>
        </w:rPr>
        <w:t>կազմում</w:t>
      </w:r>
      <w:r w:rsidRPr="002A51B1">
        <w:rPr>
          <w:lang w:val="hy-AM"/>
        </w:rPr>
        <w:t xml:space="preserve"> </w:t>
      </w:r>
      <w:r w:rsidRPr="002A51B1">
        <w:rPr>
          <w:rFonts w:cs="Arial"/>
          <w:lang w:val="hy-AM"/>
        </w:rPr>
        <w:t>է</w:t>
      </w:r>
      <w:r w:rsidRPr="002A51B1">
        <w:rPr>
          <w:lang w:val="hy-AM"/>
        </w:rPr>
        <w:t xml:space="preserve"> </w:t>
      </w:r>
      <w:r w:rsidR="00B57206">
        <w:rPr>
          <w:lang w:val="hy-AM"/>
        </w:rPr>
        <w:t>5</w:t>
      </w:r>
      <w:r w:rsidR="00B57206">
        <w:rPr>
          <w:rFonts w:ascii="Cambria Math" w:hAnsi="Cambria Math"/>
          <w:lang w:val="hy-AM"/>
        </w:rPr>
        <w:t>․</w:t>
      </w:r>
      <w:r w:rsidR="00B57206">
        <w:rPr>
          <w:lang w:val="hy-AM"/>
        </w:rPr>
        <w:t>5</w:t>
      </w:r>
      <w:r w:rsidRPr="002A51B1">
        <w:rPr>
          <w:lang w:val="hy-AM"/>
        </w:rPr>
        <w:t xml:space="preserve">% </w:t>
      </w:r>
      <w:r w:rsidRPr="002A51B1">
        <w:rPr>
          <w:rFonts w:cs="Arial"/>
          <w:lang w:val="hy-AM"/>
        </w:rPr>
        <w:t>և</w:t>
      </w:r>
      <w:r w:rsidRPr="002A51B1">
        <w:rPr>
          <w:lang w:val="hy-AM"/>
        </w:rPr>
        <w:t xml:space="preserve"> </w:t>
      </w:r>
      <w:r w:rsidRPr="002A51B1">
        <w:rPr>
          <w:rFonts w:cs="Arial"/>
          <w:lang w:val="hy-AM"/>
        </w:rPr>
        <w:t>ՀՆԱ</w:t>
      </w:r>
      <w:r w:rsidRPr="002A51B1">
        <w:rPr>
          <w:lang w:val="hy-AM"/>
        </w:rPr>
        <w:t>-</w:t>
      </w:r>
      <w:r w:rsidRPr="002A51B1">
        <w:rPr>
          <w:rFonts w:cs="Arial"/>
          <w:lang w:val="hy-AM"/>
        </w:rPr>
        <w:t>ի</w:t>
      </w:r>
      <w:r w:rsidRPr="002A51B1">
        <w:rPr>
          <w:lang w:val="hy-AM"/>
        </w:rPr>
        <w:t xml:space="preserve"> </w:t>
      </w:r>
      <w:r w:rsidRPr="002A51B1">
        <w:rPr>
          <w:rFonts w:cs="Arial"/>
          <w:lang w:val="hy-AM"/>
        </w:rPr>
        <w:t>նկատ</w:t>
      </w:r>
      <w:r w:rsidRPr="002A51B1">
        <w:rPr>
          <w:lang w:val="hy-AM"/>
        </w:rPr>
        <w:softHyphen/>
      </w:r>
      <w:r w:rsidRPr="002A51B1">
        <w:rPr>
          <w:rFonts w:cs="Arial"/>
          <w:lang w:val="hy-AM"/>
        </w:rPr>
        <w:t>մամբ՝</w:t>
      </w:r>
      <w:r w:rsidRPr="002A51B1">
        <w:rPr>
          <w:lang w:val="hy-AM"/>
        </w:rPr>
        <w:t xml:space="preserve"> </w:t>
      </w:r>
      <w:r w:rsidR="008C19B5">
        <w:rPr>
          <w:lang w:val="hy-AM"/>
        </w:rPr>
        <w:t>1</w:t>
      </w:r>
      <w:r w:rsidR="008C19B5">
        <w:rPr>
          <w:rFonts w:ascii="Cambria Math" w:hAnsi="Cambria Math"/>
          <w:lang w:val="hy-AM"/>
        </w:rPr>
        <w:t>․</w:t>
      </w:r>
      <w:r w:rsidR="00B57206">
        <w:rPr>
          <w:rFonts w:ascii="Cambria Math" w:hAnsi="Cambria Math"/>
          <w:lang w:val="hy-AM"/>
        </w:rPr>
        <w:t>4</w:t>
      </w:r>
      <w:r w:rsidRPr="002A51B1">
        <w:rPr>
          <w:lang w:val="hy-AM"/>
        </w:rPr>
        <w:t xml:space="preserve">%: </w:t>
      </w:r>
    </w:p>
    <w:p w14:paraId="718E92AF" w14:textId="77777777" w:rsidR="002A51B1" w:rsidRDefault="002A51B1" w:rsidP="00231073">
      <w:pPr>
        <w:pStyle w:val="Heading3"/>
        <w:numPr>
          <w:ilvl w:val="0"/>
          <w:numId w:val="0"/>
        </w:numPr>
        <w:ind w:left="720"/>
        <w:rPr>
          <w:rFonts w:eastAsia="Times New Roman" w:cs="Times New Roman"/>
          <w:caps w:val="0"/>
          <w:color w:val="1F497D" w:themeColor="text2"/>
          <w:sz w:val="28"/>
          <w:szCs w:val="28"/>
          <w:lang w:val="en-US"/>
        </w:rPr>
      </w:pPr>
    </w:p>
    <w:p w14:paraId="059E2582" w14:textId="77777777" w:rsidR="00B36686" w:rsidRPr="00231073" w:rsidRDefault="002344BE" w:rsidP="00231073">
      <w:pPr>
        <w:pStyle w:val="Heading3"/>
        <w:numPr>
          <w:ilvl w:val="0"/>
          <w:numId w:val="0"/>
        </w:numPr>
        <w:ind w:left="720"/>
        <w:rPr>
          <w:rFonts w:eastAsia="Times New Roman" w:cs="Times New Roman"/>
          <w:caps w:val="0"/>
          <w:color w:val="1F497D" w:themeColor="text2"/>
          <w:sz w:val="28"/>
          <w:szCs w:val="28"/>
          <w:lang w:val="en-US"/>
        </w:rPr>
      </w:pPr>
      <w:bookmarkStart w:id="272" w:name="_Toc46154364"/>
      <w:r w:rsidRPr="007C008F">
        <w:rPr>
          <w:rFonts w:eastAsia="Times New Roman" w:cs="Times New Roman"/>
          <w:caps w:val="0"/>
          <w:color w:val="1F497D" w:themeColor="text2"/>
          <w:sz w:val="28"/>
          <w:szCs w:val="28"/>
          <w:lang w:val="en-US"/>
        </w:rPr>
        <w:t>4.</w:t>
      </w:r>
      <w:r w:rsidR="00595A2D" w:rsidRPr="0035033F">
        <w:rPr>
          <w:rFonts w:eastAsia="Times New Roman" w:cs="Times New Roman"/>
          <w:caps w:val="0"/>
          <w:color w:val="1F497D" w:themeColor="text2"/>
          <w:sz w:val="28"/>
          <w:szCs w:val="28"/>
          <w:lang w:val="en-US"/>
        </w:rPr>
        <w:t>4</w:t>
      </w:r>
      <w:r w:rsidR="00231073">
        <w:rPr>
          <w:rFonts w:eastAsia="Times New Roman" w:cs="Times New Roman"/>
          <w:caps w:val="0"/>
          <w:color w:val="1F497D" w:themeColor="text2"/>
          <w:sz w:val="28"/>
          <w:szCs w:val="28"/>
        </w:rPr>
        <w:t>.</w:t>
      </w:r>
      <w:r w:rsidR="00B35CA4" w:rsidRPr="007C008F">
        <w:rPr>
          <w:rFonts w:eastAsia="Times New Roman" w:cs="Times New Roman"/>
          <w:caps w:val="0"/>
          <w:color w:val="1F497D" w:themeColor="text2"/>
          <w:sz w:val="28"/>
          <w:szCs w:val="28"/>
          <w:lang w:val="en-US"/>
        </w:rPr>
        <w:t xml:space="preserve">  </w:t>
      </w:r>
      <w:r w:rsidR="00824F14">
        <w:rPr>
          <w:rFonts w:eastAsia="Times New Roman" w:cs="Times New Roman"/>
          <w:caps w:val="0"/>
          <w:color w:val="1F497D" w:themeColor="text2"/>
          <w:sz w:val="28"/>
          <w:szCs w:val="28"/>
          <w:lang w:val="en-US"/>
        </w:rPr>
        <w:t xml:space="preserve">ԿԱՆԽԱՏԵՍՎՈՂ ՓՈՓՈԽՈՒԹՅՈՒՆՆԵՐՆ </w:t>
      </w:r>
      <w:r w:rsidR="00BF2763" w:rsidRPr="007C008F">
        <w:rPr>
          <w:rFonts w:eastAsia="Times New Roman" w:cs="Times New Roman"/>
          <w:caps w:val="0"/>
          <w:color w:val="1F497D" w:themeColor="text2"/>
          <w:sz w:val="28"/>
          <w:szCs w:val="28"/>
          <w:lang w:val="en-US"/>
        </w:rPr>
        <w:t>ԸՍՏ ՏՆՏԵՍԱԳԻՏԱԿԱՆ ԴԱՍԱԿԱՐԳՄԱՆ</w:t>
      </w:r>
      <w:bookmarkEnd w:id="271"/>
      <w:bookmarkEnd w:id="272"/>
    </w:p>
    <w:p w14:paraId="1F11AF4A" w14:textId="77777777" w:rsidR="00173FEB" w:rsidRPr="0035033F" w:rsidRDefault="00173FEB" w:rsidP="0035033F">
      <w:pPr>
        <w:rPr>
          <w:lang w:val="hy-AM"/>
        </w:rPr>
      </w:pPr>
    </w:p>
    <w:p w14:paraId="047E732B" w14:textId="77777777" w:rsidR="00B10E34" w:rsidRPr="002A51B1" w:rsidRDefault="00B10E34" w:rsidP="002A51B1">
      <w:pPr>
        <w:spacing w:line="276" w:lineRule="auto"/>
        <w:ind w:firstLine="720"/>
        <w:rPr>
          <w:lang w:val="af-ZA"/>
        </w:rPr>
      </w:pPr>
      <w:r w:rsidRPr="002A51B1">
        <w:rPr>
          <w:lang w:val="af-ZA"/>
        </w:rPr>
        <w:t xml:space="preserve">2021-2023 </w:t>
      </w:r>
      <w:r w:rsidRPr="003B1F5F">
        <w:rPr>
          <w:lang w:val="hy-AM"/>
        </w:rPr>
        <w:t>թվակա</w:t>
      </w:r>
      <w:r w:rsidRPr="003B1F5F">
        <w:rPr>
          <w:rFonts w:cs="Sylfaen"/>
          <w:lang w:val="hy-AM"/>
        </w:rPr>
        <w:t>նների</w:t>
      </w:r>
      <w:r w:rsidRPr="002A51B1">
        <w:rPr>
          <w:lang w:val="af-ZA"/>
        </w:rPr>
        <w:t xml:space="preserve"> </w:t>
      </w:r>
      <w:r w:rsidRPr="003B1F5F">
        <w:rPr>
          <w:rFonts w:cs="Sylfaen"/>
          <w:lang w:val="hy-AM"/>
        </w:rPr>
        <w:t>ժամանակահատվածում</w:t>
      </w:r>
      <w:r w:rsidRPr="002A51B1">
        <w:rPr>
          <w:lang w:val="af-ZA"/>
        </w:rPr>
        <w:t xml:space="preserve"> </w:t>
      </w:r>
      <w:r w:rsidRPr="003B1F5F">
        <w:rPr>
          <w:rFonts w:cs="Sylfaen"/>
          <w:lang w:val="hy-AM"/>
        </w:rPr>
        <w:t>պետական</w:t>
      </w:r>
      <w:r w:rsidRPr="002A51B1">
        <w:rPr>
          <w:lang w:val="af-ZA"/>
        </w:rPr>
        <w:t xml:space="preserve"> </w:t>
      </w:r>
      <w:r w:rsidRPr="003B1F5F">
        <w:rPr>
          <w:rFonts w:cs="Sylfaen"/>
          <w:lang w:val="hy-AM"/>
        </w:rPr>
        <w:t>բյուջեի</w:t>
      </w:r>
      <w:r w:rsidRPr="002A51B1">
        <w:rPr>
          <w:lang w:val="af-ZA"/>
        </w:rPr>
        <w:t xml:space="preserve"> </w:t>
      </w:r>
      <w:r w:rsidRPr="002A51B1">
        <w:rPr>
          <w:lang w:val="it-IT"/>
        </w:rPr>
        <w:t>ընթա</w:t>
      </w:r>
      <w:r w:rsidRPr="002A51B1">
        <w:rPr>
          <w:lang w:val="it-IT"/>
        </w:rPr>
        <w:softHyphen/>
        <w:t>ցիկ</w:t>
      </w:r>
      <w:r w:rsidRPr="002A51B1">
        <w:rPr>
          <w:lang w:val="af-ZA"/>
        </w:rPr>
        <w:t xml:space="preserve"> </w:t>
      </w:r>
      <w:r w:rsidRPr="003B1F5F">
        <w:rPr>
          <w:rFonts w:cs="Sylfaen"/>
          <w:lang w:val="hy-AM"/>
        </w:rPr>
        <w:t>ծախ</w:t>
      </w:r>
      <w:r w:rsidRPr="002A51B1">
        <w:rPr>
          <w:rFonts w:cs="Sylfaen"/>
          <w:lang w:val="af-ZA"/>
        </w:rPr>
        <w:softHyphen/>
      </w:r>
      <w:r w:rsidRPr="003B1F5F">
        <w:rPr>
          <w:rFonts w:cs="Sylfaen"/>
          <w:lang w:val="hy-AM"/>
        </w:rPr>
        <w:t>սերի</w:t>
      </w:r>
      <w:r w:rsidRPr="002A51B1">
        <w:rPr>
          <w:lang w:val="af-ZA"/>
        </w:rPr>
        <w:t xml:space="preserve"> </w:t>
      </w:r>
      <w:r w:rsidRPr="003B1F5F">
        <w:rPr>
          <w:rFonts w:cs="Sylfaen"/>
          <w:lang w:val="hy-AM"/>
        </w:rPr>
        <w:t>հարա</w:t>
      </w:r>
      <w:r w:rsidRPr="002A51B1">
        <w:rPr>
          <w:rFonts w:cs="Sylfaen"/>
          <w:lang w:val="af-ZA"/>
        </w:rPr>
        <w:softHyphen/>
      </w:r>
      <w:r w:rsidRPr="003B1F5F">
        <w:rPr>
          <w:rFonts w:cs="Sylfaen"/>
          <w:lang w:val="hy-AM"/>
        </w:rPr>
        <w:t>բերակցությունը</w:t>
      </w:r>
      <w:r w:rsidRPr="002A51B1">
        <w:rPr>
          <w:lang w:val="af-ZA"/>
        </w:rPr>
        <w:t xml:space="preserve"> </w:t>
      </w:r>
      <w:r w:rsidRPr="003B1F5F">
        <w:rPr>
          <w:rFonts w:cs="Sylfaen"/>
          <w:lang w:val="hy-AM"/>
        </w:rPr>
        <w:t>ՀՆԱ</w:t>
      </w:r>
      <w:r w:rsidRPr="002A51B1">
        <w:rPr>
          <w:lang w:val="af-ZA"/>
        </w:rPr>
        <w:t>-</w:t>
      </w:r>
      <w:r w:rsidRPr="003B1F5F">
        <w:rPr>
          <w:rFonts w:cs="Sylfaen"/>
          <w:lang w:val="hy-AM"/>
        </w:rPr>
        <w:t>ի</w:t>
      </w:r>
      <w:r w:rsidRPr="002A51B1">
        <w:rPr>
          <w:lang w:val="af-ZA"/>
        </w:rPr>
        <w:t xml:space="preserve"> </w:t>
      </w:r>
      <w:r w:rsidRPr="003B1F5F">
        <w:rPr>
          <w:rFonts w:cs="Sylfaen"/>
          <w:lang w:val="hy-AM"/>
        </w:rPr>
        <w:t>նկատմամբ</w:t>
      </w:r>
      <w:r w:rsidRPr="002A51B1">
        <w:rPr>
          <w:lang w:val="af-ZA"/>
        </w:rPr>
        <w:t xml:space="preserve"> </w:t>
      </w:r>
      <w:r w:rsidRPr="003B1F5F">
        <w:rPr>
          <w:rFonts w:cs="Sylfaen"/>
          <w:lang w:val="hy-AM"/>
        </w:rPr>
        <w:t>կտատանվի</w:t>
      </w:r>
      <w:r w:rsidRPr="002A51B1">
        <w:rPr>
          <w:lang w:val="af-ZA"/>
        </w:rPr>
        <w:t xml:space="preserve"> 22.8 %-</w:t>
      </w:r>
      <w:r w:rsidRPr="002A51B1">
        <w:rPr>
          <w:lang w:val="it-IT"/>
        </w:rPr>
        <w:t>ից</w:t>
      </w:r>
      <w:r w:rsidRPr="002A51B1">
        <w:rPr>
          <w:lang w:val="af-ZA"/>
        </w:rPr>
        <w:t xml:space="preserve"> 21.4%-</w:t>
      </w:r>
      <w:r w:rsidRPr="003B1F5F">
        <w:rPr>
          <w:rFonts w:cs="Sylfaen"/>
          <w:lang w:val="hy-AM"/>
        </w:rPr>
        <w:t>ի</w:t>
      </w:r>
      <w:r w:rsidRPr="002A51B1">
        <w:rPr>
          <w:lang w:val="af-ZA"/>
        </w:rPr>
        <w:t xml:space="preserve"> </w:t>
      </w:r>
      <w:r w:rsidRPr="003B1F5F">
        <w:rPr>
          <w:rFonts w:cs="Sylfaen"/>
          <w:lang w:val="hy-AM"/>
        </w:rPr>
        <w:t>միջա</w:t>
      </w:r>
      <w:r w:rsidRPr="002A51B1">
        <w:rPr>
          <w:rFonts w:cs="Sylfaen"/>
          <w:lang w:val="af-ZA"/>
        </w:rPr>
        <w:softHyphen/>
      </w:r>
      <w:r w:rsidRPr="003B1F5F">
        <w:rPr>
          <w:rFonts w:cs="Sylfaen"/>
          <w:lang w:val="hy-AM"/>
        </w:rPr>
        <w:t>կայքում</w:t>
      </w:r>
      <w:r w:rsidRPr="002A51B1">
        <w:rPr>
          <w:lang w:val="af-ZA"/>
        </w:rPr>
        <w:t xml:space="preserve">: </w:t>
      </w:r>
      <w:r w:rsidRPr="003B1F5F">
        <w:rPr>
          <w:rFonts w:cs="Sylfaen"/>
          <w:lang w:val="hy-AM"/>
        </w:rPr>
        <w:t>Նույն</w:t>
      </w:r>
      <w:r w:rsidRPr="002A51B1">
        <w:rPr>
          <w:lang w:val="af-ZA"/>
        </w:rPr>
        <w:t xml:space="preserve"> </w:t>
      </w:r>
      <w:r w:rsidRPr="003B1F5F">
        <w:rPr>
          <w:rFonts w:cs="Sylfaen"/>
          <w:lang w:val="hy-AM"/>
        </w:rPr>
        <w:t>ժա</w:t>
      </w:r>
      <w:r w:rsidRPr="002A51B1">
        <w:rPr>
          <w:rFonts w:cs="Sylfaen"/>
          <w:lang w:val="af-ZA"/>
        </w:rPr>
        <w:softHyphen/>
      </w:r>
      <w:r w:rsidRPr="003B1F5F">
        <w:rPr>
          <w:rFonts w:cs="Sylfaen"/>
          <w:lang w:val="hy-AM"/>
        </w:rPr>
        <w:t>մա</w:t>
      </w:r>
      <w:r w:rsidRPr="002A51B1">
        <w:rPr>
          <w:rFonts w:cs="Sylfaen"/>
          <w:lang w:val="af-ZA"/>
        </w:rPr>
        <w:softHyphen/>
      </w:r>
      <w:r w:rsidRPr="003B1F5F">
        <w:rPr>
          <w:rFonts w:cs="Sylfaen"/>
          <w:lang w:val="hy-AM"/>
        </w:rPr>
        <w:t>նա</w:t>
      </w:r>
      <w:r w:rsidRPr="002A51B1">
        <w:rPr>
          <w:rFonts w:cs="Sylfaen"/>
          <w:lang w:val="af-ZA"/>
        </w:rPr>
        <w:softHyphen/>
      </w:r>
      <w:r w:rsidRPr="003B1F5F">
        <w:rPr>
          <w:rFonts w:cs="Sylfaen"/>
          <w:lang w:val="hy-AM"/>
        </w:rPr>
        <w:t>կա</w:t>
      </w:r>
      <w:r w:rsidRPr="002A51B1">
        <w:rPr>
          <w:rFonts w:cs="Sylfaen"/>
          <w:lang w:val="af-ZA"/>
        </w:rPr>
        <w:softHyphen/>
      </w:r>
      <w:r w:rsidRPr="003B1F5F">
        <w:rPr>
          <w:rFonts w:cs="Sylfaen"/>
          <w:lang w:val="hy-AM"/>
        </w:rPr>
        <w:t>հատ</w:t>
      </w:r>
      <w:r w:rsidRPr="002A51B1">
        <w:rPr>
          <w:rFonts w:cs="Sylfaen"/>
          <w:lang w:val="af-ZA"/>
        </w:rPr>
        <w:softHyphen/>
      </w:r>
      <w:r w:rsidRPr="003B1F5F">
        <w:rPr>
          <w:rFonts w:cs="Sylfaen"/>
          <w:lang w:val="hy-AM"/>
        </w:rPr>
        <w:t>վա</w:t>
      </w:r>
      <w:r w:rsidRPr="002A51B1">
        <w:rPr>
          <w:rFonts w:cs="Sylfaen"/>
          <w:lang w:val="af-ZA"/>
        </w:rPr>
        <w:softHyphen/>
      </w:r>
      <w:r w:rsidRPr="003B1F5F">
        <w:rPr>
          <w:rFonts w:cs="Sylfaen"/>
          <w:lang w:val="hy-AM"/>
        </w:rPr>
        <w:t>ծում</w:t>
      </w:r>
      <w:r w:rsidRPr="002A51B1">
        <w:rPr>
          <w:rFonts w:cs="Sylfaen"/>
          <w:lang w:val="af-ZA"/>
        </w:rPr>
        <w:t xml:space="preserve"> </w:t>
      </w:r>
      <w:r w:rsidRPr="003B1F5F">
        <w:rPr>
          <w:rFonts w:cs="Sylfaen"/>
          <w:lang w:val="hy-AM"/>
        </w:rPr>
        <w:t>ոչ</w:t>
      </w:r>
      <w:r w:rsidRPr="002A51B1">
        <w:rPr>
          <w:rFonts w:cs="Sylfaen"/>
          <w:lang w:val="af-ZA"/>
        </w:rPr>
        <w:t xml:space="preserve"> </w:t>
      </w:r>
      <w:r w:rsidRPr="003B1F5F">
        <w:rPr>
          <w:rFonts w:cs="Sylfaen"/>
          <w:lang w:val="hy-AM"/>
        </w:rPr>
        <w:t>ֆինանսական</w:t>
      </w:r>
      <w:r w:rsidRPr="002A51B1">
        <w:rPr>
          <w:rFonts w:cs="Sylfaen"/>
          <w:lang w:val="af-ZA"/>
        </w:rPr>
        <w:t xml:space="preserve"> </w:t>
      </w:r>
      <w:r w:rsidRPr="003B1F5F">
        <w:rPr>
          <w:rFonts w:cs="Sylfaen"/>
          <w:lang w:val="hy-AM"/>
        </w:rPr>
        <w:t>ակտիվների</w:t>
      </w:r>
      <w:r w:rsidRPr="002A51B1">
        <w:rPr>
          <w:rFonts w:cs="Sylfaen"/>
          <w:lang w:val="af-ZA"/>
        </w:rPr>
        <w:t xml:space="preserve"> </w:t>
      </w:r>
      <w:r w:rsidRPr="003B1F5F">
        <w:rPr>
          <w:rFonts w:cs="Sylfaen"/>
          <w:lang w:val="hy-AM"/>
        </w:rPr>
        <w:t>գծով</w:t>
      </w:r>
      <w:r w:rsidRPr="002A51B1">
        <w:rPr>
          <w:rFonts w:cs="Sylfaen"/>
          <w:lang w:val="af-ZA"/>
        </w:rPr>
        <w:t xml:space="preserve"> </w:t>
      </w:r>
      <w:r w:rsidRPr="003B1F5F">
        <w:rPr>
          <w:rFonts w:cs="Sylfaen"/>
          <w:lang w:val="hy-AM"/>
        </w:rPr>
        <w:t>զուտ</w:t>
      </w:r>
      <w:r w:rsidRPr="002A51B1">
        <w:rPr>
          <w:rFonts w:cs="Sylfaen"/>
          <w:lang w:val="af-ZA"/>
        </w:rPr>
        <w:t xml:space="preserve"> </w:t>
      </w:r>
      <w:r w:rsidRPr="003B1F5F">
        <w:rPr>
          <w:rFonts w:cs="Sylfaen"/>
          <w:lang w:val="hy-AM"/>
        </w:rPr>
        <w:t>ծախ</w:t>
      </w:r>
      <w:r w:rsidRPr="002A51B1">
        <w:rPr>
          <w:rFonts w:cs="Sylfaen"/>
          <w:lang w:val="af-ZA"/>
        </w:rPr>
        <w:softHyphen/>
      </w:r>
      <w:r w:rsidRPr="003B1F5F">
        <w:rPr>
          <w:rFonts w:cs="Sylfaen"/>
          <w:lang w:val="hy-AM"/>
        </w:rPr>
        <w:t>սերի</w:t>
      </w:r>
      <w:r w:rsidRPr="002A51B1">
        <w:rPr>
          <w:rFonts w:cs="Sylfaen"/>
          <w:lang w:val="af-ZA"/>
        </w:rPr>
        <w:t xml:space="preserve"> </w:t>
      </w:r>
      <w:r w:rsidRPr="003B1F5F">
        <w:rPr>
          <w:rFonts w:cs="Sylfaen"/>
          <w:lang w:val="hy-AM"/>
        </w:rPr>
        <w:t>հարա</w:t>
      </w:r>
      <w:r w:rsidRPr="002A51B1">
        <w:rPr>
          <w:rFonts w:cs="Sylfaen"/>
          <w:lang w:val="af-ZA"/>
        </w:rPr>
        <w:softHyphen/>
      </w:r>
      <w:r w:rsidRPr="003B1F5F">
        <w:rPr>
          <w:rFonts w:cs="Sylfaen"/>
          <w:lang w:val="hy-AM"/>
        </w:rPr>
        <w:t>բե</w:t>
      </w:r>
      <w:r w:rsidRPr="002A51B1">
        <w:rPr>
          <w:rFonts w:cs="Sylfaen"/>
          <w:lang w:val="af-ZA"/>
        </w:rPr>
        <w:softHyphen/>
      </w:r>
      <w:r w:rsidRPr="003B1F5F">
        <w:rPr>
          <w:rFonts w:cs="Sylfaen"/>
          <w:lang w:val="hy-AM"/>
        </w:rPr>
        <w:t>րակ</w:t>
      </w:r>
      <w:r w:rsidRPr="002A51B1">
        <w:rPr>
          <w:rFonts w:cs="Sylfaen"/>
          <w:lang w:val="af-ZA"/>
        </w:rPr>
        <w:softHyphen/>
      </w:r>
      <w:r w:rsidRPr="003B1F5F">
        <w:rPr>
          <w:rFonts w:cs="Sylfaen"/>
          <w:lang w:val="hy-AM"/>
        </w:rPr>
        <w:t>ցությունները</w:t>
      </w:r>
      <w:r w:rsidRPr="002A51B1">
        <w:rPr>
          <w:lang w:val="af-ZA"/>
        </w:rPr>
        <w:t xml:space="preserve"> </w:t>
      </w:r>
      <w:r w:rsidRPr="003B1F5F">
        <w:rPr>
          <w:rFonts w:cs="Sylfaen"/>
          <w:lang w:val="hy-AM"/>
        </w:rPr>
        <w:t>ՀՆԱ</w:t>
      </w:r>
      <w:r w:rsidRPr="002A51B1">
        <w:rPr>
          <w:lang w:val="af-ZA"/>
        </w:rPr>
        <w:t>-</w:t>
      </w:r>
      <w:r w:rsidRPr="003B1F5F">
        <w:rPr>
          <w:rFonts w:cs="Sylfaen"/>
          <w:lang w:val="hy-AM"/>
        </w:rPr>
        <w:t>ի</w:t>
      </w:r>
      <w:r w:rsidRPr="002A51B1">
        <w:rPr>
          <w:lang w:val="af-ZA"/>
        </w:rPr>
        <w:t xml:space="preserve"> </w:t>
      </w:r>
      <w:r w:rsidRPr="003B1F5F">
        <w:rPr>
          <w:rFonts w:cs="Sylfaen"/>
          <w:lang w:val="hy-AM"/>
        </w:rPr>
        <w:t>նկատ</w:t>
      </w:r>
      <w:r w:rsidRPr="002A51B1">
        <w:rPr>
          <w:rFonts w:cs="Sylfaen"/>
          <w:lang w:val="af-ZA"/>
        </w:rPr>
        <w:softHyphen/>
      </w:r>
      <w:r w:rsidRPr="003B1F5F">
        <w:rPr>
          <w:rFonts w:cs="Sylfaen"/>
          <w:lang w:val="hy-AM"/>
        </w:rPr>
        <w:t>մամբ</w:t>
      </w:r>
      <w:r w:rsidRPr="002A51B1">
        <w:rPr>
          <w:lang w:val="af-ZA"/>
        </w:rPr>
        <w:t xml:space="preserve"> </w:t>
      </w:r>
      <w:r w:rsidRPr="003B1F5F">
        <w:rPr>
          <w:rFonts w:cs="Sylfaen"/>
          <w:lang w:val="hy-AM"/>
        </w:rPr>
        <w:t>կտա</w:t>
      </w:r>
      <w:r w:rsidRPr="002A51B1">
        <w:rPr>
          <w:rFonts w:cs="Sylfaen"/>
          <w:lang w:val="af-ZA"/>
        </w:rPr>
        <w:softHyphen/>
      </w:r>
      <w:r w:rsidRPr="003B1F5F">
        <w:rPr>
          <w:rFonts w:cs="Sylfaen"/>
          <w:lang w:val="hy-AM"/>
        </w:rPr>
        <w:t>տանվի</w:t>
      </w:r>
      <w:r w:rsidRPr="002A51B1">
        <w:rPr>
          <w:lang w:val="af-ZA"/>
        </w:rPr>
        <w:t xml:space="preserve"> </w:t>
      </w:r>
      <w:r w:rsidRPr="003B1F5F">
        <w:rPr>
          <w:rFonts w:cs="Sylfaen"/>
          <w:lang w:val="hy-AM"/>
        </w:rPr>
        <w:t>համապատասխանաբար</w:t>
      </w:r>
      <w:r w:rsidRPr="002A51B1">
        <w:rPr>
          <w:rFonts w:cs="Sylfaen"/>
          <w:lang w:val="af-ZA"/>
        </w:rPr>
        <w:t xml:space="preserve"> 3.5</w:t>
      </w:r>
      <w:r w:rsidRPr="002A51B1">
        <w:rPr>
          <w:lang w:val="af-ZA"/>
        </w:rPr>
        <w:t>%-</w:t>
      </w:r>
      <w:r w:rsidRPr="002A51B1">
        <w:rPr>
          <w:lang w:val="it-IT"/>
        </w:rPr>
        <w:t>ից</w:t>
      </w:r>
      <w:r w:rsidRPr="002A51B1">
        <w:rPr>
          <w:lang w:val="af-ZA"/>
        </w:rPr>
        <w:t xml:space="preserve"> 4.7% </w:t>
      </w:r>
      <w:r w:rsidRPr="003B1F5F">
        <w:rPr>
          <w:rFonts w:cs="Sylfaen"/>
          <w:lang w:val="hy-AM"/>
        </w:rPr>
        <w:t>միջա</w:t>
      </w:r>
      <w:r w:rsidRPr="002A51B1">
        <w:rPr>
          <w:rFonts w:cs="Sylfaen"/>
          <w:lang w:val="af-ZA"/>
        </w:rPr>
        <w:softHyphen/>
      </w:r>
      <w:r w:rsidRPr="002A51B1">
        <w:rPr>
          <w:rFonts w:cs="Sylfaen"/>
          <w:lang w:val="af-ZA"/>
        </w:rPr>
        <w:softHyphen/>
      </w:r>
      <w:r w:rsidRPr="002A51B1">
        <w:rPr>
          <w:rFonts w:cs="Sylfaen"/>
          <w:lang w:val="af-ZA"/>
        </w:rPr>
        <w:softHyphen/>
      </w:r>
      <w:r w:rsidRPr="003B1F5F">
        <w:rPr>
          <w:rFonts w:cs="Sylfaen"/>
          <w:lang w:val="hy-AM"/>
        </w:rPr>
        <w:t>կայ</w:t>
      </w:r>
      <w:r w:rsidRPr="002A51B1">
        <w:rPr>
          <w:rFonts w:cs="Sylfaen"/>
          <w:lang w:val="af-ZA"/>
        </w:rPr>
        <w:softHyphen/>
      </w:r>
      <w:r w:rsidRPr="003B1F5F">
        <w:rPr>
          <w:rFonts w:cs="Sylfaen"/>
          <w:lang w:val="hy-AM"/>
        </w:rPr>
        <w:t>քում</w:t>
      </w:r>
      <w:r w:rsidRPr="002A51B1">
        <w:rPr>
          <w:lang w:val="af-ZA"/>
        </w:rPr>
        <w:t xml:space="preserve">: </w:t>
      </w:r>
    </w:p>
    <w:p w14:paraId="0214DE77" w14:textId="77777777" w:rsidR="00B10E34" w:rsidRPr="00363E4C" w:rsidRDefault="00B10E34" w:rsidP="006B2C4E">
      <w:pPr>
        <w:spacing w:line="240" w:lineRule="auto"/>
        <w:ind w:firstLine="720"/>
        <w:rPr>
          <w:lang w:val="af-ZA"/>
        </w:rPr>
      </w:pPr>
    </w:p>
    <w:p w14:paraId="75A7244A" w14:textId="77777777" w:rsidR="00B10E34" w:rsidRPr="009D66F0" w:rsidRDefault="00B10E34" w:rsidP="00B10E34">
      <w:pPr>
        <w:rPr>
          <w:rFonts w:cs="Sylfaen"/>
          <w:sz w:val="20"/>
          <w:szCs w:val="20"/>
          <w:lang w:val="af-ZA"/>
        </w:rPr>
      </w:pPr>
      <w:r w:rsidRPr="009D66F0">
        <w:rPr>
          <w:rFonts w:cs="Sylfaen"/>
          <w:b/>
          <w:sz w:val="20"/>
          <w:szCs w:val="20"/>
        </w:rPr>
        <w:t>Աղյուսակ</w:t>
      </w:r>
      <w:r w:rsidRPr="009D66F0">
        <w:rPr>
          <w:b/>
          <w:sz w:val="20"/>
          <w:szCs w:val="20"/>
          <w:lang w:val="af-ZA"/>
        </w:rPr>
        <w:t xml:space="preserve"> 4.</w:t>
      </w:r>
      <w:r w:rsidR="002A51B1" w:rsidRPr="009D66F0">
        <w:rPr>
          <w:b/>
          <w:sz w:val="20"/>
          <w:szCs w:val="20"/>
          <w:lang w:val="af-ZA"/>
        </w:rPr>
        <w:t>4</w:t>
      </w:r>
      <w:r w:rsidRPr="009D66F0">
        <w:rPr>
          <w:b/>
          <w:sz w:val="20"/>
          <w:szCs w:val="20"/>
          <w:lang w:val="af-ZA"/>
        </w:rPr>
        <w:t>.</w:t>
      </w:r>
      <w:r w:rsidR="002A51B1" w:rsidRPr="009D66F0">
        <w:rPr>
          <w:b/>
          <w:sz w:val="20"/>
          <w:szCs w:val="20"/>
          <w:lang w:val="af-ZA"/>
        </w:rPr>
        <w:t>1</w:t>
      </w:r>
      <w:r w:rsidRPr="009D66F0">
        <w:rPr>
          <w:sz w:val="20"/>
          <w:szCs w:val="20"/>
          <w:lang w:val="af-ZA"/>
        </w:rPr>
        <w:t xml:space="preserve"> </w:t>
      </w:r>
      <w:r w:rsidRPr="009D66F0">
        <w:rPr>
          <w:i/>
          <w:sz w:val="20"/>
          <w:szCs w:val="20"/>
          <w:lang w:val="af-ZA"/>
        </w:rPr>
        <w:t>2020-2023</w:t>
      </w:r>
      <w:r w:rsidRPr="009D66F0">
        <w:rPr>
          <w:i/>
          <w:sz w:val="20"/>
          <w:szCs w:val="20"/>
          <w:lang w:val="it-IT"/>
        </w:rPr>
        <w:t>թթ</w:t>
      </w:r>
      <w:r w:rsidRPr="009D66F0">
        <w:rPr>
          <w:i/>
          <w:sz w:val="20"/>
          <w:szCs w:val="20"/>
          <w:lang w:val="af-ZA"/>
        </w:rPr>
        <w:t xml:space="preserve"> </w:t>
      </w:r>
      <w:r w:rsidRPr="009D66F0">
        <w:rPr>
          <w:rFonts w:cs="Sylfaen"/>
          <w:i/>
          <w:sz w:val="20"/>
          <w:szCs w:val="20"/>
        </w:rPr>
        <w:t>ընթացիկ</w:t>
      </w:r>
      <w:r w:rsidRPr="009D66F0">
        <w:rPr>
          <w:i/>
          <w:sz w:val="20"/>
          <w:szCs w:val="20"/>
          <w:lang w:val="af-ZA"/>
        </w:rPr>
        <w:t xml:space="preserve"> </w:t>
      </w:r>
      <w:r w:rsidRPr="009D66F0">
        <w:rPr>
          <w:rFonts w:cs="Sylfaen"/>
          <w:i/>
          <w:sz w:val="20"/>
          <w:szCs w:val="20"/>
        </w:rPr>
        <w:t>և</w:t>
      </w:r>
      <w:r w:rsidRPr="009D66F0">
        <w:rPr>
          <w:i/>
          <w:sz w:val="20"/>
          <w:szCs w:val="20"/>
          <w:lang w:val="af-ZA"/>
        </w:rPr>
        <w:t xml:space="preserve"> </w:t>
      </w:r>
      <w:r w:rsidRPr="009D66F0">
        <w:rPr>
          <w:rFonts w:cs="Sylfaen"/>
          <w:i/>
          <w:sz w:val="20"/>
          <w:szCs w:val="20"/>
        </w:rPr>
        <w:t>ոչ</w:t>
      </w:r>
      <w:r w:rsidRPr="009D66F0">
        <w:rPr>
          <w:rFonts w:cs="Sylfaen"/>
          <w:i/>
          <w:sz w:val="20"/>
          <w:szCs w:val="20"/>
          <w:lang w:val="af-ZA"/>
        </w:rPr>
        <w:t xml:space="preserve"> </w:t>
      </w:r>
      <w:r w:rsidRPr="009D66F0">
        <w:rPr>
          <w:rFonts w:cs="Sylfaen"/>
          <w:i/>
          <w:sz w:val="20"/>
          <w:szCs w:val="20"/>
        </w:rPr>
        <w:t>ֆինանսական</w:t>
      </w:r>
      <w:r w:rsidRPr="009D66F0">
        <w:rPr>
          <w:rFonts w:cs="Sylfaen"/>
          <w:i/>
          <w:sz w:val="20"/>
          <w:szCs w:val="20"/>
          <w:lang w:val="af-ZA"/>
        </w:rPr>
        <w:t xml:space="preserve"> </w:t>
      </w:r>
      <w:r w:rsidRPr="009D66F0">
        <w:rPr>
          <w:rFonts w:cs="Sylfaen"/>
          <w:i/>
          <w:sz w:val="20"/>
          <w:szCs w:val="20"/>
        </w:rPr>
        <w:t>ակտիվների</w:t>
      </w:r>
      <w:r w:rsidRPr="009D66F0">
        <w:rPr>
          <w:rFonts w:cs="Sylfaen"/>
          <w:i/>
          <w:sz w:val="20"/>
          <w:szCs w:val="20"/>
          <w:lang w:val="af-ZA"/>
        </w:rPr>
        <w:t xml:space="preserve"> </w:t>
      </w:r>
      <w:r w:rsidRPr="009D66F0">
        <w:rPr>
          <w:rFonts w:cs="Sylfaen"/>
          <w:i/>
          <w:sz w:val="20"/>
          <w:szCs w:val="20"/>
        </w:rPr>
        <w:t>գծով</w:t>
      </w:r>
      <w:r w:rsidRPr="009D66F0">
        <w:rPr>
          <w:rFonts w:cs="Sylfaen"/>
          <w:i/>
          <w:sz w:val="20"/>
          <w:szCs w:val="20"/>
          <w:lang w:val="af-ZA"/>
        </w:rPr>
        <w:t xml:space="preserve"> </w:t>
      </w:r>
      <w:r w:rsidRPr="009D66F0">
        <w:rPr>
          <w:rFonts w:cs="Sylfaen"/>
          <w:i/>
          <w:sz w:val="20"/>
          <w:szCs w:val="20"/>
        </w:rPr>
        <w:t>ծախսերի</w:t>
      </w:r>
      <w:r w:rsidRPr="009D66F0">
        <w:rPr>
          <w:i/>
          <w:sz w:val="20"/>
          <w:szCs w:val="20"/>
          <w:lang w:val="af-ZA"/>
        </w:rPr>
        <w:t xml:space="preserve"> </w:t>
      </w:r>
      <w:r w:rsidRPr="009D66F0">
        <w:rPr>
          <w:rFonts w:cs="Sylfaen"/>
          <w:i/>
          <w:sz w:val="20"/>
          <w:szCs w:val="20"/>
        </w:rPr>
        <w:t>փոփոխության</w:t>
      </w:r>
      <w:r w:rsidRPr="009D66F0">
        <w:rPr>
          <w:i/>
          <w:sz w:val="20"/>
          <w:szCs w:val="20"/>
          <w:lang w:val="af-ZA"/>
        </w:rPr>
        <w:t xml:space="preserve"> </w:t>
      </w:r>
      <w:r w:rsidRPr="009D66F0">
        <w:rPr>
          <w:rFonts w:cs="Sylfaen"/>
          <w:i/>
          <w:sz w:val="20"/>
          <w:szCs w:val="20"/>
        </w:rPr>
        <w:t>և</w:t>
      </w:r>
      <w:r w:rsidRPr="009D66F0">
        <w:rPr>
          <w:i/>
          <w:sz w:val="20"/>
          <w:szCs w:val="20"/>
          <w:lang w:val="af-ZA"/>
        </w:rPr>
        <w:t xml:space="preserve"> </w:t>
      </w:r>
      <w:r w:rsidRPr="009D66F0">
        <w:rPr>
          <w:rFonts w:cs="Sylfaen"/>
          <w:i/>
          <w:sz w:val="20"/>
          <w:szCs w:val="20"/>
        </w:rPr>
        <w:t>հարաբերակցության</w:t>
      </w:r>
      <w:r w:rsidRPr="009D66F0">
        <w:rPr>
          <w:i/>
          <w:sz w:val="20"/>
          <w:szCs w:val="20"/>
          <w:lang w:val="af-ZA"/>
        </w:rPr>
        <w:t xml:space="preserve"> </w:t>
      </w:r>
      <w:r w:rsidRPr="009D66F0">
        <w:rPr>
          <w:rFonts w:cs="Sylfaen"/>
          <w:i/>
          <w:sz w:val="20"/>
          <w:szCs w:val="20"/>
        </w:rPr>
        <w:t>միտումները</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07"/>
        <w:gridCol w:w="1778"/>
        <w:gridCol w:w="1752"/>
        <w:gridCol w:w="1821"/>
        <w:gridCol w:w="1428"/>
      </w:tblGrid>
      <w:tr w:rsidR="000C7BC1" w:rsidRPr="000C7BC1" w14:paraId="4D17CBBC" w14:textId="77777777" w:rsidTr="00FF5FF7">
        <w:trPr>
          <w:trHeight w:val="20"/>
        </w:trPr>
        <w:tc>
          <w:tcPr>
            <w:tcW w:w="1605" w:type="pct"/>
            <w:shd w:val="clear" w:color="auto" w:fill="365F91" w:themeFill="accent1" w:themeFillShade="BF"/>
            <w:tcMar>
              <w:left w:w="57" w:type="dxa"/>
              <w:right w:w="85" w:type="dxa"/>
            </w:tcMar>
            <w:vAlign w:val="center"/>
          </w:tcPr>
          <w:p w14:paraId="28281968" w14:textId="77777777" w:rsidR="000C7BC1" w:rsidRPr="000C7BC1" w:rsidRDefault="000C7BC1" w:rsidP="00AB4FF7">
            <w:pPr>
              <w:pStyle w:val="BodyText"/>
              <w:spacing w:line="240" w:lineRule="auto"/>
              <w:ind w:left="284"/>
              <w:jc w:val="center"/>
              <w:rPr>
                <w:rFonts w:eastAsia="Arial Unicode MS"/>
                <w:color w:val="FFFFFF" w:themeColor="background1"/>
                <w:sz w:val="20"/>
                <w:szCs w:val="20"/>
                <w:lang w:val="hy-AM"/>
              </w:rPr>
            </w:pPr>
            <w:r w:rsidRPr="000C7BC1">
              <w:rPr>
                <w:rFonts w:cs="Sylfaen"/>
                <w:color w:val="FFFFFF" w:themeColor="background1"/>
                <w:sz w:val="20"/>
                <w:szCs w:val="20"/>
              </w:rPr>
              <w:t>Ցուցանիշներ</w:t>
            </w:r>
          </w:p>
        </w:tc>
        <w:tc>
          <w:tcPr>
            <w:tcW w:w="890" w:type="pct"/>
            <w:shd w:val="clear" w:color="auto" w:fill="365F91" w:themeFill="accent1" w:themeFillShade="BF"/>
            <w:tcMar>
              <w:left w:w="57" w:type="dxa"/>
              <w:right w:w="85" w:type="dxa"/>
            </w:tcMar>
            <w:vAlign w:val="center"/>
          </w:tcPr>
          <w:p w14:paraId="25637231" w14:textId="77777777" w:rsidR="000C7BC1" w:rsidRPr="000C7BC1" w:rsidRDefault="000C7BC1" w:rsidP="00AB4FF7">
            <w:pPr>
              <w:spacing w:line="240" w:lineRule="auto"/>
              <w:ind w:firstLine="0"/>
              <w:jc w:val="center"/>
              <w:rPr>
                <w:bCs/>
                <w:color w:val="FFFFFF" w:themeColor="background1"/>
                <w:sz w:val="20"/>
                <w:szCs w:val="20"/>
              </w:rPr>
            </w:pPr>
            <w:r w:rsidRPr="000C7BC1">
              <w:rPr>
                <w:rFonts w:cs="Sylfaen"/>
                <w:color w:val="FFFFFF" w:themeColor="background1"/>
                <w:sz w:val="20"/>
                <w:szCs w:val="20"/>
              </w:rPr>
              <w:t>2020թ հաստատված</w:t>
            </w:r>
          </w:p>
        </w:tc>
        <w:tc>
          <w:tcPr>
            <w:tcW w:w="877" w:type="pct"/>
            <w:shd w:val="clear" w:color="auto" w:fill="365F91" w:themeFill="accent1" w:themeFillShade="BF"/>
            <w:tcMar>
              <w:left w:w="57" w:type="dxa"/>
              <w:right w:w="85" w:type="dxa"/>
            </w:tcMar>
            <w:vAlign w:val="center"/>
          </w:tcPr>
          <w:p w14:paraId="7320793F" w14:textId="77777777" w:rsidR="00FF5FF7" w:rsidRDefault="000C7BC1" w:rsidP="00AB4FF7">
            <w:pPr>
              <w:spacing w:line="240" w:lineRule="auto"/>
              <w:ind w:firstLine="0"/>
              <w:jc w:val="center"/>
              <w:rPr>
                <w:rFonts w:cs="Sylfaen"/>
                <w:color w:val="FFFFFF" w:themeColor="background1"/>
                <w:sz w:val="20"/>
                <w:szCs w:val="20"/>
              </w:rPr>
            </w:pPr>
            <w:r w:rsidRPr="000C7BC1">
              <w:rPr>
                <w:rFonts w:cs="Sylfaen"/>
                <w:color w:val="FFFFFF" w:themeColor="background1"/>
                <w:sz w:val="20"/>
                <w:szCs w:val="20"/>
              </w:rPr>
              <w:t>2021թ</w:t>
            </w:r>
          </w:p>
          <w:p w14:paraId="3FD84F9C" w14:textId="77777777" w:rsidR="000C7BC1" w:rsidRPr="000C7BC1" w:rsidRDefault="000C7BC1" w:rsidP="00AB4FF7">
            <w:pPr>
              <w:spacing w:line="240" w:lineRule="auto"/>
              <w:ind w:firstLine="0"/>
              <w:jc w:val="center"/>
              <w:rPr>
                <w:bCs/>
                <w:color w:val="FFFFFF" w:themeColor="background1"/>
                <w:sz w:val="20"/>
                <w:szCs w:val="20"/>
              </w:rPr>
            </w:pPr>
            <w:r w:rsidRPr="000C7BC1">
              <w:rPr>
                <w:rFonts w:cs="Sylfaen"/>
                <w:color w:val="FFFFFF" w:themeColor="background1"/>
                <w:sz w:val="20"/>
                <w:szCs w:val="20"/>
              </w:rPr>
              <w:t>ծրագիր</w:t>
            </w:r>
          </w:p>
        </w:tc>
        <w:tc>
          <w:tcPr>
            <w:tcW w:w="912" w:type="pct"/>
            <w:shd w:val="clear" w:color="auto" w:fill="365F91" w:themeFill="accent1" w:themeFillShade="BF"/>
            <w:tcMar>
              <w:left w:w="57" w:type="dxa"/>
              <w:right w:w="85" w:type="dxa"/>
            </w:tcMar>
            <w:vAlign w:val="center"/>
          </w:tcPr>
          <w:p w14:paraId="6872F8E6" w14:textId="77777777" w:rsidR="00FF5FF7" w:rsidRDefault="000C7BC1" w:rsidP="00AB4FF7">
            <w:pPr>
              <w:spacing w:line="240" w:lineRule="auto"/>
              <w:ind w:firstLine="0"/>
              <w:jc w:val="center"/>
              <w:rPr>
                <w:rFonts w:cs="Sylfaen"/>
                <w:color w:val="FFFFFF" w:themeColor="background1"/>
                <w:sz w:val="20"/>
                <w:szCs w:val="20"/>
              </w:rPr>
            </w:pPr>
            <w:r w:rsidRPr="000C7BC1">
              <w:rPr>
                <w:rFonts w:cs="Sylfaen"/>
                <w:color w:val="FFFFFF" w:themeColor="background1"/>
                <w:sz w:val="20"/>
                <w:szCs w:val="20"/>
              </w:rPr>
              <w:t>2022թ</w:t>
            </w:r>
          </w:p>
          <w:p w14:paraId="1DC3789B" w14:textId="77777777" w:rsidR="000C7BC1" w:rsidRPr="000C7BC1" w:rsidRDefault="000C7BC1" w:rsidP="00AB4FF7">
            <w:pPr>
              <w:spacing w:line="240" w:lineRule="auto"/>
              <w:ind w:firstLine="0"/>
              <w:jc w:val="center"/>
              <w:rPr>
                <w:bCs/>
                <w:color w:val="FFFFFF" w:themeColor="background1"/>
                <w:sz w:val="20"/>
                <w:szCs w:val="20"/>
              </w:rPr>
            </w:pPr>
            <w:r w:rsidRPr="000C7BC1">
              <w:rPr>
                <w:rFonts w:cs="Sylfaen"/>
                <w:color w:val="FFFFFF" w:themeColor="background1"/>
                <w:sz w:val="20"/>
                <w:szCs w:val="20"/>
              </w:rPr>
              <w:t>ծրագիր</w:t>
            </w:r>
          </w:p>
        </w:tc>
        <w:tc>
          <w:tcPr>
            <w:tcW w:w="715" w:type="pct"/>
            <w:shd w:val="clear" w:color="auto" w:fill="365F91" w:themeFill="accent1" w:themeFillShade="BF"/>
            <w:vAlign w:val="center"/>
          </w:tcPr>
          <w:p w14:paraId="6EF69F1C" w14:textId="77777777" w:rsidR="00FF5FF7" w:rsidRDefault="000C7BC1" w:rsidP="00AB4FF7">
            <w:pPr>
              <w:spacing w:line="240" w:lineRule="auto"/>
              <w:ind w:firstLine="0"/>
              <w:jc w:val="center"/>
              <w:rPr>
                <w:rFonts w:cs="Sylfaen"/>
                <w:color w:val="FFFFFF" w:themeColor="background1"/>
                <w:sz w:val="20"/>
                <w:szCs w:val="20"/>
              </w:rPr>
            </w:pPr>
            <w:r w:rsidRPr="000C7BC1">
              <w:rPr>
                <w:rFonts w:cs="Sylfaen"/>
                <w:color w:val="FFFFFF" w:themeColor="background1"/>
                <w:sz w:val="20"/>
                <w:szCs w:val="20"/>
              </w:rPr>
              <w:t>2023թ</w:t>
            </w:r>
          </w:p>
          <w:p w14:paraId="0642D5FC" w14:textId="77777777" w:rsidR="000C7BC1" w:rsidRPr="000C7BC1" w:rsidRDefault="00AB4FF7" w:rsidP="00AB4FF7">
            <w:pPr>
              <w:spacing w:line="240" w:lineRule="auto"/>
              <w:ind w:firstLine="0"/>
              <w:jc w:val="center"/>
              <w:rPr>
                <w:bCs/>
                <w:color w:val="FFFFFF" w:themeColor="background1"/>
                <w:sz w:val="20"/>
                <w:szCs w:val="20"/>
              </w:rPr>
            </w:pPr>
            <w:r w:rsidRPr="000C7BC1">
              <w:rPr>
                <w:rFonts w:cs="Sylfaen"/>
                <w:color w:val="FFFFFF" w:themeColor="background1"/>
                <w:sz w:val="20"/>
                <w:szCs w:val="20"/>
              </w:rPr>
              <w:t>Ծ</w:t>
            </w:r>
            <w:r w:rsidR="000C7BC1" w:rsidRPr="000C7BC1">
              <w:rPr>
                <w:rFonts w:cs="Sylfaen"/>
                <w:color w:val="FFFFFF" w:themeColor="background1"/>
                <w:sz w:val="20"/>
                <w:szCs w:val="20"/>
              </w:rPr>
              <w:t>րագիր</w:t>
            </w:r>
          </w:p>
        </w:tc>
      </w:tr>
      <w:tr w:rsidR="000C7BC1" w:rsidRPr="000C7BC1" w14:paraId="3C7EE7A7" w14:textId="77777777" w:rsidTr="00FF5FF7">
        <w:trPr>
          <w:trHeight w:val="20"/>
        </w:trPr>
        <w:tc>
          <w:tcPr>
            <w:tcW w:w="1605" w:type="pct"/>
            <w:shd w:val="clear" w:color="auto" w:fill="C6D9F1" w:themeFill="text2" w:themeFillTint="33"/>
            <w:tcMar>
              <w:left w:w="57" w:type="dxa"/>
              <w:right w:w="85" w:type="dxa"/>
            </w:tcMar>
            <w:vAlign w:val="center"/>
          </w:tcPr>
          <w:p w14:paraId="24EFC510" w14:textId="77777777" w:rsidR="000C7BC1" w:rsidRPr="000C7BC1" w:rsidRDefault="000C7BC1" w:rsidP="00AB4FF7">
            <w:pPr>
              <w:pStyle w:val="BodyText"/>
              <w:spacing w:line="240" w:lineRule="auto"/>
              <w:ind w:left="284" w:firstLine="0"/>
              <w:rPr>
                <w:rFonts w:eastAsia="Arial Unicode MS"/>
                <w:b/>
                <w:sz w:val="20"/>
                <w:szCs w:val="20"/>
                <w:lang w:val="hy-AM"/>
              </w:rPr>
            </w:pPr>
            <w:r w:rsidRPr="000C7BC1">
              <w:rPr>
                <w:rFonts w:eastAsia="Arial Unicode MS"/>
                <w:b/>
                <w:sz w:val="20"/>
                <w:szCs w:val="20"/>
                <w:lang w:val="hy-AM"/>
              </w:rPr>
              <w:t>ԸՆԴԱՄԵՆԸ ԾԱԽՍԵՐ, (մլն դրամ)</w:t>
            </w:r>
          </w:p>
        </w:tc>
        <w:tc>
          <w:tcPr>
            <w:tcW w:w="890" w:type="pct"/>
            <w:shd w:val="clear" w:color="auto" w:fill="C6D9F1" w:themeFill="text2" w:themeFillTint="33"/>
            <w:tcMar>
              <w:left w:w="57" w:type="dxa"/>
              <w:right w:w="85" w:type="dxa"/>
            </w:tcMar>
            <w:vAlign w:val="bottom"/>
          </w:tcPr>
          <w:p w14:paraId="1D67C185" w14:textId="77777777" w:rsidR="000C7BC1" w:rsidRPr="000C7BC1" w:rsidRDefault="000C7BC1" w:rsidP="00AB4FF7">
            <w:pPr>
              <w:spacing w:line="240" w:lineRule="auto"/>
              <w:jc w:val="center"/>
              <w:rPr>
                <w:bCs/>
                <w:sz w:val="20"/>
                <w:szCs w:val="20"/>
              </w:rPr>
            </w:pPr>
            <w:r w:rsidRPr="000C7BC1">
              <w:rPr>
                <w:bCs/>
                <w:sz w:val="20"/>
                <w:szCs w:val="20"/>
              </w:rPr>
              <w:t>1,855,882.7</w:t>
            </w:r>
          </w:p>
        </w:tc>
        <w:tc>
          <w:tcPr>
            <w:tcW w:w="877" w:type="pct"/>
            <w:shd w:val="clear" w:color="auto" w:fill="C6D9F1" w:themeFill="text2" w:themeFillTint="33"/>
            <w:tcMar>
              <w:left w:w="57" w:type="dxa"/>
              <w:right w:w="85" w:type="dxa"/>
            </w:tcMar>
            <w:vAlign w:val="bottom"/>
          </w:tcPr>
          <w:p w14:paraId="3077C277" w14:textId="77777777" w:rsidR="000C7BC1" w:rsidRPr="000C7BC1" w:rsidRDefault="000C7BC1" w:rsidP="00AB4FF7">
            <w:pPr>
              <w:spacing w:line="240" w:lineRule="auto"/>
              <w:jc w:val="center"/>
              <w:rPr>
                <w:bCs/>
                <w:sz w:val="20"/>
                <w:szCs w:val="20"/>
              </w:rPr>
            </w:pPr>
            <w:r w:rsidRPr="000C7BC1">
              <w:rPr>
                <w:bCs/>
                <w:sz w:val="20"/>
                <w:szCs w:val="20"/>
              </w:rPr>
              <w:t>1,879,011.2</w:t>
            </w:r>
          </w:p>
        </w:tc>
        <w:tc>
          <w:tcPr>
            <w:tcW w:w="912" w:type="pct"/>
            <w:shd w:val="clear" w:color="auto" w:fill="C6D9F1" w:themeFill="text2" w:themeFillTint="33"/>
            <w:tcMar>
              <w:left w:w="57" w:type="dxa"/>
              <w:right w:w="85" w:type="dxa"/>
            </w:tcMar>
            <w:vAlign w:val="bottom"/>
          </w:tcPr>
          <w:p w14:paraId="7D6C1D14" w14:textId="77777777" w:rsidR="000C7BC1" w:rsidRPr="000C7BC1" w:rsidRDefault="000C7BC1" w:rsidP="00AB4FF7">
            <w:pPr>
              <w:spacing w:line="240" w:lineRule="auto"/>
              <w:jc w:val="center"/>
              <w:rPr>
                <w:bCs/>
                <w:sz w:val="20"/>
                <w:szCs w:val="20"/>
              </w:rPr>
            </w:pPr>
            <w:r w:rsidRPr="000C7BC1">
              <w:rPr>
                <w:bCs/>
                <w:sz w:val="20"/>
                <w:szCs w:val="20"/>
              </w:rPr>
              <w:t>2,026,121.6</w:t>
            </w:r>
          </w:p>
        </w:tc>
        <w:tc>
          <w:tcPr>
            <w:tcW w:w="715" w:type="pct"/>
            <w:shd w:val="clear" w:color="auto" w:fill="C6D9F1" w:themeFill="text2" w:themeFillTint="33"/>
            <w:vAlign w:val="bottom"/>
          </w:tcPr>
          <w:p w14:paraId="37A47DE7" w14:textId="77777777" w:rsidR="000C7BC1" w:rsidRPr="000C7BC1" w:rsidRDefault="000C7BC1" w:rsidP="00AB4FF7">
            <w:pPr>
              <w:spacing w:line="240" w:lineRule="auto"/>
              <w:ind w:firstLine="0"/>
              <w:jc w:val="right"/>
              <w:rPr>
                <w:bCs/>
                <w:sz w:val="20"/>
                <w:szCs w:val="20"/>
              </w:rPr>
            </w:pPr>
            <w:r w:rsidRPr="000C7BC1">
              <w:rPr>
                <w:bCs/>
                <w:sz w:val="20"/>
                <w:szCs w:val="20"/>
              </w:rPr>
              <w:t>2,241,422.8</w:t>
            </w:r>
          </w:p>
        </w:tc>
      </w:tr>
      <w:tr w:rsidR="000C7BC1" w:rsidRPr="000C7BC1" w14:paraId="465FF99B" w14:textId="77777777" w:rsidTr="00FF5FF7">
        <w:trPr>
          <w:trHeight w:val="20"/>
        </w:trPr>
        <w:tc>
          <w:tcPr>
            <w:tcW w:w="1605" w:type="pct"/>
            <w:shd w:val="clear" w:color="000000" w:fill="FFFFFF"/>
            <w:tcMar>
              <w:left w:w="57" w:type="dxa"/>
              <w:right w:w="85" w:type="dxa"/>
            </w:tcMar>
            <w:vAlign w:val="center"/>
          </w:tcPr>
          <w:p w14:paraId="6B89B840" w14:textId="77777777" w:rsidR="000C7BC1" w:rsidRPr="000C7BC1" w:rsidRDefault="000C7BC1" w:rsidP="00AB4FF7">
            <w:pPr>
              <w:pStyle w:val="BodyText"/>
              <w:spacing w:line="240" w:lineRule="auto"/>
              <w:ind w:firstLine="0"/>
              <w:rPr>
                <w:rFonts w:eastAsia="Arial Unicode MS"/>
                <w:sz w:val="20"/>
                <w:szCs w:val="20"/>
                <w:lang w:val="hy-AM"/>
              </w:rPr>
            </w:pPr>
            <w:r w:rsidRPr="000C7BC1">
              <w:rPr>
                <w:rFonts w:eastAsia="Arial Unicode MS"/>
                <w:sz w:val="20"/>
                <w:szCs w:val="20"/>
                <w:lang w:val="hy-AM"/>
              </w:rPr>
              <w:t>այդ թվում՝</w:t>
            </w:r>
          </w:p>
        </w:tc>
        <w:tc>
          <w:tcPr>
            <w:tcW w:w="890" w:type="pct"/>
            <w:shd w:val="clear" w:color="000000" w:fill="FFFFFF"/>
            <w:tcMar>
              <w:left w:w="57" w:type="dxa"/>
              <w:right w:w="85" w:type="dxa"/>
            </w:tcMar>
            <w:vAlign w:val="bottom"/>
          </w:tcPr>
          <w:p w14:paraId="1D6E4D23" w14:textId="77777777" w:rsidR="000C7BC1" w:rsidRPr="000C7BC1" w:rsidRDefault="000C7BC1" w:rsidP="00AB4FF7">
            <w:pPr>
              <w:spacing w:line="240" w:lineRule="auto"/>
              <w:jc w:val="center"/>
              <w:rPr>
                <w:bCs/>
                <w:sz w:val="20"/>
                <w:szCs w:val="20"/>
              </w:rPr>
            </w:pPr>
            <w:r w:rsidRPr="000C7BC1">
              <w:rPr>
                <w:rFonts w:ascii="Calibri" w:hAnsi="Calibri" w:cs="Calibri"/>
                <w:bCs/>
                <w:sz w:val="20"/>
                <w:szCs w:val="20"/>
              </w:rPr>
              <w:t> </w:t>
            </w:r>
          </w:p>
        </w:tc>
        <w:tc>
          <w:tcPr>
            <w:tcW w:w="877" w:type="pct"/>
            <w:shd w:val="clear" w:color="000000" w:fill="FFFFFF"/>
            <w:tcMar>
              <w:left w:w="57" w:type="dxa"/>
              <w:right w:w="85" w:type="dxa"/>
            </w:tcMar>
            <w:vAlign w:val="bottom"/>
          </w:tcPr>
          <w:p w14:paraId="2B92021F" w14:textId="77777777" w:rsidR="000C7BC1" w:rsidRPr="000C7BC1" w:rsidRDefault="000C7BC1" w:rsidP="00AB4FF7">
            <w:pPr>
              <w:spacing w:line="240" w:lineRule="auto"/>
              <w:jc w:val="center"/>
              <w:rPr>
                <w:bCs/>
                <w:sz w:val="20"/>
                <w:szCs w:val="20"/>
              </w:rPr>
            </w:pPr>
            <w:r w:rsidRPr="000C7BC1">
              <w:rPr>
                <w:rFonts w:ascii="Calibri" w:hAnsi="Calibri" w:cs="Calibri"/>
                <w:bCs/>
                <w:sz w:val="20"/>
                <w:szCs w:val="20"/>
              </w:rPr>
              <w:t> </w:t>
            </w:r>
          </w:p>
        </w:tc>
        <w:tc>
          <w:tcPr>
            <w:tcW w:w="912" w:type="pct"/>
            <w:shd w:val="clear" w:color="000000" w:fill="FFFFFF"/>
            <w:tcMar>
              <w:left w:w="57" w:type="dxa"/>
              <w:right w:w="85" w:type="dxa"/>
            </w:tcMar>
            <w:vAlign w:val="bottom"/>
          </w:tcPr>
          <w:p w14:paraId="1B6820E7" w14:textId="77777777" w:rsidR="000C7BC1" w:rsidRPr="000C7BC1" w:rsidRDefault="000C7BC1" w:rsidP="00AB4FF7">
            <w:pPr>
              <w:spacing w:line="240" w:lineRule="auto"/>
              <w:jc w:val="center"/>
              <w:rPr>
                <w:bCs/>
                <w:sz w:val="20"/>
                <w:szCs w:val="20"/>
              </w:rPr>
            </w:pPr>
            <w:r w:rsidRPr="000C7BC1">
              <w:rPr>
                <w:rFonts w:ascii="Calibri" w:hAnsi="Calibri" w:cs="Calibri"/>
                <w:bCs/>
                <w:sz w:val="20"/>
                <w:szCs w:val="20"/>
              </w:rPr>
              <w:t> </w:t>
            </w:r>
          </w:p>
        </w:tc>
        <w:tc>
          <w:tcPr>
            <w:tcW w:w="715" w:type="pct"/>
            <w:shd w:val="clear" w:color="000000" w:fill="FFFFFF"/>
            <w:vAlign w:val="bottom"/>
          </w:tcPr>
          <w:p w14:paraId="04C2F5E5" w14:textId="77777777" w:rsidR="000C7BC1" w:rsidRPr="000C7BC1" w:rsidRDefault="000C7BC1" w:rsidP="00AB4FF7">
            <w:pPr>
              <w:spacing w:line="240" w:lineRule="auto"/>
              <w:jc w:val="center"/>
              <w:rPr>
                <w:bCs/>
                <w:sz w:val="20"/>
                <w:szCs w:val="20"/>
              </w:rPr>
            </w:pPr>
            <w:r w:rsidRPr="000C7BC1">
              <w:rPr>
                <w:rFonts w:ascii="Calibri" w:hAnsi="Calibri" w:cs="Calibri"/>
                <w:bCs/>
                <w:sz w:val="20"/>
                <w:szCs w:val="20"/>
              </w:rPr>
              <w:t> </w:t>
            </w:r>
          </w:p>
        </w:tc>
      </w:tr>
      <w:tr w:rsidR="000C7BC1" w:rsidRPr="000C7BC1" w14:paraId="5D98AD13" w14:textId="77777777" w:rsidTr="00FF5FF7">
        <w:trPr>
          <w:trHeight w:val="20"/>
        </w:trPr>
        <w:tc>
          <w:tcPr>
            <w:tcW w:w="1605" w:type="pct"/>
            <w:shd w:val="clear" w:color="auto" w:fill="C6D9F1" w:themeFill="text2" w:themeFillTint="33"/>
            <w:tcMar>
              <w:left w:w="57" w:type="dxa"/>
              <w:right w:w="85" w:type="dxa"/>
            </w:tcMar>
            <w:vAlign w:val="center"/>
          </w:tcPr>
          <w:p w14:paraId="6AF7779D" w14:textId="77777777" w:rsidR="000C7BC1" w:rsidRPr="000C7BC1" w:rsidRDefault="000C7BC1" w:rsidP="00AB4FF7">
            <w:pPr>
              <w:pStyle w:val="BodyText"/>
              <w:spacing w:line="240" w:lineRule="auto"/>
              <w:ind w:left="284" w:firstLine="0"/>
              <w:rPr>
                <w:rFonts w:eastAsia="Arial Unicode MS"/>
                <w:sz w:val="20"/>
                <w:szCs w:val="20"/>
                <w:lang w:val="hy-AM"/>
              </w:rPr>
            </w:pPr>
            <w:r w:rsidRPr="000C7BC1">
              <w:rPr>
                <w:rFonts w:eastAsia="Arial Unicode MS"/>
                <w:sz w:val="20"/>
                <w:szCs w:val="20"/>
                <w:lang w:val="hy-AM"/>
              </w:rPr>
              <w:t>- ընթացիկ ծախսեր, (մլն դրամ)</w:t>
            </w:r>
          </w:p>
        </w:tc>
        <w:tc>
          <w:tcPr>
            <w:tcW w:w="890" w:type="pct"/>
            <w:shd w:val="clear" w:color="auto" w:fill="C6D9F1" w:themeFill="text2" w:themeFillTint="33"/>
            <w:tcMar>
              <w:left w:w="57" w:type="dxa"/>
              <w:right w:w="85" w:type="dxa"/>
            </w:tcMar>
            <w:vAlign w:val="bottom"/>
          </w:tcPr>
          <w:p w14:paraId="32B4A6BD" w14:textId="77777777" w:rsidR="000C7BC1" w:rsidRPr="000C7BC1" w:rsidRDefault="000C7BC1" w:rsidP="00AB4FF7">
            <w:pPr>
              <w:spacing w:line="240" w:lineRule="auto"/>
              <w:jc w:val="center"/>
              <w:rPr>
                <w:bCs/>
                <w:sz w:val="20"/>
                <w:szCs w:val="20"/>
              </w:rPr>
            </w:pPr>
            <w:r w:rsidRPr="000C7BC1">
              <w:rPr>
                <w:bCs/>
                <w:sz w:val="20"/>
                <w:szCs w:val="20"/>
              </w:rPr>
              <w:t>1,568,161.8</w:t>
            </w:r>
          </w:p>
        </w:tc>
        <w:tc>
          <w:tcPr>
            <w:tcW w:w="877" w:type="pct"/>
            <w:shd w:val="clear" w:color="auto" w:fill="C6D9F1" w:themeFill="text2" w:themeFillTint="33"/>
            <w:tcMar>
              <w:left w:w="57" w:type="dxa"/>
              <w:right w:w="85" w:type="dxa"/>
            </w:tcMar>
            <w:vAlign w:val="bottom"/>
          </w:tcPr>
          <w:p w14:paraId="576D7F4B" w14:textId="77777777" w:rsidR="000C7BC1" w:rsidRPr="000C7BC1" w:rsidRDefault="000C7BC1" w:rsidP="00AB4FF7">
            <w:pPr>
              <w:spacing w:line="240" w:lineRule="auto"/>
              <w:jc w:val="center"/>
              <w:rPr>
                <w:bCs/>
                <w:sz w:val="20"/>
                <w:szCs w:val="20"/>
              </w:rPr>
            </w:pPr>
            <w:r w:rsidRPr="000C7BC1">
              <w:rPr>
                <w:bCs/>
                <w:sz w:val="20"/>
                <w:szCs w:val="20"/>
              </w:rPr>
              <w:t>1,629,020.1</w:t>
            </w:r>
          </w:p>
        </w:tc>
        <w:tc>
          <w:tcPr>
            <w:tcW w:w="912" w:type="pct"/>
            <w:shd w:val="clear" w:color="auto" w:fill="C6D9F1" w:themeFill="text2" w:themeFillTint="33"/>
            <w:tcMar>
              <w:left w:w="57" w:type="dxa"/>
              <w:right w:w="85" w:type="dxa"/>
            </w:tcMar>
            <w:vAlign w:val="bottom"/>
          </w:tcPr>
          <w:p w14:paraId="1EB949E6" w14:textId="77777777" w:rsidR="000C7BC1" w:rsidRPr="000C7BC1" w:rsidRDefault="000C7BC1" w:rsidP="00AB4FF7">
            <w:pPr>
              <w:spacing w:line="240" w:lineRule="auto"/>
              <w:jc w:val="center"/>
              <w:rPr>
                <w:bCs/>
                <w:sz w:val="20"/>
                <w:szCs w:val="20"/>
              </w:rPr>
            </w:pPr>
            <w:r w:rsidRPr="000C7BC1">
              <w:rPr>
                <w:bCs/>
                <w:sz w:val="20"/>
                <w:szCs w:val="20"/>
              </w:rPr>
              <w:t>1,699,908.6</w:t>
            </w:r>
          </w:p>
        </w:tc>
        <w:tc>
          <w:tcPr>
            <w:tcW w:w="715" w:type="pct"/>
            <w:shd w:val="clear" w:color="auto" w:fill="C6D9F1" w:themeFill="text2" w:themeFillTint="33"/>
            <w:vAlign w:val="bottom"/>
          </w:tcPr>
          <w:p w14:paraId="4554B460" w14:textId="77777777" w:rsidR="000C7BC1" w:rsidRPr="000C7BC1" w:rsidRDefault="000C7BC1" w:rsidP="00AB4FF7">
            <w:pPr>
              <w:spacing w:line="240" w:lineRule="auto"/>
              <w:ind w:firstLine="0"/>
              <w:jc w:val="right"/>
              <w:rPr>
                <w:bCs/>
                <w:sz w:val="20"/>
                <w:szCs w:val="20"/>
              </w:rPr>
            </w:pPr>
            <w:r w:rsidRPr="000C7BC1">
              <w:rPr>
                <w:bCs/>
                <w:sz w:val="20"/>
                <w:szCs w:val="20"/>
              </w:rPr>
              <w:t>1,836,651.6</w:t>
            </w:r>
          </w:p>
        </w:tc>
      </w:tr>
      <w:tr w:rsidR="000C7BC1" w:rsidRPr="000C7BC1" w14:paraId="79C24399" w14:textId="77777777" w:rsidTr="00FF5FF7">
        <w:trPr>
          <w:trHeight w:val="20"/>
        </w:trPr>
        <w:tc>
          <w:tcPr>
            <w:tcW w:w="1605" w:type="pct"/>
            <w:shd w:val="clear" w:color="000000" w:fill="FFFFFF"/>
            <w:tcMar>
              <w:left w:w="57" w:type="dxa"/>
              <w:right w:w="85" w:type="dxa"/>
            </w:tcMar>
            <w:vAlign w:val="center"/>
          </w:tcPr>
          <w:p w14:paraId="4534A8D0" w14:textId="77777777" w:rsidR="000C7BC1" w:rsidRPr="000C7BC1" w:rsidRDefault="000C7BC1" w:rsidP="00AB4FF7">
            <w:pPr>
              <w:pStyle w:val="BodyText"/>
              <w:spacing w:line="240" w:lineRule="auto"/>
              <w:ind w:firstLine="0"/>
              <w:rPr>
                <w:rFonts w:eastAsia="Arial Unicode MS"/>
                <w:sz w:val="20"/>
                <w:szCs w:val="20"/>
                <w:lang w:val="hy-AM"/>
              </w:rPr>
            </w:pPr>
            <w:r w:rsidRPr="000C7BC1">
              <w:rPr>
                <w:rFonts w:eastAsia="Arial Unicode MS"/>
                <w:sz w:val="20"/>
                <w:szCs w:val="20"/>
                <w:lang w:val="hy-AM"/>
              </w:rPr>
              <w:t xml:space="preserve"> - %-ով՝ ՀՆԱ-ի նկատմամբ</w:t>
            </w:r>
          </w:p>
        </w:tc>
        <w:tc>
          <w:tcPr>
            <w:tcW w:w="890" w:type="pct"/>
            <w:shd w:val="clear" w:color="000000" w:fill="FFFFFF"/>
            <w:tcMar>
              <w:left w:w="57" w:type="dxa"/>
              <w:right w:w="85" w:type="dxa"/>
            </w:tcMar>
            <w:vAlign w:val="bottom"/>
          </w:tcPr>
          <w:p w14:paraId="103D1785" w14:textId="77777777" w:rsidR="000C7BC1" w:rsidRPr="000C7BC1" w:rsidRDefault="000C7BC1" w:rsidP="00AB4FF7">
            <w:pPr>
              <w:spacing w:line="240" w:lineRule="auto"/>
              <w:jc w:val="center"/>
              <w:rPr>
                <w:bCs/>
                <w:sz w:val="20"/>
                <w:szCs w:val="20"/>
              </w:rPr>
            </w:pPr>
            <w:r w:rsidRPr="000C7BC1">
              <w:rPr>
                <w:bCs/>
                <w:sz w:val="20"/>
                <w:szCs w:val="20"/>
              </w:rPr>
              <w:t>24.1%</w:t>
            </w:r>
          </w:p>
        </w:tc>
        <w:tc>
          <w:tcPr>
            <w:tcW w:w="877" w:type="pct"/>
            <w:shd w:val="clear" w:color="000000" w:fill="FFFFFF"/>
            <w:tcMar>
              <w:left w:w="57" w:type="dxa"/>
              <w:right w:w="85" w:type="dxa"/>
            </w:tcMar>
            <w:vAlign w:val="bottom"/>
          </w:tcPr>
          <w:p w14:paraId="12BC08A2" w14:textId="77777777" w:rsidR="000C7BC1" w:rsidRPr="000C7BC1" w:rsidRDefault="000C7BC1" w:rsidP="00AB4FF7">
            <w:pPr>
              <w:spacing w:line="240" w:lineRule="auto"/>
              <w:jc w:val="center"/>
              <w:rPr>
                <w:bCs/>
                <w:sz w:val="20"/>
                <w:szCs w:val="20"/>
              </w:rPr>
            </w:pPr>
            <w:r w:rsidRPr="000C7BC1">
              <w:rPr>
                <w:bCs/>
                <w:sz w:val="20"/>
                <w:szCs w:val="20"/>
              </w:rPr>
              <w:t>22.8%</w:t>
            </w:r>
          </w:p>
        </w:tc>
        <w:tc>
          <w:tcPr>
            <w:tcW w:w="912" w:type="pct"/>
            <w:shd w:val="clear" w:color="000000" w:fill="FFFFFF"/>
            <w:tcMar>
              <w:left w:w="57" w:type="dxa"/>
              <w:right w:w="85" w:type="dxa"/>
            </w:tcMar>
            <w:vAlign w:val="bottom"/>
          </w:tcPr>
          <w:p w14:paraId="52A3F4FC" w14:textId="77777777" w:rsidR="000C7BC1" w:rsidRPr="000C7BC1" w:rsidRDefault="000C7BC1" w:rsidP="00AB4FF7">
            <w:pPr>
              <w:spacing w:line="240" w:lineRule="auto"/>
              <w:jc w:val="center"/>
              <w:rPr>
                <w:bCs/>
                <w:sz w:val="20"/>
                <w:szCs w:val="20"/>
              </w:rPr>
            </w:pPr>
            <w:r w:rsidRPr="000C7BC1">
              <w:rPr>
                <w:bCs/>
                <w:sz w:val="20"/>
                <w:szCs w:val="20"/>
              </w:rPr>
              <w:t>21.6%</w:t>
            </w:r>
          </w:p>
        </w:tc>
        <w:tc>
          <w:tcPr>
            <w:tcW w:w="715" w:type="pct"/>
            <w:shd w:val="clear" w:color="000000" w:fill="FFFFFF"/>
            <w:vAlign w:val="bottom"/>
          </w:tcPr>
          <w:p w14:paraId="76FA41FB" w14:textId="77777777" w:rsidR="000C7BC1" w:rsidRPr="000C7BC1" w:rsidRDefault="000C7BC1" w:rsidP="00AB4FF7">
            <w:pPr>
              <w:spacing w:line="240" w:lineRule="auto"/>
              <w:jc w:val="center"/>
              <w:rPr>
                <w:bCs/>
                <w:sz w:val="20"/>
                <w:szCs w:val="20"/>
              </w:rPr>
            </w:pPr>
            <w:r w:rsidRPr="000C7BC1">
              <w:rPr>
                <w:bCs/>
                <w:sz w:val="20"/>
                <w:szCs w:val="20"/>
              </w:rPr>
              <w:t>21.4%</w:t>
            </w:r>
          </w:p>
        </w:tc>
      </w:tr>
      <w:tr w:rsidR="000C7BC1" w:rsidRPr="000C7BC1" w14:paraId="530FDC18" w14:textId="77777777" w:rsidTr="00FF5FF7">
        <w:trPr>
          <w:trHeight w:val="20"/>
        </w:trPr>
        <w:tc>
          <w:tcPr>
            <w:tcW w:w="1605" w:type="pct"/>
            <w:shd w:val="clear" w:color="auto" w:fill="C6D9F1" w:themeFill="text2" w:themeFillTint="33"/>
            <w:tcMar>
              <w:left w:w="57" w:type="dxa"/>
              <w:right w:w="85" w:type="dxa"/>
            </w:tcMar>
            <w:vAlign w:val="center"/>
          </w:tcPr>
          <w:p w14:paraId="2CA849E2" w14:textId="77777777" w:rsidR="000C7BC1" w:rsidRPr="000C7BC1" w:rsidRDefault="000C7BC1" w:rsidP="00AB4FF7">
            <w:pPr>
              <w:pStyle w:val="BodyText"/>
              <w:spacing w:line="240" w:lineRule="auto"/>
              <w:ind w:left="284" w:firstLine="0"/>
              <w:rPr>
                <w:rFonts w:eastAsia="Arial Unicode MS"/>
                <w:sz w:val="20"/>
                <w:szCs w:val="20"/>
                <w:lang w:val="hy-AM"/>
              </w:rPr>
            </w:pPr>
            <w:r w:rsidRPr="000C7BC1">
              <w:rPr>
                <w:rFonts w:eastAsia="Arial Unicode MS"/>
                <w:sz w:val="20"/>
                <w:szCs w:val="20"/>
                <w:lang w:val="hy-AM"/>
              </w:rPr>
              <w:lastRenderedPageBreak/>
              <w:t>- ոչ ֆինանսական ակտիվների գծով զուտ ծախսեր, (մլն դրամ)</w:t>
            </w:r>
          </w:p>
        </w:tc>
        <w:tc>
          <w:tcPr>
            <w:tcW w:w="890" w:type="pct"/>
            <w:shd w:val="clear" w:color="auto" w:fill="C6D9F1" w:themeFill="text2" w:themeFillTint="33"/>
            <w:tcMar>
              <w:left w:w="57" w:type="dxa"/>
              <w:right w:w="85" w:type="dxa"/>
            </w:tcMar>
            <w:vAlign w:val="bottom"/>
          </w:tcPr>
          <w:p w14:paraId="4F271BF9" w14:textId="77777777" w:rsidR="000C7BC1" w:rsidRPr="000C7BC1" w:rsidRDefault="000C7BC1" w:rsidP="00AB4FF7">
            <w:pPr>
              <w:spacing w:line="240" w:lineRule="auto"/>
              <w:jc w:val="center"/>
              <w:rPr>
                <w:bCs/>
                <w:sz w:val="20"/>
                <w:szCs w:val="20"/>
              </w:rPr>
            </w:pPr>
            <w:r w:rsidRPr="000C7BC1">
              <w:rPr>
                <w:bCs/>
                <w:sz w:val="20"/>
                <w:szCs w:val="20"/>
              </w:rPr>
              <w:t>287,720.9</w:t>
            </w:r>
          </w:p>
        </w:tc>
        <w:tc>
          <w:tcPr>
            <w:tcW w:w="877" w:type="pct"/>
            <w:shd w:val="clear" w:color="auto" w:fill="C6D9F1" w:themeFill="text2" w:themeFillTint="33"/>
            <w:tcMar>
              <w:left w:w="57" w:type="dxa"/>
              <w:right w:w="85" w:type="dxa"/>
            </w:tcMar>
            <w:vAlign w:val="bottom"/>
          </w:tcPr>
          <w:p w14:paraId="2A68F421" w14:textId="77777777" w:rsidR="000C7BC1" w:rsidRPr="000C7BC1" w:rsidRDefault="000C7BC1" w:rsidP="00AB4FF7">
            <w:pPr>
              <w:spacing w:line="240" w:lineRule="auto"/>
              <w:jc w:val="center"/>
              <w:rPr>
                <w:bCs/>
                <w:sz w:val="20"/>
                <w:szCs w:val="20"/>
              </w:rPr>
            </w:pPr>
            <w:r w:rsidRPr="000C7BC1">
              <w:rPr>
                <w:bCs/>
                <w:sz w:val="20"/>
                <w:szCs w:val="20"/>
              </w:rPr>
              <w:t>249,991.1</w:t>
            </w:r>
          </w:p>
        </w:tc>
        <w:tc>
          <w:tcPr>
            <w:tcW w:w="912" w:type="pct"/>
            <w:shd w:val="clear" w:color="auto" w:fill="C6D9F1" w:themeFill="text2" w:themeFillTint="33"/>
            <w:tcMar>
              <w:left w:w="57" w:type="dxa"/>
              <w:right w:w="85" w:type="dxa"/>
            </w:tcMar>
            <w:vAlign w:val="bottom"/>
          </w:tcPr>
          <w:p w14:paraId="176A5335" w14:textId="77777777" w:rsidR="000C7BC1" w:rsidRPr="000C7BC1" w:rsidRDefault="000C7BC1" w:rsidP="00AB4FF7">
            <w:pPr>
              <w:spacing w:line="240" w:lineRule="auto"/>
              <w:jc w:val="center"/>
              <w:rPr>
                <w:bCs/>
                <w:sz w:val="20"/>
                <w:szCs w:val="20"/>
              </w:rPr>
            </w:pPr>
            <w:r w:rsidRPr="000C7BC1">
              <w:rPr>
                <w:bCs/>
                <w:sz w:val="20"/>
                <w:szCs w:val="20"/>
              </w:rPr>
              <w:t>326,213.0</w:t>
            </w:r>
          </w:p>
        </w:tc>
        <w:tc>
          <w:tcPr>
            <w:tcW w:w="715" w:type="pct"/>
            <w:shd w:val="clear" w:color="auto" w:fill="C6D9F1" w:themeFill="text2" w:themeFillTint="33"/>
            <w:vAlign w:val="bottom"/>
          </w:tcPr>
          <w:p w14:paraId="6506DB17" w14:textId="77777777" w:rsidR="000C7BC1" w:rsidRPr="000C7BC1" w:rsidRDefault="000C7BC1" w:rsidP="00AB4FF7">
            <w:pPr>
              <w:spacing w:line="240" w:lineRule="auto"/>
              <w:ind w:firstLine="0"/>
              <w:jc w:val="right"/>
              <w:rPr>
                <w:bCs/>
                <w:sz w:val="20"/>
                <w:szCs w:val="20"/>
              </w:rPr>
            </w:pPr>
            <w:r w:rsidRPr="000C7BC1">
              <w:rPr>
                <w:bCs/>
                <w:sz w:val="20"/>
                <w:szCs w:val="20"/>
              </w:rPr>
              <w:t>404,771.2</w:t>
            </w:r>
          </w:p>
        </w:tc>
      </w:tr>
      <w:tr w:rsidR="000C7BC1" w:rsidRPr="000C7BC1" w14:paraId="286B28FD" w14:textId="77777777" w:rsidTr="00FF5FF7">
        <w:trPr>
          <w:trHeight w:val="20"/>
        </w:trPr>
        <w:tc>
          <w:tcPr>
            <w:tcW w:w="1605" w:type="pct"/>
            <w:shd w:val="clear" w:color="000000" w:fill="FFFFFF"/>
            <w:tcMar>
              <w:left w:w="57" w:type="dxa"/>
              <w:right w:w="85" w:type="dxa"/>
            </w:tcMar>
            <w:vAlign w:val="center"/>
          </w:tcPr>
          <w:p w14:paraId="227B5D49" w14:textId="77777777" w:rsidR="000C7BC1" w:rsidRPr="000C7BC1" w:rsidRDefault="000C7BC1" w:rsidP="00AB4FF7">
            <w:pPr>
              <w:pStyle w:val="BodyText"/>
              <w:spacing w:line="240" w:lineRule="auto"/>
              <w:ind w:firstLine="0"/>
              <w:rPr>
                <w:rFonts w:eastAsia="Arial Unicode MS"/>
                <w:sz w:val="20"/>
                <w:szCs w:val="20"/>
                <w:lang w:val="hy-AM"/>
              </w:rPr>
            </w:pPr>
            <w:r w:rsidRPr="000C7BC1">
              <w:rPr>
                <w:rFonts w:eastAsia="Arial Unicode MS"/>
                <w:sz w:val="20"/>
                <w:szCs w:val="20"/>
                <w:lang w:val="hy-AM"/>
              </w:rPr>
              <w:t>%-ով՝ ՀՆԱ-ի նկատմամբ</w:t>
            </w:r>
          </w:p>
        </w:tc>
        <w:tc>
          <w:tcPr>
            <w:tcW w:w="890" w:type="pct"/>
            <w:shd w:val="clear" w:color="000000" w:fill="FFFFFF"/>
            <w:tcMar>
              <w:left w:w="57" w:type="dxa"/>
              <w:right w:w="85" w:type="dxa"/>
            </w:tcMar>
            <w:vAlign w:val="bottom"/>
          </w:tcPr>
          <w:p w14:paraId="71B687D1" w14:textId="77777777" w:rsidR="000C7BC1" w:rsidRPr="000C7BC1" w:rsidRDefault="000C7BC1" w:rsidP="00AB4FF7">
            <w:pPr>
              <w:spacing w:line="240" w:lineRule="auto"/>
              <w:jc w:val="center"/>
              <w:rPr>
                <w:bCs/>
                <w:sz w:val="20"/>
                <w:szCs w:val="20"/>
              </w:rPr>
            </w:pPr>
            <w:r w:rsidRPr="000C7BC1">
              <w:rPr>
                <w:bCs/>
                <w:sz w:val="20"/>
                <w:szCs w:val="20"/>
              </w:rPr>
              <w:t>4.4%</w:t>
            </w:r>
          </w:p>
        </w:tc>
        <w:tc>
          <w:tcPr>
            <w:tcW w:w="877" w:type="pct"/>
            <w:shd w:val="clear" w:color="000000" w:fill="FFFFFF"/>
            <w:tcMar>
              <w:left w:w="57" w:type="dxa"/>
              <w:right w:w="85" w:type="dxa"/>
            </w:tcMar>
            <w:vAlign w:val="bottom"/>
          </w:tcPr>
          <w:p w14:paraId="02855604" w14:textId="77777777" w:rsidR="000C7BC1" w:rsidRPr="000C7BC1" w:rsidRDefault="000C7BC1" w:rsidP="00AB4FF7">
            <w:pPr>
              <w:spacing w:line="240" w:lineRule="auto"/>
              <w:jc w:val="center"/>
              <w:rPr>
                <w:bCs/>
                <w:sz w:val="20"/>
                <w:szCs w:val="20"/>
              </w:rPr>
            </w:pPr>
            <w:r w:rsidRPr="000C7BC1">
              <w:rPr>
                <w:bCs/>
                <w:sz w:val="20"/>
                <w:szCs w:val="20"/>
              </w:rPr>
              <w:t>3.5%</w:t>
            </w:r>
          </w:p>
        </w:tc>
        <w:tc>
          <w:tcPr>
            <w:tcW w:w="912" w:type="pct"/>
            <w:shd w:val="clear" w:color="000000" w:fill="FFFFFF"/>
            <w:tcMar>
              <w:left w:w="57" w:type="dxa"/>
              <w:right w:w="85" w:type="dxa"/>
            </w:tcMar>
            <w:vAlign w:val="bottom"/>
          </w:tcPr>
          <w:p w14:paraId="504178F2" w14:textId="77777777" w:rsidR="000C7BC1" w:rsidRPr="000C7BC1" w:rsidRDefault="000C7BC1" w:rsidP="00AB4FF7">
            <w:pPr>
              <w:spacing w:line="240" w:lineRule="auto"/>
              <w:jc w:val="center"/>
              <w:rPr>
                <w:bCs/>
                <w:sz w:val="20"/>
                <w:szCs w:val="20"/>
              </w:rPr>
            </w:pPr>
            <w:r w:rsidRPr="000C7BC1">
              <w:rPr>
                <w:bCs/>
                <w:sz w:val="20"/>
                <w:szCs w:val="20"/>
              </w:rPr>
              <w:t>4.2%</w:t>
            </w:r>
          </w:p>
        </w:tc>
        <w:tc>
          <w:tcPr>
            <w:tcW w:w="715" w:type="pct"/>
            <w:shd w:val="clear" w:color="000000" w:fill="FFFFFF"/>
            <w:vAlign w:val="bottom"/>
          </w:tcPr>
          <w:p w14:paraId="7AC9BD2C" w14:textId="77777777" w:rsidR="000C7BC1" w:rsidRPr="000C7BC1" w:rsidRDefault="000C7BC1" w:rsidP="00AB4FF7">
            <w:pPr>
              <w:spacing w:line="240" w:lineRule="auto"/>
              <w:jc w:val="center"/>
              <w:rPr>
                <w:bCs/>
                <w:sz w:val="20"/>
                <w:szCs w:val="20"/>
              </w:rPr>
            </w:pPr>
            <w:r w:rsidRPr="000C7BC1">
              <w:rPr>
                <w:bCs/>
                <w:sz w:val="20"/>
                <w:szCs w:val="20"/>
              </w:rPr>
              <w:t>4.7%</w:t>
            </w:r>
          </w:p>
        </w:tc>
      </w:tr>
    </w:tbl>
    <w:p w14:paraId="321029E2" w14:textId="77777777" w:rsidR="00B10E34" w:rsidRDefault="00B10E34" w:rsidP="00B10E34">
      <w:pPr>
        <w:spacing w:line="360" w:lineRule="auto"/>
        <w:ind w:firstLine="480"/>
        <w:rPr>
          <w:lang w:val="hy-AM"/>
        </w:rPr>
      </w:pPr>
    </w:p>
    <w:p w14:paraId="312390E1" w14:textId="77777777" w:rsidR="00B10E34" w:rsidRPr="00434BD3" w:rsidRDefault="00434BD3" w:rsidP="00DF79D1">
      <w:pPr>
        <w:spacing w:line="360" w:lineRule="auto"/>
        <w:jc w:val="center"/>
        <w:rPr>
          <w:lang w:val="hy-AM"/>
        </w:rPr>
      </w:pPr>
      <w:r w:rsidRPr="008C23C8">
        <w:rPr>
          <w:rFonts w:eastAsia="Calibri" w:cs="Times New Roman"/>
          <w:b/>
          <w:i/>
          <w:iCs/>
          <w:color w:val="000000"/>
          <w:lang w:val="hy-AM"/>
        </w:rPr>
        <w:t xml:space="preserve">Գծապատկեր </w:t>
      </w:r>
      <w:r w:rsidR="00DF79D1">
        <w:rPr>
          <w:rFonts w:eastAsia="Calibri" w:cs="Times New Roman"/>
          <w:b/>
          <w:i/>
          <w:iCs/>
          <w:color w:val="000000"/>
          <w:lang w:val="hy-AM"/>
        </w:rPr>
        <w:t>4</w:t>
      </w:r>
      <w:r w:rsidRPr="008C23C8">
        <w:rPr>
          <w:rFonts w:eastAsia="Calibri" w:cs="Times New Roman"/>
          <w:b/>
          <w:i/>
          <w:iCs/>
          <w:color w:val="000000"/>
          <w:lang w:val="hy-AM"/>
        </w:rPr>
        <w:t>.</w:t>
      </w:r>
      <w:r w:rsidR="00DF79D1">
        <w:rPr>
          <w:rFonts w:eastAsia="Calibri" w:cs="Times New Roman"/>
          <w:b/>
          <w:i/>
          <w:iCs/>
          <w:color w:val="000000"/>
          <w:lang w:val="hy-AM"/>
        </w:rPr>
        <w:t>4</w:t>
      </w:r>
      <w:r w:rsidRPr="008C23C8">
        <w:rPr>
          <w:rFonts w:eastAsia="Calibri" w:cs="Times New Roman"/>
          <w:b/>
          <w:i/>
          <w:iCs/>
          <w:color w:val="000000"/>
          <w:lang w:val="hy-AM"/>
        </w:rPr>
        <w:t>.</w:t>
      </w:r>
      <w:r w:rsidR="00DF79D1">
        <w:rPr>
          <w:rFonts w:eastAsia="Calibri" w:cs="Times New Roman"/>
          <w:b/>
          <w:i/>
          <w:iCs/>
          <w:color w:val="000000"/>
          <w:lang w:val="hy-AM"/>
        </w:rPr>
        <w:t>1․</w:t>
      </w:r>
      <w:r w:rsidRPr="008C23C8">
        <w:rPr>
          <w:rFonts w:eastAsia="Calibri" w:cs="Times New Roman"/>
          <w:b/>
          <w:i/>
          <w:iCs/>
          <w:color w:val="000000"/>
          <w:sz w:val="20"/>
          <w:szCs w:val="20"/>
          <w:lang w:val="hy-AM"/>
        </w:rPr>
        <w:t xml:space="preserve"> </w:t>
      </w:r>
      <w:r w:rsidR="00DF79D1" w:rsidRPr="009D66F0">
        <w:rPr>
          <w:i/>
          <w:sz w:val="20"/>
          <w:szCs w:val="20"/>
          <w:lang w:val="af-ZA"/>
        </w:rPr>
        <w:t>2020-2023</w:t>
      </w:r>
      <w:r w:rsidR="00DF79D1" w:rsidRPr="009D66F0">
        <w:rPr>
          <w:i/>
          <w:sz w:val="20"/>
          <w:szCs w:val="20"/>
          <w:lang w:val="it-IT"/>
        </w:rPr>
        <w:t>թթ</w:t>
      </w:r>
      <w:r w:rsidR="000B6417">
        <w:rPr>
          <w:rFonts w:ascii="Cambria Math" w:hAnsi="Cambria Math"/>
          <w:i/>
          <w:sz w:val="20"/>
          <w:szCs w:val="20"/>
          <w:lang w:val="hy-AM"/>
        </w:rPr>
        <w:t>․</w:t>
      </w:r>
      <w:r w:rsidR="00DF79D1" w:rsidRPr="009D66F0">
        <w:rPr>
          <w:i/>
          <w:sz w:val="20"/>
          <w:szCs w:val="20"/>
          <w:lang w:val="af-ZA"/>
        </w:rPr>
        <w:t xml:space="preserve"> </w:t>
      </w:r>
      <w:r w:rsidR="00DF79D1" w:rsidRPr="00DF79D1">
        <w:rPr>
          <w:rFonts w:cs="Sylfaen"/>
          <w:i/>
          <w:sz w:val="20"/>
          <w:szCs w:val="20"/>
          <w:lang w:val="hy-AM"/>
        </w:rPr>
        <w:t>ընթացիկ</w:t>
      </w:r>
      <w:r w:rsidR="00DF79D1" w:rsidRPr="009D66F0">
        <w:rPr>
          <w:i/>
          <w:sz w:val="20"/>
          <w:szCs w:val="20"/>
          <w:lang w:val="af-ZA"/>
        </w:rPr>
        <w:t xml:space="preserve"> </w:t>
      </w:r>
      <w:r w:rsidR="00DF79D1" w:rsidRPr="00DF79D1">
        <w:rPr>
          <w:rFonts w:cs="Sylfaen"/>
          <w:i/>
          <w:sz w:val="20"/>
          <w:szCs w:val="20"/>
          <w:lang w:val="hy-AM"/>
        </w:rPr>
        <w:t>և</w:t>
      </w:r>
      <w:r w:rsidR="00DF79D1" w:rsidRPr="009D66F0">
        <w:rPr>
          <w:i/>
          <w:sz w:val="20"/>
          <w:szCs w:val="20"/>
          <w:lang w:val="af-ZA"/>
        </w:rPr>
        <w:t xml:space="preserve"> </w:t>
      </w:r>
      <w:r w:rsidR="00DF79D1" w:rsidRPr="00DF79D1">
        <w:rPr>
          <w:rFonts w:cs="Sylfaen"/>
          <w:i/>
          <w:sz w:val="20"/>
          <w:szCs w:val="20"/>
          <w:lang w:val="hy-AM"/>
        </w:rPr>
        <w:t>ոչ</w:t>
      </w:r>
      <w:r w:rsidR="00DF79D1" w:rsidRPr="009D66F0">
        <w:rPr>
          <w:rFonts w:cs="Sylfaen"/>
          <w:i/>
          <w:sz w:val="20"/>
          <w:szCs w:val="20"/>
          <w:lang w:val="af-ZA"/>
        </w:rPr>
        <w:t xml:space="preserve"> </w:t>
      </w:r>
      <w:r w:rsidR="00DF79D1" w:rsidRPr="00DF79D1">
        <w:rPr>
          <w:rFonts w:cs="Sylfaen"/>
          <w:i/>
          <w:sz w:val="20"/>
          <w:szCs w:val="20"/>
          <w:lang w:val="hy-AM"/>
        </w:rPr>
        <w:t>ֆինանսական</w:t>
      </w:r>
      <w:r w:rsidR="00DF79D1" w:rsidRPr="009D66F0">
        <w:rPr>
          <w:rFonts w:cs="Sylfaen"/>
          <w:i/>
          <w:sz w:val="20"/>
          <w:szCs w:val="20"/>
          <w:lang w:val="af-ZA"/>
        </w:rPr>
        <w:t xml:space="preserve"> </w:t>
      </w:r>
      <w:r w:rsidR="00DF79D1" w:rsidRPr="00DF79D1">
        <w:rPr>
          <w:rFonts w:cs="Sylfaen"/>
          <w:i/>
          <w:sz w:val="20"/>
          <w:szCs w:val="20"/>
          <w:lang w:val="hy-AM"/>
        </w:rPr>
        <w:t>ակտիվների</w:t>
      </w:r>
      <w:r w:rsidR="00DF79D1" w:rsidRPr="009D66F0">
        <w:rPr>
          <w:rFonts w:cs="Sylfaen"/>
          <w:i/>
          <w:sz w:val="20"/>
          <w:szCs w:val="20"/>
          <w:lang w:val="af-ZA"/>
        </w:rPr>
        <w:t xml:space="preserve"> </w:t>
      </w:r>
      <w:r w:rsidR="00DF79D1" w:rsidRPr="00DF79D1">
        <w:rPr>
          <w:rFonts w:cs="Sylfaen"/>
          <w:i/>
          <w:sz w:val="20"/>
          <w:szCs w:val="20"/>
          <w:lang w:val="hy-AM"/>
        </w:rPr>
        <w:t>գծով</w:t>
      </w:r>
      <w:r w:rsidR="00DF79D1" w:rsidRPr="009D66F0">
        <w:rPr>
          <w:rFonts w:cs="Sylfaen"/>
          <w:i/>
          <w:sz w:val="20"/>
          <w:szCs w:val="20"/>
          <w:lang w:val="af-ZA"/>
        </w:rPr>
        <w:t xml:space="preserve"> </w:t>
      </w:r>
      <w:r w:rsidR="00DF79D1" w:rsidRPr="00DF79D1">
        <w:rPr>
          <w:rFonts w:cs="Sylfaen"/>
          <w:i/>
          <w:sz w:val="20"/>
          <w:szCs w:val="20"/>
          <w:lang w:val="hy-AM"/>
        </w:rPr>
        <w:t>ծախսերի</w:t>
      </w:r>
      <w:r w:rsidR="00DF79D1" w:rsidRPr="009D66F0">
        <w:rPr>
          <w:i/>
          <w:sz w:val="20"/>
          <w:szCs w:val="20"/>
          <w:lang w:val="af-ZA"/>
        </w:rPr>
        <w:t xml:space="preserve"> </w:t>
      </w:r>
      <w:r w:rsidR="00DF79D1" w:rsidRPr="00DF79D1">
        <w:rPr>
          <w:rFonts w:cs="Sylfaen"/>
          <w:i/>
          <w:sz w:val="20"/>
          <w:szCs w:val="20"/>
          <w:lang w:val="hy-AM"/>
        </w:rPr>
        <w:t>փոփոխության</w:t>
      </w:r>
      <w:r w:rsidR="00DF79D1" w:rsidRPr="009D66F0">
        <w:rPr>
          <w:i/>
          <w:sz w:val="20"/>
          <w:szCs w:val="20"/>
          <w:lang w:val="af-ZA"/>
        </w:rPr>
        <w:t xml:space="preserve"> </w:t>
      </w:r>
      <w:r w:rsidR="00DF79D1" w:rsidRPr="00DF79D1">
        <w:rPr>
          <w:rFonts w:cs="Sylfaen"/>
          <w:i/>
          <w:sz w:val="20"/>
          <w:szCs w:val="20"/>
          <w:lang w:val="hy-AM"/>
        </w:rPr>
        <w:t>և</w:t>
      </w:r>
      <w:r w:rsidR="00DF79D1" w:rsidRPr="009D66F0">
        <w:rPr>
          <w:i/>
          <w:sz w:val="20"/>
          <w:szCs w:val="20"/>
          <w:lang w:val="af-ZA"/>
        </w:rPr>
        <w:t xml:space="preserve"> </w:t>
      </w:r>
      <w:r w:rsidR="00DF79D1" w:rsidRPr="00DF79D1">
        <w:rPr>
          <w:rFonts w:cs="Sylfaen"/>
          <w:i/>
          <w:sz w:val="20"/>
          <w:szCs w:val="20"/>
          <w:lang w:val="hy-AM"/>
        </w:rPr>
        <w:t>հարաբերակցության</w:t>
      </w:r>
      <w:r w:rsidR="00DF79D1" w:rsidRPr="009D66F0">
        <w:rPr>
          <w:i/>
          <w:sz w:val="20"/>
          <w:szCs w:val="20"/>
          <w:lang w:val="af-ZA"/>
        </w:rPr>
        <w:t xml:space="preserve"> </w:t>
      </w:r>
      <w:r w:rsidR="00DF79D1" w:rsidRPr="00DF79D1">
        <w:rPr>
          <w:rFonts w:cs="Sylfaen"/>
          <w:i/>
          <w:sz w:val="20"/>
          <w:szCs w:val="20"/>
          <w:lang w:val="hy-AM"/>
        </w:rPr>
        <w:t>միտումները</w:t>
      </w:r>
      <w:r w:rsidR="00DF79D1" w:rsidRPr="00DF79D1">
        <w:rPr>
          <w:noProof/>
          <w:lang w:val="hy-AM"/>
        </w:rPr>
        <w:t xml:space="preserve"> </w:t>
      </w:r>
      <w:r w:rsidR="00B10E34" w:rsidRPr="0035033F">
        <w:rPr>
          <w:noProof/>
        </w:rPr>
        <w:drawing>
          <wp:inline distT="0" distB="0" distL="0" distR="0" wp14:anchorId="1D091336" wp14:editId="0032AFB3">
            <wp:extent cx="6124575" cy="3429000"/>
            <wp:effectExtent l="0" t="0" r="0" b="0"/>
            <wp:docPr id="43" name="Chart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C79D00B" w14:textId="77777777" w:rsidR="00B10E34" w:rsidRPr="00A60550" w:rsidRDefault="00B10E34" w:rsidP="00B10E34">
      <w:pPr>
        <w:spacing w:line="360" w:lineRule="auto"/>
        <w:ind w:firstLine="480"/>
        <w:rPr>
          <w:rFonts w:cs="Sylfaen"/>
          <w:lang w:val="hy-AM"/>
        </w:rPr>
      </w:pPr>
    </w:p>
    <w:p w14:paraId="282F1AB4" w14:textId="77777777" w:rsidR="00B10E34" w:rsidRDefault="00B10E34" w:rsidP="009A7904">
      <w:pPr>
        <w:spacing w:line="276" w:lineRule="auto"/>
        <w:ind w:firstLine="475"/>
        <w:rPr>
          <w:rFonts w:cs="Sylfaen"/>
          <w:lang w:val="hy-AM"/>
        </w:rPr>
      </w:pPr>
      <w:r w:rsidRPr="00A60550">
        <w:rPr>
          <w:rFonts w:cs="Sylfaen"/>
          <w:lang w:val="hy-AM"/>
        </w:rPr>
        <w:t xml:space="preserve">2021-2023 թվականների ծախսերի ընդհանուր ծավալի միջին տարեկանի շուրջ 84,2 %-ը կկազմեն </w:t>
      </w:r>
      <w:r w:rsidRPr="00A60550">
        <w:rPr>
          <w:rFonts w:cs="Sylfaen"/>
          <w:b/>
          <w:lang w:val="hy-AM"/>
        </w:rPr>
        <w:t>ընթացիկ ծախսերը</w:t>
      </w:r>
      <w:r w:rsidRPr="00A60550">
        <w:rPr>
          <w:rFonts w:cs="Sylfaen"/>
          <w:lang w:val="hy-AM"/>
        </w:rPr>
        <w:t xml:space="preserve">,  (2020 թվականին այդ ցուցանիշը ծրագրվել է 84.5%): </w:t>
      </w:r>
    </w:p>
    <w:p w14:paraId="322023AA" w14:textId="77777777" w:rsidR="009A56C0" w:rsidRPr="00A60550" w:rsidRDefault="00B10E34" w:rsidP="009A7904">
      <w:pPr>
        <w:spacing w:line="276" w:lineRule="auto"/>
        <w:ind w:firstLine="475"/>
        <w:rPr>
          <w:rFonts w:cs="Sylfaen"/>
          <w:lang w:val="hy-AM"/>
        </w:rPr>
      </w:pPr>
      <w:r w:rsidRPr="00A60550">
        <w:rPr>
          <w:rFonts w:cs="Sylfaen"/>
          <w:lang w:val="hy-AM"/>
        </w:rPr>
        <w:t>Դիտարկվող ժամանակահատվածում ընթացիկ ծախսեր</w:t>
      </w:r>
      <w:r w:rsidRPr="00EB1197">
        <w:rPr>
          <w:rFonts w:cs="Sylfaen"/>
          <w:lang w:val="hy-AM"/>
        </w:rPr>
        <w:t>ն</w:t>
      </w:r>
      <w:r w:rsidRPr="00A60550">
        <w:rPr>
          <w:rFonts w:cs="Sylfaen"/>
          <w:lang w:val="hy-AM"/>
        </w:rPr>
        <w:t xml:space="preserve"> ուղղված կլի</w:t>
      </w:r>
      <w:r w:rsidRPr="00A60550">
        <w:rPr>
          <w:rFonts w:cs="Sylfaen"/>
          <w:lang w:val="hy-AM"/>
        </w:rPr>
        <w:softHyphen/>
        <w:t xml:space="preserve">նի </w:t>
      </w:r>
      <w:r w:rsidRPr="0086726A">
        <w:rPr>
          <w:rFonts w:cs="Sylfaen"/>
          <w:lang w:val="hy-AM"/>
        </w:rPr>
        <w:t xml:space="preserve">ծառայությունների մատուցման, տրանսֆերտների տրամադրման, </w:t>
      </w:r>
      <w:r>
        <w:rPr>
          <w:rFonts w:cs="Sylfaen"/>
          <w:lang w:val="hy-AM"/>
        </w:rPr>
        <w:t>ֆ</w:t>
      </w:r>
      <w:r w:rsidRPr="0086726A">
        <w:rPr>
          <w:rFonts w:cs="Sylfaen"/>
          <w:lang w:val="hy-AM"/>
        </w:rPr>
        <w:t xml:space="preserve">ինանսավորման ծախսերի իրականացման և </w:t>
      </w:r>
      <w:r w:rsidRPr="00EB1197">
        <w:rPr>
          <w:rFonts w:cs="Sylfaen"/>
          <w:lang w:val="hy-AM"/>
        </w:rPr>
        <w:t>հ</w:t>
      </w:r>
      <w:r w:rsidRPr="0086726A">
        <w:rPr>
          <w:rFonts w:cs="Sylfaen"/>
          <w:lang w:val="hy-AM"/>
        </w:rPr>
        <w:t>անրության կողմից անմիջականորեն օգտագործվող ակտիվների հետ կապված միջոցառումներին:</w:t>
      </w:r>
      <w:r w:rsidRPr="00A60550">
        <w:rPr>
          <w:rFonts w:cs="Sylfaen"/>
          <w:lang w:val="hy-AM"/>
        </w:rPr>
        <w:t xml:space="preserve"> </w:t>
      </w:r>
    </w:p>
    <w:p w14:paraId="1604F40C" w14:textId="77777777" w:rsidR="00B10E34" w:rsidRDefault="00B10E34" w:rsidP="009A7904">
      <w:pPr>
        <w:spacing w:line="276" w:lineRule="auto"/>
        <w:ind w:firstLine="475"/>
        <w:rPr>
          <w:rFonts w:cs="Sylfaen"/>
          <w:lang w:val="hy-AM"/>
        </w:rPr>
      </w:pPr>
      <w:r w:rsidRPr="00A60550">
        <w:rPr>
          <w:rFonts w:cs="Sylfaen"/>
          <w:lang w:val="hy-AM"/>
        </w:rPr>
        <w:t>2020-2023թթ ընթացիկ ծախսերի ֆինանսավորման ըստ տնտեսագիտական դասակարգման կառուցված</w:t>
      </w:r>
      <w:r w:rsidR="002A51B1" w:rsidRPr="00BE7F99">
        <w:rPr>
          <w:rFonts w:cs="Sylfaen"/>
          <w:lang w:val="hy-AM"/>
        </w:rPr>
        <w:t>ք</w:t>
      </w:r>
      <w:r w:rsidRPr="00A60550">
        <w:rPr>
          <w:rFonts w:cs="Sylfaen"/>
          <w:lang w:val="hy-AM"/>
        </w:rPr>
        <w:t>ի ծախ</w:t>
      </w:r>
      <w:r w:rsidRPr="00A60550">
        <w:rPr>
          <w:rFonts w:cs="Sylfaen"/>
          <w:lang w:val="hy-AM"/>
        </w:rPr>
        <w:softHyphen/>
        <w:t>սերի հարա</w:t>
      </w:r>
      <w:r w:rsidRPr="00A60550">
        <w:rPr>
          <w:rFonts w:cs="Sylfaen"/>
          <w:lang w:val="hy-AM"/>
        </w:rPr>
        <w:softHyphen/>
        <w:t>բերակցությունը ՀՆԱ-ի նկատմամբ</w:t>
      </w:r>
      <w:r>
        <w:rPr>
          <w:rFonts w:cs="Sylfaen"/>
          <w:lang w:val="hy-AM"/>
        </w:rPr>
        <w:t xml:space="preserve"> ներկայացված է ստորև:</w:t>
      </w:r>
    </w:p>
    <w:p w14:paraId="5713282E" w14:textId="77777777" w:rsidR="00DF79D1" w:rsidRPr="00A60550" w:rsidRDefault="00DF79D1" w:rsidP="00DF79D1">
      <w:pPr>
        <w:spacing w:line="276" w:lineRule="auto"/>
        <w:ind w:firstLine="475"/>
        <w:rPr>
          <w:rFonts w:cs="Sylfaen"/>
          <w:lang w:val="hy-AM"/>
        </w:rPr>
      </w:pPr>
      <w:r w:rsidRPr="008C23C8">
        <w:rPr>
          <w:rFonts w:eastAsia="Calibri" w:cs="Times New Roman"/>
          <w:b/>
          <w:i/>
          <w:iCs/>
          <w:color w:val="000000"/>
          <w:lang w:val="hy-AM"/>
        </w:rPr>
        <w:t xml:space="preserve">Գծապատկեր </w:t>
      </w:r>
      <w:r>
        <w:rPr>
          <w:rFonts w:eastAsia="Calibri" w:cs="Times New Roman"/>
          <w:b/>
          <w:i/>
          <w:iCs/>
          <w:color w:val="000000"/>
          <w:lang w:val="hy-AM"/>
        </w:rPr>
        <w:t>4</w:t>
      </w:r>
      <w:r w:rsidRPr="008C23C8">
        <w:rPr>
          <w:rFonts w:eastAsia="Calibri" w:cs="Times New Roman"/>
          <w:b/>
          <w:i/>
          <w:iCs/>
          <w:color w:val="000000"/>
          <w:lang w:val="hy-AM"/>
        </w:rPr>
        <w:t>.</w:t>
      </w:r>
      <w:r>
        <w:rPr>
          <w:rFonts w:eastAsia="Calibri" w:cs="Times New Roman"/>
          <w:b/>
          <w:i/>
          <w:iCs/>
          <w:color w:val="000000"/>
          <w:lang w:val="hy-AM"/>
        </w:rPr>
        <w:t>4</w:t>
      </w:r>
      <w:r w:rsidRPr="008C23C8">
        <w:rPr>
          <w:rFonts w:eastAsia="Calibri" w:cs="Times New Roman"/>
          <w:b/>
          <w:i/>
          <w:iCs/>
          <w:color w:val="000000"/>
          <w:lang w:val="hy-AM"/>
        </w:rPr>
        <w:t>.</w:t>
      </w:r>
      <w:r>
        <w:rPr>
          <w:rFonts w:eastAsia="Calibri" w:cs="Times New Roman"/>
          <w:b/>
          <w:i/>
          <w:iCs/>
          <w:color w:val="000000"/>
          <w:lang w:val="hy-AM"/>
        </w:rPr>
        <w:t>2․</w:t>
      </w:r>
      <w:r w:rsidRPr="008C23C8">
        <w:rPr>
          <w:rFonts w:eastAsia="Calibri" w:cs="Times New Roman"/>
          <w:b/>
          <w:i/>
          <w:iCs/>
          <w:color w:val="000000"/>
          <w:sz w:val="20"/>
          <w:szCs w:val="20"/>
          <w:lang w:val="hy-AM"/>
        </w:rPr>
        <w:t xml:space="preserve"> </w:t>
      </w:r>
      <w:r w:rsidRPr="00DF79D1">
        <w:rPr>
          <w:rFonts w:cs="Sylfaen"/>
          <w:i/>
          <w:sz w:val="20"/>
          <w:szCs w:val="20"/>
          <w:lang w:val="hy-AM"/>
        </w:rPr>
        <w:t>2020-2023թթ</w:t>
      </w:r>
      <w:r>
        <w:rPr>
          <w:rFonts w:ascii="Cambria Math" w:hAnsi="Cambria Math" w:cs="Sylfaen"/>
          <w:i/>
          <w:sz w:val="20"/>
          <w:szCs w:val="20"/>
          <w:lang w:val="hy-AM"/>
        </w:rPr>
        <w:t xml:space="preserve">․ </w:t>
      </w:r>
      <w:r w:rsidRPr="00DF79D1">
        <w:rPr>
          <w:rFonts w:cs="Sylfaen"/>
          <w:i/>
          <w:sz w:val="20"/>
          <w:szCs w:val="20"/>
          <w:lang w:val="hy-AM"/>
        </w:rPr>
        <w:t>ընթացիկ ծախսերի ֆինանսավորման ըստ տնտեսագիտական դասակարգման կառուցվածքի ծախ</w:t>
      </w:r>
      <w:r w:rsidRPr="00DF79D1">
        <w:rPr>
          <w:rFonts w:cs="Sylfaen"/>
          <w:i/>
          <w:sz w:val="20"/>
          <w:szCs w:val="20"/>
          <w:lang w:val="hy-AM"/>
        </w:rPr>
        <w:softHyphen/>
        <w:t>սերի հարա</w:t>
      </w:r>
      <w:r w:rsidRPr="00DF79D1">
        <w:rPr>
          <w:rFonts w:cs="Sylfaen"/>
          <w:i/>
          <w:sz w:val="20"/>
          <w:szCs w:val="20"/>
          <w:lang w:val="hy-AM"/>
        </w:rPr>
        <w:softHyphen/>
        <w:t>բերակցությունը ՀՆԱ-ի նկատմամբ</w:t>
      </w:r>
    </w:p>
    <w:p w14:paraId="14F952EB" w14:textId="77777777" w:rsidR="00B10E34" w:rsidRPr="00DF79D1" w:rsidRDefault="00B10E34" w:rsidP="009A7904">
      <w:pPr>
        <w:spacing w:line="276" w:lineRule="auto"/>
        <w:ind w:firstLine="475"/>
        <w:rPr>
          <w:lang w:val="hy-AM"/>
        </w:rPr>
      </w:pPr>
    </w:p>
    <w:p w14:paraId="3BEEAB8E" w14:textId="77777777" w:rsidR="00B10E34" w:rsidRPr="006F5D30" w:rsidRDefault="00B10E34" w:rsidP="00B10E34">
      <w:pPr>
        <w:spacing w:line="360" w:lineRule="auto"/>
        <w:ind w:firstLine="480"/>
        <w:rPr>
          <w:lang w:val="af-ZA"/>
        </w:rPr>
      </w:pPr>
      <w:r w:rsidRPr="0035033F">
        <w:rPr>
          <w:noProof/>
        </w:rPr>
        <w:lastRenderedPageBreak/>
        <w:drawing>
          <wp:inline distT="0" distB="0" distL="0" distR="0" wp14:anchorId="338B1888" wp14:editId="7A38DD37">
            <wp:extent cx="5924550" cy="4610100"/>
            <wp:effectExtent l="0" t="0" r="0" b="0"/>
            <wp:docPr id="44" name="Chart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E384A8A" w14:textId="77777777" w:rsidR="00B10E34" w:rsidRDefault="00B10E34" w:rsidP="006B2C4E">
      <w:pPr>
        <w:spacing w:line="240" w:lineRule="auto"/>
        <w:rPr>
          <w:rFonts w:cs="Sylfaen"/>
          <w:sz w:val="20"/>
          <w:szCs w:val="20"/>
          <w:lang w:val="hy-AM"/>
        </w:rPr>
      </w:pPr>
    </w:p>
    <w:p w14:paraId="609075CF" w14:textId="77777777" w:rsidR="002C5DCC" w:rsidRPr="002A51B1" w:rsidRDefault="002C5DCC" w:rsidP="002C5DCC">
      <w:pPr>
        <w:spacing w:line="276" w:lineRule="auto"/>
        <w:rPr>
          <w:lang w:val="hy-AM"/>
        </w:rPr>
      </w:pPr>
      <w:r w:rsidRPr="002A51B1">
        <w:rPr>
          <w:lang w:val="hy-AM"/>
        </w:rPr>
        <w:t xml:space="preserve">2021-2023թթ. ժամանակահատվածում պետական բյուջեից </w:t>
      </w:r>
      <w:r w:rsidR="00CB67A2">
        <w:rPr>
          <w:lang w:val="hy-AM"/>
        </w:rPr>
        <w:t xml:space="preserve">աշխատավարձերին ուղղվող ծախսերը կկազմեն </w:t>
      </w:r>
      <w:r w:rsidRPr="002A51B1">
        <w:rPr>
          <w:lang w:val="hy-AM"/>
        </w:rPr>
        <w:t xml:space="preserve">համապատասխանաբար՝ 180, 181 և 182 մլրդ դրամ: Այս ծախսերը 2020 թվականի հաստատված բյուջեի նույն ցուցանիշի համեմատ ավել են </w:t>
      </w:r>
      <w:r w:rsidRPr="00BE7F99">
        <w:rPr>
          <w:lang w:val="hy-AM"/>
        </w:rPr>
        <w:t xml:space="preserve">պլանավորված </w:t>
      </w:r>
      <w:r w:rsidRPr="002A51B1">
        <w:rPr>
          <w:lang w:val="hy-AM"/>
        </w:rPr>
        <w:t>համապատ</w:t>
      </w:r>
      <w:r w:rsidRPr="00BE7F99">
        <w:rPr>
          <w:lang w:val="hy-AM"/>
        </w:rPr>
        <w:t>ա</w:t>
      </w:r>
      <w:r w:rsidRPr="002A51B1">
        <w:rPr>
          <w:lang w:val="hy-AM"/>
        </w:rPr>
        <w:t>սխանաբար՝ 2021 թվականին՝ 0.8 տոկոսով կամ 1.5 մլրդ, 2022 թվականին՝ 1.3 տոկոս կամ 2.4 մլրդ և 2023 թվականին՝ 1.9 տոկոս կամ 3.5 մլրդ դրամի չափով:</w:t>
      </w:r>
    </w:p>
    <w:p w14:paraId="210472B3" w14:textId="77777777" w:rsidR="002C5DCC" w:rsidRDefault="002C5DCC" w:rsidP="002C5DCC">
      <w:pPr>
        <w:spacing w:line="276" w:lineRule="auto"/>
        <w:rPr>
          <w:lang w:val="hy-AM"/>
        </w:rPr>
      </w:pPr>
      <w:r w:rsidRPr="002A51B1">
        <w:rPr>
          <w:lang w:val="hy-AM"/>
        </w:rPr>
        <w:t xml:space="preserve">2021-2023թթ. ժամանակահատվածում </w:t>
      </w:r>
      <w:r w:rsidRPr="00CB67A2">
        <w:rPr>
          <w:lang w:val="hy-AM"/>
        </w:rPr>
        <w:t>տոկոսավճարների</w:t>
      </w:r>
      <w:r w:rsidRPr="002A51B1">
        <w:rPr>
          <w:lang w:val="hy-AM"/>
        </w:rPr>
        <w:t xml:space="preserve"> գծով </w:t>
      </w:r>
      <w:r w:rsidR="00CB67A2">
        <w:rPr>
          <w:lang w:val="hy-AM"/>
        </w:rPr>
        <w:t>ծախսերը կազմում են</w:t>
      </w:r>
      <w:r w:rsidRPr="002A51B1">
        <w:rPr>
          <w:lang w:val="hy-AM"/>
        </w:rPr>
        <w:t xml:space="preserve"> համապատասխանաբար՝ 185, 211 և 236 մլրդ դրամ:</w:t>
      </w:r>
    </w:p>
    <w:p w14:paraId="42B0F11A" w14:textId="77777777" w:rsidR="009A56C0" w:rsidRPr="00BE7F99" w:rsidRDefault="009A56C0" w:rsidP="009A56C0">
      <w:pPr>
        <w:spacing w:line="276" w:lineRule="auto"/>
        <w:rPr>
          <w:lang w:val="hy-AM"/>
        </w:rPr>
      </w:pPr>
      <w:r w:rsidRPr="00BE7F99">
        <w:rPr>
          <w:lang w:val="hy-AM"/>
        </w:rPr>
        <w:t xml:space="preserve">2021-2023թթ. ժամանակահատվածում պետական բյուջեից կազմակերպություններին նախատեսվում է տրամադրել համապատասխանաբար՝ 122, 127 և 130 մլրդ դրամի </w:t>
      </w:r>
      <w:r w:rsidRPr="00CB67A2">
        <w:rPr>
          <w:lang w:val="hy-AM"/>
        </w:rPr>
        <w:t>սուբսիդիաներ:</w:t>
      </w:r>
      <w:r w:rsidRPr="00BE7F99">
        <w:rPr>
          <w:lang w:val="hy-AM"/>
        </w:rPr>
        <w:t xml:space="preserve"> 2020 թվականի հաստատված բյուջեի համեմատ սուբսիդիաների գծով ծախսերն ավել են կանխատեսվել 2021 թվականին՝ ընդամենը 5.8 տոկոսով կամ 6.8 մլրդ, 2022 թվականին՝ ընդամենը 3.2 տոկոսով կամ 10.7 մլրդ և 2023 թվականին՝ ընդամենը 12 տոկոսով կամ 13.8 մլրդ դրամով:</w:t>
      </w:r>
    </w:p>
    <w:p w14:paraId="191E5581" w14:textId="77777777" w:rsidR="009A56C0" w:rsidRPr="00BE7F99" w:rsidRDefault="009A56C0" w:rsidP="009A56C0">
      <w:pPr>
        <w:spacing w:line="276" w:lineRule="auto"/>
        <w:rPr>
          <w:lang w:val="hy-AM"/>
        </w:rPr>
      </w:pPr>
      <w:r w:rsidRPr="00BE7F99">
        <w:rPr>
          <w:lang w:val="hy-AM"/>
        </w:rPr>
        <w:t xml:space="preserve">2021-2023թթ. միջնաժամկետ ժամանակահատվածում ընթացիկ ծախսերի աճը մեծապես ապահովվելու է </w:t>
      </w:r>
      <w:r w:rsidRPr="00CB67A2">
        <w:rPr>
          <w:lang w:val="hy-AM"/>
        </w:rPr>
        <w:t>սոցիալական նպաստների և կենսաթոշակների վճարների գծով</w:t>
      </w:r>
      <w:r w:rsidRPr="00BE7F99">
        <w:rPr>
          <w:lang w:val="hy-AM"/>
        </w:rPr>
        <w:t xml:space="preserve"> պետական բյուջեի ծախսերի ավելացման հաշվին, որոնք 2020 թվականի հաստատված բյուջեի նկատմամբ ավելացել են համապատասխանաբար՝ 2021 թվականին՝ 14, 2022 թվականին՝ 24 և 2023 թվականին՝ 31 մլրդ դրամով կամ համապատասխանաբար 2.8, 4.7 և 6 տոկոսով: </w:t>
      </w:r>
    </w:p>
    <w:p w14:paraId="3BC2EE49" w14:textId="17E9EC93" w:rsidR="009A56C0" w:rsidRPr="00BE7F99" w:rsidRDefault="009A56C0" w:rsidP="009A56C0">
      <w:pPr>
        <w:spacing w:line="276" w:lineRule="auto"/>
        <w:rPr>
          <w:lang w:val="hy-AM"/>
        </w:rPr>
      </w:pPr>
      <w:r w:rsidRPr="00BE7F99">
        <w:rPr>
          <w:lang w:val="hy-AM"/>
        </w:rPr>
        <w:lastRenderedPageBreak/>
        <w:t>2021-2023թթ միջնաժամկետ ժամանակահատվածում պետական բյուջեից նախատեսվ</w:t>
      </w:r>
      <w:r w:rsidR="00CB67A2">
        <w:rPr>
          <w:lang w:val="hy-AM"/>
        </w:rPr>
        <w:t>ում</w:t>
      </w:r>
      <w:r w:rsidRPr="00BE7F99">
        <w:rPr>
          <w:lang w:val="hy-AM"/>
        </w:rPr>
        <w:t xml:space="preserve"> է տրամադրել </w:t>
      </w:r>
      <w:r w:rsidRPr="00CB67A2">
        <w:rPr>
          <w:lang w:val="hy-AM"/>
        </w:rPr>
        <w:t>դրամաշնորհներ</w:t>
      </w:r>
      <w:r w:rsidRPr="00BE7F99">
        <w:rPr>
          <w:lang w:val="hy-AM"/>
        </w:rPr>
        <w:t xml:space="preserve"> 2020 թվականի հաստատված բյուջեի նկատմամբ համապատասխանաբար 2021</w:t>
      </w:r>
      <w:r w:rsidR="00301878" w:rsidRPr="00BE7F99">
        <w:rPr>
          <w:lang w:val="hy-AM"/>
        </w:rPr>
        <w:t xml:space="preserve"> և 2022</w:t>
      </w:r>
      <w:r w:rsidR="00CB67A2">
        <w:rPr>
          <w:lang w:val="hy-AM"/>
        </w:rPr>
        <w:t xml:space="preserve"> </w:t>
      </w:r>
      <w:r w:rsidR="00301878" w:rsidRPr="00BE7F99">
        <w:rPr>
          <w:lang w:val="hy-AM"/>
        </w:rPr>
        <w:t>թվականներին</w:t>
      </w:r>
      <w:r w:rsidRPr="00BE7F99">
        <w:rPr>
          <w:lang w:val="hy-AM"/>
        </w:rPr>
        <w:t xml:space="preserve"> 4 մլրդ դրամով կամ 2.</w:t>
      </w:r>
      <w:r w:rsidR="001C20F2" w:rsidRPr="00BE7F99">
        <w:rPr>
          <w:lang w:val="hy-AM"/>
        </w:rPr>
        <w:t>5</w:t>
      </w:r>
      <w:r w:rsidRPr="00BE7F99">
        <w:rPr>
          <w:lang w:val="hy-AM"/>
        </w:rPr>
        <w:t xml:space="preserve"> տոկոս</w:t>
      </w:r>
      <w:r w:rsidR="007724F4">
        <w:rPr>
          <w:lang w:val="hy-AM"/>
        </w:rPr>
        <w:t>ո</w:t>
      </w:r>
      <w:r w:rsidRPr="00BE7F99">
        <w:rPr>
          <w:lang w:val="hy-AM"/>
        </w:rPr>
        <w:t>վ պակաս</w:t>
      </w:r>
      <w:r w:rsidR="00CB67A2">
        <w:rPr>
          <w:lang w:val="hy-AM"/>
        </w:rPr>
        <w:t>,</w:t>
      </w:r>
      <w:r w:rsidRPr="00BE7F99">
        <w:rPr>
          <w:lang w:val="hy-AM"/>
        </w:rPr>
        <w:t xml:space="preserve"> 2023 թվականին՝ 1</w:t>
      </w:r>
      <w:r w:rsidR="001C20F2" w:rsidRPr="00BE7F99">
        <w:rPr>
          <w:lang w:val="hy-AM"/>
        </w:rPr>
        <w:t>.4</w:t>
      </w:r>
      <w:r w:rsidRPr="00BE7F99">
        <w:rPr>
          <w:lang w:val="hy-AM"/>
        </w:rPr>
        <w:t xml:space="preserve"> մլրդ դրամով կամ 0.</w:t>
      </w:r>
      <w:r w:rsidR="001C20F2" w:rsidRPr="00BE7F99">
        <w:rPr>
          <w:lang w:val="hy-AM"/>
        </w:rPr>
        <w:t>9</w:t>
      </w:r>
      <w:r w:rsidRPr="00BE7F99">
        <w:rPr>
          <w:lang w:val="hy-AM"/>
        </w:rPr>
        <w:t xml:space="preserve"> տոկոսով ավել: </w:t>
      </w:r>
    </w:p>
    <w:p w14:paraId="403C37BE" w14:textId="3F896576" w:rsidR="009A56C0" w:rsidRPr="00BE7F99" w:rsidRDefault="009A56C0" w:rsidP="009A56C0">
      <w:pPr>
        <w:spacing w:line="276" w:lineRule="auto"/>
        <w:rPr>
          <w:lang w:val="hy-AM"/>
        </w:rPr>
      </w:pPr>
      <w:r w:rsidRPr="00BE7F99">
        <w:rPr>
          <w:lang w:val="hy-AM"/>
        </w:rPr>
        <w:t>2021-2022թթ միջնաժամկետ ժամանակահատվածում պետական բյուջեից նախատեսվել է տրամադրել հատկացումներ ՀՀ համայնքներին, մասնավորապես Համայնքների բյուջեներին ֆինանսական համահարթեցման սկզբունքով դոտացիաների տրամադրման</w:t>
      </w:r>
      <w:r w:rsidR="00CB67A2">
        <w:rPr>
          <w:lang w:val="hy-AM"/>
        </w:rPr>
        <w:t>,</w:t>
      </w:r>
      <w:r w:rsidRPr="00BE7F99">
        <w:rPr>
          <w:lang w:val="hy-AM"/>
        </w:rPr>
        <w:t xml:space="preserve"> օրենքների կիրարկման արդյունքում համայնքների բյուջեների եկամուտների կորուստների փոխհատուցման նպատակով 2021 թվականին նախատեսվում է տրամադրել 64,6 մլրդ դրամ կամ ընդհանուր բյուջետային ծախսերի 3.4 և ՀՆԱ-ի 0.9 տոկոսը, 2022</w:t>
      </w:r>
      <w:r w:rsidR="007724F4">
        <w:rPr>
          <w:lang w:val="hy-AM"/>
        </w:rPr>
        <w:t xml:space="preserve"> </w:t>
      </w:r>
      <w:r w:rsidRPr="00BE7F99">
        <w:rPr>
          <w:lang w:val="hy-AM"/>
        </w:rPr>
        <w:t>թվականին՝ 61,7 մլրդ դրամ կամ ընդհանուր բյուջետային ծախսերի 3 և ՀՆԱ-ի 0.8 տոկոսը</w:t>
      </w:r>
      <w:r w:rsidR="007724F4">
        <w:rPr>
          <w:lang w:val="hy-AM"/>
        </w:rPr>
        <w:t>,</w:t>
      </w:r>
      <w:r w:rsidRPr="00BE7F99">
        <w:rPr>
          <w:lang w:val="hy-AM"/>
        </w:rPr>
        <w:t xml:space="preserve"> իսկ 2023 թվականին 69,1 մլրդ դրամ կամ ընդհանուր բյուջետային ծախսերի 3 և ՀՆԱ-ի 0.8 տոկոսը: 2021-2023 թվականների ՄԺԾԾ նախատեսվել է համայնքներին տրամադրել նաև սուբվենցիաներ՝  2021 թվականին՝ 16.6 մլրդ կամ ընդհանուր բյուջետային ծախսերի 0.9 տոկոսը, 2022 թվականին՝ 16.7 մլրդ կամ ընդհանուր բյուջետային ծախսերի 0.7 տոկոսը և 2023 թվականին նույնպես 16.7 մլրդ կամ ընդհանուր բյուջետային ծախսերի 0.7 տոկոսը: Միջնաժամկետ ժամանակահատվածում Սահմանամերձ համայնքների սոցիալական աջակցության մասին ՀՀ օրենքի կիրարկմամբ պայմանավորված նախատեսվել է պետական աջակցություն տրամադրել սահմանամերձ համայնքներին՝ յուրաքանչյուր տարվա համար 0.8</w:t>
      </w:r>
      <w:r w:rsidR="007724F4">
        <w:rPr>
          <w:lang w:val="hy-AM"/>
        </w:rPr>
        <w:t xml:space="preserve"> </w:t>
      </w:r>
      <w:r w:rsidRPr="00BE7F99">
        <w:rPr>
          <w:lang w:val="hy-AM"/>
        </w:rPr>
        <w:t>մլրդ դրամի չափով:</w:t>
      </w:r>
    </w:p>
    <w:p w14:paraId="613349F7" w14:textId="77777777" w:rsidR="00843358" w:rsidRDefault="00843358" w:rsidP="00B10E34">
      <w:pPr>
        <w:rPr>
          <w:rFonts w:cs="Sylfaen"/>
          <w:b/>
          <w:sz w:val="20"/>
          <w:szCs w:val="20"/>
          <w:lang w:val="hy-AM"/>
        </w:rPr>
      </w:pPr>
    </w:p>
    <w:p w14:paraId="07A96FB0" w14:textId="77777777" w:rsidR="00B10E34" w:rsidRPr="00824F14" w:rsidRDefault="00B10E34" w:rsidP="00B10E34">
      <w:pPr>
        <w:rPr>
          <w:i/>
          <w:sz w:val="20"/>
          <w:szCs w:val="20"/>
          <w:lang w:val="hy-AM"/>
        </w:rPr>
      </w:pPr>
      <w:r w:rsidRPr="00824F14">
        <w:rPr>
          <w:rFonts w:cs="Sylfaen"/>
          <w:b/>
          <w:sz w:val="20"/>
          <w:szCs w:val="20"/>
          <w:lang w:val="hy-AM"/>
        </w:rPr>
        <w:t>Աղյուսակ</w:t>
      </w:r>
      <w:r w:rsidRPr="00824F14">
        <w:rPr>
          <w:b/>
          <w:sz w:val="20"/>
          <w:szCs w:val="20"/>
          <w:lang w:val="af-ZA"/>
        </w:rPr>
        <w:t xml:space="preserve"> 4.</w:t>
      </w:r>
      <w:r w:rsidR="00FF5FF7" w:rsidRPr="00824F14">
        <w:rPr>
          <w:b/>
          <w:sz w:val="20"/>
          <w:szCs w:val="20"/>
          <w:lang w:val="af-ZA"/>
        </w:rPr>
        <w:t>4</w:t>
      </w:r>
      <w:r w:rsidR="00231073" w:rsidRPr="00824F14">
        <w:rPr>
          <w:b/>
          <w:sz w:val="20"/>
          <w:szCs w:val="20"/>
          <w:lang w:val="hy-AM"/>
        </w:rPr>
        <w:t>.</w:t>
      </w:r>
      <w:r w:rsidR="00FF5FF7" w:rsidRPr="00824F14">
        <w:rPr>
          <w:b/>
          <w:sz w:val="20"/>
          <w:szCs w:val="20"/>
          <w:lang w:val="af-ZA"/>
        </w:rPr>
        <w:t>2</w:t>
      </w:r>
      <w:r w:rsidR="00FF5FF7" w:rsidRPr="00824F14">
        <w:rPr>
          <w:sz w:val="20"/>
          <w:szCs w:val="20"/>
          <w:lang w:val="af-ZA"/>
        </w:rPr>
        <w:t xml:space="preserve"> </w:t>
      </w:r>
      <w:r w:rsidRPr="00824F14">
        <w:rPr>
          <w:i/>
          <w:sz w:val="20"/>
          <w:szCs w:val="20"/>
          <w:lang w:val="af-ZA"/>
        </w:rPr>
        <w:t>2020-2023</w:t>
      </w:r>
      <w:r w:rsidRPr="00824F14">
        <w:rPr>
          <w:i/>
          <w:sz w:val="20"/>
          <w:szCs w:val="20"/>
          <w:lang w:val="it-IT"/>
        </w:rPr>
        <w:t>թթ</w:t>
      </w:r>
      <w:r w:rsidRPr="00824F14">
        <w:rPr>
          <w:i/>
          <w:sz w:val="20"/>
          <w:szCs w:val="20"/>
          <w:lang w:val="af-ZA"/>
        </w:rPr>
        <w:t xml:space="preserve"> </w:t>
      </w:r>
      <w:r w:rsidRPr="00824F14">
        <w:rPr>
          <w:rFonts w:cs="Sylfaen"/>
          <w:i/>
          <w:sz w:val="20"/>
          <w:szCs w:val="20"/>
          <w:lang w:val="hy-AM"/>
        </w:rPr>
        <w:t>ընթացիկ</w:t>
      </w:r>
      <w:r w:rsidRPr="00824F14">
        <w:rPr>
          <w:i/>
          <w:sz w:val="20"/>
          <w:szCs w:val="20"/>
          <w:lang w:val="hy-AM"/>
        </w:rPr>
        <w:t xml:space="preserve"> </w:t>
      </w:r>
      <w:r w:rsidRPr="00824F14">
        <w:rPr>
          <w:rFonts w:cs="Sylfaen"/>
          <w:i/>
          <w:sz w:val="20"/>
          <w:szCs w:val="20"/>
          <w:lang w:val="hy-AM"/>
        </w:rPr>
        <w:t>ծախսերի</w:t>
      </w:r>
      <w:r w:rsidRPr="00824F14">
        <w:rPr>
          <w:i/>
          <w:sz w:val="20"/>
          <w:szCs w:val="20"/>
          <w:lang w:val="hy-AM"/>
        </w:rPr>
        <w:t xml:space="preserve"> ֆինանսավորման կառուցվածը ըստ տնտեսագիտական դասակարգման</w:t>
      </w:r>
    </w:p>
    <w:p w14:paraId="0A2E5615" w14:textId="77777777" w:rsidR="00B10E34" w:rsidRPr="00E450F5" w:rsidRDefault="00E450F5" w:rsidP="00E450F5">
      <w:pPr>
        <w:jc w:val="right"/>
        <w:rPr>
          <w:sz w:val="20"/>
          <w:szCs w:val="20"/>
          <w:lang w:val="hy-AM"/>
        </w:rPr>
      </w:pPr>
      <w:r w:rsidRPr="00E450F5">
        <w:rPr>
          <w:sz w:val="20"/>
          <w:szCs w:val="20"/>
          <w:lang w:val="hy-AM"/>
        </w:rPr>
        <w:t>մլն դրամ</w:t>
      </w:r>
      <w:r w:rsidR="00B10E34" w:rsidRPr="00E450F5">
        <w:rPr>
          <w:sz w:val="20"/>
          <w:szCs w:val="20"/>
          <w:lang w:val="hy-AM"/>
        </w:rPr>
        <w:t xml:space="preserve">                                                                 </w:t>
      </w:r>
    </w:p>
    <w:tbl>
      <w:tblPr>
        <w:tblW w:w="9560" w:type="dxa"/>
        <w:tblInd w:w="-5" w:type="dxa"/>
        <w:tblLook w:val="04A0" w:firstRow="1" w:lastRow="0" w:firstColumn="1" w:lastColumn="0" w:noHBand="0" w:noVBand="1"/>
      </w:tblPr>
      <w:tblGrid>
        <w:gridCol w:w="4204"/>
        <w:gridCol w:w="1537"/>
        <w:gridCol w:w="1273"/>
        <w:gridCol w:w="1273"/>
        <w:gridCol w:w="1273"/>
      </w:tblGrid>
      <w:tr w:rsidR="00E450F5" w:rsidRPr="00E450F5" w14:paraId="3AF786ED" w14:textId="77777777" w:rsidTr="00E450F5">
        <w:trPr>
          <w:trHeight w:val="555"/>
        </w:trPr>
        <w:tc>
          <w:tcPr>
            <w:tcW w:w="4204"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EA91E60" w14:textId="77777777" w:rsidR="00E450F5" w:rsidRPr="00CB67A2" w:rsidRDefault="00E450F5" w:rsidP="00E450F5">
            <w:pPr>
              <w:spacing w:before="0" w:after="0" w:line="240" w:lineRule="auto"/>
              <w:ind w:firstLine="0"/>
              <w:jc w:val="center"/>
              <w:rPr>
                <w:rFonts w:eastAsia="Times New Roman" w:cs="Times New Roman"/>
                <w:b/>
                <w:bCs/>
                <w:sz w:val="20"/>
                <w:szCs w:val="20"/>
                <w:lang w:val="hy-AM"/>
              </w:rPr>
            </w:pPr>
            <w:r w:rsidRPr="00CB67A2">
              <w:rPr>
                <w:rFonts w:cs="Sylfaen"/>
                <w:color w:val="FFFFFF" w:themeColor="background1"/>
                <w:sz w:val="20"/>
                <w:szCs w:val="20"/>
                <w:lang w:val="hy-AM"/>
              </w:rPr>
              <w:t>Ցուցանիշներ</w:t>
            </w:r>
          </w:p>
        </w:tc>
        <w:tc>
          <w:tcPr>
            <w:tcW w:w="1537"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28FF0BF0" w14:textId="77777777" w:rsidR="00E450F5" w:rsidRPr="00CB67A2" w:rsidRDefault="00E450F5" w:rsidP="00E450F5">
            <w:pPr>
              <w:spacing w:before="0" w:after="0" w:line="240" w:lineRule="auto"/>
              <w:ind w:firstLine="0"/>
              <w:jc w:val="center"/>
              <w:rPr>
                <w:rFonts w:eastAsia="Times New Roman" w:cs="Times New Roman"/>
                <w:b/>
                <w:bCs/>
                <w:sz w:val="20"/>
                <w:szCs w:val="20"/>
                <w:lang w:val="hy-AM"/>
              </w:rPr>
            </w:pPr>
            <w:r w:rsidRPr="00CB67A2">
              <w:rPr>
                <w:rFonts w:cs="Sylfaen"/>
                <w:color w:val="FFFFFF" w:themeColor="background1"/>
                <w:sz w:val="20"/>
                <w:szCs w:val="20"/>
                <w:lang w:val="hy-AM"/>
              </w:rPr>
              <w:t>2020թ հաստատված</w:t>
            </w:r>
          </w:p>
        </w:tc>
        <w:tc>
          <w:tcPr>
            <w:tcW w:w="1273"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5B79BF77" w14:textId="77777777" w:rsidR="00E450F5" w:rsidRPr="00CB67A2" w:rsidRDefault="00E450F5" w:rsidP="00E450F5">
            <w:pPr>
              <w:spacing w:before="0" w:after="0" w:line="240" w:lineRule="auto"/>
              <w:ind w:firstLine="0"/>
              <w:jc w:val="center"/>
              <w:rPr>
                <w:rFonts w:eastAsia="Times New Roman" w:cs="Times New Roman"/>
                <w:b/>
                <w:bCs/>
                <w:sz w:val="20"/>
                <w:szCs w:val="20"/>
                <w:lang w:val="hy-AM"/>
              </w:rPr>
            </w:pPr>
            <w:r w:rsidRPr="00CB67A2">
              <w:rPr>
                <w:rFonts w:cs="Sylfaen"/>
                <w:color w:val="FFFFFF" w:themeColor="background1"/>
                <w:sz w:val="20"/>
                <w:szCs w:val="20"/>
                <w:lang w:val="hy-AM"/>
              </w:rPr>
              <w:t>2021թ ծրագիր</w:t>
            </w:r>
          </w:p>
        </w:tc>
        <w:tc>
          <w:tcPr>
            <w:tcW w:w="1273"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68B32ACB" w14:textId="77777777" w:rsidR="00E450F5" w:rsidRPr="00CB67A2" w:rsidRDefault="00E450F5" w:rsidP="00E450F5">
            <w:pPr>
              <w:spacing w:before="0" w:after="0" w:line="240" w:lineRule="auto"/>
              <w:ind w:firstLine="0"/>
              <w:jc w:val="center"/>
              <w:rPr>
                <w:rFonts w:eastAsia="Times New Roman" w:cs="Times New Roman"/>
                <w:b/>
                <w:bCs/>
                <w:sz w:val="20"/>
                <w:szCs w:val="20"/>
              </w:rPr>
            </w:pPr>
            <w:r w:rsidRPr="00CB67A2">
              <w:rPr>
                <w:rFonts w:cs="Sylfaen"/>
                <w:color w:val="FFFFFF" w:themeColor="background1"/>
                <w:sz w:val="20"/>
                <w:szCs w:val="20"/>
                <w:lang w:val="hy-AM"/>
              </w:rPr>
              <w:t>2022թ  ծրագ</w:t>
            </w:r>
            <w:r w:rsidRPr="00CB67A2">
              <w:rPr>
                <w:rFonts w:cs="Sylfaen"/>
                <w:color w:val="FFFFFF" w:themeColor="background1"/>
                <w:sz w:val="20"/>
                <w:szCs w:val="20"/>
              </w:rPr>
              <w:t>իր</w:t>
            </w:r>
          </w:p>
        </w:tc>
        <w:tc>
          <w:tcPr>
            <w:tcW w:w="1273" w:type="dxa"/>
            <w:tcBorders>
              <w:top w:val="single" w:sz="4" w:space="0" w:color="auto"/>
              <w:left w:val="nil"/>
              <w:bottom w:val="single" w:sz="4" w:space="0" w:color="auto"/>
              <w:right w:val="single" w:sz="4" w:space="0" w:color="auto"/>
            </w:tcBorders>
            <w:shd w:val="clear" w:color="auto" w:fill="365F91" w:themeFill="accent1" w:themeFillShade="BF"/>
            <w:vAlign w:val="center"/>
            <w:hideMark/>
          </w:tcPr>
          <w:p w14:paraId="3C7DA389" w14:textId="77777777" w:rsidR="00E450F5" w:rsidRPr="00CB67A2" w:rsidRDefault="00E450F5" w:rsidP="00E450F5">
            <w:pPr>
              <w:spacing w:before="0" w:after="0" w:line="240" w:lineRule="auto"/>
              <w:ind w:firstLine="0"/>
              <w:jc w:val="center"/>
              <w:rPr>
                <w:rFonts w:eastAsia="Times New Roman" w:cs="Times New Roman"/>
                <w:b/>
                <w:bCs/>
                <w:sz w:val="20"/>
                <w:szCs w:val="20"/>
              </w:rPr>
            </w:pPr>
            <w:r w:rsidRPr="00CB67A2">
              <w:rPr>
                <w:rFonts w:cs="Sylfaen"/>
                <w:color w:val="FFFFFF" w:themeColor="background1"/>
                <w:sz w:val="20"/>
                <w:szCs w:val="20"/>
              </w:rPr>
              <w:t>2023թ ծրագիր</w:t>
            </w:r>
          </w:p>
        </w:tc>
      </w:tr>
      <w:tr w:rsidR="00E450F5" w:rsidRPr="00E450F5" w14:paraId="3BED6AE6" w14:textId="77777777" w:rsidTr="00E450F5">
        <w:trPr>
          <w:trHeight w:val="300"/>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450008DD" w14:textId="77777777" w:rsidR="00E450F5" w:rsidRPr="00CB67A2" w:rsidRDefault="00E450F5" w:rsidP="00E450F5">
            <w:pPr>
              <w:spacing w:before="0" w:after="0" w:line="240" w:lineRule="auto"/>
              <w:ind w:firstLine="0"/>
              <w:rPr>
                <w:rFonts w:eastAsia="Times New Roman" w:cs="Times New Roman"/>
                <w:b/>
                <w:bCs/>
                <w:sz w:val="20"/>
                <w:szCs w:val="20"/>
              </w:rPr>
            </w:pPr>
            <w:r w:rsidRPr="00CB67A2">
              <w:rPr>
                <w:rFonts w:eastAsia="Times New Roman" w:cs="Arial"/>
                <w:b/>
                <w:bCs/>
                <w:sz w:val="20"/>
                <w:szCs w:val="20"/>
              </w:rPr>
              <w:t>ԸՆԹԱՑԻԿ ԾԱԽՍԵՐ</w:t>
            </w:r>
          </w:p>
        </w:tc>
        <w:tc>
          <w:tcPr>
            <w:tcW w:w="1537" w:type="dxa"/>
            <w:tcBorders>
              <w:top w:val="nil"/>
              <w:left w:val="nil"/>
              <w:bottom w:val="single" w:sz="4" w:space="0" w:color="auto"/>
              <w:right w:val="single" w:sz="4" w:space="0" w:color="auto"/>
            </w:tcBorders>
            <w:shd w:val="clear" w:color="auto" w:fill="C6D9F1" w:themeFill="text2" w:themeFillTint="33"/>
            <w:noWrap/>
            <w:vAlign w:val="center"/>
            <w:hideMark/>
          </w:tcPr>
          <w:p w14:paraId="2D60ED2A" w14:textId="77777777" w:rsidR="00E450F5" w:rsidRPr="00CB67A2" w:rsidRDefault="00E450F5" w:rsidP="00E450F5">
            <w:pPr>
              <w:spacing w:before="0" w:after="0" w:line="240" w:lineRule="auto"/>
              <w:ind w:firstLine="0"/>
              <w:jc w:val="center"/>
              <w:rPr>
                <w:rFonts w:ascii="Arial" w:eastAsia="Times New Roman" w:hAnsi="Arial" w:cs="Arial"/>
                <w:b/>
                <w:bCs/>
                <w:sz w:val="20"/>
                <w:szCs w:val="20"/>
              </w:rPr>
            </w:pPr>
            <w:r w:rsidRPr="00CB67A2">
              <w:rPr>
                <w:rFonts w:ascii="Arial" w:eastAsia="Times New Roman" w:hAnsi="Arial" w:cs="Arial"/>
                <w:b/>
                <w:bCs/>
                <w:sz w:val="20"/>
                <w:szCs w:val="20"/>
              </w:rPr>
              <w:t>1,568,161.8</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7A7726CA" w14:textId="77777777" w:rsidR="00E450F5" w:rsidRPr="00CB67A2" w:rsidRDefault="00E450F5" w:rsidP="00E450F5">
            <w:pPr>
              <w:spacing w:before="0" w:after="0" w:line="240" w:lineRule="auto"/>
              <w:ind w:firstLine="0"/>
              <w:jc w:val="center"/>
              <w:rPr>
                <w:rFonts w:ascii="Arial" w:eastAsia="Times New Roman" w:hAnsi="Arial" w:cs="Arial"/>
                <w:b/>
                <w:bCs/>
                <w:sz w:val="20"/>
                <w:szCs w:val="20"/>
              </w:rPr>
            </w:pPr>
            <w:r w:rsidRPr="00CB67A2">
              <w:rPr>
                <w:rFonts w:ascii="Arial" w:eastAsia="Times New Roman" w:hAnsi="Arial" w:cs="Arial"/>
                <w:b/>
                <w:bCs/>
                <w:sz w:val="20"/>
                <w:szCs w:val="20"/>
              </w:rPr>
              <w:t>1,629,020.1</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48181EF9" w14:textId="77777777" w:rsidR="00E450F5" w:rsidRPr="00CB67A2" w:rsidRDefault="00E450F5" w:rsidP="00E450F5">
            <w:pPr>
              <w:spacing w:before="0" w:after="0" w:line="240" w:lineRule="auto"/>
              <w:ind w:firstLine="0"/>
              <w:jc w:val="center"/>
              <w:rPr>
                <w:rFonts w:ascii="Arial" w:eastAsia="Times New Roman" w:hAnsi="Arial" w:cs="Arial"/>
                <w:b/>
                <w:bCs/>
                <w:sz w:val="20"/>
                <w:szCs w:val="20"/>
              </w:rPr>
            </w:pPr>
            <w:r w:rsidRPr="00CB67A2">
              <w:rPr>
                <w:rFonts w:ascii="Arial" w:eastAsia="Times New Roman" w:hAnsi="Arial" w:cs="Arial"/>
                <w:b/>
                <w:bCs/>
                <w:sz w:val="20"/>
                <w:szCs w:val="20"/>
              </w:rPr>
              <w:t>1,699,908.6</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60691F94" w14:textId="77777777" w:rsidR="00E450F5" w:rsidRPr="00CB67A2" w:rsidRDefault="00E450F5" w:rsidP="00E450F5">
            <w:pPr>
              <w:spacing w:before="0" w:after="0" w:line="240" w:lineRule="auto"/>
              <w:ind w:firstLine="0"/>
              <w:jc w:val="center"/>
              <w:rPr>
                <w:rFonts w:ascii="Arial" w:eastAsia="Times New Roman" w:hAnsi="Arial" w:cs="Arial"/>
                <w:b/>
                <w:bCs/>
                <w:sz w:val="20"/>
                <w:szCs w:val="20"/>
              </w:rPr>
            </w:pPr>
            <w:r w:rsidRPr="00CB67A2">
              <w:rPr>
                <w:rFonts w:ascii="Arial" w:eastAsia="Times New Roman" w:hAnsi="Arial" w:cs="Arial"/>
                <w:b/>
                <w:bCs/>
                <w:sz w:val="20"/>
                <w:szCs w:val="20"/>
              </w:rPr>
              <w:t>1,836,651.6</w:t>
            </w:r>
          </w:p>
        </w:tc>
      </w:tr>
      <w:tr w:rsidR="00E450F5" w:rsidRPr="00E450F5" w14:paraId="3F5A2DD8" w14:textId="77777777" w:rsidTr="00E450F5">
        <w:trPr>
          <w:trHeight w:val="300"/>
        </w:trPr>
        <w:tc>
          <w:tcPr>
            <w:tcW w:w="4204" w:type="dxa"/>
            <w:tcBorders>
              <w:top w:val="nil"/>
              <w:left w:val="single" w:sz="4" w:space="0" w:color="auto"/>
              <w:bottom w:val="single" w:sz="4" w:space="0" w:color="auto"/>
              <w:right w:val="single" w:sz="4" w:space="0" w:color="auto"/>
            </w:tcBorders>
            <w:shd w:val="clear" w:color="000000" w:fill="FFFFFF"/>
            <w:vAlign w:val="center"/>
            <w:hideMark/>
          </w:tcPr>
          <w:p w14:paraId="1E2AD63E" w14:textId="77777777" w:rsidR="00E450F5" w:rsidRPr="00CB67A2" w:rsidRDefault="00E450F5" w:rsidP="00E450F5">
            <w:pPr>
              <w:spacing w:before="0" w:after="0" w:line="240" w:lineRule="auto"/>
              <w:ind w:firstLine="0"/>
              <w:rPr>
                <w:rFonts w:eastAsia="Times New Roman" w:cs="Times New Roman"/>
                <w:b/>
                <w:bCs/>
                <w:sz w:val="20"/>
                <w:szCs w:val="20"/>
              </w:rPr>
            </w:pPr>
            <w:r w:rsidRPr="00CB67A2">
              <w:rPr>
                <w:rFonts w:eastAsia="Times New Roman" w:cs="Arial"/>
                <w:b/>
                <w:bCs/>
                <w:sz w:val="20"/>
                <w:szCs w:val="20"/>
              </w:rPr>
              <w:t>այդ թվում՝</w:t>
            </w:r>
          </w:p>
        </w:tc>
        <w:tc>
          <w:tcPr>
            <w:tcW w:w="1537" w:type="dxa"/>
            <w:tcBorders>
              <w:top w:val="nil"/>
              <w:left w:val="nil"/>
              <w:bottom w:val="single" w:sz="4" w:space="0" w:color="auto"/>
              <w:right w:val="single" w:sz="4" w:space="0" w:color="auto"/>
            </w:tcBorders>
            <w:shd w:val="clear" w:color="000000" w:fill="FFFFFF"/>
            <w:noWrap/>
            <w:vAlign w:val="center"/>
            <w:hideMark/>
          </w:tcPr>
          <w:p w14:paraId="6C69D672" w14:textId="77777777" w:rsidR="00E450F5" w:rsidRPr="00CB67A2" w:rsidRDefault="00E450F5" w:rsidP="00E450F5">
            <w:pPr>
              <w:spacing w:before="0" w:after="0" w:line="240" w:lineRule="auto"/>
              <w:ind w:firstLine="0"/>
              <w:jc w:val="left"/>
              <w:rPr>
                <w:rFonts w:ascii="Calibri" w:eastAsia="Times New Roman" w:hAnsi="Calibri" w:cs="Times New Roman"/>
              </w:rPr>
            </w:pPr>
            <w:r w:rsidRPr="00CB67A2">
              <w:rPr>
                <w:rFonts w:ascii="Calibri" w:eastAsia="Times New Roman" w:hAnsi="Calibri" w:cs="Times New Roman"/>
              </w:rPr>
              <w:t> </w:t>
            </w:r>
          </w:p>
        </w:tc>
        <w:tc>
          <w:tcPr>
            <w:tcW w:w="1273" w:type="dxa"/>
            <w:tcBorders>
              <w:top w:val="nil"/>
              <w:left w:val="nil"/>
              <w:bottom w:val="single" w:sz="4" w:space="0" w:color="auto"/>
              <w:right w:val="single" w:sz="4" w:space="0" w:color="auto"/>
            </w:tcBorders>
            <w:shd w:val="clear" w:color="000000" w:fill="FFFFFF"/>
            <w:noWrap/>
            <w:vAlign w:val="center"/>
            <w:hideMark/>
          </w:tcPr>
          <w:p w14:paraId="3354D005" w14:textId="77777777" w:rsidR="00E450F5" w:rsidRPr="00CB67A2" w:rsidRDefault="00E450F5" w:rsidP="00E450F5">
            <w:pPr>
              <w:spacing w:before="0" w:after="0" w:line="240" w:lineRule="auto"/>
              <w:ind w:firstLine="0"/>
              <w:jc w:val="left"/>
              <w:rPr>
                <w:rFonts w:ascii="Calibri" w:eastAsia="Times New Roman" w:hAnsi="Calibri" w:cs="Times New Roman"/>
              </w:rPr>
            </w:pPr>
            <w:r w:rsidRPr="00CB67A2">
              <w:rPr>
                <w:rFonts w:ascii="Calibri" w:eastAsia="Times New Roman" w:hAnsi="Calibri" w:cs="Times New Roman"/>
              </w:rPr>
              <w:t> </w:t>
            </w:r>
          </w:p>
        </w:tc>
        <w:tc>
          <w:tcPr>
            <w:tcW w:w="1273" w:type="dxa"/>
            <w:tcBorders>
              <w:top w:val="nil"/>
              <w:left w:val="nil"/>
              <w:bottom w:val="single" w:sz="4" w:space="0" w:color="auto"/>
              <w:right w:val="single" w:sz="4" w:space="0" w:color="auto"/>
            </w:tcBorders>
            <w:shd w:val="clear" w:color="000000" w:fill="FFFFFF"/>
            <w:noWrap/>
            <w:vAlign w:val="center"/>
            <w:hideMark/>
          </w:tcPr>
          <w:p w14:paraId="57BD2C5A" w14:textId="77777777" w:rsidR="00E450F5" w:rsidRPr="00CB67A2" w:rsidRDefault="00E450F5" w:rsidP="00E450F5">
            <w:pPr>
              <w:spacing w:before="0" w:after="0" w:line="240" w:lineRule="auto"/>
              <w:ind w:firstLine="0"/>
              <w:jc w:val="left"/>
              <w:rPr>
                <w:rFonts w:ascii="Calibri" w:eastAsia="Times New Roman" w:hAnsi="Calibri" w:cs="Times New Roman"/>
              </w:rPr>
            </w:pPr>
            <w:r w:rsidRPr="00CB67A2">
              <w:rPr>
                <w:rFonts w:ascii="Calibri" w:eastAsia="Times New Roman" w:hAnsi="Calibri" w:cs="Times New Roman"/>
              </w:rPr>
              <w:t> </w:t>
            </w:r>
          </w:p>
        </w:tc>
        <w:tc>
          <w:tcPr>
            <w:tcW w:w="1273" w:type="dxa"/>
            <w:tcBorders>
              <w:top w:val="nil"/>
              <w:left w:val="nil"/>
              <w:bottom w:val="single" w:sz="4" w:space="0" w:color="auto"/>
              <w:right w:val="single" w:sz="4" w:space="0" w:color="auto"/>
            </w:tcBorders>
            <w:shd w:val="clear" w:color="000000" w:fill="FFFFFF"/>
            <w:noWrap/>
            <w:vAlign w:val="center"/>
            <w:hideMark/>
          </w:tcPr>
          <w:p w14:paraId="0F5B5F0D" w14:textId="77777777" w:rsidR="00E450F5" w:rsidRPr="00CB67A2" w:rsidRDefault="00E450F5" w:rsidP="00E450F5">
            <w:pPr>
              <w:spacing w:before="0" w:after="0" w:line="240" w:lineRule="auto"/>
              <w:ind w:firstLine="0"/>
              <w:jc w:val="left"/>
              <w:rPr>
                <w:rFonts w:ascii="Calibri" w:eastAsia="Times New Roman" w:hAnsi="Calibri" w:cs="Times New Roman"/>
              </w:rPr>
            </w:pPr>
            <w:r w:rsidRPr="00CB67A2">
              <w:rPr>
                <w:rFonts w:ascii="Calibri" w:eastAsia="Times New Roman" w:hAnsi="Calibri" w:cs="Times New Roman"/>
              </w:rPr>
              <w:t> </w:t>
            </w:r>
          </w:p>
        </w:tc>
      </w:tr>
      <w:tr w:rsidR="00E450F5" w:rsidRPr="00E450F5" w14:paraId="16D885FC" w14:textId="77777777" w:rsidTr="00E450F5">
        <w:trPr>
          <w:trHeight w:val="300"/>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019D932F" w14:textId="77777777" w:rsidR="00E450F5" w:rsidRPr="00CB67A2" w:rsidRDefault="00E450F5" w:rsidP="00E450F5">
            <w:pPr>
              <w:spacing w:before="0" w:after="0" w:line="240" w:lineRule="auto"/>
              <w:ind w:firstLine="0"/>
              <w:rPr>
                <w:rFonts w:eastAsia="Times New Roman" w:cs="Times New Roman"/>
                <w:sz w:val="20"/>
                <w:szCs w:val="20"/>
              </w:rPr>
            </w:pPr>
            <w:r w:rsidRPr="00CB67A2">
              <w:rPr>
                <w:rFonts w:eastAsia="Times New Roman" w:cs="Arial"/>
                <w:sz w:val="20"/>
                <w:szCs w:val="20"/>
              </w:rPr>
              <w:t>ԱՇԽԱՏԱՆՔԻ ՎԱՐՁԱՏՐՈՒԹՅՈՒՆ</w:t>
            </w:r>
          </w:p>
        </w:tc>
        <w:tc>
          <w:tcPr>
            <w:tcW w:w="1537" w:type="dxa"/>
            <w:tcBorders>
              <w:top w:val="nil"/>
              <w:left w:val="nil"/>
              <w:bottom w:val="single" w:sz="4" w:space="0" w:color="auto"/>
              <w:right w:val="single" w:sz="4" w:space="0" w:color="auto"/>
            </w:tcBorders>
            <w:shd w:val="clear" w:color="auto" w:fill="C6D9F1" w:themeFill="text2" w:themeFillTint="33"/>
            <w:noWrap/>
            <w:vAlign w:val="center"/>
            <w:hideMark/>
          </w:tcPr>
          <w:p w14:paraId="15243224"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178,777.6</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28A44E2C"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180,285.2</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4257AAB7"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181,143.6</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383CFD91"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182,316.1</w:t>
            </w:r>
          </w:p>
        </w:tc>
      </w:tr>
      <w:tr w:rsidR="00E450F5" w:rsidRPr="00E450F5" w14:paraId="086880BD" w14:textId="77777777" w:rsidTr="00E450F5">
        <w:trPr>
          <w:trHeight w:val="540"/>
        </w:trPr>
        <w:tc>
          <w:tcPr>
            <w:tcW w:w="4204" w:type="dxa"/>
            <w:tcBorders>
              <w:top w:val="nil"/>
              <w:left w:val="single" w:sz="4" w:space="0" w:color="auto"/>
              <w:bottom w:val="single" w:sz="4" w:space="0" w:color="auto"/>
              <w:right w:val="single" w:sz="4" w:space="0" w:color="auto"/>
            </w:tcBorders>
            <w:shd w:val="clear" w:color="000000" w:fill="FFFFFF"/>
            <w:vAlign w:val="center"/>
            <w:hideMark/>
          </w:tcPr>
          <w:p w14:paraId="0B98D404" w14:textId="77777777" w:rsidR="00E450F5" w:rsidRPr="00CB67A2" w:rsidRDefault="00E450F5" w:rsidP="00E450F5">
            <w:pPr>
              <w:spacing w:before="0" w:after="0" w:line="240" w:lineRule="auto"/>
              <w:ind w:firstLine="0"/>
              <w:jc w:val="left"/>
              <w:rPr>
                <w:rFonts w:eastAsia="Times New Roman" w:cs="Times New Roman"/>
                <w:sz w:val="20"/>
                <w:szCs w:val="20"/>
              </w:rPr>
            </w:pPr>
            <w:r w:rsidRPr="00CB67A2">
              <w:rPr>
                <w:rFonts w:eastAsia="Times New Roman" w:cs="Arial"/>
                <w:sz w:val="20"/>
                <w:szCs w:val="20"/>
              </w:rPr>
              <w:t>ԾԱՌԱՅՈՒԹՅՈՒՆՆԵՐԻ</w:t>
            </w:r>
            <w:r w:rsidRPr="00CB67A2">
              <w:rPr>
                <w:rFonts w:eastAsia="Times New Roman" w:cs="Arial"/>
                <w:sz w:val="20"/>
                <w:szCs w:val="20"/>
                <w:lang w:val="hy-AM"/>
              </w:rPr>
              <w:t xml:space="preserve"> </w:t>
            </w:r>
            <w:r w:rsidRPr="00CB67A2">
              <w:rPr>
                <w:rFonts w:eastAsia="Times New Roman" w:cs="Arial"/>
                <w:sz w:val="20"/>
                <w:szCs w:val="20"/>
              </w:rPr>
              <w:t xml:space="preserve">ԵՎ   </w:t>
            </w:r>
            <w:proofErr w:type="gramStart"/>
            <w:r w:rsidRPr="00CB67A2">
              <w:rPr>
                <w:rFonts w:eastAsia="Times New Roman" w:cs="Arial"/>
                <w:sz w:val="20"/>
                <w:szCs w:val="20"/>
              </w:rPr>
              <w:t>ԱՊՐԱՆՔՆԵՐԻ  ՁԵՌՔԲԵՐՈՒՄ</w:t>
            </w:r>
            <w:proofErr w:type="gramEnd"/>
          </w:p>
        </w:tc>
        <w:tc>
          <w:tcPr>
            <w:tcW w:w="1537" w:type="dxa"/>
            <w:tcBorders>
              <w:top w:val="nil"/>
              <w:left w:val="nil"/>
              <w:bottom w:val="single" w:sz="4" w:space="0" w:color="auto"/>
              <w:right w:val="single" w:sz="4" w:space="0" w:color="auto"/>
            </w:tcBorders>
            <w:shd w:val="clear" w:color="000000" w:fill="FFFFFF"/>
            <w:noWrap/>
            <w:vAlign w:val="center"/>
            <w:hideMark/>
          </w:tcPr>
          <w:p w14:paraId="010A4B2A"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201,161.5</w:t>
            </w:r>
          </w:p>
        </w:tc>
        <w:tc>
          <w:tcPr>
            <w:tcW w:w="1273" w:type="dxa"/>
            <w:tcBorders>
              <w:top w:val="nil"/>
              <w:left w:val="nil"/>
              <w:bottom w:val="single" w:sz="4" w:space="0" w:color="auto"/>
              <w:right w:val="single" w:sz="4" w:space="0" w:color="auto"/>
            </w:tcBorders>
            <w:shd w:val="clear" w:color="000000" w:fill="FFFFFF"/>
            <w:noWrap/>
            <w:vAlign w:val="center"/>
            <w:hideMark/>
          </w:tcPr>
          <w:p w14:paraId="02F23618"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163,350.9</w:t>
            </w:r>
          </w:p>
        </w:tc>
        <w:tc>
          <w:tcPr>
            <w:tcW w:w="1273" w:type="dxa"/>
            <w:tcBorders>
              <w:top w:val="nil"/>
              <w:left w:val="nil"/>
              <w:bottom w:val="single" w:sz="4" w:space="0" w:color="auto"/>
              <w:right w:val="single" w:sz="4" w:space="0" w:color="auto"/>
            </w:tcBorders>
            <w:shd w:val="clear" w:color="000000" w:fill="FFFFFF"/>
            <w:noWrap/>
            <w:vAlign w:val="center"/>
            <w:hideMark/>
          </w:tcPr>
          <w:p w14:paraId="2111F42A"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180,189.0</w:t>
            </w:r>
          </w:p>
        </w:tc>
        <w:tc>
          <w:tcPr>
            <w:tcW w:w="1273" w:type="dxa"/>
            <w:tcBorders>
              <w:top w:val="nil"/>
              <w:left w:val="nil"/>
              <w:bottom w:val="single" w:sz="4" w:space="0" w:color="auto"/>
              <w:right w:val="single" w:sz="4" w:space="0" w:color="auto"/>
            </w:tcBorders>
            <w:shd w:val="clear" w:color="000000" w:fill="FFFFFF"/>
            <w:noWrap/>
            <w:vAlign w:val="center"/>
            <w:hideMark/>
          </w:tcPr>
          <w:p w14:paraId="48D0AC22"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185,426.2</w:t>
            </w:r>
          </w:p>
        </w:tc>
      </w:tr>
      <w:tr w:rsidR="00E450F5" w:rsidRPr="00E450F5" w14:paraId="45C582B6" w14:textId="77777777" w:rsidTr="00E450F5">
        <w:trPr>
          <w:trHeight w:val="300"/>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2C1F8F81" w14:textId="77777777" w:rsidR="00E450F5" w:rsidRPr="00CB67A2" w:rsidRDefault="00E450F5" w:rsidP="00E450F5">
            <w:pPr>
              <w:spacing w:before="0" w:after="0" w:line="240" w:lineRule="auto"/>
              <w:ind w:firstLine="0"/>
              <w:rPr>
                <w:rFonts w:eastAsia="Times New Roman" w:cs="Times New Roman"/>
                <w:sz w:val="20"/>
                <w:szCs w:val="20"/>
              </w:rPr>
            </w:pPr>
            <w:r w:rsidRPr="00CB67A2">
              <w:rPr>
                <w:rFonts w:eastAsia="Times New Roman" w:cs="Arial"/>
                <w:sz w:val="20"/>
                <w:szCs w:val="20"/>
              </w:rPr>
              <w:t>ՏՈԿՈՍԱՎՃԱՐՆԵՐ</w:t>
            </w:r>
          </w:p>
        </w:tc>
        <w:tc>
          <w:tcPr>
            <w:tcW w:w="1537" w:type="dxa"/>
            <w:tcBorders>
              <w:top w:val="nil"/>
              <w:left w:val="nil"/>
              <w:bottom w:val="single" w:sz="4" w:space="0" w:color="auto"/>
              <w:right w:val="single" w:sz="4" w:space="0" w:color="auto"/>
            </w:tcBorders>
            <w:shd w:val="clear" w:color="auto" w:fill="C6D9F1" w:themeFill="text2" w:themeFillTint="33"/>
            <w:noWrap/>
            <w:vAlign w:val="center"/>
            <w:hideMark/>
          </w:tcPr>
          <w:p w14:paraId="51D10E38"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168,116.5</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5C1B69B0"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185,499.7</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22B25BA2"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211,218.3</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2F720F66"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236,565.8</w:t>
            </w:r>
          </w:p>
        </w:tc>
      </w:tr>
      <w:tr w:rsidR="00E450F5" w:rsidRPr="00E450F5" w14:paraId="4D219411" w14:textId="77777777" w:rsidTr="00E450F5">
        <w:trPr>
          <w:trHeight w:val="300"/>
        </w:trPr>
        <w:tc>
          <w:tcPr>
            <w:tcW w:w="4204" w:type="dxa"/>
            <w:tcBorders>
              <w:top w:val="nil"/>
              <w:left w:val="single" w:sz="4" w:space="0" w:color="auto"/>
              <w:bottom w:val="single" w:sz="4" w:space="0" w:color="auto"/>
              <w:right w:val="single" w:sz="4" w:space="0" w:color="auto"/>
            </w:tcBorders>
            <w:shd w:val="clear" w:color="000000" w:fill="FFFFFF"/>
            <w:vAlign w:val="center"/>
            <w:hideMark/>
          </w:tcPr>
          <w:p w14:paraId="453464F8" w14:textId="77777777" w:rsidR="00E450F5" w:rsidRPr="00CB67A2" w:rsidRDefault="00E450F5" w:rsidP="00E450F5">
            <w:pPr>
              <w:spacing w:before="0" w:after="0" w:line="240" w:lineRule="auto"/>
              <w:ind w:firstLine="0"/>
              <w:rPr>
                <w:rFonts w:eastAsia="Times New Roman" w:cs="Times New Roman"/>
                <w:sz w:val="20"/>
                <w:szCs w:val="20"/>
              </w:rPr>
            </w:pPr>
            <w:r w:rsidRPr="00CB67A2">
              <w:rPr>
                <w:rFonts w:eastAsia="Times New Roman" w:cs="Arial"/>
                <w:sz w:val="20"/>
                <w:szCs w:val="20"/>
              </w:rPr>
              <w:t>ՍՈՒԲՍԻԴԻԱՆԵՐ</w:t>
            </w:r>
          </w:p>
        </w:tc>
        <w:tc>
          <w:tcPr>
            <w:tcW w:w="1537" w:type="dxa"/>
            <w:tcBorders>
              <w:top w:val="nil"/>
              <w:left w:val="nil"/>
              <w:bottom w:val="single" w:sz="4" w:space="0" w:color="auto"/>
              <w:right w:val="single" w:sz="4" w:space="0" w:color="auto"/>
            </w:tcBorders>
            <w:shd w:val="clear" w:color="000000" w:fill="FFFFFF"/>
            <w:noWrap/>
            <w:vAlign w:val="center"/>
            <w:hideMark/>
          </w:tcPr>
          <w:p w14:paraId="06126AAB"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116,352.2</w:t>
            </w:r>
          </w:p>
        </w:tc>
        <w:tc>
          <w:tcPr>
            <w:tcW w:w="1273" w:type="dxa"/>
            <w:tcBorders>
              <w:top w:val="nil"/>
              <w:left w:val="nil"/>
              <w:bottom w:val="single" w:sz="4" w:space="0" w:color="auto"/>
              <w:right w:val="single" w:sz="4" w:space="0" w:color="auto"/>
            </w:tcBorders>
            <w:shd w:val="clear" w:color="000000" w:fill="FFFFFF"/>
            <w:noWrap/>
            <w:vAlign w:val="center"/>
            <w:hideMark/>
          </w:tcPr>
          <w:p w14:paraId="0B92DD2B"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122,295.5</w:t>
            </w:r>
          </w:p>
        </w:tc>
        <w:tc>
          <w:tcPr>
            <w:tcW w:w="1273" w:type="dxa"/>
            <w:tcBorders>
              <w:top w:val="nil"/>
              <w:left w:val="nil"/>
              <w:bottom w:val="single" w:sz="4" w:space="0" w:color="auto"/>
              <w:right w:val="single" w:sz="4" w:space="0" w:color="auto"/>
            </w:tcBorders>
            <w:shd w:val="clear" w:color="000000" w:fill="FFFFFF"/>
            <w:noWrap/>
            <w:vAlign w:val="center"/>
            <w:hideMark/>
          </w:tcPr>
          <w:p w14:paraId="1C3B7332"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127,139.7</w:t>
            </w:r>
          </w:p>
        </w:tc>
        <w:tc>
          <w:tcPr>
            <w:tcW w:w="1273" w:type="dxa"/>
            <w:tcBorders>
              <w:top w:val="nil"/>
              <w:left w:val="nil"/>
              <w:bottom w:val="single" w:sz="4" w:space="0" w:color="auto"/>
              <w:right w:val="single" w:sz="4" w:space="0" w:color="auto"/>
            </w:tcBorders>
            <w:shd w:val="clear" w:color="000000" w:fill="FFFFFF"/>
            <w:noWrap/>
            <w:vAlign w:val="center"/>
            <w:hideMark/>
          </w:tcPr>
          <w:p w14:paraId="2FBEFDF6"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130,244.6</w:t>
            </w:r>
          </w:p>
        </w:tc>
      </w:tr>
      <w:tr w:rsidR="00E450F5" w:rsidRPr="00E450F5" w14:paraId="1C67608D" w14:textId="77777777" w:rsidTr="00E450F5">
        <w:trPr>
          <w:trHeight w:val="300"/>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C3A37E1" w14:textId="77777777" w:rsidR="00E450F5" w:rsidRPr="00CB67A2" w:rsidRDefault="00E450F5" w:rsidP="00E450F5">
            <w:pPr>
              <w:spacing w:before="0" w:after="0" w:line="240" w:lineRule="auto"/>
              <w:ind w:firstLine="0"/>
              <w:rPr>
                <w:rFonts w:eastAsia="Times New Roman" w:cs="Times New Roman"/>
                <w:sz w:val="20"/>
                <w:szCs w:val="20"/>
              </w:rPr>
            </w:pPr>
            <w:r w:rsidRPr="00CB67A2">
              <w:rPr>
                <w:rFonts w:eastAsia="Times New Roman" w:cs="Arial"/>
                <w:sz w:val="20"/>
                <w:szCs w:val="20"/>
              </w:rPr>
              <w:t>ԴՐԱՄԱՇՆՈՐՀՆԵՐ</w:t>
            </w:r>
          </w:p>
        </w:tc>
        <w:tc>
          <w:tcPr>
            <w:tcW w:w="1537" w:type="dxa"/>
            <w:tcBorders>
              <w:top w:val="nil"/>
              <w:left w:val="nil"/>
              <w:bottom w:val="single" w:sz="4" w:space="0" w:color="auto"/>
              <w:right w:val="single" w:sz="4" w:space="0" w:color="auto"/>
            </w:tcBorders>
            <w:shd w:val="clear" w:color="auto" w:fill="C6D9F1" w:themeFill="text2" w:themeFillTint="33"/>
            <w:noWrap/>
            <w:vAlign w:val="center"/>
            <w:hideMark/>
          </w:tcPr>
          <w:p w14:paraId="007E7534"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165,355.4</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0E6303CA"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161,308.7</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07952332"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161,225.7</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7F73E6BA"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166,818.9</w:t>
            </w:r>
          </w:p>
        </w:tc>
      </w:tr>
      <w:tr w:rsidR="00E450F5" w:rsidRPr="00E450F5" w14:paraId="5BC689AE" w14:textId="77777777" w:rsidTr="00E450F5">
        <w:trPr>
          <w:trHeight w:val="540"/>
        </w:trPr>
        <w:tc>
          <w:tcPr>
            <w:tcW w:w="4204" w:type="dxa"/>
            <w:tcBorders>
              <w:top w:val="nil"/>
              <w:left w:val="single" w:sz="4" w:space="0" w:color="auto"/>
              <w:bottom w:val="single" w:sz="4" w:space="0" w:color="auto"/>
              <w:right w:val="single" w:sz="4" w:space="0" w:color="auto"/>
            </w:tcBorders>
            <w:shd w:val="clear" w:color="000000" w:fill="FFFFFF"/>
            <w:vAlign w:val="center"/>
            <w:hideMark/>
          </w:tcPr>
          <w:p w14:paraId="44EFBD8A" w14:textId="77777777" w:rsidR="00E450F5" w:rsidRPr="00CB67A2" w:rsidRDefault="00E450F5" w:rsidP="00E450F5">
            <w:pPr>
              <w:spacing w:before="0" w:after="0" w:line="240" w:lineRule="auto"/>
              <w:ind w:firstLine="0"/>
              <w:rPr>
                <w:rFonts w:eastAsia="Times New Roman" w:cs="Times New Roman"/>
                <w:sz w:val="20"/>
                <w:szCs w:val="20"/>
              </w:rPr>
            </w:pPr>
            <w:proofErr w:type="gramStart"/>
            <w:r w:rsidRPr="00CB67A2">
              <w:rPr>
                <w:rFonts w:eastAsia="Times New Roman" w:cs="Arial"/>
                <w:sz w:val="20"/>
                <w:szCs w:val="20"/>
              </w:rPr>
              <w:t>ՍՈՑԻԱԼԱԿԱՆ  ՆՊԱՍՏՆԵՐ</w:t>
            </w:r>
            <w:proofErr w:type="gramEnd"/>
            <w:r w:rsidRPr="00CB67A2">
              <w:rPr>
                <w:rFonts w:eastAsia="Times New Roman" w:cs="Arial"/>
                <w:sz w:val="20"/>
                <w:szCs w:val="20"/>
              </w:rPr>
              <w:t xml:space="preserve"> ԵՎ ԿԵՆՍԱԹՈՇԱԿՆԵՐ</w:t>
            </w:r>
          </w:p>
        </w:tc>
        <w:tc>
          <w:tcPr>
            <w:tcW w:w="1537" w:type="dxa"/>
            <w:tcBorders>
              <w:top w:val="nil"/>
              <w:left w:val="nil"/>
              <w:bottom w:val="single" w:sz="4" w:space="0" w:color="auto"/>
              <w:right w:val="single" w:sz="4" w:space="0" w:color="auto"/>
            </w:tcBorders>
            <w:shd w:val="clear" w:color="000000" w:fill="FFFFFF"/>
            <w:noWrap/>
            <w:vAlign w:val="center"/>
            <w:hideMark/>
          </w:tcPr>
          <w:p w14:paraId="3C473970"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514,042.5</w:t>
            </w:r>
          </w:p>
        </w:tc>
        <w:tc>
          <w:tcPr>
            <w:tcW w:w="1273" w:type="dxa"/>
            <w:tcBorders>
              <w:top w:val="nil"/>
              <w:left w:val="nil"/>
              <w:bottom w:val="single" w:sz="4" w:space="0" w:color="auto"/>
              <w:right w:val="single" w:sz="4" w:space="0" w:color="auto"/>
            </w:tcBorders>
            <w:shd w:val="clear" w:color="000000" w:fill="FFFFFF"/>
            <w:noWrap/>
            <w:vAlign w:val="center"/>
            <w:hideMark/>
          </w:tcPr>
          <w:p w14:paraId="13736385"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528,282.3</w:t>
            </w:r>
          </w:p>
        </w:tc>
        <w:tc>
          <w:tcPr>
            <w:tcW w:w="1273" w:type="dxa"/>
            <w:tcBorders>
              <w:top w:val="nil"/>
              <w:left w:val="nil"/>
              <w:bottom w:val="single" w:sz="4" w:space="0" w:color="auto"/>
              <w:right w:val="single" w:sz="4" w:space="0" w:color="auto"/>
            </w:tcBorders>
            <w:shd w:val="clear" w:color="000000" w:fill="FFFFFF"/>
            <w:noWrap/>
            <w:vAlign w:val="center"/>
            <w:hideMark/>
          </w:tcPr>
          <w:p w14:paraId="4CBD9306"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538,655.4</w:t>
            </w:r>
          </w:p>
        </w:tc>
        <w:tc>
          <w:tcPr>
            <w:tcW w:w="1273" w:type="dxa"/>
            <w:tcBorders>
              <w:top w:val="nil"/>
              <w:left w:val="nil"/>
              <w:bottom w:val="single" w:sz="4" w:space="0" w:color="auto"/>
              <w:right w:val="single" w:sz="4" w:space="0" w:color="auto"/>
            </w:tcBorders>
            <w:shd w:val="clear" w:color="000000" w:fill="FFFFFF"/>
            <w:noWrap/>
            <w:vAlign w:val="center"/>
            <w:hideMark/>
          </w:tcPr>
          <w:p w14:paraId="1FBE1F61"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545,289.0</w:t>
            </w:r>
          </w:p>
        </w:tc>
      </w:tr>
      <w:tr w:rsidR="00E450F5" w:rsidRPr="00E450F5" w14:paraId="09D505AA" w14:textId="77777777" w:rsidTr="00E450F5">
        <w:trPr>
          <w:trHeight w:val="300"/>
        </w:trPr>
        <w:tc>
          <w:tcPr>
            <w:tcW w:w="4204"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A9CAFF3" w14:textId="77777777" w:rsidR="00E450F5" w:rsidRPr="00CB67A2" w:rsidRDefault="00E450F5" w:rsidP="00E450F5">
            <w:pPr>
              <w:spacing w:before="0" w:after="0" w:line="240" w:lineRule="auto"/>
              <w:ind w:firstLine="0"/>
              <w:rPr>
                <w:rFonts w:eastAsia="Times New Roman" w:cs="Times New Roman"/>
                <w:sz w:val="20"/>
                <w:szCs w:val="20"/>
              </w:rPr>
            </w:pPr>
            <w:proofErr w:type="gramStart"/>
            <w:r w:rsidRPr="00CB67A2">
              <w:rPr>
                <w:rFonts w:eastAsia="Times New Roman" w:cs="Arial"/>
                <w:sz w:val="20"/>
                <w:szCs w:val="20"/>
              </w:rPr>
              <w:t>ԱՅԼ  ԾԱԽՍԵՐ</w:t>
            </w:r>
            <w:proofErr w:type="gramEnd"/>
          </w:p>
        </w:tc>
        <w:tc>
          <w:tcPr>
            <w:tcW w:w="1537" w:type="dxa"/>
            <w:tcBorders>
              <w:top w:val="nil"/>
              <w:left w:val="nil"/>
              <w:bottom w:val="single" w:sz="4" w:space="0" w:color="auto"/>
              <w:right w:val="single" w:sz="4" w:space="0" w:color="auto"/>
            </w:tcBorders>
            <w:shd w:val="clear" w:color="auto" w:fill="C6D9F1" w:themeFill="text2" w:themeFillTint="33"/>
            <w:noWrap/>
            <w:vAlign w:val="center"/>
            <w:hideMark/>
          </w:tcPr>
          <w:p w14:paraId="1816F205"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224,356.0</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434F5D24"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287,997.8</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56B5182D"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300,336.9</w:t>
            </w:r>
          </w:p>
        </w:tc>
        <w:tc>
          <w:tcPr>
            <w:tcW w:w="1273" w:type="dxa"/>
            <w:tcBorders>
              <w:top w:val="nil"/>
              <w:left w:val="nil"/>
              <w:bottom w:val="single" w:sz="4" w:space="0" w:color="auto"/>
              <w:right w:val="single" w:sz="4" w:space="0" w:color="auto"/>
            </w:tcBorders>
            <w:shd w:val="clear" w:color="auto" w:fill="C6D9F1" w:themeFill="text2" w:themeFillTint="33"/>
            <w:noWrap/>
            <w:vAlign w:val="center"/>
            <w:hideMark/>
          </w:tcPr>
          <w:p w14:paraId="7C6D57FA" w14:textId="77777777" w:rsidR="00E450F5" w:rsidRPr="00CB67A2" w:rsidRDefault="00E450F5" w:rsidP="00E450F5">
            <w:pPr>
              <w:spacing w:before="0" w:after="0" w:line="240" w:lineRule="auto"/>
              <w:ind w:firstLine="0"/>
              <w:jc w:val="center"/>
              <w:rPr>
                <w:rFonts w:ascii="Arial" w:eastAsia="Times New Roman" w:hAnsi="Arial" w:cs="Arial"/>
                <w:sz w:val="20"/>
                <w:szCs w:val="20"/>
              </w:rPr>
            </w:pPr>
            <w:r w:rsidRPr="00CB67A2">
              <w:rPr>
                <w:rFonts w:ascii="Arial" w:eastAsia="Times New Roman" w:hAnsi="Arial" w:cs="Arial"/>
                <w:sz w:val="20"/>
                <w:szCs w:val="20"/>
              </w:rPr>
              <w:t>389,990.9</w:t>
            </w:r>
          </w:p>
        </w:tc>
      </w:tr>
    </w:tbl>
    <w:p w14:paraId="4C46F757" w14:textId="77777777" w:rsidR="00E450F5" w:rsidRDefault="00E450F5" w:rsidP="00E450F5">
      <w:pPr>
        <w:jc w:val="center"/>
        <w:rPr>
          <w:lang w:val="af-ZA"/>
        </w:rPr>
      </w:pPr>
    </w:p>
    <w:p w14:paraId="598BA15E" w14:textId="77777777" w:rsidR="00B10E34" w:rsidRPr="005F3E1B" w:rsidRDefault="00B10E34" w:rsidP="009A7904">
      <w:pPr>
        <w:spacing w:line="276" w:lineRule="auto"/>
        <w:ind w:firstLine="475"/>
        <w:rPr>
          <w:lang w:val="af-ZA"/>
        </w:rPr>
      </w:pPr>
      <w:r w:rsidRPr="003B118E">
        <w:rPr>
          <w:lang w:val="af-ZA"/>
        </w:rPr>
        <w:t xml:space="preserve">2021-2023 </w:t>
      </w:r>
      <w:r w:rsidRPr="00363E4C">
        <w:t>թվակա</w:t>
      </w:r>
      <w:r w:rsidRPr="00363E4C">
        <w:rPr>
          <w:rFonts w:cs="Sylfaen"/>
        </w:rPr>
        <w:t>նների</w:t>
      </w:r>
      <w:r w:rsidRPr="003B118E">
        <w:rPr>
          <w:lang w:val="af-ZA"/>
        </w:rPr>
        <w:t xml:space="preserve"> </w:t>
      </w:r>
      <w:r w:rsidRPr="00363E4C">
        <w:rPr>
          <w:rFonts w:cs="Sylfaen"/>
        </w:rPr>
        <w:t>ծախսերի</w:t>
      </w:r>
      <w:r w:rsidRPr="003B118E">
        <w:rPr>
          <w:lang w:val="af-ZA"/>
        </w:rPr>
        <w:t xml:space="preserve"> </w:t>
      </w:r>
      <w:r w:rsidRPr="00363E4C">
        <w:rPr>
          <w:rFonts w:cs="Sylfaen"/>
        </w:rPr>
        <w:t>ընդհանուր</w:t>
      </w:r>
      <w:r w:rsidRPr="003B118E">
        <w:rPr>
          <w:lang w:val="af-ZA"/>
        </w:rPr>
        <w:t xml:space="preserve"> </w:t>
      </w:r>
      <w:r w:rsidRPr="00363E4C">
        <w:rPr>
          <w:rFonts w:cs="Sylfaen"/>
        </w:rPr>
        <w:t>ծավալի</w:t>
      </w:r>
      <w:r w:rsidRPr="003B118E">
        <w:rPr>
          <w:lang w:val="af-ZA"/>
        </w:rPr>
        <w:t xml:space="preserve"> </w:t>
      </w:r>
      <w:r w:rsidRPr="00363E4C">
        <w:rPr>
          <w:rFonts w:cs="Sylfaen"/>
        </w:rPr>
        <w:t>միջին</w:t>
      </w:r>
      <w:r w:rsidRPr="003B118E">
        <w:rPr>
          <w:lang w:val="af-ZA"/>
        </w:rPr>
        <w:t xml:space="preserve"> </w:t>
      </w:r>
      <w:r w:rsidRPr="00363E4C">
        <w:rPr>
          <w:rFonts w:cs="Sylfaen"/>
        </w:rPr>
        <w:t>տարեկանի</w:t>
      </w:r>
      <w:r w:rsidRPr="003B118E">
        <w:rPr>
          <w:lang w:val="af-ZA"/>
        </w:rPr>
        <w:t xml:space="preserve"> </w:t>
      </w:r>
      <w:r w:rsidRPr="00363E4C">
        <w:rPr>
          <w:rFonts w:cs="Sylfaen"/>
        </w:rPr>
        <w:t>շուրջ</w:t>
      </w:r>
      <w:r w:rsidRPr="003B118E">
        <w:rPr>
          <w:lang w:val="af-ZA"/>
        </w:rPr>
        <w:t xml:space="preserve"> </w:t>
      </w:r>
      <w:r>
        <w:rPr>
          <w:lang w:val="hy-AM"/>
        </w:rPr>
        <w:t>15.8</w:t>
      </w:r>
      <w:r w:rsidRPr="003B118E">
        <w:rPr>
          <w:lang w:val="af-ZA"/>
        </w:rPr>
        <w:t xml:space="preserve"> %-</w:t>
      </w:r>
      <w:r w:rsidRPr="00363E4C">
        <w:rPr>
          <w:rFonts w:cs="Sylfaen"/>
        </w:rPr>
        <w:t>ը</w:t>
      </w:r>
      <w:r w:rsidRPr="003B118E">
        <w:rPr>
          <w:lang w:val="af-ZA"/>
        </w:rPr>
        <w:t xml:space="preserve"> </w:t>
      </w:r>
      <w:r w:rsidRPr="00CB67A2">
        <w:rPr>
          <w:rFonts w:cs="Sylfaen"/>
        </w:rPr>
        <w:t>կկազմեն</w:t>
      </w:r>
      <w:r w:rsidRPr="00CB67A2">
        <w:rPr>
          <w:rFonts w:cs="Sylfaen"/>
          <w:lang w:val="af-ZA"/>
        </w:rPr>
        <w:t xml:space="preserve"> </w:t>
      </w:r>
      <w:r w:rsidRPr="00CB67A2">
        <w:rPr>
          <w:rFonts w:cs="Sylfaen"/>
        </w:rPr>
        <w:t>ոչ</w:t>
      </w:r>
      <w:r w:rsidRPr="00CB67A2">
        <w:rPr>
          <w:rFonts w:cs="Sylfaen"/>
          <w:lang w:val="af-ZA"/>
        </w:rPr>
        <w:t xml:space="preserve"> </w:t>
      </w:r>
      <w:r w:rsidRPr="00CB67A2">
        <w:rPr>
          <w:rFonts w:cs="Sylfaen"/>
        </w:rPr>
        <w:t>ֆինանսական</w:t>
      </w:r>
      <w:r w:rsidRPr="00CB67A2">
        <w:rPr>
          <w:rFonts w:cs="Sylfaen"/>
          <w:lang w:val="af-ZA"/>
        </w:rPr>
        <w:t xml:space="preserve"> </w:t>
      </w:r>
      <w:r w:rsidRPr="00CB67A2">
        <w:rPr>
          <w:rFonts w:cs="Sylfaen"/>
        </w:rPr>
        <w:t>ակտիվ</w:t>
      </w:r>
      <w:r w:rsidRPr="00CB67A2">
        <w:rPr>
          <w:rFonts w:cs="Sylfaen"/>
          <w:lang w:val="af-ZA"/>
        </w:rPr>
        <w:softHyphen/>
      </w:r>
      <w:r w:rsidRPr="00CB67A2">
        <w:rPr>
          <w:rFonts w:cs="Sylfaen"/>
        </w:rPr>
        <w:t>ների</w:t>
      </w:r>
      <w:r w:rsidRPr="00CB67A2">
        <w:rPr>
          <w:rFonts w:cs="Sylfaen"/>
          <w:lang w:val="af-ZA"/>
        </w:rPr>
        <w:t xml:space="preserve"> </w:t>
      </w:r>
      <w:r w:rsidRPr="00CB67A2">
        <w:rPr>
          <w:rFonts w:cs="Sylfaen"/>
        </w:rPr>
        <w:t>գծով</w:t>
      </w:r>
      <w:r w:rsidRPr="00CB67A2">
        <w:rPr>
          <w:lang w:val="af-ZA"/>
        </w:rPr>
        <w:t xml:space="preserve"> </w:t>
      </w:r>
      <w:r w:rsidRPr="00CB67A2">
        <w:rPr>
          <w:rFonts w:cs="Sylfaen"/>
        </w:rPr>
        <w:t>ծախսերը</w:t>
      </w:r>
      <w:r w:rsidRPr="00CB67A2">
        <w:rPr>
          <w:rFonts w:cs="Sylfaen"/>
          <w:lang w:val="af-ZA"/>
        </w:rPr>
        <w:t xml:space="preserve">, </w:t>
      </w:r>
      <w:r w:rsidRPr="003B118E">
        <w:rPr>
          <w:lang w:val="af-ZA"/>
        </w:rPr>
        <w:t xml:space="preserve">(2020 </w:t>
      </w:r>
      <w:r w:rsidRPr="00363E4C">
        <w:t>թվակա</w:t>
      </w:r>
      <w:r w:rsidRPr="00363E4C">
        <w:rPr>
          <w:rFonts w:cs="Sylfaen"/>
        </w:rPr>
        <w:t>նին</w:t>
      </w:r>
      <w:r w:rsidRPr="003B118E">
        <w:rPr>
          <w:lang w:val="af-ZA"/>
        </w:rPr>
        <w:t xml:space="preserve"> </w:t>
      </w:r>
      <w:r w:rsidRPr="00363E4C">
        <w:rPr>
          <w:rFonts w:cs="Sylfaen"/>
        </w:rPr>
        <w:t>այդ</w:t>
      </w:r>
      <w:r w:rsidRPr="003B118E">
        <w:rPr>
          <w:lang w:val="af-ZA"/>
        </w:rPr>
        <w:t xml:space="preserve"> </w:t>
      </w:r>
      <w:r w:rsidRPr="00363E4C">
        <w:rPr>
          <w:rFonts w:cs="Sylfaen"/>
        </w:rPr>
        <w:t>ցուցանիշը</w:t>
      </w:r>
      <w:r w:rsidRPr="003B118E">
        <w:rPr>
          <w:rFonts w:cs="Sylfaen"/>
          <w:lang w:val="af-ZA"/>
        </w:rPr>
        <w:t xml:space="preserve"> </w:t>
      </w:r>
      <w:r w:rsidRPr="00363E4C">
        <w:rPr>
          <w:rFonts w:cs="Sylfaen"/>
        </w:rPr>
        <w:t>ծրագրվել</w:t>
      </w:r>
      <w:r w:rsidRPr="003B118E">
        <w:rPr>
          <w:lang w:val="af-ZA"/>
        </w:rPr>
        <w:t xml:space="preserve"> </w:t>
      </w:r>
      <w:r w:rsidRPr="00363E4C">
        <w:rPr>
          <w:rFonts w:cs="Sylfaen"/>
        </w:rPr>
        <w:t>է</w:t>
      </w:r>
      <w:r w:rsidRPr="003B118E">
        <w:rPr>
          <w:lang w:val="af-ZA"/>
        </w:rPr>
        <w:t xml:space="preserve"> </w:t>
      </w:r>
      <w:r>
        <w:rPr>
          <w:lang w:val="hy-AM"/>
        </w:rPr>
        <w:t>15</w:t>
      </w:r>
      <w:r w:rsidRPr="003B118E">
        <w:rPr>
          <w:lang w:val="af-ZA"/>
        </w:rPr>
        <w:t xml:space="preserve">.5%): </w:t>
      </w:r>
    </w:p>
    <w:p w14:paraId="5CBA680A" w14:textId="77777777" w:rsidR="00B10E34" w:rsidRDefault="00B10E34" w:rsidP="009A7904">
      <w:pPr>
        <w:spacing w:line="276" w:lineRule="auto"/>
        <w:ind w:firstLine="475"/>
        <w:rPr>
          <w:lang w:val="hy-AM"/>
        </w:rPr>
      </w:pPr>
      <w:r w:rsidRPr="0033059C">
        <w:rPr>
          <w:lang w:val="af-ZA"/>
        </w:rPr>
        <w:lastRenderedPageBreak/>
        <w:t>20</w:t>
      </w:r>
      <w:r>
        <w:rPr>
          <w:lang w:val="hy-AM"/>
        </w:rPr>
        <w:t>21</w:t>
      </w:r>
      <w:r w:rsidRPr="0033059C">
        <w:rPr>
          <w:lang w:val="af-ZA"/>
        </w:rPr>
        <w:t>-202</w:t>
      </w:r>
      <w:r>
        <w:rPr>
          <w:lang w:val="hy-AM"/>
        </w:rPr>
        <w:t>3</w:t>
      </w:r>
      <w:r w:rsidRPr="0033059C">
        <w:rPr>
          <w:lang w:val="af-ZA"/>
        </w:rPr>
        <w:t xml:space="preserve"> </w:t>
      </w:r>
      <w:r w:rsidRPr="00363E4C">
        <w:t>թվակա</w:t>
      </w:r>
      <w:r w:rsidRPr="00363E4C">
        <w:rPr>
          <w:rFonts w:cs="Sylfaen"/>
        </w:rPr>
        <w:t>նների</w:t>
      </w:r>
      <w:r w:rsidRPr="0033059C">
        <w:rPr>
          <w:lang w:val="af-ZA"/>
        </w:rPr>
        <w:t xml:space="preserve"> </w:t>
      </w:r>
      <w:r w:rsidRPr="00363E4C">
        <w:rPr>
          <w:rFonts w:cs="Sylfaen"/>
        </w:rPr>
        <w:t>ընթացքում</w:t>
      </w:r>
      <w:r w:rsidRPr="0033059C">
        <w:rPr>
          <w:rFonts w:cs="Sylfaen"/>
          <w:lang w:val="af-ZA"/>
        </w:rPr>
        <w:t xml:space="preserve"> </w:t>
      </w:r>
      <w:r w:rsidRPr="005F3E1B">
        <w:rPr>
          <w:rFonts w:cs="Sylfaen"/>
        </w:rPr>
        <w:t>ոչ</w:t>
      </w:r>
      <w:r w:rsidRPr="0033059C">
        <w:rPr>
          <w:rFonts w:cs="Sylfaen"/>
          <w:lang w:val="af-ZA"/>
        </w:rPr>
        <w:t xml:space="preserve"> </w:t>
      </w:r>
      <w:r w:rsidRPr="005F3E1B">
        <w:rPr>
          <w:rFonts w:cs="Sylfaen"/>
        </w:rPr>
        <w:t>ֆինանսական</w:t>
      </w:r>
      <w:r w:rsidRPr="0033059C">
        <w:rPr>
          <w:rFonts w:cs="Sylfaen"/>
          <w:lang w:val="af-ZA"/>
        </w:rPr>
        <w:t xml:space="preserve"> </w:t>
      </w:r>
      <w:r w:rsidRPr="005F3E1B">
        <w:rPr>
          <w:rFonts w:cs="Sylfaen"/>
        </w:rPr>
        <w:t>ակտիվ</w:t>
      </w:r>
      <w:r w:rsidRPr="0033059C">
        <w:rPr>
          <w:rFonts w:cs="Sylfaen"/>
          <w:lang w:val="af-ZA"/>
        </w:rPr>
        <w:softHyphen/>
      </w:r>
      <w:r w:rsidRPr="005F3E1B">
        <w:rPr>
          <w:rFonts w:cs="Sylfaen"/>
        </w:rPr>
        <w:t>ների</w:t>
      </w:r>
      <w:r w:rsidRPr="0033059C">
        <w:rPr>
          <w:rFonts w:cs="Sylfaen"/>
          <w:lang w:val="af-ZA"/>
        </w:rPr>
        <w:t xml:space="preserve"> </w:t>
      </w:r>
      <w:r w:rsidRPr="005F3E1B">
        <w:rPr>
          <w:rFonts w:cs="Sylfaen"/>
        </w:rPr>
        <w:t>գծով</w:t>
      </w:r>
      <w:r w:rsidRPr="0033059C">
        <w:rPr>
          <w:rFonts w:cs="Sylfaen"/>
          <w:lang w:val="af-ZA"/>
        </w:rPr>
        <w:t xml:space="preserve"> </w:t>
      </w:r>
      <w:r w:rsidRPr="005F3E1B">
        <w:rPr>
          <w:rFonts w:cs="Sylfaen"/>
        </w:rPr>
        <w:t>ծախսերի</w:t>
      </w:r>
      <w:r w:rsidRPr="0033059C">
        <w:rPr>
          <w:lang w:val="af-ZA"/>
        </w:rPr>
        <w:t xml:space="preserve"> </w:t>
      </w:r>
      <w:r>
        <w:rPr>
          <w:lang w:val="hy-AM"/>
        </w:rPr>
        <w:t>ֆինանսավորման կառուցվածքում արձանագրվում է արտաքին աղբյուրների ծավալի նվազում ի հաշիվ ներքին աղբյուրների ֆինանսավորման ծավալի մեծացման:</w:t>
      </w:r>
    </w:p>
    <w:p w14:paraId="7636401D" w14:textId="77777777" w:rsidR="00DF79D1" w:rsidRDefault="00DF79D1" w:rsidP="00DF79D1">
      <w:pPr>
        <w:spacing w:line="276" w:lineRule="auto"/>
        <w:ind w:firstLine="475"/>
        <w:jc w:val="center"/>
        <w:rPr>
          <w:rFonts w:eastAsia="Calibri" w:cs="Times New Roman"/>
          <w:b/>
          <w:i/>
          <w:iCs/>
          <w:color w:val="000000"/>
          <w:lang w:val="hy-AM"/>
        </w:rPr>
      </w:pPr>
    </w:p>
    <w:p w14:paraId="1A469BBD" w14:textId="77777777" w:rsidR="00DF79D1" w:rsidRPr="00A60550" w:rsidRDefault="00DF79D1" w:rsidP="00DF79D1">
      <w:pPr>
        <w:spacing w:line="276" w:lineRule="auto"/>
        <w:ind w:firstLine="475"/>
        <w:jc w:val="center"/>
        <w:rPr>
          <w:rFonts w:cs="Sylfaen"/>
          <w:lang w:val="hy-AM"/>
        </w:rPr>
      </w:pPr>
      <w:r w:rsidRPr="008C23C8">
        <w:rPr>
          <w:rFonts w:eastAsia="Calibri" w:cs="Times New Roman"/>
          <w:b/>
          <w:i/>
          <w:iCs/>
          <w:color w:val="000000"/>
          <w:lang w:val="hy-AM"/>
        </w:rPr>
        <w:t xml:space="preserve">Գծապատկեր </w:t>
      </w:r>
      <w:r>
        <w:rPr>
          <w:rFonts w:eastAsia="Calibri" w:cs="Times New Roman"/>
          <w:b/>
          <w:i/>
          <w:iCs/>
          <w:color w:val="000000"/>
          <w:lang w:val="hy-AM"/>
        </w:rPr>
        <w:t>4</w:t>
      </w:r>
      <w:r w:rsidRPr="008C23C8">
        <w:rPr>
          <w:rFonts w:eastAsia="Calibri" w:cs="Times New Roman"/>
          <w:b/>
          <w:i/>
          <w:iCs/>
          <w:color w:val="000000"/>
          <w:lang w:val="hy-AM"/>
        </w:rPr>
        <w:t>.</w:t>
      </w:r>
      <w:r>
        <w:rPr>
          <w:rFonts w:eastAsia="Calibri" w:cs="Times New Roman"/>
          <w:b/>
          <w:i/>
          <w:iCs/>
          <w:color w:val="000000"/>
          <w:lang w:val="hy-AM"/>
        </w:rPr>
        <w:t>4</w:t>
      </w:r>
      <w:r w:rsidRPr="008C23C8">
        <w:rPr>
          <w:rFonts w:eastAsia="Calibri" w:cs="Times New Roman"/>
          <w:b/>
          <w:i/>
          <w:iCs/>
          <w:color w:val="000000"/>
          <w:lang w:val="hy-AM"/>
        </w:rPr>
        <w:t>.</w:t>
      </w:r>
      <w:r>
        <w:rPr>
          <w:rFonts w:eastAsia="Calibri" w:cs="Times New Roman"/>
          <w:b/>
          <w:i/>
          <w:iCs/>
          <w:color w:val="000000"/>
          <w:lang w:val="hy-AM"/>
        </w:rPr>
        <w:t>3․</w:t>
      </w:r>
      <w:r w:rsidRPr="008C23C8">
        <w:rPr>
          <w:rFonts w:eastAsia="Calibri" w:cs="Times New Roman"/>
          <w:b/>
          <w:i/>
          <w:iCs/>
          <w:color w:val="000000"/>
          <w:sz w:val="20"/>
          <w:szCs w:val="20"/>
          <w:lang w:val="hy-AM"/>
        </w:rPr>
        <w:t xml:space="preserve"> </w:t>
      </w:r>
      <w:r w:rsidRPr="00DF79D1">
        <w:rPr>
          <w:rFonts w:cs="Sylfaen"/>
          <w:i/>
          <w:sz w:val="20"/>
          <w:szCs w:val="20"/>
          <w:lang w:val="hy-AM"/>
        </w:rPr>
        <w:t>2021-2023 թ</w:t>
      </w:r>
      <w:r>
        <w:rPr>
          <w:rFonts w:cs="Sylfaen"/>
          <w:i/>
          <w:sz w:val="20"/>
          <w:szCs w:val="20"/>
          <w:lang w:val="hy-AM"/>
        </w:rPr>
        <w:t>թ․</w:t>
      </w:r>
      <w:r w:rsidRPr="00DF79D1">
        <w:rPr>
          <w:rFonts w:cs="Sylfaen"/>
          <w:i/>
          <w:sz w:val="20"/>
          <w:szCs w:val="20"/>
          <w:lang w:val="hy-AM"/>
        </w:rPr>
        <w:t>ոչ ֆինանսական ակտիվ</w:t>
      </w:r>
      <w:r w:rsidRPr="00DF79D1">
        <w:rPr>
          <w:rFonts w:cs="Sylfaen"/>
          <w:i/>
          <w:sz w:val="20"/>
          <w:szCs w:val="20"/>
          <w:lang w:val="hy-AM"/>
        </w:rPr>
        <w:softHyphen/>
        <w:t>ների գծով ծախսերի ֆինանսավորման կառուցվածք</w:t>
      </w:r>
      <w:r>
        <w:rPr>
          <w:rFonts w:cs="Sylfaen"/>
          <w:i/>
          <w:sz w:val="20"/>
          <w:szCs w:val="20"/>
          <w:lang w:val="hy-AM"/>
        </w:rPr>
        <w:t>ը</w:t>
      </w:r>
    </w:p>
    <w:p w14:paraId="21D1573C" w14:textId="77777777" w:rsidR="00B10E34" w:rsidRDefault="00B10E34" w:rsidP="00B10E34">
      <w:pPr>
        <w:spacing w:line="360" w:lineRule="auto"/>
        <w:rPr>
          <w:lang w:val="hy-AM"/>
        </w:rPr>
      </w:pPr>
      <w:r w:rsidRPr="0035033F">
        <w:rPr>
          <w:noProof/>
        </w:rPr>
        <w:drawing>
          <wp:inline distT="0" distB="0" distL="0" distR="0" wp14:anchorId="728B7DF7" wp14:editId="6C6C57A7">
            <wp:extent cx="5915025" cy="4514850"/>
            <wp:effectExtent l="0" t="0" r="0" b="0"/>
            <wp:docPr id="45" name="Chart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Pr>
          <w:lang w:val="hy-AM"/>
        </w:rPr>
        <w:t xml:space="preserve"> </w:t>
      </w:r>
    </w:p>
    <w:p w14:paraId="770C6DC3" w14:textId="77777777" w:rsidR="00B10E34" w:rsidRDefault="00B10E34" w:rsidP="00B10E34">
      <w:pPr>
        <w:spacing w:line="360" w:lineRule="auto"/>
        <w:ind w:firstLine="480"/>
        <w:rPr>
          <w:rFonts w:cs="Sylfaen"/>
          <w:lang w:val="hy-AM"/>
        </w:rPr>
      </w:pPr>
      <w:r>
        <w:rPr>
          <w:lang w:val="hy-AM"/>
        </w:rPr>
        <w:t xml:space="preserve">Ընդ որում միջնաժամկետ հատվածում </w:t>
      </w:r>
      <w:r w:rsidRPr="001748EE">
        <w:rPr>
          <w:rFonts w:cs="Sylfaen"/>
          <w:lang w:val="hy-AM"/>
        </w:rPr>
        <w:t>ընդհանուր</w:t>
      </w:r>
      <w:r w:rsidRPr="001748EE">
        <w:rPr>
          <w:lang w:val="hy-AM"/>
        </w:rPr>
        <w:t xml:space="preserve"> </w:t>
      </w:r>
      <w:r w:rsidRPr="001748EE">
        <w:rPr>
          <w:rFonts w:cs="Sylfaen"/>
          <w:lang w:val="hy-AM"/>
        </w:rPr>
        <w:t>ծավալի</w:t>
      </w:r>
      <w:r>
        <w:rPr>
          <w:rFonts w:cs="Sylfaen"/>
          <w:lang w:val="hy-AM"/>
        </w:rPr>
        <w:t xml:space="preserve"> </w:t>
      </w:r>
      <w:r w:rsidRPr="001748EE">
        <w:rPr>
          <w:rFonts w:cs="Sylfaen"/>
          <w:lang w:val="hy-AM"/>
        </w:rPr>
        <w:t>կանխատեսվող</w:t>
      </w:r>
      <w:r w:rsidRPr="001748EE">
        <w:rPr>
          <w:lang w:val="hy-AM"/>
        </w:rPr>
        <w:t xml:space="preserve"> </w:t>
      </w:r>
      <w:r w:rsidRPr="00363E4C">
        <w:rPr>
          <w:lang w:val="hy-AM"/>
        </w:rPr>
        <w:t xml:space="preserve"> </w:t>
      </w:r>
      <w:r>
        <w:rPr>
          <w:lang w:val="hy-AM"/>
        </w:rPr>
        <w:t>981.0</w:t>
      </w:r>
      <w:r w:rsidRPr="001748EE">
        <w:rPr>
          <w:lang w:val="hy-AM"/>
        </w:rPr>
        <w:t xml:space="preserve"> </w:t>
      </w:r>
      <w:r w:rsidRPr="001748EE">
        <w:rPr>
          <w:rFonts w:cs="Sylfaen"/>
          <w:lang w:val="hy-AM"/>
        </w:rPr>
        <w:t>մլրդ</w:t>
      </w:r>
      <w:r w:rsidRPr="001748EE">
        <w:rPr>
          <w:lang w:val="hy-AM"/>
        </w:rPr>
        <w:t xml:space="preserve"> </w:t>
      </w:r>
      <w:r w:rsidRPr="001748EE">
        <w:rPr>
          <w:rFonts w:cs="Sylfaen"/>
          <w:lang w:val="hy-AM"/>
        </w:rPr>
        <w:t>դրամ</w:t>
      </w:r>
      <w:r w:rsidRPr="001748EE">
        <w:rPr>
          <w:lang w:val="hy-AM"/>
        </w:rPr>
        <w:t xml:space="preserve"> </w:t>
      </w:r>
      <w:r w:rsidRPr="001748EE">
        <w:rPr>
          <w:rFonts w:cs="Sylfaen"/>
          <w:lang w:val="hy-AM"/>
        </w:rPr>
        <w:t>ոչ</w:t>
      </w:r>
      <w:r w:rsidRPr="001748EE">
        <w:rPr>
          <w:lang w:val="hy-AM"/>
        </w:rPr>
        <w:t xml:space="preserve"> </w:t>
      </w:r>
      <w:r w:rsidRPr="001748EE">
        <w:rPr>
          <w:rFonts w:cs="Sylfaen"/>
          <w:lang w:val="hy-AM"/>
        </w:rPr>
        <w:t>ֆինանսական</w:t>
      </w:r>
      <w:r w:rsidRPr="001748EE">
        <w:rPr>
          <w:lang w:val="hy-AM"/>
        </w:rPr>
        <w:t xml:space="preserve"> </w:t>
      </w:r>
      <w:r w:rsidRPr="001748EE">
        <w:rPr>
          <w:rFonts w:cs="Sylfaen"/>
          <w:lang w:val="hy-AM"/>
        </w:rPr>
        <w:t>ակտիվների</w:t>
      </w:r>
      <w:r w:rsidRPr="001748EE">
        <w:rPr>
          <w:lang w:val="hy-AM"/>
        </w:rPr>
        <w:t xml:space="preserve"> </w:t>
      </w:r>
      <w:r w:rsidRPr="001748EE">
        <w:rPr>
          <w:rFonts w:cs="Sylfaen"/>
          <w:lang w:val="hy-AM"/>
        </w:rPr>
        <w:t>գծով</w:t>
      </w:r>
      <w:r w:rsidRPr="001748EE">
        <w:rPr>
          <w:lang w:val="hy-AM"/>
        </w:rPr>
        <w:t xml:space="preserve"> </w:t>
      </w:r>
      <w:r w:rsidRPr="001748EE">
        <w:rPr>
          <w:rFonts w:cs="Sylfaen"/>
          <w:lang w:val="hy-AM"/>
        </w:rPr>
        <w:t>ծախսերի</w:t>
      </w:r>
      <w:r w:rsidRPr="001748EE">
        <w:rPr>
          <w:lang w:val="hy-AM"/>
        </w:rPr>
        <w:t xml:space="preserve"> </w:t>
      </w:r>
      <w:r w:rsidRPr="001748EE">
        <w:rPr>
          <w:rFonts w:cs="Sylfaen"/>
          <w:lang w:val="hy-AM"/>
        </w:rPr>
        <w:t xml:space="preserve">շուրջ  </w:t>
      </w:r>
      <w:r>
        <w:rPr>
          <w:rFonts w:cs="Sylfaen"/>
          <w:lang w:val="hy-AM"/>
        </w:rPr>
        <w:t>36.8</w:t>
      </w:r>
      <w:r w:rsidRPr="001748EE">
        <w:rPr>
          <w:rFonts w:cs="Sylfaen"/>
          <w:lang w:val="hy-AM"/>
        </w:rPr>
        <w:t xml:space="preserve"> </w:t>
      </w:r>
      <w:r w:rsidRPr="001748EE">
        <w:rPr>
          <w:lang w:val="hy-AM"/>
        </w:rPr>
        <w:t>%-</w:t>
      </w:r>
      <w:r w:rsidRPr="001748EE">
        <w:rPr>
          <w:rFonts w:cs="Sylfaen"/>
          <w:lang w:val="hy-AM"/>
        </w:rPr>
        <w:t>ը</w:t>
      </w:r>
      <w:r w:rsidRPr="001748EE">
        <w:rPr>
          <w:lang w:val="hy-AM"/>
        </w:rPr>
        <w:t xml:space="preserve"> (</w:t>
      </w:r>
      <w:r>
        <w:rPr>
          <w:lang w:val="hy-AM"/>
        </w:rPr>
        <w:t>360.5</w:t>
      </w:r>
      <w:r w:rsidRPr="001748EE">
        <w:rPr>
          <w:lang w:val="hy-AM"/>
        </w:rPr>
        <w:t xml:space="preserve"> </w:t>
      </w:r>
      <w:r w:rsidRPr="001748EE">
        <w:rPr>
          <w:rFonts w:cs="Sylfaen"/>
          <w:lang w:val="hy-AM"/>
        </w:rPr>
        <w:t>մլրդ</w:t>
      </w:r>
      <w:r w:rsidRPr="001748EE">
        <w:rPr>
          <w:lang w:val="hy-AM"/>
        </w:rPr>
        <w:t xml:space="preserve"> </w:t>
      </w:r>
      <w:r w:rsidRPr="001748EE">
        <w:rPr>
          <w:rFonts w:cs="Sylfaen"/>
          <w:lang w:val="hy-AM"/>
        </w:rPr>
        <w:t>դրամ</w:t>
      </w:r>
      <w:r w:rsidRPr="001748EE">
        <w:rPr>
          <w:lang w:val="hy-AM"/>
        </w:rPr>
        <w:t xml:space="preserve">) նախատեսվում է </w:t>
      </w:r>
      <w:r w:rsidRPr="001748EE">
        <w:rPr>
          <w:rFonts w:cs="Sylfaen"/>
          <w:lang w:val="hy-AM"/>
        </w:rPr>
        <w:t>ֆինան</w:t>
      </w:r>
      <w:r w:rsidRPr="001748EE">
        <w:rPr>
          <w:rFonts w:cs="Sylfaen"/>
          <w:lang w:val="hy-AM"/>
        </w:rPr>
        <w:softHyphen/>
      </w:r>
      <w:r w:rsidRPr="001748EE">
        <w:rPr>
          <w:rFonts w:cs="Sylfaen"/>
          <w:lang w:val="hy-AM"/>
        </w:rPr>
        <w:softHyphen/>
      </w:r>
      <w:r w:rsidRPr="001748EE">
        <w:rPr>
          <w:rFonts w:cs="Sylfaen"/>
          <w:lang w:val="hy-AM"/>
        </w:rPr>
        <w:softHyphen/>
        <w:t>սա</w:t>
      </w:r>
      <w:r w:rsidRPr="001748EE">
        <w:rPr>
          <w:rFonts w:cs="Sylfaen"/>
          <w:lang w:val="hy-AM"/>
        </w:rPr>
        <w:softHyphen/>
        <w:t>վորել</w:t>
      </w:r>
      <w:r w:rsidRPr="001748EE">
        <w:rPr>
          <w:lang w:val="hy-AM"/>
        </w:rPr>
        <w:t xml:space="preserve"> </w:t>
      </w:r>
      <w:r w:rsidRPr="001748EE">
        <w:rPr>
          <w:rFonts w:cs="Sylfaen"/>
          <w:lang w:val="hy-AM"/>
        </w:rPr>
        <w:t>արտաքին</w:t>
      </w:r>
      <w:r w:rsidRPr="001748EE">
        <w:rPr>
          <w:lang w:val="hy-AM"/>
        </w:rPr>
        <w:t xml:space="preserve"> </w:t>
      </w:r>
      <w:r w:rsidRPr="001748EE">
        <w:rPr>
          <w:rFonts w:cs="Sylfaen"/>
          <w:lang w:val="hy-AM"/>
        </w:rPr>
        <w:t>աղբյուր</w:t>
      </w:r>
      <w:r w:rsidRPr="001748EE">
        <w:rPr>
          <w:rFonts w:cs="Sylfaen"/>
          <w:lang w:val="hy-AM"/>
        </w:rPr>
        <w:softHyphen/>
        <w:t>ների</w:t>
      </w:r>
      <w:r>
        <w:rPr>
          <w:rFonts w:cs="Sylfaen"/>
          <w:lang w:val="hy-AM"/>
        </w:rPr>
        <w:t>, իսկ 63.2</w:t>
      </w:r>
      <w:r w:rsidRPr="001748EE">
        <w:rPr>
          <w:lang w:val="hy-AM"/>
        </w:rPr>
        <w:t>%-</w:t>
      </w:r>
      <w:r w:rsidRPr="001748EE">
        <w:rPr>
          <w:rFonts w:cs="Sylfaen"/>
          <w:lang w:val="hy-AM"/>
        </w:rPr>
        <w:t>ը</w:t>
      </w:r>
      <w:r w:rsidRPr="001748EE">
        <w:rPr>
          <w:lang w:val="hy-AM"/>
        </w:rPr>
        <w:t xml:space="preserve"> (</w:t>
      </w:r>
      <w:r>
        <w:rPr>
          <w:lang w:val="hy-AM"/>
        </w:rPr>
        <w:t>620.5</w:t>
      </w:r>
      <w:r w:rsidRPr="001748EE">
        <w:rPr>
          <w:lang w:val="hy-AM"/>
        </w:rPr>
        <w:t xml:space="preserve"> </w:t>
      </w:r>
      <w:r w:rsidRPr="001748EE">
        <w:rPr>
          <w:rFonts w:cs="Sylfaen"/>
          <w:lang w:val="hy-AM"/>
        </w:rPr>
        <w:t>մլրդ</w:t>
      </w:r>
      <w:r w:rsidRPr="001748EE">
        <w:rPr>
          <w:lang w:val="hy-AM"/>
        </w:rPr>
        <w:t xml:space="preserve"> </w:t>
      </w:r>
      <w:r w:rsidRPr="001748EE">
        <w:rPr>
          <w:rFonts w:cs="Sylfaen"/>
          <w:lang w:val="hy-AM"/>
        </w:rPr>
        <w:t>դրամ</w:t>
      </w:r>
      <w:r w:rsidRPr="001748EE">
        <w:rPr>
          <w:lang w:val="hy-AM"/>
        </w:rPr>
        <w:t>)</w:t>
      </w:r>
      <w:r>
        <w:rPr>
          <w:lang w:val="hy-AM"/>
        </w:rPr>
        <w:t>՝ ներքին աղբյուրների</w:t>
      </w:r>
      <w:r w:rsidRPr="001748EE">
        <w:rPr>
          <w:lang w:val="hy-AM"/>
        </w:rPr>
        <w:t xml:space="preserve">  </w:t>
      </w:r>
      <w:r w:rsidRPr="001748EE">
        <w:rPr>
          <w:rFonts w:cs="Sylfaen"/>
          <w:lang w:val="hy-AM"/>
        </w:rPr>
        <w:t>հաշվին</w:t>
      </w:r>
      <w:r w:rsidRPr="001748EE">
        <w:rPr>
          <w:lang w:val="hy-AM"/>
        </w:rPr>
        <w:t xml:space="preserve">: </w:t>
      </w:r>
      <w:r w:rsidRPr="001748EE">
        <w:rPr>
          <w:rFonts w:cs="Sylfaen"/>
          <w:lang w:val="hy-AM"/>
        </w:rPr>
        <w:t>Ոչ</w:t>
      </w:r>
      <w:r w:rsidRPr="001748EE">
        <w:rPr>
          <w:lang w:val="hy-AM"/>
        </w:rPr>
        <w:t xml:space="preserve"> </w:t>
      </w:r>
      <w:r w:rsidRPr="001748EE">
        <w:rPr>
          <w:rFonts w:cs="Sylfaen"/>
          <w:lang w:val="hy-AM"/>
        </w:rPr>
        <w:t>ֆինանսական</w:t>
      </w:r>
      <w:r w:rsidRPr="001748EE">
        <w:rPr>
          <w:lang w:val="hy-AM"/>
        </w:rPr>
        <w:t xml:space="preserve"> </w:t>
      </w:r>
      <w:r w:rsidRPr="001748EE">
        <w:rPr>
          <w:rFonts w:cs="Sylfaen"/>
          <w:lang w:val="hy-AM"/>
        </w:rPr>
        <w:t>ակտիվների</w:t>
      </w:r>
      <w:r w:rsidRPr="001748EE">
        <w:rPr>
          <w:lang w:val="hy-AM"/>
        </w:rPr>
        <w:t xml:space="preserve"> </w:t>
      </w:r>
      <w:r w:rsidRPr="001748EE">
        <w:rPr>
          <w:rFonts w:cs="Sylfaen"/>
          <w:lang w:val="hy-AM"/>
        </w:rPr>
        <w:t>գծով</w:t>
      </w:r>
      <w:r w:rsidRPr="001748EE">
        <w:rPr>
          <w:lang w:val="hy-AM"/>
        </w:rPr>
        <w:t xml:space="preserve"> </w:t>
      </w:r>
      <w:r w:rsidRPr="001748EE">
        <w:rPr>
          <w:rFonts w:cs="Sylfaen"/>
          <w:lang w:val="hy-AM"/>
        </w:rPr>
        <w:t>ծախսերի</w:t>
      </w:r>
      <w:r w:rsidRPr="001748EE">
        <w:rPr>
          <w:lang w:val="hy-AM"/>
        </w:rPr>
        <w:t xml:space="preserve"> </w:t>
      </w:r>
      <w:r w:rsidRPr="001748EE">
        <w:rPr>
          <w:rFonts w:cs="Sylfaen"/>
          <w:lang w:val="hy-AM"/>
        </w:rPr>
        <w:t>իրակա</w:t>
      </w:r>
      <w:r w:rsidRPr="001748EE">
        <w:rPr>
          <w:rFonts w:cs="Sylfaen"/>
          <w:lang w:val="hy-AM"/>
        </w:rPr>
        <w:softHyphen/>
        <w:t>նացման</w:t>
      </w:r>
      <w:r w:rsidRPr="001748EE">
        <w:rPr>
          <w:lang w:val="hy-AM"/>
        </w:rPr>
        <w:t xml:space="preserve"> </w:t>
      </w:r>
      <w:r w:rsidRPr="001748EE">
        <w:rPr>
          <w:rFonts w:cs="Sylfaen"/>
          <w:lang w:val="hy-AM"/>
        </w:rPr>
        <w:t>գե</w:t>
      </w:r>
      <w:r w:rsidRPr="001748EE">
        <w:rPr>
          <w:rFonts w:cs="Sylfaen"/>
          <w:lang w:val="hy-AM"/>
        </w:rPr>
        <w:softHyphen/>
        <w:t>րա</w:t>
      </w:r>
      <w:r w:rsidRPr="001748EE">
        <w:rPr>
          <w:rFonts w:cs="Sylfaen"/>
          <w:lang w:val="hy-AM"/>
        </w:rPr>
        <w:softHyphen/>
      </w:r>
      <w:r w:rsidRPr="001748EE">
        <w:rPr>
          <w:rFonts w:cs="Sylfaen"/>
          <w:lang w:val="hy-AM"/>
        </w:rPr>
        <w:softHyphen/>
        <w:t>կայու</w:t>
      </w:r>
      <w:r w:rsidRPr="001748EE">
        <w:rPr>
          <w:rFonts w:cs="Sylfaen"/>
          <w:lang w:val="hy-AM"/>
        </w:rPr>
        <w:softHyphen/>
        <w:t>թյունները</w:t>
      </w:r>
      <w:r w:rsidRPr="001748EE">
        <w:rPr>
          <w:lang w:val="hy-AM"/>
        </w:rPr>
        <w:t xml:space="preserve"> </w:t>
      </w:r>
      <w:r>
        <w:rPr>
          <w:lang w:val="hy-AM"/>
        </w:rPr>
        <w:t>հանդիսանալու են ինչպես ենթակառուցվածքային, այնպես էլ սոցիալական ոլորտներում ներդրումները</w:t>
      </w:r>
      <w:r>
        <w:rPr>
          <w:rFonts w:cs="Sylfaen"/>
          <w:lang w:val="hy-AM"/>
        </w:rPr>
        <w:t>:</w:t>
      </w:r>
    </w:p>
    <w:p w14:paraId="32DBD14B" w14:textId="77777777" w:rsidR="00B10E34" w:rsidRDefault="00B10E34" w:rsidP="00B10E34">
      <w:pPr>
        <w:spacing w:line="360" w:lineRule="auto"/>
        <w:ind w:firstLine="480"/>
        <w:rPr>
          <w:rFonts w:cs="Sylfaen"/>
          <w:lang w:val="hy-AM"/>
        </w:rPr>
      </w:pPr>
    </w:p>
    <w:p w14:paraId="35F90309" w14:textId="77777777" w:rsidR="009A7904" w:rsidRDefault="009A7904" w:rsidP="00B10E34">
      <w:pPr>
        <w:rPr>
          <w:rFonts w:cs="Sylfaen"/>
          <w:sz w:val="20"/>
          <w:szCs w:val="20"/>
          <w:lang w:val="hy-AM"/>
        </w:rPr>
      </w:pPr>
    </w:p>
    <w:p w14:paraId="2CF6537A" w14:textId="77777777" w:rsidR="00B10E34" w:rsidRDefault="00B10E34" w:rsidP="00B10E34">
      <w:pPr>
        <w:rPr>
          <w:sz w:val="20"/>
          <w:szCs w:val="20"/>
          <w:lang w:val="hy-AM"/>
        </w:rPr>
      </w:pPr>
      <w:r w:rsidRPr="009A7904">
        <w:rPr>
          <w:rFonts w:cs="Sylfaen"/>
          <w:b/>
          <w:sz w:val="20"/>
          <w:szCs w:val="20"/>
          <w:lang w:val="hy-AM"/>
        </w:rPr>
        <w:t>Աղյուսակ</w:t>
      </w:r>
      <w:r w:rsidRPr="009A7904">
        <w:rPr>
          <w:b/>
          <w:sz w:val="20"/>
          <w:szCs w:val="20"/>
          <w:lang w:val="af-ZA"/>
        </w:rPr>
        <w:t xml:space="preserve"> 4.</w:t>
      </w:r>
      <w:r w:rsidR="009A7904">
        <w:rPr>
          <w:b/>
          <w:sz w:val="20"/>
          <w:szCs w:val="20"/>
          <w:lang w:val="af-ZA"/>
        </w:rPr>
        <w:t>4</w:t>
      </w:r>
      <w:r w:rsidR="006B2C4E" w:rsidRPr="009A7904">
        <w:rPr>
          <w:b/>
          <w:sz w:val="20"/>
          <w:szCs w:val="20"/>
          <w:lang w:val="hy-AM"/>
        </w:rPr>
        <w:t>.</w:t>
      </w:r>
      <w:r w:rsidR="009A7904" w:rsidRPr="00BE7F99">
        <w:rPr>
          <w:b/>
          <w:sz w:val="20"/>
          <w:szCs w:val="20"/>
          <w:lang w:val="hy-AM"/>
        </w:rPr>
        <w:t>3</w:t>
      </w:r>
      <w:r w:rsidRPr="005F3E1B">
        <w:rPr>
          <w:sz w:val="20"/>
          <w:szCs w:val="20"/>
          <w:lang w:val="af-ZA"/>
        </w:rPr>
        <w:t xml:space="preserve"> </w:t>
      </w:r>
      <w:r w:rsidRPr="009A7904">
        <w:rPr>
          <w:i/>
          <w:sz w:val="20"/>
          <w:szCs w:val="20"/>
          <w:lang w:val="af-ZA"/>
        </w:rPr>
        <w:t>2020-2023</w:t>
      </w:r>
      <w:r w:rsidRPr="009A7904">
        <w:rPr>
          <w:i/>
          <w:sz w:val="20"/>
          <w:szCs w:val="20"/>
          <w:lang w:val="it-IT"/>
        </w:rPr>
        <w:t>թթ</w:t>
      </w:r>
      <w:r w:rsidRPr="009A7904">
        <w:rPr>
          <w:i/>
          <w:sz w:val="20"/>
          <w:szCs w:val="20"/>
          <w:lang w:val="af-ZA"/>
        </w:rPr>
        <w:t xml:space="preserve"> </w:t>
      </w:r>
      <w:r w:rsidRPr="009A7904">
        <w:rPr>
          <w:rFonts w:cs="Sylfaen"/>
          <w:i/>
          <w:sz w:val="20"/>
          <w:szCs w:val="20"/>
          <w:lang w:val="hy-AM"/>
        </w:rPr>
        <w:t>ոչ</w:t>
      </w:r>
      <w:r w:rsidRPr="009A7904">
        <w:rPr>
          <w:i/>
          <w:sz w:val="20"/>
          <w:szCs w:val="20"/>
          <w:lang w:val="hy-AM"/>
        </w:rPr>
        <w:t xml:space="preserve"> </w:t>
      </w:r>
      <w:r w:rsidRPr="009A7904">
        <w:rPr>
          <w:rFonts w:cs="Sylfaen"/>
          <w:i/>
          <w:sz w:val="20"/>
          <w:szCs w:val="20"/>
          <w:lang w:val="hy-AM"/>
        </w:rPr>
        <w:t>ֆինանսական</w:t>
      </w:r>
      <w:r w:rsidRPr="009A7904">
        <w:rPr>
          <w:i/>
          <w:sz w:val="20"/>
          <w:szCs w:val="20"/>
          <w:lang w:val="hy-AM"/>
        </w:rPr>
        <w:t xml:space="preserve"> </w:t>
      </w:r>
      <w:r w:rsidRPr="009A7904">
        <w:rPr>
          <w:rFonts w:cs="Sylfaen"/>
          <w:i/>
          <w:sz w:val="20"/>
          <w:szCs w:val="20"/>
          <w:lang w:val="hy-AM"/>
        </w:rPr>
        <w:t>ակտիվ</w:t>
      </w:r>
      <w:r w:rsidRPr="009A7904">
        <w:rPr>
          <w:rFonts w:cs="Sylfaen"/>
          <w:i/>
          <w:sz w:val="20"/>
          <w:szCs w:val="20"/>
          <w:lang w:val="hy-AM"/>
        </w:rPr>
        <w:softHyphen/>
        <w:t>ների</w:t>
      </w:r>
      <w:r w:rsidRPr="009A7904">
        <w:rPr>
          <w:i/>
          <w:sz w:val="20"/>
          <w:szCs w:val="20"/>
          <w:lang w:val="hy-AM"/>
        </w:rPr>
        <w:t xml:space="preserve"> </w:t>
      </w:r>
      <w:r w:rsidRPr="009A7904">
        <w:rPr>
          <w:rFonts w:cs="Sylfaen"/>
          <w:i/>
          <w:sz w:val="20"/>
          <w:szCs w:val="20"/>
          <w:lang w:val="hy-AM"/>
        </w:rPr>
        <w:t>գծով</w:t>
      </w:r>
      <w:r w:rsidRPr="009A7904">
        <w:rPr>
          <w:i/>
          <w:sz w:val="20"/>
          <w:szCs w:val="20"/>
          <w:lang w:val="hy-AM"/>
        </w:rPr>
        <w:t xml:space="preserve"> </w:t>
      </w:r>
      <w:r w:rsidRPr="009A7904">
        <w:rPr>
          <w:rFonts w:cs="Sylfaen"/>
          <w:i/>
          <w:sz w:val="20"/>
          <w:szCs w:val="20"/>
          <w:lang w:val="hy-AM"/>
        </w:rPr>
        <w:t>ծախսերի</w:t>
      </w:r>
      <w:r w:rsidRPr="009A7904">
        <w:rPr>
          <w:i/>
          <w:sz w:val="20"/>
          <w:szCs w:val="20"/>
          <w:lang w:val="hy-AM"/>
        </w:rPr>
        <w:t xml:space="preserve"> ֆինանսավորման կառուցվածը ըստ արտաքին և ներքին աղբյուրների</w:t>
      </w:r>
    </w:p>
    <w:p w14:paraId="00ED35AF" w14:textId="77777777" w:rsidR="00B10E34" w:rsidRDefault="00B10E34" w:rsidP="00901B2D">
      <w:pPr>
        <w:jc w:val="right"/>
        <w:rPr>
          <w:sz w:val="20"/>
          <w:szCs w:val="20"/>
          <w:lang w:val="hy-AM"/>
        </w:rPr>
      </w:pPr>
      <w:r w:rsidRPr="006B2C4E">
        <w:rPr>
          <w:sz w:val="20"/>
          <w:szCs w:val="20"/>
          <w:lang w:val="hy-AM"/>
        </w:rPr>
        <w:t xml:space="preserve">մլն </w:t>
      </w:r>
      <w:r>
        <w:rPr>
          <w:sz w:val="20"/>
          <w:szCs w:val="20"/>
          <w:lang w:val="hy-AM"/>
        </w:rPr>
        <w:t>դրամ</w:t>
      </w:r>
    </w:p>
    <w:tbl>
      <w:tblPr>
        <w:tblW w:w="9108" w:type="dxa"/>
        <w:tblCellMar>
          <w:left w:w="0" w:type="dxa"/>
          <w:right w:w="0" w:type="dxa"/>
        </w:tblCellMar>
        <w:tblLook w:val="04A0" w:firstRow="1" w:lastRow="0" w:firstColumn="1" w:lastColumn="0" w:noHBand="0" w:noVBand="1"/>
      </w:tblPr>
      <w:tblGrid>
        <w:gridCol w:w="3004"/>
        <w:gridCol w:w="1514"/>
        <w:gridCol w:w="1531"/>
        <w:gridCol w:w="1522"/>
        <w:gridCol w:w="1537"/>
      </w:tblGrid>
      <w:tr w:rsidR="004F3E10" w:rsidRPr="006B2C4E" w14:paraId="75EC6C36" w14:textId="77777777" w:rsidTr="004F3E10">
        <w:trPr>
          <w:trHeight w:val="300"/>
        </w:trPr>
        <w:tc>
          <w:tcPr>
            <w:tcW w:w="3004" w:type="dxa"/>
            <w:tcBorders>
              <w:left w:val="single" w:sz="4" w:space="0" w:color="auto"/>
              <w:bottom w:val="single" w:sz="4" w:space="0" w:color="auto"/>
              <w:right w:val="single" w:sz="4" w:space="0" w:color="auto"/>
            </w:tcBorders>
            <w:shd w:val="clear" w:color="auto" w:fill="365F91" w:themeFill="accent1" w:themeFillShade="BF"/>
            <w:tcMar>
              <w:top w:w="15" w:type="dxa"/>
              <w:left w:w="15" w:type="dxa"/>
              <w:bottom w:w="0" w:type="dxa"/>
              <w:right w:w="15" w:type="dxa"/>
            </w:tcMar>
            <w:vAlign w:val="center"/>
          </w:tcPr>
          <w:p w14:paraId="27311D31" w14:textId="77777777" w:rsidR="004F3E10" w:rsidRPr="009D66F0" w:rsidRDefault="004F3E10" w:rsidP="004F3E10">
            <w:pPr>
              <w:jc w:val="left"/>
              <w:rPr>
                <w:b/>
                <w:bCs/>
                <w:color w:val="FFFFFF" w:themeColor="background1"/>
                <w:sz w:val="20"/>
                <w:szCs w:val="20"/>
                <w:lang w:val="hy-AM"/>
              </w:rPr>
            </w:pPr>
            <w:r w:rsidRPr="009D66F0">
              <w:rPr>
                <w:rFonts w:cs="Sylfaen"/>
                <w:color w:val="FFFFFF" w:themeColor="background1"/>
                <w:sz w:val="20"/>
                <w:szCs w:val="20"/>
                <w:lang w:val="hy-AM"/>
              </w:rPr>
              <w:lastRenderedPageBreak/>
              <w:t>Ցուցանիշներ</w:t>
            </w:r>
          </w:p>
        </w:tc>
        <w:tc>
          <w:tcPr>
            <w:tcW w:w="1514" w:type="dxa"/>
            <w:tcBorders>
              <w:top w:val="nil"/>
              <w:left w:val="nil"/>
              <w:bottom w:val="single" w:sz="4" w:space="0" w:color="auto"/>
              <w:right w:val="single" w:sz="4" w:space="0" w:color="auto"/>
            </w:tcBorders>
            <w:shd w:val="clear" w:color="auto" w:fill="365F91" w:themeFill="accent1" w:themeFillShade="BF"/>
            <w:tcMar>
              <w:top w:w="15" w:type="dxa"/>
              <w:left w:w="15" w:type="dxa"/>
              <w:bottom w:w="0" w:type="dxa"/>
              <w:right w:w="15" w:type="dxa"/>
            </w:tcMar>
            <w:vAlign w:val="center"/>
          </w:tcPr>
          <w:p w14:paraId="2239B77F" w14:textId="77777777" w:rsidR="004F3E10" w:rsidRPr="009D66F0" w:rsidRDefault="004F3E10" w:rsidP="004F3E10">
            <w:pPr>
              <w:ind w:firstLine="0"/>
              <w:jc w:val="center"/>
              <w:rPr>
                <w:rFonts w:cs="Sylfaen"/>
                <w:color w:val="FFFFFF" w:themeColor="background1"/>
                <w:sz w:val="20"/>
                <w:szCs w:val="20"/>
                <w:lang w:val="hy-AM"/>
              </w:rPr>
            </w:pPr>
            <w:r w:rsidRPr="009D66F0">
              <w:rPr>
                <w:rFonts w:cs="Sylfaen"/>
                <w:color w:val="FFFFFF" w:themeColor="background1"/>
                <w:sz w:val="20"/>
                <w:szCs w:val="20"/>
                <w:lang w:val="hy-AM"/>
              </w:rPr>
              <w:t>2020թ հաստատված</w:t>
            </w:r>
          </w:p>
        </w:tc>
        <w:tc>
          <w:tcPr>
            <w:tcW w:w="1531" w:type="dxa"/>
            <w:tcBorders>
              <w:top w:val="nil"/>
              <w:left w:val="nil"/>
              <w:bottom w:val="single" w:sz="4" w:space="0" w:color="auto"/>
              <w:right w:val="single" w:sz="4" w:space="0" w:color="auto"/>
            </w:tcBorders>
            <w:shd w:val="clear" w:color="auto" w:fill="365F91" w:themeFill="accent1" w:themeFillShade="BF"/>
            <w:tcMar>
              <w:top w:w="15" w:type="dxa"/>
              <w:left w:w="15" w:type="dxa"/>
              <w:bottom w:w="0" w:type="dxa"/>
              <w:right w:w="15" w:type="dxa"/>
            </w:tcMar>
            <w:vAlign w:val="center"/>
          </w:tcPr>
          <w:p w14:paraId="1B414830" w14:textId="77777777" w:rsidR="004F3E10" w:rsidRPr="009D66F0" w:rsidRDefault="004F3E10" w:rsidP="004F3E10">
            <w:pPr>
              <w:ind w:firstLine="0"/>
              <w:jc w:val="center"/>
              <w:rPr>
                <w:rFonts w:cs="Sylfaen"/>
                <w:color w:val="FFFFFF" w:themeColor="background1"/>
                <w:sz w:val="20"/>
                <w:szCs w:val="20"/>
                <w:lang w:val="hy-AM"/>
              </w:rPr>
            </w:pPr>
            <w:r w:rsidRPr="009D66F0">
              <w:rPr>
                <w:rFonts w:cs="Sylfaen"/>
                <w:color w:val="FFFFFF" w:themeColor="background1"/>
                <w:sz w:val="20"/>
                <w:szCs w:val="20"/>
                <w:lang w:val="hy-AM"/>
              </w:rPr>
              <w:t>2021թ ծրագիր</w:t>
            </w:r>
          </w:p>
        </w:tc>
        <w:tc>
          <w:tcPr>
            <w:tcW w:w="1522" w:type="dxa"/>
            <w:tcBorders>
              <w:top w:val="nil"/>
              <w:left w:val="nil"/>
              <w:bottom w:val="single" w:sz="4" w:space="0" w:color="auto"/>
              <w:right w:val="single" w:sz="4" w:space="0" w:color="auto"/>
            </w:tcBorders>
            <w:shd w:val="clear" w:color="auto" w:fill="365F91" w:themeFill="accent1" w:themeFillShade="BF"/>
            <w:tcMar>
              <w:top w:w="15" w:type="dxa"/>
              <w:left w:w="15" w:type="dxa"/>
              <w:bottom w:w="0" w:type="dxa"/>
              <w:right w:w="15" w:type="dxa"/>
            </w:tcMar>
            <w:vAlign w:val="center"/>
          </w:tcPr>
          <w:p w14:paraId="327B0862" w14:textId="77777777" w:rsidR="004F3E10" w:rsidRPr="009D66F0" w:rsidRDefault="004F3E10" w:rsidP="004F3E10">
            <w:pPr>
              <w:ind w:firstLine="0"/>
              <w:jc w:val="center"/>
              <w:rPr>
                <w:rFonts w:cs="Sylfaen"/>
                <w:color w:val="FFFFFF" w:themeColor="background1"/>
                <w:sz w:val="20"/>
                <w:szCs w:val="20"/>
                <w:lang w:val="hy-AM"/>
              </w:rPr>
            </w:pPr>
            <w:r w:rsidRPr="009D66F0">
              <w:rPr>
                <w:rFonts w:cs="Sylfaen"/>
                <w:color w:val="FFFFFF" w:themeColor="background1"/>
                <w:sz w:val="20"/>
                <w:szCs w:val="20"/>
                <w:lang w:val="hy-AM"/>
              </w:rPr>
              <w:t>2022թ  ծրագիր</w:t>
            </w:r>
          </w:p>
        </w:tc>
        <w:tc>
          <w:tcPr>
            <w:tcW w:w="1537" w:type="dxa"/>
            <w:tcBorders>
              <w:top w:val="nil"/>
              <w:left w:val="nil"/>
              <w:bottom w:val="single" w:sz="4" w:space="0" w:color="auto"/>
              <w:right w:val="single" w:sz="4" w:space="0" w:color="auto"/>
            </w:tcBorders>
            <w:shd w:val="clear" w:color="auto" w:fill="365F91" w:themeFill="accent1" w:themeFillShade="BF"/>
            <w:tcMar>
              <w:top w:w="15" w:type="dxa"/>
              <w:left w:w="15" w:type="dxa"/>
              <w:bottom w:w="0" w:type="dxa"/>
              <w:right w:w="15" w:type="dxa"/>
            </w:tcMar>
            <w:vAlign w:val="center"/>
          </w:tcPr>
          <w:p w14:paraId="34FD5681" w14:textId="77777777" w:rsidR="004F3E10" w:rsidRPr="009D66F0" w:rsidRDefault="004F3E10" w:rsidP="004F3E10">
            <w:pPr>
              <w:ind w:firstLine="0"/>
              <w:jc w:val="center"/>
              <w:rPr>
                <w:rFonts w:cs="Sylfaen"/>
                <w:color w:val="FFFFFF" w:themeColor="background1"/>
                <w:sz w:val="20"/>
                <w:szCs w:val="20"/>
                <w:lang w:val="hy-AM"/>
              </w:rPr>
            </w:pPr>
            <w:r w:rsidRPr="009D66F0">
              <w:rPr>
                <w:rFonts w:cs="Sylfaen"/>
                <w:color w:val="FFFFFF" w:themeColor="background1"/>
                <w:sz w:val="20"/>
                <w:szCs w:val="20"/>
                <w:lang w:val="hy-AM"/>
              </w:rPr>
              <w:t>2023թ ծրագիր</w:t>
            </w:r>
          </w:p>
        </w:tc>
      </w:tr>
      <w:tr w:rsidR="00901B2D" w:rsidRPr="006B2C4E" w14:paraId="15097082" w14:textId="77777777" w:rsidTr="004F3E10">
        <w:trPr>
          <w:trHeight w:val="300"/>
        </w:trPr>
        <w:tc>
          <w:tcPr>
            <w:tcW w:w="3004" w:type="dxa"/>
            <w:tcBorders>
              <w:top w:val="nil"/>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0A0057E8" w14:textId="77777777" w:rsidR="00901B2D" w:rsidRPr="009D66F0" w:rsidRDefault="00901B2D" w:rsidP="004F3E10">
            <w:pPr>
              <w:ind w:firstLine="0"/>
              <w:rPr>
                <w:b/>
                <w:bCs/>
                <w:sz w:val="20"/>
                <w:szCs w:val="20"/>
                <w:lang w:val="hy-AM"/>
              </w:rPr>
            </w:pPr>
            <w:r w:rsidRPr="009D66F0">
              <w:rPr>
                <w:rFonts w:cs="Calibri"/>
                <w:b/>
                <w:bCs/>
                <w:sz w:val="20"/>
                <w:szCs w:val="20"/>
                <w:lang w:val="hy-AM"/>
              </w:rPr>
              <w:t xml:space="preserve"> Ընդամենը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4A3919F3" w14:textId="77777777" w:rsidR="00901B2D" w:rsidRPr="009D66F0" w:rsidRDefault="00901B2D" w:rsidP="004F3E10">
            <w:pPr>
              <w:jc w:val="center"/>
              <w:rPr>
                <w:b/>
                <w:bCs/>
                <w:sz w:val="20"/>
                <w:szCs w:val="20"/>
                <w:lang w:val="hy-AM"/>
              </w:rPr>
            </w:pPr>
            <w:r w:rsidRPr="009D66F0">
              <w:rPr>
                <w:rFonts w:cs="Calibri"/>
                <w:b/>
                <w:bCs/>
                <w:sz w:val="20"/>
                <w:szCs w:val="20"/>
                <w:lang w:val="hy-AM"/>
              </w:rPr>
              <w:t>287,741.0</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0BA561BD" w14:textId="77777777" w:rsidR="00901B2D" w:rsidRPr="009D66F0" w:rsidRDefault="00901B2D" w:rsidP="004F3E10">
            <w:pPr>
              <w:jc w:val="center"/>
              <w:rPr>
                <w:b/>
                <w:bCs/>
                <w:sz w:val="20"/>
                <w:szCs w:val="20"/>
                <w:lang w:val="hy-AM"/>
              </w:rPr>
            </w:pPr>
            <w:r w:rsidRPr="009D66F0">
              <w:rPr>
                <w:rFonts w:cs="Calibri"/>
                <w:b/>
                <w:bCs/>
                <w:sz w:val="20"/>
                <w:szCs w:val="20"/>
                <w:lang w:val="hy-AM"/>
              </w:rPr>
              <w:t>249,991.1</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62A336B2" w14:textId="77777777" w:rsidR="00901B2D" w:rsidRPr="009D66F0" w:rsidRDefault="00901B2D" w:rsidP="004F3E10">
            <w:pPr>
              <w:jc w:val="center"/>
              <w:rPr>
                <w:b/>
                <w:bCs/>
                <w:sz w:val="20"/>
                <w:szCs w:val="20"/>
                <w:lang w:val="hy-AM"/>
              </w:rPr>
            </w:pPr>
            <w:r w:rsidRPr="009D66F0">
              <w:rPr>
                <w:rFonts w:cs="Calibri"/>
                <w:b/>
                <w:bCs/>
                <w:sz w:val="20"/>
                <w:szCs w:val="20"/>
                <w:lang w:val="hy-AM"/>
              </w:rPr>
              <w:t>326,213.0</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2A763CDB" w14:textId="77777777" w:rsidR="00901B2D" w:rsidRPr="009D66F0" w:rsidRDefault="00901B2D" w:rsidP="004F3E10">
            <w:pPr>
              <w:jc w:val="center"/>
              <w:rPr>
                <w:b/>
                <w:bCs/>
                <w:sz w:val="20"/>
                <w:szCs w:val="20"/>
                <w:lang w:val="hy-AM"/>
              </w:rPr>
            </w:pPr>
            <w:r w:rsidRPr="009D66F0">
              <w:rPr>
                <w:rFonts w:cs="Calibri"/>
                <w:b/>
                <w:bCs/>
                <w:sz w:val="20"/>
                <w:szCs w:val="20"/>
                <w:lang w:val="hy-AM"/>
              </w:rPr>
              <w:t>404,771.2</w:t>
            </w:r>
          </w:p>
        </w:tc>
      </w:tr>
      <w:tr w:rsidR="004F3E10" w14:paraId="7F4B82FE"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2DE1A0" w14:textId="77777777" w:rsidR="004F3E10" w:rsidRPr="009D66F0" w:rsidRDefault="004F3E10" w:rsidP="004F3E10">
            <w:pPr>
              <w:ind w:firstLine="0"/>
              <w:rPr>
                <w:b/>
                <w:bCs/>
                <w:i/>
                <w:iCs/>
                <w:sz w:val="20"/>
                <w:szCs w:val="20"/>
              </w:rPr>
            </w:pPr>
            <w:r w:rsidRPr="009D66F0">
              <w:rPr>
                <w:rFonts w:cs="Calibri"/>
                <w:b/>
                <w:bCs/>
                <w:i/>
                <w:iCs/>
                <w:sz w:val="20"/>
                <w:szCs w:val="20"/>
                <w:lang w:val="hy-AM"/>
              </w:rPr>
              <w:t xml:space="preserve"> </w:t>
            </w:r>
            <w:r w:rsidRPr="009D66F0">
              <w:rPr>
                <w:rFonts w:cs="Calibri"/>
                <w:b/>
                <w:bCs/>
                <w:i/>
                <w:iCs/>
                <w:sz w:val="20"/>
                <w:szCs w:val="20"/>
              </w:rPr>
              <w:t xml:space="preserve">-  արտաքին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358C05" w14:textId="77777777" w:rsidR="004F3E10" w:rsidRPr="009D66F0" w:rsidRDefault="004F3E10" w:rsidP="004F3E10">
            <w:pPr>
              <w:jc w:val="center"/>
              <w:rPr>
                <w:b/>
                <w:bCs/>
                <w:i/>
                <w:iCs/>
                <w:sz w:val="20"/>
                <w:szCs w:val="20"/>
              </w:rPr>
            </w:pPr>
            <w:r w:rsidRPr="009D66F0">
              <w:rPr>
                <w:rFonts w:cs="Calibri"/>
                <w:b/>
                <w:bCs/>
                <w:i/>
                <w:iCs/>
                <w:sz w:val="20"/>
                <w:szCs w:val="20"/>
              </w:rPr>
              <w:t>172,418.6</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496DF1" w14:textId="77777777" w:rsidR="004F3E10" w:rsidRPr="009D66F0" w:rsidRDefault="004F3E10" w:rsidP="004F3E10">
            <w:pPr>
              <w:jc w:val="center"/>
              <w:rPr>
                <w:b/>
                <w:bCs/>
                <w:i/>
                <w:iCs/>
                <w:sz w:val="20"/>
                <w:szCs w:val="20"/>
              </w:rPr>
            </w:pPr>
            <w:r w:rsidRPr="009D66F0">
              <w:rPr>
                <w:rFonts w:cs="Calibri"/>
                <w:b/>
                <w:bCs/>
                <w:i/>
                <w:iCs/>
                <w:sz w:val="20"/>
                <w:szCs w:val="20"/>
              </w:rPr>
              <w:t>119,555.2</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0B6D05" w14:textId="77777777" w:rsidR="004F3E10" w:rsidRPr="009D66F0" w:rsidRDefault="004F3E10" w:rsidP="004F3E10">
            <w:pPr>
              <w:jc w:val="center"/>
              <w:rPr>
                <w:b/>
                <w:bCs/>
                <w:i/>
                <w:iCs/>
                <w:sz w:val="20"/>
                <w:szCs w:val="20"/>
              </w:rPr>
            </w:pPr>
            <w:r w:rsidRPr="009D66F0">
              <w:rPr>
                <w:rFonts w:cs="Calibri"/>
                <w:b/>
                <w:bCs/>
                <w:i/>
                <w:iCs/>
                <w:sz w:val="20"/>
                <w:szCs w:val="20"/>
              </w:rPr>
              <w:t>181,917.6</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625B0A" w14:textId="77777777" w:rsidR="004F3E10" w:rsidRPr="009D66F0" w:rsidRDefault="004F3E10" w:rsidP="004F3E10">
            <w:pPr>
              <w:jc w:val="center"/>
              <w:rPr>
                <w:b/>
                <w:bCs/>
                <w:i/>
                <w:iCs/>
                <w:sz w:val="20"/>
                <w:szCs w:val="20"/>
              </w:rPr>
            </w:pPr>
            <w:r w:rsidRPr="009D66F0">
              <w:rPr>
                <w:rFonts w:cs="Calibri"/>
                <w:b/>
                <w:bCs/>
                <w:i/>
                <w:iCs/>
                <w:sz w:val="20"/>
                <w:szCs w:val="20"/>
              </w:rPr>
              <w:t>59,003.5</w:t>
            </w:r>
          </w:p>
        </w:tc>
      </w:tr>
      <w:tr w:rsidR="004F3E10" w14:paraId="44A142BD"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ED4DDA" w14:textId="77777777" w:rsidR="004F3E10" w:rsidRPr="009D66F0" w:rsidRDefault="004F3E10" w:rsidP="004F3E10">
            <w:pPr>
              <w:ind w:firstLine="0"/>
              <w:rPr>
                <w:b/>
                <w:bCs/>
                <w:i/>
                <w:iCs/>
                <w:sz w:val="20"/>
                <w:szCs w:val="20"/>
              </w:rPr>
            </w:pPr>
            <w:r w:rsidRPr="009D66F0">
              <w:rPr>
                <w:rFonts w:cs="Calibri"/>
                <w:b/>
                <w:bCs/>
                <w:i/>
                <w:iCs/>
                <w:sz w:val="20"/>
                <w:szCs w:val="20"/>
              </w:rPr>
              <w:t xml:space="preserve"> -  ներքին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D0562C" w14:textId="77777777" w:rsidR="004F3E10" w:rsidRPr="009D66F0" w:rsidRDefault="004F3E10" w:rsidP="004F3E10">
            <w:pPr>
              <w:jc w:val="center"/>
              <w:rPr>
                <w:b/>
                <w:bCs/>
                <w:i/>
                <w:iCs/>
                <w:sz w:val="20"/>
                <w:szCs w:val="20"/>
              </w:rPr>
            </w:pPr>
            <w:r w:rsidRPr="009D66F0">
              <w:rPr>
                <w:rFonts w:cs="Calibri"/>
                <w:b/>
                <w:bCs/>
                <w:i/>
                <w:iCs/>
                <w:sz w:val="20"/>
                <w:szCs w:val="20"/>
              </w:rPr>
              <w:t>115,322.4</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86B5BF" w14:textId="77777777" w:rsidR="004F3E10" w:rsidRPr="009D66F0" w:rsidRDefault="004F3E10" w:rsidP="004F3E10">
            <w:pPr>
              <w:jc w:val="center"/>
              <w:rPr>
                <w:b/>
                <w:bCs/>
                <w:i/>
                <w:iCs/>
                <w:sz w:val="20"/>
                <w:szCs w:val="20"/>
              </w:rPr>
            </w:pPr>
            <w:r w:rsidRPr="009D66F0">
              <w:rPr>
                <w:rFonts w:cs="Calibri"/>
                <w:b/>
                <w:bCs/>
                <w:i/>
                <w:iCs/>
                <w:sz w:val="20"/>
                <w:szCs w:val="20"/>
              </w:rPr>
              <w:t>130,435.9</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F7191C" w14:textId="77777777" w:rsidR="004F3E10" w:rsidRPr="009D66F0" w:rsidRDefault="004F3E10" w:rsidP="004F3E10">
            <w:pPr>
              <w:jc w:val="center"/>
              <w:rPr>
                <w:b/>
                <w:bCs/>
                <w:i/>
                <w:iCs/>
                <w:sz w:val="20"/>
                <w:szCs w:val="20"/>
              </w:rPr>
            </w:pPr>
            <w:r w:rsidRPr="009D66F0">
              <w:rPr>
                <w:rFonts w:cs="Calibri"/>
                <w:b/>
                <w:bCs/>
                <w:i/>
                <w:iCs/>
                <w:sz w:val="20"/>
                <w:szCs w:val="20"/>
              </w:rPr>
              <w:t>144,295.4</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8B0DE7" w14:textId="77777777" w:rsidR="004F3E10" w:rsidRPr="009D66F0" w:rsidRDefault="004F3E10" w:rsidP="004F3E10">
            <w:pPr>
              <w:jc w:val="center"/>
              <w:rPr>
                <w:b/>
                <w:bCs/>
                <w:i/>
                <w:iCs/>
                <w:sz w:val="20"/>
                <w:szCs w:val="20"/>
              </w:rPr>
            </w:pPr>
            <w:r w:rsidRPr="009D66F0">
              <w:rPr>
                <w:rFonts w:cs="Calibri"/>
                <w:b/>
                <w:bCs/>
                <w:i/>
                <w:iCs/>
                <w:sz w:val="20"/>
                <w:szCs w:val="20"/>
              </w:rPr>
              <w:t>345,767.7</w:t>
            </w:r>
          </w:p>
        </w:tc>
      </w:tr>
      <w:tr w:rsidR="004F3E10" w14:paraId="766B7392" w14:textId="77777777" w:rsidTr="004F3E10">
        <w:trPr>
          <w:trHeight w:val="300"/>
        </w:trPr>
        <w:tc>
          <w:tcPr>
            <w:tcW w:w="3004" w:type="dxa"/>
            <w:tcBorders>
              <w:top w:val="nil"/>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798A352F" w14:textId="77777777" w:rsidR="004F3E10" w:rsidRPr="009D66F0" w:rsidRDefault="004F3E10" w:rsidP="004F3E10">
            <w:pPr>
              <w:ind w:firstLine="0"/>
              <w:rPr>
                <w:b/>
                <w:bCs/>
                <w:sz w:val="20"/>
                <w:szCs w:val="20"/>
              </w:rPr>
            </w:pPr>
            <w:r w:rsidRPr="009D66F0">
              <w:rPr>
                <w:rFonts w:cs="Calibri"/>
                <w:b/>
                <w:bCs/>
                <w:sz w:val="20"/>
                <w:szCs w:val="20"/>
              </w:rPr>
              <w:t xml:space="preserve"> Տրանսպորտ, այդ թվում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462734D3" w14:textId="77777777" w:rsidR="004F3E10" w:rsidRPr="009D66F0" w:rsidRDefault="004F3E10" w:rsidP="004F3E10">
            <w:pPr>
              <w:jc w:val="center"/>
              <w:rPr>
                <w:b/>
                <w:bCs/>
                <w:sz w:val="20"/>
                <w:szCs w:val="20"/>
              </w:rPr>
            </w:pPr>
            <w:r w:rsidRPr="009D66F0">
              <w:rPr>
                <w:rFonts w:cs="Calibri"/>
                <w:b/>
                <w:bCs/>
                <w:sz w:val="20"/>
                <w:szCs w:val="20"/>
              </w:rPr>
              <w:t>89,251.6</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69225A17" w14:textId="77777777" w:rsidR="004F3E10" w:rsidRPr="009D66F0" w:rsidRDefault="004F3E10" w:rsidP="004F3E10">
            <w:pPr>
              <w:jc w:val="center"/>
              <w:rPr>
                <w:b/>
                <w:bCs/>
                <w:sz w:val="20"/>
                <w:szCs w:val="20"/>
              </w:rPr>
            </w:pPr>
            <w:r w:rsidRPr="009D66F0">
              <w:rPr>
                <w:rFonts w:cs="Calibri"/>
                <w:b/>
                <w:bCs/>
                <w:sz w:val="20"/>
                <w:szCs w:val="20"/>
              </w:rPr>
              <w:t>74,705.0</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65E72395" w14:textId="77777777" w:rsidR="004F3E10" w:rsidRPr="009D66F0" w:rsidRDefault="004F3E10" w:rsidP="004F3E10">
            <w:pPr>
              <w:jc w:val="center"/>
              <w:rPr>
                <w:b/>
                <w:bCs/>
                <w:sz w:val="20"/>
                <w:szCs w:val="20"/>
              </w:rPr>
            </w:pPr>
            <w:r w:rsidRPr="009D66F0">
              <w:rPr>
                <w:rFonts w:cs="Calibri"/>
                <w:b/>
                <w:bCs/>
                <w:sz w:val="20"/>
                <w:szCs w:val="20"/>
              </w:rPr>
              <w:t>112,462.2</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6F4CF54D" w14:textId="77777777" w:rsidR="004F3E10" w:rsidRPr="009D66F0" w:rsidRDefault="004F3E10" w:rsidP="004F3E10">
            <w:pPr>
              <w:jc w:val="center"/>
              <w:rPr>
                <w:b/>
                <w:bCs/>
                <w:sz w:val="20"/>
                <w:szCs w:val="20"/>
              </w:rPr>
            </w:pPr>
            <w:r w:rsidRPr="009D66F0">
              <w:rPr>
                <w:rFonts w:cs="Calibri"/>
                <w:b/>
                <w:bCs/>
                <w:sz w:val="20"/>
                <w:szCs w:val="20"/>
              </w:rPr>
              <w:t>38,630.3</w:t>
            </w:r>
          </w:p>
        </w:tc>
      </w:tr>
      <w:tr w:rsidR="004F3E10" w14:paraId="5BE47639"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3D97C3" w14:textId="77777777" w:rsidR="004F3E10" w:rsidRPr="009D66F0" w:rsidRDefault="004F3E10" w:rsidP="004F3E10">
            <w:pPr>
              <w:ind w:firstLine="0"/>
              <w:rPr>
                <w:i/>
                <w:iCs/>
                <w:sz w:val="20"/>
                <w:szCs w:val="20"/>
              </w:rPr>
            </w:pPr>
            <w:r w:rsidRPr="009D66F0">
              <w:rPr>
                <w:rFonts w:cs="Calibri"/>
                <w:i/>
                <w:iCs/>
                <w:sz w:val="20"/>
                <w:szCs w:val="20"/>
              </w:rPr>
              <w:t xml:space="preserve"> -  արտաքին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F3C0B9" w14:textId="77777777" w:rsidR="004F3E10" w:rsidRPr="009D66F0" w:rsidRDefault="004F3E10" w:rsidP="004F3E10">
            <w:pPr>
              <w:jc w:val="center"/>
              <w:rPr>
                <w:i/>
                <w:iCs/>
                <w:sz w:val="20"/>
                <w:szCs w:val="20"/>
              </w:rPr>
            </w:pPr>
            <w:r w:rsidRPr="009D66F0">
              <w:rPr>
                <w:rFonts w:cs="Calibri"/>
                <w:i/>
                <w:iCs/>
                <w:sz w:val="20"/>
                <w:szCs w:val="20"/>
              </w:rPr>
              <w:t>67,692.0</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354B7A" w14:textId="77777777" w:rsidR="004F3E10" w:rsidRPr="009D66F0" w:rsidRDefault="004F3E10" w:rsidP="004F3E10">
            <w:pPr>
              <w:jc w:val="center"/>
              <w:rPr>
                <w:i/>
                <w:iCs/>
                <w:sz w:val="20"/>
                <w:szCs w:val="20"/>
              </w:rPr>
            </w:pPr>
            <w:r w:rsidRPr="009D66F0">
              <w:rPr>
                <w:rFonts w:cs="Calibri"/>
                <w:i/>
                <w:iCs/>
                <w:sz w:val="20"/>
                <w:szCs w:val="20"/>
              </w:rPr>
              <w:t>40,564.8</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9D7219" w14:textId="77777777" w:rsidR="004F3E10" w:rsidRPr="009D66F0" w:rsidRDefault="004F3E10" w:rsidP="004F3E10">
            <w:pPr>
              <w:jc w:val="center"/>
              <w:rPr>
                <w:i/>
                <w:iCs/>
                <w:sz w:val="20"/>
                <w:szCs w:val="20"/>
              </w:rPr>
            </w:pPr>
            <w:r w:rsidRPr="009D66F0">
              <w:rPr>
                <w:rFonts w:cs="Calibri"/>
                <w:i/>
                <w:iCs/>
                <w:sz w:val="20"/>
                <w:szCs w:val="20"/>
              </w:rPr>
              <w:t>101,798.2</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2ED669" w14:textId="77777777" w:rsidR="004F3E10" w:rsidRPr="009D66F0" w:rsidRDefault="004F3E10" w:rsidP="004F3E10">
            <w:pPr>
              <w:jc w:val="center"/>
              <w:rPr>
                <w:i/>
                <w:iCs/>
                <w:sz w:val="20"/>
                <w:szCs w:val="20"/>
              </w:rPr>
            </w:pPr>
            <w:r w:rsidRPr="009D66F0">
              <w:rPr>
                <w:rFonts w:cs="Calibri"/>
                <w:i/>
                <w:iCs/>
                <w:sz w:val="20"/>
                <w:szCs w:val="20"/>
              </w:rPr>
              <w:t>27,966.3</w:t>
            </w:r>
          </w:p>
        </w:tc>
      </w:tr>
      <w:tr w:rsidR="004F3E10" w14:paraId="419C4C47"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98611D" w14:textId="77777777" w:rsidR="004F3E10" w:rsidRPr="009D66F0" w:rsidRDefault="004F3E10" w:rsidP="004F3E10">
            <w:pPr>
              <w:ind w:firstLine="0"/>
              <w:rPr>
                <w:i/>
                <w:iCs/>
                <w:sz w:val="20"/>
                <w:szCs w:val="20"/>
              </w:rPr>
            </w:pPr>
            <w:r w:rsidRPr="009D66F0">
              <w:rPr>
                <w:rFonts w:cs="Calibri"/>
                <w:i/>
                <w:iCs/>
                <w:sz w:val="20"/>
                <w:szCs w:val="20"/>
              </w:rPr>
              <w:t xml:space="preserve"> -  ներքին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D291C3" w14:textId="77777777" w:rsidR="004F3E10" w:rsidRPr="009D66F0" w:rsidRDefault="004F3E10" w:rsidP="004F3E10">
            <w:pPr>
              <w:jc w:val="center"/>
              <w:rPr>
                <w:i/>
                <w:iCs/>
                <w:sz w:val="20"/>
                <w:szCs w:val="20"/>
              </w:rPr>
            </w:pPr>
            <w:r w:rsidRPr="009D66F0">
              <w:rPr>
                <w:rFonts w:cs="Calibri"/>
                <w:i/>
                <w:iCs/>
                <w:sz w:val="20"/>
                <w:szCs w:val="20"/>
              </w:rPr>
              <w:t>21,559.6</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2EEC2F" w14:textId="77777777" w:rsidR="004F3E10" w:rsidRPr="009D66F0" w:rsidRDefault="004F3E10" w:rsidP="004F3E10">
            <w:pPr>
              <w:jc w:val="center"/>
              <w:rPr>
                <w:i/>
                <w:iCs/>
                <w:sz w:val="20"/>
                <w:szCs w:val="20"/>
              </w:rPr>
            </w:pPr>
            <w:r w:rsidRPr="009D66F0">
              <w:rPr>
                <w:rFonts w:cs="Calibri"/>
                <w:i/>
                <w:iCs/>
                <w:sz w:val="20"/>
                <w:szCs w:val="20"/>
              </w:rPr>
              <w:t>34,140.2</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27BB23" w14:textId="77777777" w:rsidR="004F3E10" w:rsidRPr="009D66F0" w:rsidRDefault="004F3E10" w:rsidP="004F3E10">
            <w:pPr>
              <w:jc w:val="center"/>
              <w:rPr>
                <w:i/>
                <w:iCs/>
                <w:sz w:val="20"/>
                <w:szCs w:val="20"/>
              </w:rPr>
            </w:pPr>
            <w:r w:rsidRPr="009D66F0">
              <w:rPr>
                <w:rFonts w:cs="Calibri"/>
                <w:i/>
                <w:iCs/>
                <w:sz w:val="20"/>
                <w:szCs w:val="20"/>
              </w:rPr>
              <w:t>10,664.0</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43157D" w14:textId="77777777" w:rsidR="004F3E10" w:rsidRPr="009D66F0" w:rsidRDefault="004F3E10" w:rsidP="004F3E10">
            <w:pPr>
              <w:jc w:val="center"/>
              <w:rPr>
                <w:i/>
                <w:iCs/>
                <w:sz w:val="20"/>
                <w:szCs w:val="20"/>
              </w:rPr>
            </w:pPr>
            <w:r w:rsidRPr="009D66F0">
              <w:rPr>
                <w:rFonts w:cs="Calibri"/>
                <w:i/>
                <w:iCs/>
                <w:sz w:val="20"/>
                <w:szCs w:val="20"/>
              </w:rPr>
              <w:t>10,664.0</w:t>
            </w:r>
          </w:p>
        </w:tc>
      </w:tr>
      <w:tr w:rsidR="004F3E10" w14:paraId="51A344D0" w14:textId="77777777" w:rsidTr="004F3E10">
        <w:trPr>
          <w:trHeight w:val="300"/>
        </w:trPr>
        <w:tc>
          <w:tcPr>
            <w:tcW w:w="3004" w:type="dxa"/>
            <w:tcBorders>
              <w:top w:val="nil"/>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242720FA" w14:textId="77777777" w:rsidR="004F3E10" w:rsidRPr="009D66F0" w:rsidRDefault="004F3E10" w:rsidP="004F3E10">
            <w:pPr>
              <w:ind w:firstLine="0"/>
              <w:rPr>
                <w:b/>
                <w:bCs/>
                <w:sz w:val="20"/>
                <w:szCs w:val="20"/>
              </w:rPr>
            </w:pPr>
            <w:r w:rsidRPr="009D66F0">
              <w:rPr>
                <w:rFonts w:cs="Calibri"/>
                <w:b/>
                <w:bCs/>
                <w:sz w:val="20"/>
                <w:szCs w:val="20"/>
              </w:rPr>
              <w:t xml:space="preserve"> Էներգետիկա, այդ թվում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0C28E0DA" w14:textId="77777777" w:rsidR="004F3E10" w:rsidRPr="009D66F0" w:rsidRDefault="004F3E10" w:rsidP="004F3E10">
            <w:pPr>
              <w:jc w:val="center"/>
              <w:rPr>
                <w:b/>
                <w:bCs/>
                <w:sz w:val="20"/>
                <w:szCs w:val="20"/>
              </w:rPr>
            </w:pPr>
            <w:r w:rsidRPr="009D66F0">
              <w:rPr>
                <w:rFonts w:cs="Calibri"/>
                <w:b/>
                <w:bCs/>
                <w:sz w:val="20"/>
                <w:szCs w:val="20"/>
              </w:rPr>
              <w:t>3,477.9</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1746D05B" w14:textId="77777777" w:rsidR="004F3E10" w:rsidRPr="009D66F0" w:rsidRDefault="004F3E10" w:rsidP="004F3E10">
            <w:pPr>
              <w:jc w:val="center"/>
              <w:rPr>
                <w:b/>
                <w:bCs/>
                <w:sz w:val="20"/>
                <w:szCs w:val="20"/>
              </w:rPr>
            </w:pPr>
            <w:r w:rsidRPr="009D66F0">
              <w:rPr>
                <w:rFonts w:cs="Calibri"/>
                <w:b/>
                <w:bCs/>
                <w:sz w:val="20"/>
                <w:szCs w:val="20"/>
              </w:rPr>
              <w:t>1,207.0</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12B3FFA3" w14:textId="77777777" w:rsidR="004F3E10" w:rsidRPr="009D66F0" w:rsidRDefault="004F3E10" w:rsidP="004F3E10">
            <w:pPr>
              <w:jc w:val="center"/>
              <w:rPr>
                <w:b/>
                <w:bCs/>
                <w:sz w:val="20"/>
                <w:szCs w:val="20"/>
              </w:rPr>
            </w:pPr>
            <w:r w:rsidRPr="009D66F0">
              <w:rPr>
                <w:rFonts w:cs="Calibri"/>
                <w:b/>
                <w:bCs/>
                <w:sz w:val="20"/>
                <w:szCs w:val="20"/>
              </w:rPr>
              <w:t>554.7</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1E62DC1F" w14:textId="77777777" w:rsidR="004F3E10" w:rsidRPr="009D66F0" w:rsidRDefault="004F3E10" w:rsidP="004F3E10">
            <w:pPr>
              <w:jc w:val="center"/>
              <w:rPr>
                <w:b/>
                <w:bCs/>
                <w:sz w:val="20"/>
                <w:szCs w:val="20"/>
              </w:rPr>
            </w:pPr>
            <w:r w:rsidRPr="009D66F0">
              <w:rPr>
                <w:rFonts w:cs="Calibri"/>
                <w:b/>
                <w:bCs/>
                <w:sz w:val="20"/>
                <w:szCs w:val="20"/>
              </w:rPr>
              <w:t>416.0</w:t>
            </w:r>
          </w:p>
        </w:tc>
      </w:tr>
      <w:tr w:rsidR="004F3E10" w14:paraId="207CC645"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93B833" w14:textId="77777777" w:rsidR="004F3E10" w:rsidRPr="009D66F0" w:rsidRDefault="004F3E10" w:rsidP="004F3E10">
            <w:pPr>
              <w:ind w:firstLine="0"/>
              <w:rPr>
                <w:i/>
                <w:iCs/>
                <w:sz w:val="20"/>
                <w:szCs w:val="20"/>
              </w:rPr>
            </w:pPr>
            <w:r w:rsidRPr="009D66F0">
              <w:rPr>
                <w:rFonts w:cs="Calibri"/>
                <w:i/>
                <w:iCs/>
                <w:sz w:val="20"/>
                <w:szCs w:val="20"/>
              </w:rPr>
              <w:t xml:space="preserve"> -  արտաքին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0E7828" w14:textId="77777777" w:rsidR="004F3E10" w:rsidRPr="009D66F0" w:rsidRDefault="004F3E10" w:rsidP="004F3E10">
            <w:pPr>
              <w:jc w:val="center"/>
              <w:rPr>
                <w:i/>
                <w:iCs/>
                <w:sz w:val="20"/>
                <w:szCs w:val="20"/>
              </w:rPr>
            </w:pPr>
            <w:r w:rsidRPr="009D66F0">
              <w:rPr>
                <w:rFonts w:cs="Calibri"/>
                <w:i/>
                <w:iCs/>
                <w:sz w:val="20"/>
                <w:szCs w:val="20"/>
              </w:rPr>
              <w:t>3,477.9</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248BA6" w14:textId="77777777" w:rsidR="004F3E10" w:rsidRPr="009D66F0" w:rsidRDefault="004F3E10" w:rsidP="004F3E10">
            <w:pPr>
              <w:jc w:val="center"/>
              <w:rPr>
                <w:i/>
                <w:iCs/>
                <w:sz w:val="20"/>
                <w:szCs w:val="20"/>
              </w:rPr>
            </w:pPr>
            <w:r w:rsidRPr="009D66F0">
              <w:rPr>
                <w:rFonts w:cs="Calibri"/>
                <w:i/>
                <w:iCs/>
                <w:sz w:val="20"/>
                <w:szCs w:val="20"/>
              </w:rPr>
              <w:t>1,207.0</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0E0F1C" w14:textId="77777777" w:rsidR="004F3E10" w:rsidRPr="009D66F0" w:rsidRDefault="004F3E10" w:rsidP="004F3E10">
            <w:pPr>
              <w:jc w:val="center"/>
              <w:rPr>
                <w:i/>
                <w:iCs/>
                <w:sz w:val="20"/>
                <w:szCs w:val="20"/>
              </w:rPr>
            </w:pPr>
            <w:r w:rsidRPr="009D66F0">
              <w:rPr>
                <w:rFonts w:cs="Calibri"/>
                <w:i/>
                <w:iCs/>
                <w:sz w:val="20"/>
                <w:szCs w:val="20"/>
              </w:rPr>
              <w:t>554.7</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667AAB" w14:textId="77777777" w:rsidR="004F3E10" w:rsidRPr="009D66F0" w:rsidRDefault="004F3E10" w:rsidP="004F3E10">
            <w:pPr>
              <w:jc w:val="center"/>
              <w:rPr>
                <w:i/>
                <w:iCs/>
                <w:sz w:val="20"/>
                <w:szCs w:val="20"/>
              </w:rPr>
            </w:pPr>
            <w:r w:rsidRPr="009D66F0">
              <w:rPr>
                <w:rFonts w:cs="Calibri"/>
                <w:i/>
                <w:iCs/>
                <w:sz w:val="20"/>
                <w:szCs w:val="20"/>
              </w:rPr>
              <w:t>416.0</w:t>
            </w:r>
          </w:p>
        </w:tc>
      </w:tr>
      <w:tr w:rsidR="004F3E10" w14:paraId="35AC17CF"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CEF7DE" w14:textId="77777777" w:rsidR="004F3E10" w:rsidRPr="009D66F0" w:rsidRDefault="004F3E10" w:rsidP="004F3E10">
            <w:pPr>
              <w:ind w:firstLine="0"/>
              <w:rPr>
                <w:i/>
                <w:iCs/>
                <w:sz w:val="20"/>
                <w:szCs w:val="20"/>
              </w:rPr>
            </w:pPr>
            <w:r w:rsidRPr="009D66F0">
              <w:rPr>
                <w:rFonts w:cs="Calibri"/>
                <w:i/>
                <w:iCs/>
                <w:sz w:val="20"/>
                <w:szCs w:val="20"/>
              </w:rPr>
              <w:t xml:space="preserve"> -  ներքին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07DF55" w14:textId="77777777" w:rsidR="004F3E10" w:rsidRPr="009D66F0" w:rsidRDefault="004F3E10" w:rsidP="004F3E10">
            <w:pPr>
              <w:jc w:val="center"/>
              <w:rPr>
                <w:sz w:val="20"/>
                <w:szCs w:val="20"/>
              </w:rPr>
            </w:pPr>
            <w:r w:rsidRPr="009D66F0">
              <w:rPr>
                <w:rFonts w:cs="Calibri"/>
                <w:sz w:val="20"/>
                <w:szCs w:val="20"/>
              </w:rPr>
              <w:t>-</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0F9812" w14:textId="77777777" w:rsidR="004F3E10" w:rsidRPr="009D66F0" w:rsidRDefault="004F3E10" w:rsidP="004F3E10">
            <w:pPr>
              <w:jc w:val="center"/>
              <w:rPr>
                <w:sz w:val="20"/>
                <w:szCs w:val="20"/>
              </w:rPr>
            </w:pPr>
            <w:r w:rsidRPr="009D66F0">
              <w:rPr>
                <w:rFonts w:cs="Calibri"/>
                <w:sz w:val="20"/>
                <w:szCs w:val="20"/>
              </w:rPr>
              <w:t>-</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49BC5C" w14:textId="77777777" w:rsidR="004F3E10" w:rsidRPr="009D66F0" w:rsidRDefault="004F3E10" w:rsidP="004F3E10">
            <w:pPr>
              <w:jc w:val="center"/>
              <w:rPr>
                <w:sz w:val="20"/>
                <w:szCs w:val="20"/>
              </w:rPr>
            </w:pPr>
            <w:r w:rsidRPr="009D66F0">
              <w:rPr>
                <w:rFonts w:cs="Calibri"/>
                <w:sz w:val="20"/>
                <w:szCs w:val="20"/>
              </w:rPr>
              <w:t>-</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CBFCC0" w14:textId="77777777" w:rsidR="004F3E10" w:rsidRPr="009D66F0" w:rsidRDefault="004F3E10" w:rsidP="004F3E10">
            <w:pPr>
              <w:jc w:val="center"/>
              <w:rPr>
                <w:sz w:val="20"/>
                <w:szCs w:val="20"/>
              </w:rPr>
            </w:pPr>
            <w:r w:rsidRPr="009D66F0">
              <w:rPr>
                <w:rFonts w:cs="Calibri"/>
                <w:sz w:val="20"/>
                <w:szCs w:val="20"/>
              </w:rPr>
              <w:t>-</w:t>
            </w:r>
          </w:p>
        </w:tc>
      </w:tr>
      <w:tr w:rsidR="004F3E10" w14:paraId="591DB116" w14:textId="77777777" w:rsidTr="004F3E10">
        <w:trPr>
          <w:trHeight w:val="570"/>
        </w:trPr>
        <w:tc>
          <w:tcPr>
            <w:tcW w:w="3004" w:type="dxa"/>
            <w:tcBorders>
              <w:top w:val="nil"/>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261A33AC" w14:textId="77777777" w:rsidR="004F3E10" w:rsidRPr="009D66F0" w:rsidRDefault="004F3E10" w:rsidP="004F3E10">
            <w:pPr>
              <w:ind w:firstLine="0"/>
              <w:jc w:val="left"/>
              <w:rPr>
                <w:b/>
                <w:bCs/>
                <w:sz w:val="20"/>
                <w:szCs w:val="20"/>
              </w:rPr>
            </w:pPr>
            <w:r w:rsidRPr="009D66F0">
              <w:rPr>
                <w:rFonts w:cs="Calibri"/>
                <w:b/>
                <w:bCs/>
                <w:sz w:val="20"/>
                <w:szCs w:val="20"/>
              </w:rPr>
              <w:t xml:space="preserve"> Շրջակա միջավայր և գյուղատնտեսություն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563D0E4C" w14:textId="77777777" w:rsidR="004F3E10" w:rsidRPr="009D66F0" w:rsidRDefault="004F3E10" w:rsidP="004F3E10">
            <w:pPr>
              <w:jc w:val="center"/>
              <w:rPr>
                <w:b/>
                <w:bCs/>
                <w:sz w:val="20"/>
                <w:szCs w:val="20"/>
              </w:rPr>
            </w:pPr>
            <w:r w:rsidRPr="009D66F0">
              <w:rPr>
                <w:rFonts w:cs="Calibri"/>
                <w:b/>
                <w:bCs/>
                <w:sz w:val="20"/>
                <w:szCs w:val="20"/>
              </w:rPr>
              <w:t>10,627.4</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7F5A5804" w14:textId="77777777" w:rsidR="004F3E10" w:rsidRPr="009D66F0" w:rsidRDefault="004F3E10" w:rsidP="004F3E10">
            <w:pPr>
              <w:jc w:val="center"/>
              <w:rPr>
                <w:b/>
                <w:bCs/>
                <w:sz w:val="20"/>
                <w:szCs w:val="20"/>
              </w:rPr>
            </w:pPr>
            <w:r w:rsidRPr="009D66F0">
              <w:rPr>
                <w:rFonts w:cs="Calibri"/>
                <w:b/>
                <w:bCs/>
                <w:sz w:val="20"/>
                <w:szCs w:val="20"/>
              </w:rPr>
              <w:t>7,229.8</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47EF8C8F" w14:textId="77777777" w:rsidR="004F3E10" w:rsidRPr="009D66F0" w:rsidRDefault="004F3E10" w:rsidP="004F3E10">
            <w:pPr>
              <w:jc w:val="center"/>
              <w:rPr>
                <w:b/>
                <w:bCs/>
                <w:sz w:val="20"/>
                <w:szCs w:val="20"/>
              </w:rPr>
            </w:pPr>
            <w:r w:rsidRPr="009D66F0">
              <w:rPr>
                <w:rFonts w:cs="Calibri"/>
                <w:b/>
                <w:bCs/>
                <w:sz w:val="20"/>
                <w:szCs w:val="20"/>
              </w:rPr>
              <w:t>6,309.4</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4BF03492" w14:textId="77777777" w:rsidR="004F3E10" w:rsidRPr="009D66F0" w:rsidRDefault="004F3E10" w:rsidP="004F3E10">
            <w:pPr>
              <w:jc w:val="center"/>
              <w:rPr>
                <w:b/>
                <w:bCs/>
                <w:sz w:val="20"/>
                <w:szCs w:val="20"/>
              </w:rPr>
            </w:pPr>
            <w:r w:rsidRPr="009D66F0">
              <w:rPr>
                <w:rFonts w:cs="Calibri"/>
                <w:b/>
                <w:bCs/>
                <w:sz w:val="20"/>
                <w:szCs w:val="20"/>
              </w:rPr>
              <w:t>1,498.0</w:t>
            </w:r>
          </w:p>
        </w:tc>
      </w:tr>
      <w:tr w:rsidR="004F3E10" w14:paraId="1C65C1D4"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1F6FFB" w14:textId="77777777" w:rsidR="004F3E10" w:rsidRPr="009D66F0" w:rsidRDefault="004F3E10" w:rsidP="004F3E10">
            <w:pPr>
              <w:ind w:firstLine="0"/>
              <w:rPr>
                <w:i/>
                <w:iCs/>
                <w:sz w:val="20"/>
                <w:szCs w:val="20"/>
              </w:rPr>
            </w:pPr>
            <w:r w:rsidRPr="009D66F0">
              <w:rPr>
                <w:rFonts w:cs="Calibri"/>
                <w:i/>
                <w:iCs/>
                <w:sz w:val="20"/>
                <w:szCs w:val="20"/>
              </w:rPr>
              <w:t xml:space="preserve"> -  արտաքին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17EBF7" w14:textId="77777777" w:rsidR="004F3E10" w:rsidRPr="009D66F0" w:rsidRDefault="004F3E10" w:rsidP="004F3E10">
            <w:pPr>
              <w:jc w:val="center"/>
              <w:rPr>
                <w:i/>
                <w:iCs/>
                <w:sz w:val="20"/>
                <w:szCs w:val="20"/>
              </w:rPr>
            </w:pPr>
            <w:r w:rsidRPr="009D66F0">
              <w:rPr>
                <w:rFonts w:cs="Calibri"/>
                <w:i/>
                <w:iCs/>
                <w:sz w:val="20"/>
                <w:szCs w:val="20"/>
              </w:rPr>
              <w:t>10,007.2</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C43F44" w14:textId="77777777" w:rsidR="004F3E10" w:rsidRPr="009D66F0" w:rsidRDefault="004F3E10" w:rsidP="004F3E10">
            <w:pPr>
              <w:jc w:val="center"/>
              <w:rPr>
                <w:i/>
                <w:iCs/>
                <w:sz w:val="20"/>
                <w:szCs w:val="20"/>
              </w:rPr>
            </w:pPr>
            <w:r w:rsidRPr="009D66F0">
              <w:rPr>
                <w:rFonts w:cs="Calibri"/>
                <w:i/>
                <w:iCs/>
                <w:sz w:val="20"/>
                <w:szCs w:val="20"/>
              </w:rPr>
              <w:t>6,690.3</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BBFA0D" w14:textId="77777777" w:rsidR="004F3E10" w:rsidRPr="009D66F0" w:rsidRDefault="004F3E10" w:rsidP="004F3E10">
            <w:pPr>
              <w:jc w:val="center"/>
              <w:rPr>
                <w:i/>
                <w:iCs/>
                <w:sz w:val="20"/>
                <w:szCs w:val="20"/>
              </w:rPr>
            </w:pPr>
            <w:r w:rsidRPr="009D66F0">
              <w:rPr>
                <w:rFonts w:cs="Calibri"/>
                <w:i/>
                <w:iCs/>
                <w:sz w:val="20"/>
                <w:szCs w:val="20"/>
              </w:rPr>
              <w:t>5,769.9</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74C991" w14:textId="77777777" w:rsidR="004F3E10" w:rsidRPr="009D66F0" w:rsidRDefault="004F3E10" w:rsidP="004F3E10">
            <w:pPr>
              <w:jc w:val="center"/>
              <w:rPr>
                <w:i/>
                <w:iCs/>
                <w:sz w:val="20"/>
                <w:szCs w:val="20"/>
              </w:rPr>
            </w:pPr>
            <w:r w:rsidRPr="009D66F0">
              <w:rPr>
                <w:rFonts w:cs="Calibri"/>
                <w:i/>
                <w:iCs/>
                <w:sz w:val="20"/>
                <w:szCs w:val="20"/>
              </w:rPr>
              <w:t>958.5</w:t>
            </w:r>
          </w:p>
        </w:tc>
      </w:tr>
      <w:tr w:rsidR="004F3E10" w14:paraId="63C82880"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C9A920" w14:textId="77777777" w:rsidR="004F3E10" w:rsidRPr="009D66F0" w:rsidRDefault="004F3E10" w:rsidP="004F3E10">
            <w:pPr>
              <w:ind w:firstLine="0"/>
              <w:rPr>
                <w:i/>
                <w:iCs/>
                <w:sz w:val="20"/>
                <w:szCs w:val="20"/>
              </w:rPr>
            </w:pPr>
            <w:r w:rsidRPr="009D66F0">
              <w:rPr>
                <w:rFonts w:cs="Calibri"/>
                <w:i/>
                <w:iCs/>
                <w:sz w:val="20"/>
                <w:szCs w:val="20"/>
              </w:rPr>
              <w:t xml:space="preserve"> -  ներքին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69F291" w14:textId="77777777" w:rsidR="004F3E10" w:rsidRPr="009D66F0" w:rsidRDefault="004F3E10" w:rsidP="004F3E10">
            <w:pPr>
              <w:jc w:val="center"/>
              <w:rPr>
                <w:i/>
                <w:iCs/>
                <w:sz w:val="20"/>
                <w:szCs w:val="20"/>
              </w:rPr>
            </w:pPr>
            <w:r w:rsidRPr="009D66F0">
              <w:rPr>
                <w:rFonts w:cs="Calibri"/>
                <w:i/>
                <w:iCs/>
                <w:sz w:val="20"/>
                <w:szCs w:val="20"/>
              </w:rPr>
              <w:t>620.1</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8B5228" w14:textId="77777777" w:rsidR="004F3E10" w:rsidRPr="009D66F0" w:rsidRDefault="004F3E10" w:rsidP="004F3E10">
            <w:pPr>
              <w:jc w:val="center"/>
              <w:rPr>
                <w:i/>
                <w:iCs/>
                <w:sz w:val="20"/>
                <w:szCs w:val="20"/>
              </w:rPr>
            </w:pPr>
            <w:r w:rsidRPr="009D66F0">
              <w:rPr>
                <w:rFonts w:cs="Calibri"/>
                <w:i/>
                <w:iCs/>
                <w:sz w:val="20"/>
                <w:szCs w:val="20"/>
              </w:rPr>
              <w:t>539.5</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DBAC2F" w14:textId="77777777" w:rsidR="004F3E10" w:rsidRPr="009D66F0" w:rsidRDefault="004F3E10" w:rsidP="004F3E10">
            <w:pPr>
              <w:jc w:val="center"/>
              <w:rPr>
                <w:i/>
                <w:iCs/>
                <w:sz w:val="20"/>
                <w:szCs w:val="20"/>
              </w:rPr>
            </w:pPr>
            <w:r w:rsidRPr="009D66F0">
              <w:rPr>
                <w:rFonts w:cs="Calibri"/>
                <w:i/>
                <w:iCs/>
                <w:sz w:val="20"/>
                <w:szCs w:val="20"/>
              </w:rPr>
              <w:t>539.5</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6982B5" w14:textId="77777777" w:rsidR="004F3E10" w:rsidRPr="009D66F0" w:rsidRDefault="004F3E10" w:rsidP="004F3E10">
            <w:pPr>
              <w:jc w:val="center"/>
              <w:rPr>
                <w:i/>
                <w:iCs/>
                <w:sz w:val="20"/>
                <w:szCs w:val="20"/>
              </w:rPr>
            </w:pPr>
            <w:r w:rsidRPr="009D66F0">
              <w:rPr>
                <w:rFonts w:cs="Calibri"/>
                <w:i/>
                <w:iCs/>
                <w:sz w:val="20"/>
                <w:szCs w:val="20"/>
              </w:rPr>
              <w:t>539.5</w:t>
            </w:r>
          </w:p>
        </w:tc>
      </w:tr>
      <w:tr w:rsidR="004F3E10" w14:paraId="5A475B19" w14:textId="77777777" w:rsidTr="004F3E10">
        <w:trPr>
          <w:trHeight w:val="300"/>
        </w:trPr>
        <w:tc>
          <w:tcPr>
            <w:tcW w:w="3004" w:type="dxa"/>
            <w:tcBorders>
              <w:top w:val="nil"/>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10C6B309" w14:textId="77777777" w:rsidR="004F3E10" w:rsidRPr="009D66F0" w:rsidRDefault="004F3E10" w:rsidP="004F3E10">
            <w:pPr>
              <w:ind w:firstLine="0"/>
              <w:jc w:val="left"/>
              <w:rPr>
                <w:b/>
                <w:bCs/>
                <w:sz w:val="20"/>
                <w:szCs w:val="20"/>
              </w:rPr>
            </w:pPr>
            <w:r w:rsidRPr="009D66F0">
              <w:rPr>
                <w:rFonts w:cs="Calibri"/>
                <w:b/>
                <w:bCs/>
                <w:sz w:val="20"/>
                <w:szCs w:val="20"/>
              </w:rPr>
              <w:t xml:space="preserve"> Ջրային տնտեսություն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31CF0F67" w14:textId="77777777" w:rsidR="004F3E10" w:rsidRPr="009D66F0" w:rsidRDefault="004F3E10" w:rsidP="004F3E10">
            <w:pPr>
              <w:jc w:val="center"/>
              <w:rPr>
                <w:b/>
                <w:bCs/>
                <w:sz w:val="20"/>
                <w:szCs w:val="20"/>
              </w:rPr>
            </w:pPr>
            <w:r w:rsidRPr="009D66F0">
              <w:rPr>
                <w:rFonts w:cs="Calibri"/>
                <w:b/>
                <w:bCs/>
                <w:sz w:val="20"/>
                <w:szCs w:val="20"/>
              </w:rPr>
              <w:t>38,796.4</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6F8E9F8F" w14:textId="77777777" w:rsidR="004F3E10" w:rsidRPr="009D66F0" w:rsidRDefault="004F3E10" w:rsidP="004F3E10">
            <w:pPr>
              <w:jc w:val="center"/>
              <w:rPr>
                <w:b/>
                <w:bCs/>
                <w:sz w:val="20"/>
                <w:szCs w:val="20"/>
              </w:rPr>
            </w:pPr>
            <w:r w:rsidRPr="009D66F0">
              <w:rPr>
                <w:rFonts w:cs="Calibri"/>
                <w:b/>
                <w:bCs/>
                <w:sz w:val="20"/>
                <w:szCs w:val="20"/>
              </w:rPr>
              <w:t>35,655.2</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4D8C132E" w14:textId="77777777" w:rsidR="004F3E10" w:rsidRPr="009D66F0" w:rsidRDefault="004F3E10" w:rsidP="004F3E10">
            <w:pPr>
              <w:jc w:val="center"/>
              <w:rPr>
                <w:b/>
                <w:bCs/>
                <w:sz w:val="20"/>
                <w:szCs w:val="20"/>
              </w:rPr>
            </w:pPr>
            <w:r w:rsidRPr="009D66F0">
              <w:rPr>
                <w:rFonts w:cs="Calibri"/>
                <w:b/>
                <w:bCs/>
                <w:sz w:val="20"/>
                <w:szCs w:val="20"/>
              </w:rPr>
              <w:t>39,635.4</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11C8AAA6" w14:textId="77777777" w:rsidR="004F3E10" w:rsidRPr="009D66F0" w:rsidRDefault="004F3E10" w:rsidP="004F3E10">
            <w:pPr>
              <w:jc w:val="center"/>
              <w:rPr>
                <w:b/>
                <w:bCs/>
                <w:sz w:val="20"/>
                <w:szCs w:val="20"/>
              </w:rPr>
            </w:pPr>
            <w:r w:rsidRPr="009D66F0">
              <w:rPr>
                <w:rFonts w:cs="Calibri"/>
                <w:b/>
                <w:bCs/>
                <w:sz w:val="20"/>
                <w:szCs w:val="20"/>
              </w:rPr>
              <w:t>15,505.5</w:t>
            </w:r>
          </w:p>
        </w:tc>
      </w:tr>
      <w:tr w:rsidR="004F3E10" w14:paraId="062633BF"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7EC224" w14:textId="77777777" w:rsidR="004F3E10" w:rsidRPr="009D66F0" w:rsidRDefault="004F3E10" w:rsidP="004F3E10">
            <w:pPr>
              <w:ind w:firstLine="0"/>
              <w:rPr>
                <w:i/>
                <w:iCs/>
                <w:sz w:val="20"/>
                <w:szCs w:val="20"/>
              </w:rPr>
            </w:pPr>
            <w:r w:rsidRPr="009D66F0">
              <w:rPr>
                <w:rFonts w:cs="Calibri"/>
                <w:i/>
                <w:iCs/>
                <w:sz w:val="20"/>
                <w:szCs w:val="20"/>
              </w:rPr>
              <w:t xml:space="preserve"> -  արտաքին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EAED24" w14:textId="77777777" w:rsidR="004F3E10" w:rsidRPr="009D66F0" w:rsidRDefault="004F3E10" w:rsidP="004F3E10">
            <w:pPr>
              <w:jc w:val="center"/>
              <w:rPr>
                <w:i/>
                <w:iCs/>
                <w:sz w:val="20"/>
                <w:szCs w:val="20"/>
              </w:rPr>
            </w:pPr>
            <w:r w:rsidRPr="009D66F0">
              <w:rPr>
                <w:rFonts w:cs="Calibri"/>
                <w:i/>
                <w:iCs/>
                <w:sz w:val="20"/>
                <w:szCs w:val="20"/>
              </w:rPr>
              <w:t>38,382.2</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9866E7" w14:textId="77777777" w:rsidR="004F3E10" w:rsidRPr="009D66F0" w:rsidRDefault="004F3E10" w:rsidP="004F3E10">
            <w:pPr>
              <w:jc w:val="center"/>
              <w:rPr>
                <w:i/>
                <w:iCs/>
                <w:sz w:val="20"/>
                <w:szCs w:val="20"/>
              </w:rPr>
            </w:pPr>
            <w:r w:rsidRPr="009D66F0">
              <w:rPr>
                <w:rFonts w:cs="Calibri"/>
                <w:i/>
                <w:iCs/>
                <w:sz w:val="20"/>
                <w:szCs w:val="20"/>
              </w:rPr>
              <w:t>33,968.2</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B08A2E" w14:textId="77777777" w:rsidR="004F3E10" w:rsidRPr="009D66F0" w:rsidRDefault="004F3E10" w:rsidP="004F3E10">
            <w:pPr>
              <w:jc w:val="center"/>
              <w:rPr>
                <w:i/>
                <w:iCs/>
                <w:sz w:val="20"/>
                <w:szCs w:val="20"/>
              </w:rPr>
            </w:pPr>
            <w:r w:rsidRPr="009D66F0">
              <w:rPr>
                <w:rFonts w:cs="Calibri"/>
                <w:i/>
                <w:iCs/>
                <w:sz w:val="20"/>
                <w:szCs w:val="20"/>
              </w:rPr>
              <w:t>35,523.0</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B1CD84" w14:textId="77777777" w:rsidR="004F3E10" w:rsidRPr="009D66F0" w:rsidRDefault="004F3E10" w:rsidP="004F3E10">
            <w:pPr>
              <w:jc w:val="center"/>
              <w:rPr>
                <w:i/>
                <w:iCs/>
                <w:sz w:val="20"/>
                <w:szCs w:val="20"/>
              </w:rPr>
            </w:pPr>
            <w:r w:rsidRPr="009D66F0">
              <w:rPr>
                <w:rFonts w:cs="Calibri"/>
                <w:i/>
                <w:iCs/>
                <w:sz w:val="20"/>
                <w:szCs w:val="20"/>
              </w:rPr>
              <w:t>12,505.5</w:t>
            </w:r>
          </w:p>
        </w:tc>
      </w:tr>
      <w:tr w:rsidR="004F3E10" w14:paraId="433685F0"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29BE45B" w14:textId="77777777" w:rsidR="004F3E10" w:rsidRPr="009D66F0" w:rsidRDefault="004F3E10" w:rsidP="004F3E10">
            <w:pPr>
              <w:ind w:firstLine="0"/>
              <w:rPr>
                <w:i/>
                <w:iCs/>
                <w:sz w:val="20"/>
                <w:szCs w:val="20"/>
              </w:rPr>
            </w:pPr>
            <w:r w:rsidRPr="009D66F0">
              <w:rPr>
                <w:rFonts w:cs="Calibri"/>
                <w:i/>
                <w:iCs/>
                <w:sz w:val="20"/>
                <w:szCs w:val="20"/>
              </w:rPr>
              <w:t xml:space="preserve"> -  ներքին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9432DA" w14:textId="77777777" w:rsidR="004F3E10" w:rsidRPr="009D66F0" w:rsidRDefault="004F3E10" w:rsidP="004F3E10">
            <w:pPr>
              <w:jc w:val="center"/>
              <w:rPr>
                <w:i/>
                <w:iCs/>
                <w:sz w:val="20"/>
                <w:szCs w:val="20"/>
              </w:rPr>
            </w:pPr>
            <w:r w:rsidRPr="009D66F0">
              <w:rPr>
                <w:rFonts w:cs="Calibri"/>
                <w:i/>
                <w:iCs/>
                <w:sz w:val="20"/>
                <w:szCs w:val="20"/>
              </w:rPr>
              <w:t>414.3</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6FAD17" w14:textId="77777777" w:rsidR="004F3E10" w:rsidRPr="009D66F0" w:rsidRDefault="004F3E10" w:rsidP="004F3E10">
            <w:pPr>
              <w:jc w:val="center"/>
              <w:rPr>
                <w:i/>
                <w:iCs/>
                <w:sz w:val="20"/>
                <w:szCs w:val="20"/>
              </w:rPr>
            </w:pPr>
            <w:r w:rsidRPr="009D66F0">
              <w:rPr>
                <w:rFonts w:cs="Calibri"/>
                <w:i/>
                <w:iCs/>
                <w:sz w:val="20"/>
                <w:szCs w:val="20"/>
              </w:rPr>
              <w:t>1,687.0</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50184E" w14:textId="77777777" w:rsidR="004F3E10" w:rsidRPr="009D66F0" w:rsidRDefault="004F3E10" w:rsidP="004F3E10">
            <w:pPr>
              <w:jc w:val="center"/>
              <w:rPr>
                <w:i/>
                <w:iCs/>
                <w:sz w:val="20"/>
                <w:szCs w:val="20"/>
              </w:rPr>
            </w:pPr>
            <w:r w:rsidRPr="009D66F0">
              <w:rPr>
                <w:rFonts w:cs="Calibri"/>
                <w:i/>
                <w:iCs/>
                <w:sz w:val="20"/>
                <w:szCs w:val="20"/>
              </w:rPr>
              <w:t>4,112.4</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C15714" w14:textId="77777777" w:rsidR="004F3E10" w:rsidRPr="009D66F0" w:rsidRDefault="004F3E10" w:rsidP="004F3E10">
            <w:pPr>
              <w:jc w:val="center"/>
              <w:rPr>
                <w:i/>
                <w:iCs/>
                <w:sz w:val="20"/>
                <w:szCs w:val="20"/>
              </w:rPr>
            </w:pPr>
            <w:r w:rsidRPr="009D66F0">
              <w:rPr>
                <w:rFonts w:cs="Calibri"/>
                <w:i/>
                <w:iCs/>
                <w:sz w:val="20"/>
                <w:szCs w:val="20"/>
              </w:rPr>
              <w:t>3,000.0</w:t>
            </w:r>
          </w:p>
        </w:tc>
      </w:tr>
      <w:tr w:rsidR="004F3E10" w14:paraId="7478A070" w14:textId="77777777" w:rsidTr="004F3E10">
        <w:trPr>
          <w:trHeight w:val="300"/>
        </w:trPr>
        <w:tc>
          <w:tcPr>
            <w:tcW w:w="3004" w:type="dxa"/>
            <w:tcBorders>
              <w:top w:val="nil"/>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1DBD22C7" w14:textId="77777777" w:rsidR="004F3E10" w:rsidRPr="009D66F0" w:rsidRDefault="004F3E10" w:rsidP="004F3E10">
            <w:pPr>
              <w:ind w:firstLine="0"/>
              <w:rPr>
                <w:b/>
                <w:bCs/>
                <w:sz w:val="20"/>
                <w:szCs w:val="20"/>
              </w:rPr>
            </w:pPr>
            <w:r w:rsidRPr="009D66F0">
              <w:rPr>
                <w:rFonts w:cs="Calibri"/>
                <w:b/>
                <w:bCs/>
                <w:sz w:val="20"/>
                <w:szCs w:val="20"/>
              </w:rPr>
              <w:t xml:space="preserve"> Առողջապահություն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7BEBF6EB" w14:textId="77777777" w:rsidR="004F3E10" w:rsidRPr="009D66F0" w:rsidRDefault="004F3E10" w:rsidP="004F3E10">
            <w:pPr>
              <w:jc w:val="center"/>
              <w:rPr>
                <w:b/>
                <w:bCs/>
                <w:sz w:val="20"/>
                <w:szCs w:val="20"/>
              </w:rPr>
            </w:pPr>
            <w:r w:rsidRPr="009D66F0">
              <w:rPr>
                <w:rFonts w:cs="Calibri"/>
                <w:b/>
                <w:bCs/>
                <w:sz w:val="20"/>
                <w:szCs w:val="20"/>
              </w:rPr>
              <w:t>863.9</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266C9247" w14:textId="77777777" w:rsidR="004F3E10" w:rsidRPr="009D66F0" w:rsidRDefault="004F3E10" w:rsidP="004F3E10">
            <w:pPr>
              <w:jc w:val="center"/>
              <w:rPr>
                <w:b/>
                <w:bCs/>
                <w:sz w:val="20"/>
                <w:szCs w:val="20"/>
              </w:rPr>
            </w:pPr>
            <w:r w:rsidRPr="009D66F0">
              <w:rPr>
                <w:rFonts w:cs="Calibri"/>
                <w:b/>
                <w:bCs/>
                <w:sz w:val="20"/>
                <w:szCs w:val="20"/>
              </w:rPr>
              <w:t>3,933.9</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2E347FD7" w14:textId="77777777" w:rsidR="004F3E10" w:rsidRPr="009D66F0" w:rsidRDefault="004F3E10" w:rsidP="004F3E10">
            <w:pPr>
              <w:jc w:val="center"/>
              <w:rPr>
                <w:b/>
                <w:bCs/>
                <w:sz w:val="20"/>
                <w:szCs w:val="20"/>
              </w:rPr>
            </w:pPr>
            <w:r w:rsidRPr="009D66F0">
              <w:rPr>
                <w:rFonts w:cs="Calibri"/>
                <w:b/>
                <w:bCs/>
                <w:sz w:val="20"/>
                <w:szCs w:val="20"/>
              </w:rPr>
              <w:t>5,635.5</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2F1930FA" w14:textId="77777777" w:rsidR="004F3E10" w:rsidRPr="009D66F0" w:rsidRDefault="004F3E10" w:rsidP="004F3E10">
            <w:pPr>
              <w:jc w:val="center"/>
              <w:rPr>
                <w:b/>
                <w:bCs/>
                <w:sz w:val="20"/>
                <w:szCs w:val="20"/>
              </w:rPr>
            </w:pPr>
            <w:r w:rsidRPr="009D66F0">
              <w:rPr>
                <w:rFonts w:cs="Calibri"/>
                <w:b/>
                <w:bCs/>
                <w:sz w:val="20"/>
                <w:szCs w:val="20"/>
              </w:rPr>
              <w:t>13,172.1</w:t>
            </w:r>
          </w:p>
        </w:tc>
      </w:tr>
      <w:tr w:rsidR="004F3E10" w14:paraId="2F196656"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AFDCAD" w14:textId="77777777" w:rsidR="004F3E10" w:rsidRPr="009D66F0" w:rsidRDefault="004F3E10" w:rsidP="004F3E10">
            <w:pPr>
              <w:ind w:firstLine="0"/>
              <w:rPr>
                <w:i/>
                <w:iCs/>
                <w:sz w:val="20"/>
                <w:szCs w:val="20"/>
              </w:rPr>
            </w:pPr>
            <w:r w:rsidRPr="009D66F0">
              <w:rPr>
                <w:rFonts w:cs="Calibri"/>
                <w:i/>
                <w:iCs/>
                <w:sz w:val="20"/>
                <w:szCs w:val="20"/>
              </w:rPr>
              <w:t xml:space="preserve"> -  արտաքին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B1B995" w14:textId="77777777" w:rsidR="004F3E10" w:rsidRPr="009D66F0" w:rsidRDefault="004F3E10" w:rsidP="004F3E10">
            <w:pPr>
              <w:jc w:val="center"/>
              <w:rPr>
                <w:i/>
                <w:iCs/>
                <w:sz w:val="20"/>
                <w:szCs w:val="20"/>
              </w:rPr>
            </w:pPr>
            <w:r w:rsidRPr="009D66F0">
              <w:rPr>
                <w:rFonts w:cs="Calibri"/>
                <w:i/>
                <w:iCs/>
                <w:sz w:val="20"/>
                <w:szCs w:val="20"/>
              </w:rPr>
              <w:t>863.9</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294FB7" w14:textId="77777777" w:rsidR="004F3E10" w:rsidRPr="009D66F0" w:rsidRDefault="004F3E10" w:rsidP="004F3E10">
            <w:pPr>
              <w:jc w:val="center"/>
              <w:rPr>
                <w:i/>
                <w:iCs/>
                <w:sz w:val="20"/>
                <w:szCs w:val="20"/>
              </w:rPr>
            </w:pPr>
            <w:r w:rsidRPr="009D66F0">
              <w:rPr>
                <w:rFonts w:cs="Calibri"/>
                <w:i/>
                <w:iCs/>
                <w:sz w:val="20"/>
                <w:szCs w:val="20"/>
              </w:rPr>
              <w:t>933.9</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E3D700" w14:textId="77777777" w:rsidR="004F3E10" w:rsidRPr="009D66F0" w:rsidRDefault="004F3E10" w:rsidP="004F3E10">
            <w:pPr>
              <w:jc w:val="center"/>
              <w:rPr>
                <w:i/>
                <w:iCs/>
                <w:sz w:val="20"/>
                <w:szCs w:val="20"/>
              </w:rPr>
            </w:pPr>
            <w:r w:rsidRPr="009D66F0">
              <w:rPr>
                <w:rFonts w:cs="Calibri"/>
                <w:i/>
                <w:iCs/>
                <w:sz w:val="20"/>
                <w:szCs w:val="20"/>
              </w:rPr>
              <w:t>1,212.4</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BC0BB2" w14:textId="77777777" w:rsidR="004F3E10" w:rsidRPr="009D66F0" w:rsidRDefault="004F3E10" w:rsidP="004F3E10">
            <w:pPr>
              <w:jc w:val="center"/>
              <w:rPr>
                <w:i/>
                <w:iCs/>
                <w:sz w:val="20"/>
                <w:szCs w:val="20"/>
              </w:rPr>
            </w:pPr>
            <w:r w:rsidRPr="009D66F0">
              <w:rPr>
                <w:rFonts w:cs="Calibri"/>
                <w:i/>
                <w:iCs/>
                <w:sz w:val="20"/>
                <w:szCs w:val="20"/>
              </w:rPr>
              <w:t>-</w:t>
            </w:r>
          </w:p>
        </w:tc>
      </w:tr>
      <w:tr w:rsidR="004F3E10" w14:paraId="2B62F1CB"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77AD55" w14:textId="77777777" w:rsidR="004F3E10" w:rsidRPr="009D66F0" w:rsidRDefault="004F3E10" w:rsidP="004F3E10">
            <w:pPr>
              <w:ind w:firstLine="0"/>
              <w:rPr>
                <w:i/>
                <w:iCs/>
                <w:sz w:val="20"/>
                <w:szCs w:val="20"/>
              </w:rPr>
            </w:pPr>
            <w:r w:rsidRPr="009D66F0">
              <w:rPr>
                <w:rFonts w:cs="Calibri"/>
                <w:i/>
                <w:iCs/>
                <w:sz w:val="20"/>
                <w:szCs w:val="20"/>
              </w:rPr>
              <w:t xml:space="preserve"> -  ներքին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4189A5" w14:textId="77777777" w:rsidR="004F3E10" w:rsidRPr="009D66F0" w:rsidRDefault="004F3E10" w:rsidP="004F3E10">
            <w:pPr>
              <w:jc w:val="center"/>
              <w:rPr>
                <w:i/>
                <w:iCs/>
                <w:sz w:val="20"/>
                <w:szCs w:val="20"/>
              </w:rPr>
            </w:pPr>
            <w:r w:rsidRPr="009D66F0">
              <w:rPr>
                <w:rFonts w:cs="Calibri"/>
                <w:i/>
                <w:iCs/>
                <w:sz w:val="20"/>
                <w:szCs w:val="20"/>
              </w:rPr>
              <w:t>-</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4A4AD7" w14:textId="77777777" w:rsidR="004F3E10" w:rsidRPr="009D66F0" w:rsidRDefault="004F3E10" w:rsidP="004F3E10">
            <w:pPr>
              <w:jc w:val="center"/>
              <w:rPr>
                <w:i/>
                <w:iCs/>
                <w:sz w:val="20"/>
                <w:szCs w:val="20"/>
              </w:rPr>
            </w:pPr>
            <w:r w:rsidRPr="009D66F0">
              <w:rPr>
                <w:rFonts w:cs="Calibri"/>
                <w:i/>
                <w:iCs/>
                <w:sz w:val="20"/>
                <w:szCs w:val="20"/>
              </w:rPr>
              <w:t>3,000.0</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261A63" w14:textId="77777777" w:rsidR="004F3E10" w:rsidRPr="009D66F0" w:rsidRDefault="004F3E10" w:rsidP="004F3E10">
            <w:pPr>
              <w:jc w:val="center"/>
              <w:rPr>
                <w:i/>
                <w:iCs/>
                <w:sz w:val="20"/>
                <w:szCs w:val="20"/>
              </w:rPr>
            </w:pPr>
            <w:r w:rsidRPr="009D66F0">
              <w:rPr>
                <w:rFonts w:cs="Calibri"/>
                <w:i/>
                <w:iCs/>
                <w:sz w:val="20"/>
                <w:szCs w:val="20"/>
              </w:rPr>
              <w:t>4,423.0</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CEFA3D" w14:textId="77777777" w:rsidR="004F3E10" w:rsidRPr="009D66F0" w:rsidRDefault="004F3E10" w:rsidP="004F3E10">
            <w:pPr>
              <w:jc w:val="center"/>
              <w:rPr>
                <w:i/>
                <w:iCs/>
                <w:sz w:val="20"/>
                <w:szCs w:val="20"/>
              </w:rPr>
            </w:pPr>
            <w:r w:rsidRPr="009D66F0">
              <w:rPr>
                <w:rFonts w:cs="Calibri"/>
                <w:i/>
                <w:iCs/>
                <w:sz w:val="20"/>
                <w:szCs w:val="20"/>
              </w:rPr>
              <w:t>13,172.1</w:t>
            </w:r>
          </w:p>
        </w:tc>
      </w:tr>
      <w:tr w:rsidR="004F3E10" w14:paraId="27D463B9" w14:textId="77777777" w:rsidTr="004F3E10">
        <w:trPr>
          <w:trHeight w:val="570"/>
        </w:trPr>
        <w:tc>
          <w:tcPr>
            <w:tcW w:w="3004" w:type="dxa"/>
            <w:tcBorders>
              <w:top w:val="nil"/>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0DE2C780" w14:textId="77777777" w:rsidR="004F3E10" w:rsidRPr="009D66F0" w:rsidRDefault="004F3E10" w:rsidP="004F3E10">
            <w:pPr>
              <w:ind w:firstLine="0"/>
              <w:jc w:val="left"/>
              <w:rPr>
                <w:b/>
                <w:bCs/>
                <w:sz w:val="20"/>
                <w:szCs w:val="20"/>
              </w:rPr>
            </w:pPr>
            <w:r w:rsidRPr="009D66F0">
              <w:rPr>
                <w:rFonts w:cs="Calibri"/>
                <w:b/>
                <w:bCs/>
                <w:sz w:val="20"/>
                <w:szCs w:val="20"/>
              </w:rPr>
              <w:t>Կրթություն</w:t>
            </w:r>
            <w:r w:rsidRPr="009D66F0">
              <w:rPr>
                <w:rFonts w:ascii="Microsoft JhengHei" w:eastAsia="Microsoft JhengHei" w:hAnsi="Microsoft JhengHei" w:cs="Calibri" w:hint="eastAsia"/>
                <w:b/>
                <w:bCs/>
                <w:sz w:val="20"/>
                <w:szCs w:val="20"/>
              </w:rPr>
              <w:t>﹐</w:t>
            </w:r>
            <w:r w:rsidRPr="009D66F0">
              <w:rPr>
                <w:rFonts w:cs="Calibri"/>
                <w:b/>
                <w:bCs/>
                <w:sz w:val="20"/>
                <w:szCs w:val="20"/>
              </w:rPr>
              <w:t xml:space="preserve">գիտություն մշակույթ և սպորտ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500C294E" w14:textId="77777777" w:rsidR="004F3E10" w:rsidRPr="009D66F0" w:rsidRDefault="004F3E10" w:rsidP="004F3E10">
            <w:pPr>
              <w:jc w:val="center"/>
              <w:rPr>
                <w:b/>
                <w:bCs/>
                <w:sz w:val="20"/>
                <w:szCs w:val="20"/>
              </w:rPr>
            </w:pPr>
            <w:r w:rsidRPr="009D66F0">
              <w:rPr>
                <w:rFonts w:cs="Calibri"/>
                <w:b/>
                <w:bCs/>
                <w:sz w:val="20"/>
                <w:szCs w:val="20"/>
              </w:rPr>
              <w:t>18,413.6</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7D996AD3" w14:textId="77777777" w:rsidR="004F3E10" w:rsidRPr="009D66F0" w:rsidRDefault="004F3E10" w:rsidP="004F3E10">
            <w:pPr>
              <w:jc w:val="center"/>
              <w:rPr>
                <w:b/>
                <w:bCs/>
                <w:sz w:val="20"/>
                <w:szCs w:val="20"/>
              </w:rPr>
            </w:pPr>
            <w:r w:rsidRPr="009D66F0">
              <w:rPr>
                <w:rFonts w:cs="Calibri"/>
                <w:b/>
                <w:bCs/>
                <w:sz w:val="20"/>
                <w:szCs w:val="20"/>
              </w:rPr>
              <w:t>14,525.1</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01A42A86" w14:textId="77777777" w:rsidR="004F3E10" w:rsidRPr="009D66F0" w:rsidRDefault="004F3E10" w:rsidP="004F3E10">
            <w:pPr>
              <w:jc w:val="center"/>
              <w:rPr>
                <w:b/>
                <w:bCs/>
                <w:sz w:val="20"/>
                <w:szCs w:val="20"/>
              </w:rPr>
            </w:pPr>
            <w:r w:rsidRPr="009D66F0">
              <w:rPr>
                <w:rFonts w:cs="Calibri"/>
                <w:b/>
                <w:bCs/>
                <w:sz w:val="20"/>
                <w:szCs w:val="20"/>
              </w:rPr>
              <w:t>30,706.3</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1200128D" w14:textId="77777777" w:rsidR="004F3E10" w:rsidRPr="009D66F0" w:rsidRDefault="004F3E10" w:rsidP="004F3E10">
            <w:pPr>
              <w:jc w:val="center"/>
              <w:rPr>
                <w:b/>
                <w:bCs/>
                <w:sz w:val="20"/>
                <w:szCs w:val="20"/>
              </w:rPr>
            </w:pPr>
            <w:r w:rsidRPr="009D66F0">
              <w:rPr>
                <w:rFonts w:cs="Calibri"/>
                <w:b/>
                <w:bCs/>
                <w:sz w:val="20"/>
                <w:szCs w:val="20"/>
              </w:rPr>
              <w:t>46,534.5</w:t>
            </w:r>
          </w:p>
        </w:tc>
      </w:tr>
      <w:tr w:rsidR="004F3E10" w14:paraId="4A6914E6"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026D8A" w14:textId="77777777" w:rsidR="004F3E10" w:rsidRPr="009D66F0" w:rsidRDefault="004F3E10" w:rsidP="004F3E10">
            <w:pPr>
              <w:ind w:firstLine="0"/>
              <w:rPr>
                <w:i/>
                <w:iCs/>
                <w:sz w:val="20"/>
                <w:szCs w:val="20"/>
              </w:rPr>
            </w:pPr>
            <w:r w:rsidRPr="009D66F0">
              <w:rPr>
                <w:rFonts w:cs="Calibri"/>
                <w:i/>
                <w:iCs/>
                <w:sz w:val="20"/>
                <w:szCs w:val="20"/>
              </w:rPr>
              <w:t xml:space="preserve"> -  արտաքին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31013D" w14:textId="77777777" w:rsidR="004F3E10" w:rsidRPr="009D66F0" w:rsidRDefault="004F3E10" w:rsidP="004F3E10">
            <w:pPr>
              <w:jc w:val="center"/>
              <w:rPr>
                <w:i/>
                <w:iCs/>
                <w:sz w:val="20"/>
                <w:szCs w:val="20"/>
              </w:rPr>
            </w:pPr>
            <w:r w:rsidRPr="009D66F0">
              <w:rPr>
                <w:rFonts w:cs="Calibri"/>
                <w:i/>
                <w:iCs/>
                <w:sz w:val="20"/>
                <w:szCs w:val="20"/>
              </w:rPr>
              <w:t>13,973.6</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0968E5" w14:textId="77777777" w:rsidR="004F3E10" w:rsidRPr="009D66F0" w:rsidRDefault="004F3E10" w:rsidP="004F3E10">
            <w:pPr>
              <w:jc w:val="center"/>
              <w:rPr>
                <w:i/>
                <w:iCs/>
                <w:sz w:val="20"/>
                <w:szCs w:val="20"/>
              </w:rPr>
            </w:pPr>
            <w:r w:rsidRPr="009D66F0">
              <w:rPr>
                <w:rFonts w:cs="Calibri"/>
                <w:i/>
                <w:iCs/>
                <w:sz w:val="20"/>
                <w:szCs w:val="20"/>
              </w:rPr>
              <w:t>13,087.9</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0A18B9" w14:textId="77777777" w:rsidR="004F3E10" w:rsidRPr="009D66F0" w:rsidRDefault="004F3E10" w:rsidP="004F3E10">
            <w:pPr>
              <w:jc w:val="center"/>
              <w:rPr>
                <w:i/>
                <w:iCs/>
                <w:sz w:val="20"/>
                <w:szCs w:val="20"/>
              </w:rPr>
            </w:pPr>
            <w:r w:rsidRPr="009D66F0">
              <w:rPr>
                <w:rFonts w:cs="Calibri"/>
                <w:i/>
                <w:iCs/>
                <w:sz w:val="20"/>
                <w:szCs w:val="20"/>
              </w:rPr>
              <w:t>12,165.8</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632AAD" w14:textId="77777777" w:rsidR="004F3E10" w:rsidRPr="009D66F0" w:rsidRDefault="004F3E10" w:rsidP="004F3E10">
            <w:pPr>
              <w:jc w:val="center"/>
              <w:rPr>
                <w:i/>
                <w:iCs/>
                <w:sz w:val="20"/>
                <w:szCs w:val="20"/>
              </w:rPr>
            </w:pPr>
            <w:r w:rsidRPr="009D66F0">
              <w:rPr>
                <w:rFonts w:cs="Calibri"/>
                <w:i/>
                <w:iCs/>
                <w:sz w:val="20"/>
                <w:szCs w:val="20"/>
              </w:rPr>
              <w:t>8,813.6</w:t>
            </w:r>
          </w:p>
        </w:tc>
      </w:tr>
      <w:tr w:rsidR="004F3E10" w14:paraId="67DD2A50"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53A4AE" w14:textId="77777777" w:rsidR="004F3E10" w:rsidRPr="009D66F0" w:rsidRDefault="004F3E10" w:rsidP="004F3E10">
            <w:pPr>
              <w:ind w:firstLine="0"/>
              <w:rPr>
                <w:i/>
                <w:iCs/>
                <w:sz w:val="20"/>
                <w:szCs w:val="20"/>
              </w:rPr>
            </w:pPr>
            <w:r w:rsidRPr="009D66F0">
              <w:rPr>
                <w:rFonts w:cs="Calibri"/>
                <w:i/>
                <w:iCs/>
                <w:sz w:val="20"/>
                <w:szCs w:val="20"/>
              </w:rPr>
              <w:t xml:space="preserve"> -  ներքին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E17AFA" w14:textId="77777777" w:rsidR="004F3E10" w:rsidRPr="009D66F0" w:rsidRDefault="004F3E10" w:rsidP="004F3E10">
            <w:pPr>
              <w:jc w:val="center"/>
              <w:rPr>
                <w:i/>
                <w:iCs/>
                <w:sz w:val="20"/>
                <w:szCs w:val="20"/>
              </w:rPr>
            </w:pPr>
            <w:r w:rsidRPr="009D66F0">
              <w:rPr>
                <w:rFonts w:cs="Calibri"/>
                <w:i/>
                <w:iCs/>
                <w:sz w:val="20"/>
                <w:szCs w:val="20"/>
              </w:rPr>
              <w:t>4,440.0</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37CBDF" w14:textId="77777777" w:rsidR="004F3E10" w:rsidRPr="009D66F0" w:rsidRDefault="004F3E10" w:rsidP="004F3E10">
            <w:pPr>
              <w:jc w:val="center"/>
              <w:rPr>
                <w:i/>
                <w:iCs/>
                <w:sz w:val="20"/>
                <w:szCs w:val="20"/>
              </w:rPr>
            </w:pPr>
            <w:r w:rsidRPr="009D66F0">
              <w:rPr>
                <w:rFonts w:cs="Calibri"/>
                <w:i/>
                <w:iCs/>
                <w:sz w:val="20"/>
                <w:szCs w:val="20"/>
              </w:rPr>
              <w:t>1,437.2</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94F803" w14:textId="77777777" w:rsidR="004F3E10" w:rsidRPr="009D66F0" w:rsidRDefault="004F3E10" w:rsidP="004F3E10">
            <w:pPr>
              <w:jc w:val="center"/>
              <w:rPr>
                <w:i/>
                <w:iCs/>
                <w:sz w:val="20"/>
                <w:szCs w:val="20"/>
              </w:rPr>
            </w:pPr>
            <w:r w:rsidRPr="009D66F0">
              <w:rPr>
                <w:rFonts w:cs="Calibri"/>
                <w:i/>
                <w:iCs/>
                <w:sz w:val="20"/>
                <w:szCs w:val="20"/>
              </w:rPr>
              <w:t>18,540.5</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FB684E" w14:textId="77777777" w:rsidR="004F3E10" w:rsidRPr="009D66F0" w:rsidRDefault="004F3E10" w:rsidP="004F3E10">
            <w:pPr>
              <w:jc w:val="center"/>
              <w:rPr>
                <w:i/>
                <w:iCs/>
                <w:sz w:val="20"/>
                <w:szCs w:val="20"/>
              </w:rPr>
            </w:pPr>
            <w:r w:rsidRPr="009D66F0">
              <w:rPr>
                <w:rFonts w:cs="Calibri"/>
                <w:i/>
                <w:iCs/>
                <w:sz w:val="20"/>
                <w:szCs w:val="20"/>
              </w:rPr>
              <w:t>37,720.9</w:t>
            </w:r>
          </w:p>
        </w:tc>
      </w:tr>
      <w:tr w:rsidR="004F3E10" w14:paraId="69764C77" w14:textId="77777777" w:rsidTr="004F3E10">
        <w:trPr>
          <w:trHeight w:val="300"/>
        </w:trPr>
        <w:tc>
          <w:tcPr>
            <w:tcW w:w="3004" w:type="dxa"/>
            <w:tcBorders>
              <w:top w:val="nil"/>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2AAD1ED3" w14:textId="77777777" w:rsidR="004F3E10" w:rsidRPr="009D66F0" w:rsidRDefault="004F3E10" w:rsidP="004F3E10">
            <w:pPr>
              <w:ind w:firstLine="0"/>
              <w:rPr>
                <w:b/>
                <w:bCs/>
                <w:sz w:val="20"/>
                <w:szCs w:val="20"/>
              </w:rPr>
            </w:pPr>
            <w:r w:rsidRPr="009D66F0">
              <w:rPr>
                <w:rFonts w:cs="Calibri"/>
                <w:b/>
                <w:bCs/>
                <w:sz w:val="20"/>
                <w:szCs w:val="20"/>
              </w:rPr>
              <w:t xml:space="preserve"> Սոցապ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4E843D5F" w14:textId="77777777" w:rsidR="004F3E10" w:rsidRPr="009D66F0" w:rsidRDefault="004F3E10" w:rsidP="004F3E10">
            <w:pPr>
              <w:jc w:val="center"/>
              <w:rPr>
                <w:b/>
                <w:bCs/>
                <w:sz w:val="20"/>
                <w:szCs w:val="20"/>
              </w:rPr>
            </w:pPr>
            <w:r w:rsidRPr="009D66F0">
              <w:rPr>
                <w:rFonts w:cs="Calibri"/>
                <w:b/>
                <w:bCs/>
                <w:sz w:val="20"/>
                <w:szCs w:val="20"/>
              </w:rPr>
              <w:t>4,338.3</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4233529C" w14:textId="77777777" w:rsidR="004F3E10" w:rsidRPr="009D66F0" w:rsidRDefault="004F3E10" w:rsidP="004F3E10">
            <w:pPr>
              <w:jc w:val="center"/>
              <w:rPr>
                <w:b/>
                <w:bCs/>
                <w:sz w:val="20"/>
                <w:szCs w:val="20"/>
              </w:rPr>
            </w:pPr>
            <w:r w:rsidRPr="009D66F0">
              <w:rPr>
                <w:rFonts w:cs="Calibri"/>
                <w:b/>
                <w:bCs/>
                <w:sz w:val="20"/>
                <w:szCs w:val="20"/>
              </w:rPr>
              <w:t>2,466.4</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45F4F021" w14:textId="77777777" w:rsidR="004F3E10" w:rsidRPr="009D66F0" w:rsidRDefault="004F3E10" w:rsidP="004F3E10">
            <w:pPr>
              <w:jc w:val="center"/>
              <w:rPr>
                <w:b/>
                <w:bCs/>
                <w:sz w:val="20"/>
                <w:szCs w:val="20"/>
              </w:rPr>
            </w:pPr>
            <w:r w:rsidRPr="009D66F0">
              <w:rPr>
                <w:rFonts w:cs="Calibri"/>
                <w:b/>
                <w:bCs/>
                <w:sz w:val="20"/>
                <w:szCs w:val="20"/>
              </w:rPr>
              <w:t>1,355.3</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60AD0A70" w14:textId="77777777" w:rsidR="004F3E10" w:rsidRPr="009D66F0" w:rsidRDefault="004F3E10" w:rsidP="004F3E10">
            <w:pPr>
              <w:jc w:val="center"/>
              <w:rPr>
                <w:b/>
                <w:bCs/>
                <w:sz w:val="20"/>
                <w:szCs w:val="20"/>
              </w:rPr>
            </w:pPr>
            <w:r w:rsidRPr="009D66F0">
              <w:rPr>
                <w:rFonts w:cs="Calibri"/>
                <w:b/>
                <w:bCs/>
                <w:sz w:val="20"/>
                <w:szCs w:val="20"/>
              </w:rPr>
              <w:t>1,277.0</w:t>
            </w:r>
          </w:p>
        </w:tc>
      </w:tr>
      <w:tr w:rsidR="004F3E10" w14:paraId="381A09BF"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607301" w14:textId="77777777" w:rsidR="004F3E10" w:rsidRPr="009D66F0" w:rsidRDefault="004F3E10" w:rsidP="004F3E10">
            <w:pPr>
              <w:ind w:firstLine="0"/>
              <w:rPr>
                <w:i/>
                <w:iCs/>
                <w:sz w:val="20"/>
                <w:szCs w:val="20"/>
              </w:rPr>
            </w:pPr>
            <w:r w:rsidRPr="009D66F0">
              <w:rPr>
                <w:rFonts w:cs="Calibri"/>
                <w:i/>
                <w:iCs/>
                <w:sz w:val="20"/>
                <w:szCs w:val="20"/>
              </w:rPr>
              <w:t xml:space="preserve"> -  արտաքին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28DE47" w14:textId="77777777" w:rsidR="004F3E10" w:rsidRPr="009D66F0" w:rsidRDefault="004F3E10" w:rsidP="004F3E10">
            <w:pPr>
              <w:jc w:val="center"/>
              <w:rPr>
                <w:i/>
                <w:iCs/>
                <w:sz w:val="20"/>
                <w:szCs w:val="20"/>
              </w:rPr>
            </w:pPr>
            <w:r w:rsidRPr="009D66F0">
              <w:rPr>
                <w:rFonts w:cs="Calibri"/>
                <w:i/>
                <w:iCs/>
                <w:sz w:val="20"/>
                <w:szCs w:val="20"/>
              </w:rPr>
              <w:t>3,816.3</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E43FCD" w14:textId="77777777" w:rsidR="004F3E10" w:rsidRPr="009D66F0" w:rsidRDefault="004F3E10" w:rsidP="004F3E10">
            <w:pPr>
              <w:jc w:val="center"/>
              <w:rPr>
                <w:i/>
                <w:iCs/>
                <w:sz w:val="20"/>
                <w:szCs w:val="20"/>
              </w:rPr>
            </w:pPr>
            <w:r w:rsidRPr="009D66F0">
              <w:rPr>
                <w:rFonts w:cs="Calibri"/>
                <w:i/>
                <w:iCs/>
                <w:sz w:val="20"/>
                <w:szCs w:val="20"/>
              </w:rPr>
              <w:t>1,175.8</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709EE7" w14:textId="77777777" w:rsidR="004F3E10" w:rsidRPr="009D66F0" w:rsidRDefault="004F3E10" w:rsidP="004F3E10">
            <w:pPr>
              <w:jc w:val="center"/>
              <w:rPr>
                <w:i/>
                <w:iCs/>
                <w:sz w:val="20"/>
                <w:szCs w:val="20"/>
              </w:rPr>
            </w:pPr>
            <w:r w:rsidRPr="009D66F0">
              <w:rPr>
                <w:rFonts w:cs="Calibri"/>
                <w:i/>
                <w:iCs/>
                <w:sz w:val="20"/>
                <w:szCs w:val="20"/>
              </w:rPr>
              <w:t>235.2</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8CA81C" w14:textId="77777777" w:rsidR="004F3E10" w:rsidRPr="009D66F0" w:rsidRDefault="004F3E10" w:rsidP="004F3E10">
            <w:pPr>
              <w:jc w:val="center"/>
              <w:rPr>
                <w:i/>
                <w:iCs/>
                <w:sz w:val="20"/>
                <w:szCs w:val="20"/>
              </w:rPr>
            </w:pPr>
            <w:r w:rsidRPr="009D66F0">
              <w:rPr>
                <w:rFonts w:cs="Calibri"/>
                <w:i/>
                <w:iCs/>
                <w:sz w:val="20"/>
                <w:szCs w:val="20"/>
              </w:rPr>
              <w:t>156.8</w:t>
            </w:r>
          </w:p>
        </w:tc>
      </w:tr>
      <w:tr w:rsidR="004F3E10" w14:paraId="42159761"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F4BA7A" w14:textId="77777777" w:rsidR="004F3E10" w:rsidRPr="009D66F0" w:rsidRDefault="004F3E10" w:rsidP="004F3E10">
            <w:pPr>
              <w:ind w:firstLine="0"/>
              <w:rPr>
                <w:i/>
                <w:iCs/>
                <w:sz w:val="20"/>
                <w:szCs w:val="20"/>
              </w:rPr>
            </w:pPr>
            <w:r w:rsidRPr="009D66F0">
              <w:rPr>
                <w:rFonts w:cs="Calibri"/>
                <w:i/>
                <w:iCs/>
                <w:sz w:val="20"/>
                <w:szCs w:val="20"/>
              </w:rPr>
              <w:t xml:space="preserve"> -  ներքին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A2CF36" w14:textId="77777777" w:rsidR="004F3E10" w:rsidRPr="009D66F0" w:rsidRDefault="004F3E10" w:rsidP="004F3E10">
            <w:pPr>
              <w:jc w:val="center"/>
              <w:rPr>
                <w:i/>
                <w:iCs/>
                <w:sz w:val="20"/>
                <w:szCs w:val="20"/>
              </w:rPr>
            </w:pPr>
            <w:r w:rsidRPr="009D66F0">
              <w:rPr>
                <w:rFonts w:cs="Calibri"/>
                <w:i/>
                <w:iCs/>
                <w:sz w:val="20"/>
                <w:szCs w:val="20"/>
              </w:rPr>
              <w:t>522.0</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F40BE2" w14:textId="77777777" w:rsidR="004F3E10" w:rsidRPr="009D66F0" w:rsidRDefault="004F3E10" w:rsidP="004F3E10">
            <w:pPr>
              <w:jc w:val="center"/>
              <w:rPr>
                <w:i/>
                <w:iCs/>
                <w:sz w:val="20"/>
                <w:szCs w:val="20"/>
              </w:rPr>
            </w:pPr>
            <w:r w:rsidRPr="009D66F0">
              <w:rPr>
                <w:rFonts w:cs="Calibri"/>
                <w:i/>
                <w:iCs/>
                <w:sz w:val="20"/>
                <w:szCs w:val="20"/>
              </w:rPr>
              <w:t>1,290.6</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789899" w14:textId="77777777" w:rsidR="004F3E10" w:rsidRPr="009D66F0" w:rsidRDefault="004F3E10" w:rsidP="004F3E10">
            <w:pPr>
              <w:jc w:val="center"/>
              <w:rPr>
                <w:i/>
                <w:iCs/>
                <w:sz w:val="20"/>
                <w:szCs w:val="20"/>
              </w:rPr>
            </w:pPr>
            <w:r w:rsidRPr="009D66F0">
              <w:rPr>
                <w:rFonts w:cs="Calibri"/>
                <w:i/>
                <w:iCs/>
                <w:sz w:val="20"/>
                <w:szCs w:val="20"/>
              </w:rPr>
              <w:t>1,120.2</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82E19A" w14:textId="77777777" w:rsidR="004F3E10" w:rsidRPr="009D66F0" w:rsidRDefault="004F3E10" w:rsidP="004F3E10">
            <w:pPr>
              <w:jc w:val="center"/>
              <w:rPr>
                <w:i/>
                <w:iCs/>
                <w:sz w:val="20"/>
                <w:szCs w:val="20"/>
              </w:rPr>
            </w:pPr>
            <w:r w:rsidRPr="009D66F0">
              <w:rPr>
                <w:rFonts w:cs="Calibri"/>
                <w:i/>
                <w:iCs/>
                <w:sz w:val="20"/>
                <w:szCs w:val="20"/>
              </w:rPr>
              <w:t>1,120.2</w:t>
            </w:r>
          </w:p>
        </w:tc>
      </w:tr>
      <w:tr w:rsidR="004F3E10" w14:paraId="096907C4" w14:textId="77777777" w:rsidTr="004F3E10">
        <w:trPr>
          <w:trHeight w:val="300"/>
        </w:trPr>
        <w:tc>
          <w:tcPr>
            <w:tcW w:w="3004" w:type="dxa"/>
            <w:tcBorders>
              <w:top w:val="nil"/>
              <w:left w:val="single" w:sz="4" w:space="0" w:color="auto"/>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515D3430" w14:textId="77777777" w:rsidR="004F3E10" w:rsidRPr="009D66F0" w:rsidRDefault="004F3E10" w:rsidP="004F3E10">
            <w:pPr>
              <w:ind w:firstLine="0"/>
              <w:jc w:val="left"/>
              <w:rPr>
                <w:b/>
                <w:bCs/>
                <w:sz w:val="20"/>
                <w:szCs w:val="20"/>
              </w:rPr>
            </w:pPr>
            <w:r w:rsidRPr="009D66F0">
              <w:rPr>
                <w:rFonts w:cs="Calibri"/>
                <w:b/>
                <w:bCs/>
                <w:sz w:val="20"/>
                <w:szCs w:val="20"/>
              </w:rPr>
              <w:t xml:space="preserve"> Ուժային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7FA7E801" w14:textId="77777777" w:rsidR="004F3E10" w:rsidRPr="009D66F0" w:rsidRDefault="004F3E10" w:rsidP="004F3E10">
            <w:pPr>
              <w:jc w:val="center"/>
              <w:rPr>
                <w:b/>
                <w:bCs/>
                <w:sz w:val="20"/>
                <w:szCs w:val="20"/>
              </w:rPr>
            </w:pPr>
            <w:r w:rsidRPr="009D66F0">
              <w:rPr>
                <w:rFonts w:cs="Calibri"/>
                <w:b/>
                <w:bCs/>
                <w:sz w:val="20"/>
                <w:szCs w:val="20"/>
              </w:rPr>
              <w:t>95,310.1</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677C7502" w14:textId="77777777" w:rsidR="004F3E10" w:rsidRPr="009D66F0" w:rsidRDefault="004F3E10" w:rsidP="004F3E10">
            <w:pPr>
              <w:jc w:val="center"/>
              <w:rPr>
                <w:b/>
                <w:bCs/>
                <w:sz w:val="20"/>
                <w:szCs w:val="20"/>
              </w:rPr>
            </w:pPr>
            <w:r w:rsidRPr="009D66F0">
              <w:rPr>
                <w:rFonts w:cs="Calibri"/>
                <w:b/>
                <w:bCs/>
                <w:sz w:val="20"/>
                <w:szCs w:val="20"/>
              </w:rPr>
              <w:t>81,883.5</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2CA1B74D" w14:textId="77777777" w:rsidR="004F3E10" w:rsidRPr="009D66F0" w:rsidRDefault="004F3E10" w:rsidP="004F3E10">
            <w:pPr>
              <w:jc w:val="center"/>
              <w:rPr>
                <w:b/>
                <w:bCs/>
                <w:sz w:val="20"/>
                <w:szCs w:val="20"/>
              </w:rPr>
            </w:pPr>
            <w:r w:rsidRPr="009D66F0">
              <w:rPr>
                <w:rFonts w:cs="Calibri"/>
                <w:b/>
                <w:bCs/>
                <w:sz w:val="20"/>
                <w:szCs w:val="20"/>
              </w:rPr>
              <w:t>100,740.7</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5301DC30" w14:textId="77777777" w:rsidR="004F3E10" w:rsidRPr="009D66F0" w:rsidRDefault="004F3E10" w:rsidP="004F3E10">
            <w:pPr>
              <w:jc w:val="center"/>
              <w:rPr>
                <w:b/>
                <w:bCs/>
                <w:sz w:val="20"/>
                <w:szCs w:val="20"/>
              </w:rPr>
            </w:pPr>
            <w:r w:rsidRPr="009D66F0">
              <w:rPr>
                <w:rFonts w:cs="Calibri"/>
                <w:b/>
                <w:bCs/>
                <w:sz w:val="20"/>
                <w:szCs w:val="20"/>
              </w:rPr>
              <w:t>150,465.6</w:t>
            </w:r>
          </w:p>
        </w:tc>
      </w:tr>
      <w:tr w:rsidR="004F3E10" w14:paraId="31B7E01B"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D5B9404" w14:textId="77777777" w:rsidR="004F3E10" w:rsidRPr="009D66F0" w:rsidRDefault="004F3E10" w:rsidP="004F3E10">
            <w:pPr>
              <w:ind w:firstLine="0"/>
              <w:rPr>
                <w:i/>
                <w:iCs/>
                <w:sz w:val="20"/>
                <w:szCs w:val="20"/>
              </w:rPr>
            </w:pPr>
            <w:r w:rsidRPr="009D66F0">
              <w:rPr>
                <w:rFonts w:cs="Calibri"/>
                <w:i/>
                <w:iCs/>
                <w:sz w:val="20"/>
                <w:szCs w:val="20"/>
              </w:rPr>
              <w:t xml:space="preserve"> -  արտաքին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4A1E90" w14:textId="77777777" w:rsidR="004F3E10" w:rsidRPr="009D66F0" w:rsidRDefault="004F3E10" w:rsidP="004F3E10">
            <w:pPr>
              <w:jc w:val="center"/>
              <w:rPr>
                <w:i/>
                <w:iCs/>
                <w:sz w:val="20"/>
                <w:szCs w:val="20"/>
              </w:rPr>
            </w:pPr>
            <w:r w:rsidRPr="009D66F0">
              <w:rPr>
                <w:rFonts w:cs="Calibri"/>
                <w:i/>
                <w:iCs/>
                <w:sz w:val="20"/>
                <w:szCs w:val="20"/>
              </w:rPr>
              <w:t>12,959.1</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837498" w14:textId="77777777" w:rsidR="004F3E10" w:rsidRPr="009D66F0" w:rsidRDefault="004F3E10" w:rsidP="004F3E10">
            <w:pPr>
              <w:jc w:val="center"/>
              <w:rPr>
                <w:i/>
                <w:iCs/>
                <w:sz w:val="20"/>
                <w:szCs w:val="20"/>
              </w:rPr>
            </w:pPr>
            <w:r w:rsidRPr="009D66F0">
              <w:rPr>
                <w:rFonts w:cs="Calibri"/>
                <w:i/>
                <w:iCs/>
                <w:sz w:val="20"/>
                <w:szCs w:val="20"/>
              </w:rPr>
              <w:t>-</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1CD5D7" w14:textId="77777777" w:rsidR="004F3E10" w:rsidRPr="009D66F0" w:rsidRDefault="004F3E10" w:rsidP="004F3E10">
            <w:pPr>
              <w:jc w:val="center"/>
              <w:rPr>
                <w:i/>
                <w:iCs/>
                <w:sz w:val="20"/>
                <w:szCs w:val="20"/>
              </w:rPr>
            </w:pPr>
            <w:r w:rsidRPr="009D66F0">
              <w:rPr>
                <w:rFonts w:cs="Calibri"/>
                <w:i/>
                <w:iCs/>
                <w:sz w:val="20"/>
                <w:szCs w:val="20"/>
              </w:rPr>
              <w:t>-</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448539" w14:textId="77777777" w:rsidR="004F3E10" w:rsidRPr="009D66F0" w:rsidRDefault="004F3E10" w:rsidP="004F3E10">
            <w:pPr>
              <w:jc w:val="center"/>
              <w:rPr>
                <w:i/>
                <w:iCs/>
                <w:sz w:val="20"/>
                <w:szCs w:val="20"/>
              </w:rPr>
            </w:pPr>
            <w:r w:rsidRPr="009D66F0">
              <w:rPr>
                <w:rFonts w:cs="Calibri"/>
                <w:i/>
                <w:iCs/>
                <w:sz w:val="20"/>
                <w:szCs w:val="20"/>
              </w:rPr>
              <w:t>-</w:t>
            </w:r>
          </w:p>
        </w:tc>
      </w:tr>
      <w:tr w:rsidR="004F3E10" w14:paraId="110ABE0A"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1D4425" w14:textId="77777777" w:rsidR="004F3E10" w:rsidRPr="009D66F0" w:rsidRDefault="004F3E10" w:rsidP="004F3E10">
            <w:pPr>
              <w:ind w:firstLine="0"/>
              <w:rPr>
                <w:i/>
                <w:iCs/>
                <w:sz w:val="20"/>
                <w:szCs w:val="20"/>
              </w:rPr>
            </w:pPr>
            <w:r w:rsidRPr="009D66F0">
              <w:rPr>
                <w:rFonts w:cs="Calibri"/>
                <w:i/>
                <w:iCs/>
                <w:sz w:val="20"/>
                <w:szCs w:val="20"/>
              </w:rPr>
              <w:t xml:space="preserve"> -  ներքին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CC4590" w14:textId="77777777" w:rsidR="004F3E10" w:rsidRPr="009D66F0" w:rsidRDefault="004F3E10" w:rsidP="004F3E10">
            <w:pPr>
              <w:jc w:val="center"/>
              <w:rPr>
                <w:i/>
                <w:iCs/>
                <w:sz w:val="20"/>
                <w:szCs w:val="20"/>
              </w:rPr>
            </w:pPr>
            <w:r w:rsidRPr="009D66F0">
              <w:rPr>
                <w:rFonts w:cs="Calibri"/>
                <w:i/>
                <w:iCs/>
                <w:sz w:val="20"/>
                <w:szCs w:val="20"/>
              </w:rPr>
              <w:t>82,351.0</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95848C" w14:textId="77777777" w:rsidR="004F3E10" w:rsidRPr="009D66F0" w:rsidRDefault="004F3E10" w:rsidP="004F3E10">
            <w:pPr>
              <w:jc w:val="center"/>
              <w:rPr>
                <w:i/>
                <w:iCs/>
                <w:sz w:val="20"/>
                <w:szCs w:val="20"/>
              </w:rPr>
            </w:pPr>
            <w:r w:rsidRPr="009D66F0">
              <w:rPr>
                <w:rFonts w:cs="Calibri"/>
                <w:i/>
                <w:iCs/>
                <w:sz w:val="20"/>
                <w:szCs w:val="20"/>
              </w:rPr>
              <w:t>81,883.5</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0AC387" w14:textId="77777777" w:rsidR="004F3E10" w:rsidRPr="009D66F0" w:rsidRDefault="004F3E10" w:rsidP="004F3E10">
            <w:pPr>
              <w:jc w:val="center"/>
              <w:rPr>
                <w:i/>
                <w:iCs/>
                <w:sz w:val="20"/>
                <w:szCs w:val="20"/>
              </w:rPr>
            </w:pPr>
            <w:r w:rsidRPr="009D66F0">
              <w:rPr>
                <w:rFonts w:cs="Calibri"/>
                <w:i/>
                <w:iCs/>
                <w:sz w:val="20"/>
                <w:szCs w:val="20"/>
              </w:rPr>
              <w:t>100,740.7</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FBF59F" w14:textId="77777777" w:rsidR="004F3E10" w:rsidRPr="009D66F0" w:rsidRDefault="004F3E10" w:rsidP="004F3E10">
            <w:pPr>
              <w:jc w:val="center"/>
              <w:rPr>
                <w:i/>
                <w:iCs/>
                <w:sz w:val="20"/>
                <w:szCs w:val="20"/>
              </w:rPr>
            </w:pPr>
            <w:r w:rsidRPr="009D66F0">
              <w:rPr>
                <w:rFonts w:cs="Calibri"/>
                <w:i/>
                <w:iCs/>
                <w:sz w:val="20"/>
                <w:szCs w:val="20"/>
              </w:rPr>
              <w:t>150,465.6</w:t>
            </w:r>
          </w:p>
        </w:tc>
      </w:tr>
      <w:tr w:rsidR="004F3E10" w14:paraId="7C6FD519" w14:textId="77777777" w:rsidTr="004F3E10">
        <w:trPr>
          <w:trHeight w:val="300"/>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5" w:type="dxa"/>
              <w:left w:w="15" w:type="dxa"/>
              <w:bottom w:w="0" w:type="dxa"/>
              <w:right w:w="15" w:type="dxa"/>
            </w:tcMar>
            <w:vAlign w:val="center"/>
            <w:hideMark/>
          </w:tcPr>
          <w:p w14:paraId="642940F9" w14:textId="77777777" w:rsidR="004F3E10" w:rsidRPr="009D66F0" w:rsidRDefault="004F3E10" w:rsidP="004F3E10">
            <w:pPr>
              <w:ind w:firstLine="0"/>
              <w:rPr>
                <w:b/>
                <w:bCs/>
                <w:sz w:val="20"/>
                <w:szCs w:val="20"/>
              </w:rPr>
            </w:pPr>
            <w:r w:rsidRPr="009D66F0">
              <w:rPr>
                <w:rFonts w:cs="Calibri"/>
                <w:b/>
                <w:bCs/>
                <w:sz w:val="20"/>
                <w:szCs w:val="20"/>
              </w:rPr>
              <w:lastRenderedPageBreak/>
              <w:t xml:space="preserve"> Այլ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1DAE8B44" w14:textId="77777777" w:rsidR="004F3E10" w:rsidRPr="009D66F0" w:rsidRDefault="004F3E10" w:rsidP="004F3E10">
            <w:pPr>
              <w:jc w:val="center"/>
              <w:rPr>
                <w:b/>
                <w:bCs/>
                <w:sz w:val="20"/>
                <w:szCs w:val="20"/>
              </w:rPr>
            </w:pPr>
            <w:r w:rsidRPr="009D66F0">
              <w:rPr>
                <w:rFonts w:cs="Calibri"/>
                <w:b/>
                <w:bCs/>
                <w:sz w:val="20"/>
                <w:szCs w:val="20"/>
              </w:rPr>
              <w:t>26,661.7</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4C217E61" w14:textId="77777777" w:rsidR="004F3E10" w:rsidRPr="009D66F0" w:rsidRDefault="004F3E10" w:rsidP="004F3E10">
            <w:pPr>
              <w:jc w:val="center"/>
              <w:rPr>
                <w:b/>
                <w:bCs/>
                <w:sz w:val="20"/>
                <w:szCs w:val="20"/>
              </w:rPr>
            </w:pPr>
            <w:r w:rsidRPr="009D66F0">
              <w:rPr>
                <w:rFonts w:cs="Calibri"/>
                <w:b/>
                <w:bCs/>
                <w:sz w:val="20"/>
                <w:szCs w:val="20"/>
              </w:rPr>
              <w:t>28,385.2</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3BFA1E70" w14:textId="77777777" w:rsidR="004F3E10" w:rsidRPr="009D66F0" w:rsidRDefault="004F3E10" w:rsidP="004F3E10">
            <w:pPr>
              <w:jc w:val="center"/>
              <w:rPr>
                <w:b/>
                <w:bCs/>
                <w:sz w:val="20"/>
                <w:szCs w:val="20"/>
              </w:rPr>
            </w:pPr>
            <w:r w:rsidRPr="009D66F0">
              <w:rPr>
                <w:rFonts w:cs="Calibri"/>
                <w:b/>
                <w:bCs/>
                <w:sz w:val="20"/>
                <w:szCs w:val="20"/>
              </w:rPr>
              <w:t>28,813.4</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056E884E" w14:textId="77777777" w:rsidR="004F3E10" w:rsidRPr="009D66F0" w:rsidRDefault="004F3E10" w:rsidP="004F3E10">
            <w:pPr>
              <w:jc w:val="center"/>
              <w:rPr>
                <w:b/>
                <w:bCs/>
                <w:sz w:val="20"/>
                <w:szCs w:val="20"/>
              </w:rPr>
            </w:pPr>
            <w:r w:rsidRPr="009D66F0">
              <w:rPr>
                <w:rFonts w:cs="Calibri"/>
                <w:b/>
                <w:bCs/>
                <w:sz w:val="20"/>
                <w:szCs w:val="20"/>
              </w:rPr>
              <w:t>11,661.7</w:t>
            </w:r>
          </w:p>
        </w:tc>
      </w:tr>
      <w:tr w:rsidR="004F3E10" w14:paraId="76B89151"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4F2C32" w14:textId="77777777" w:rsidR="004F3E10" w:rsidRPr="009D66F0" w:rsidRDefault="004F3E10" w:rsidP="004F3E10">
            <w:pPr>
              <w:ind w:firstLine="0"/>
              <w:rPr>
                <w:i/>
                <w:iCs/>
                <w:sz w:val="20"/>
                <w:szCs w:val="20"/>
              </w:rPr>
            </w:pPr>
            <w:r w:rsidRPr="009D66F0">
              <w:rPr>
                <w:rFonts w:cs="Calibri"/>
                <w:i/>
                <w:iCs/>
                <w:sz w:val="20"/>
                <w:szCs w:val="20"/>
              </w:rPr>
              <w:t xml:space="preserve"> -  արտաքին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5F6DC8" w14:textId="77777777" w:rsidR="004F3E10" w:rsidRPr="009D66F0" w:rsidRDefault="004F3E10" w:rsidP="004F3E10">
            <w:pPr>
              <w:jc w:val="center"/>
              <w:rPr>
                <w:i/>
                <w:iCs/>
                <w:sz w:val="20"/>
                <w:szCs w:val="20"/>
              </w:rPr>
            </w:pPr>
            <w:r w:rsidRPr="009D66F0">
              <w:rPr>
                <w:rFonts w:cs="Calibri"/>
                <w:i/>
                <w:iCs/>
                <w:sz w:val="20"/>
                <w:szCs w:val="20"/>
              </w:rPr>
              <w:t>21,246.3</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034F8B" w14:textId="77777777" w:rsidR="004F3E10" w:rsidRPr="009D66F0" w:rsidRDefault="004F3E10" w:rsidP="004F3E10">
            <w:pPr>
              <w:jc w:val="center"/>
              <w:rPr>
                <w:i/>
                <w:iCs/>
                <w:sz w:val="20"/>
                <w:szCs w:val="20"/>
              </w:rPr>
            </w:pPr>
            <w:r w:rsidRPr="009D66F0">
              <w:rPr>
                <w:rFonts w:cs="Calibri"/>
                <w:i/>
                <w:iCs/>
                <w:sz w:val="20"/>
                <w:szCs w:val="20"/>
              </w:rPr>
              <w:t>21,927.2</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0F890D" w14:textId="77777777" w:rsidR="004F3E10" w:rsidRPr="009D66F0" w:rsidRDefault="004F3E10" w:rsidP="004F3E10">
            <w:pPr>
              <w:jc w:val="center"/>
              <w:rPr>
                <w:i/>
                <w:iCs/>
                <w:sz w:val="20"/>
                <w:szCs w:val="20"/>
              </w:rPr>
            </w:pPr>
            <w:r w:rsidRPr="009D66F0">
              <w:rPr>
                <w:rFonts w:cs="Calibri"/>
                <w:i/>
                <w:iCs/>
                <w:sz w:val="20"/>
                <w:szCs w:val="20"/>
              </w:rPr>
              <w:t>24,658.4</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096D73" w14:textId="77777777" w:rsidR="004F3E10" w:rsidRPr="009D66F0" w:rsidRDefault="004F3E10" w:rsidP="004F3E10">
            <w:pPr>
              <w:jc w:val="center"/>
              <w:rPr>
                <w:i/>
                <w:iCs/>
                <w:sz w:val="20"/>
                <w:szCs w:val="20"/>
              </w:rPr>
            </w:pPr>
            <w:r w:rsidRPr="009D66F0">
              <w:rPr>
                <w:rFonts w:cs="Calibri"/>
                <w:i/>
                <w:iCs/>
                <w:sz w:val="20"/>
                <w:szCs w:val="20"/>
              </w:rPr>
              <w:t>8,186.8</w:t>
            </w:r>
          </w:p>
        </w:tc>
      </w:tr>
      <w:tr w:rsidR="004F3E10" w14:paraId="7BC1D0A6" w14:textId="77777777" w:rsidTr="00901B2D">
        <w:trPr>
          <w:trHeight w:val="300"/>
        </w:trPr>
        <w:tc>
          <w:tcPr>
            <w:tcW w:w="0" w:type="auto"/>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ABC7A4" w14:textId="77777777" w:rsidR="004F3E10" w:rsidRPr="009D66F0" w:rsidRDefault="004F3E10" w:rsidP="004F3E10">
            <w:pPr>
              <w:ind w:firstLine="0"/>
              <w:rPr>
                <w:i/>
                <w:iCs/>
                <w:sz w:val="20"/>
                <w:szCs w:val="20"/>
              </w:rPr>
            </w:pPr>
            <w:r w:rsidRPr="009D66F0">
              <w:rPr>
                <w:rFonts w:cs="Calibri"/>
                <w:i/>
                <w:iCs/>
                <w:sz w:val="20"/>
                <w:szCs w:val="20"/>
              </w:rPr>
              <w:t xml:space="preserve"> -  ներքին աղբյուրներ </w:t>
            </w:r>
          </w:p>
        </w:tc>
        <w:tc>
          <w:tcPr>
            <w:tcW w:w="151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1691C1" w14:textId="77777777" w:rsidR="004F3E10" w:rsidRPr="009D66F0" w:rsidRDefault="004F3E10" w:rsidP="004F3E10">
            <w:pPr>
              <w:jc w:val="center"/>
              <w:rPr>
                <w:i/>
                <w:iCs/>
                <w:sz w:val="20"/>
                <w:szCs w:val="20"/>
              </w:rPr>
            </w:pPr>
            <w:r w:rsidRPr="009D66F0">
              <w:rPr>
                <w:rFonts w:cs="Calibri"/>
                <w:i/>
                <w:iCs/>
                <w:sz w:val="20"/>
                <w:szCs w:val="20"/>
              </w:rPr>
              <w:t>5,415.4</w:t>
            </w:r>
          </w:p>
        </w:tc>
        <w:tc>
          <w:tcPr>
            <w:tcW w:w="153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E27547" w14:textId="77777777" w:rsidR="004F3E10" w:rsidRPr="009D66F0" w:rsidRDefault="004F3E10" w:rsidP="004F3E10">
            <w:pPr>
              <w:jc w:val="center"/>
              <w:rPr>
                <w:i/>
                <w:iCs/>
                <w:sz w:val="20"/>
                <w:szCs w:val="20"/>
              </w:rPr>
            </w:pPr>
            <w:r w:rsidRPr="009D66F0">
              <w:rPr>
                <w:rFonts w:cs="Calibri"/>
                <w:i/>
                <w:iCs/>
                <w:sz w:val="20"/>
                <w:szCs w:val="20"/>
              </w:rPr>
              <w:t>6,457.9</w:t>
            </w:r>
          </w:p>
        </w:tc>
        <w:tc>
          <w:tcPr>
            <w:tcW w:w="1522"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B9E84E" w14:textId="77777777" w:rsidR="004F3E10" w:rsidRPr="009D66F0" w:rsidRDefault="004F3E10" w:rsidP="004F3E10">
            <w:pPr>
              <w:jc w:val="center"/>
              <w:rPr>
                <w:i/>
                <w:iCs/>
                <w:sz w:val="20"/>
                <w:szCs w:val="20"/>
              </w:rPr>
            </w:pPr>
            <w:r w:rsidRPr="009D66F0">
              <w:rPr>
                <w:rFonts w:cs="Calibri"/>
                <w:i/>
                <w:iCs/>
                <w:sz w:val="20"/>
                <w:szCs w:val="20"/>
              </w:rPr>
              <w:t>4,155.0</w:t>
            </w:r>
          </w:p>
        </w:tc>
        <w:tc>
          <w:tcPr>
            <w:tcW w:w="153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11C511" w14:textId="77777777" w:rsidR="004F3E10" w:rsidRPr="009D66F0" w:rsidRDefault="004F3E10" w:rsidP="004F3E10">
            <w:pPr>
              <w:jc w:val="center"/>
              <w:rPr>
                <w:i/>
                <w:iCs/>
                <w:sz w:val="20"/>
                <w:szCs w:val="20"/>
              </w:rPr>
            </w:pPr>
            <w:r w:rsidRPr="009D66F0">
              <w:rPr>
                <w:rFonts w:cs="Calibri"/>
                <w:i/>
                <w:iCs/>
                <w:sz w:val="20"/>
                <w:szCs w:val="20"/>
              </w:rPr>
              <w:t>3,474.8</w:t>
            </w:r>
          </w:p>
        </w:tc>
      </w:tr>
      <w:tr w:rsidR="004F3E10" w14:paraId="434FA72A" w14:textId="77777777" w:rsidTr="004F3E10">
        <w:trPr>
          <w:trHeight w:val="300"/>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5" w:type="dxa"/>
              <w:left w:w="15" w:type="dxa"/>
              <w:bottom w:w="0" w:type="dxa"/>
              <w:right w:w="15" w:type="dxa"/>
            </w:tcMar>
            <w:vAlign w:val="center"/>
            <w:hideMark/>
          </w:tcPr>
          <w:p w14:paraId="556E6857" w14:textId="77777777" w:rsidR="004F3E10" w:rsidRPr="009D66F0" w:rsidRDefault="004F3E10" w:rsidP="004F3E10">
            <w:pPr>
              <w:ind w:firstLine="0"/>
              <w:rPr>
                <w:b/>
                <w:bCs/>
                <w:sz w:val="20"/>
                <w:szCs w:val="20"/>
              </w:rPr>
            </w:pPr>
            <w:r w:rsidRPr="009D66F0">
              <w:rPr>
                <w:rFonts w:cs="Calibri"/>
                <w:b/>
                <w:bCs/>
                <w:sz w:val="20"/>
                <w:szCs w:val="20"/>
              </w:rPr>
              <w:t xml:space="preserve"> Չբաշխված </w:t>
            </w:r>
          </w:p>
        </w:tc>
        <w:tc>
          <w:tcPr>
            <w:tcW w:w="1514"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07A5AB26" w14:textId="77777777" w:rsidR="004F3E10" w:rsidRPr="009D66F0" w:rsidRDefault="004F3E10" w:rsidP="004F3E10">
            <w:pPr>
              <w:jc w:val="center"/>
              <w:rPr>
                <w:b/>
                <w:bCs/>
                <w:sz w:val="20"/>
                <w:szCs w:val="20"/>
              </w:rPr>
            </w:pPr>
            <w:r w:rsidRPr="009D66F0">
              <w:rPr>
                <w:rFonts w:cs="Calibri"/>
                <w:b/>
                <w:bCs/>
                <w:sz w:val="20"/>
                <w:szCs w:val="20"/>
              </w:rPr>
              <w:t>-</w:t>
            </w:r>
          </w:p>
        </w:tc>
        <w:tc>
          <w:tcPr>
            <w:tcW w:w="1531"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79A3869A" w14:textId="77777777" w:rsidR="004F3E10" w:rsidRPr="009D66F0" w:rsidRDefault="004F3E10" w:rsidP="004F3E10">
            <w:pPr>
              <w:jc w:val="center"/>
              <w:rPr>
                <w:b/>
                <w:bCs/>
                <w:sz w:val="20"/>
                <w:szCs w:val="20"/>
              </w:rPr>
            </w:pPr>
            <w:r w:rsidRPr="009D66F0">
              <w:rPr>
                <w:rFonts w:cs="Calibri"/>
                <w:b/>
                <w:bCs/>
                <w:sz w:val="20"/>
                <w:szCs w:val="20"/>
              </w:rPr>
              <w:t>-</w:t>
            </w:r>
          </w:p>
        </w:tc>
        <w:tc>
          <w:tcPr>
            <w:tcW w:w="1522"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116FABD2" w14:textId="77777777" w:rsidR="004F3E10" w:rsidRPr="009D66F0" w:rsidRDefault="004F3E10" w:rsidP="004F3E10">
            <w:pPr>
              <w:jc w:val="center"/>
              <w:rPr>
                <w:b/>
                <w:bCs/>
                <w:sz w:val="20"/>
                <w:szCs w:val="20"/>
              </w:rPr>
            </w:pPr>
            <w:r w:rsidRPr="009D66F0">
              <w:rPr>
                <w:rFonts w:cs="Calibri"/>
                <w:b/>
                <w:bCs/>
                <w:sz w:val="20"/>
                <w:szCs w:val="20"/>
              </w:rPr>
              <w:t>-</w:t>
            </w:r>
          </w:p>
        </w:tc>
        <w:tc>
          <w:tcPr>
            <w:tcW w:w="1537" w:type="dxa"/>
            <w:tcBorders>
              <w:top w:val="nil"/>
              <w:left w:val="nil"/>
              <w:bottom w:val="single" w:sz="4" w:space="0" w:color="auto"/>
              <w:right w:val="single" w:sz="4" w:space="0" w:color="auto"/>
            </w:tcBorders>
            <w:shd w:val="clear" w:color="auto" w:fill="C6D9F1" w:themeFill="text2" w:themeFillTint="33"/>
            <w:tcMar>
              <w:top w:w="15" w:type="dxa"/>
              <w:left w:w="15" w:type="dxa"/>
              <w:bottom w:w="0" w:type="dxa"/>
              <w:right w:w="15" w:type="dxa"/>
            </w:tcMar>
            <w:vAlign w:val="center"/>
            <w:hideMark/>
          </w:tcPr>
          <w:p w14:paraId="041F6418" w14:textId="77777777" w:rsidR="004F3E10" w:rsidRPr="009D66F0" w:rsidRDefault="004F3E10" w:rsidP="004F3E10">
            <w:pPr>
              <w:jc w:val="center"/>
              <w:rPr>
                <w:b/>
                <w:bCs/>
                <w:sz w:val="20"/>
                <w:szCs w:val="20"/>
              </w:rPr>
            </w:pPr>
            <w:r w:rsidRPr="009D66F0">
              <w:rPr>
                <w:rFonts w:cs="Calibri"/>
                <w:b/>
                <w:bCs/>
                <w:sz w:val="20"/>
                <w:szCs w:val="20"/>
              </w:rPr>
              <w:t>125,610.6</w:t>
            </w:r>
          </w:p>
        </w:tc>
      </w:tr>
    </w:tbl>
    <w:p w14:paraId="61CCC3CF" w14:textId="77777777" w:rsidR="00901B2D" w:rsidRPr="00EC4013" w:rsidRDefault="00901B2D" w:rsidP="00901B2D">
      <w:pPr>
        <w:jc w:val="right"/>
        <w:rPr>
          <w:lang w:val="hy-AM"/>
        </w:rPr>
      </w:pPr>
    </w:p>
    <w:p w14:paraId="0780B5F8" w14:textId="77777777" w:rsidR="00B10E34" w:rsidRPr="00EC4013" w:rsidRDefault="00B10E34" w:rsidP="00B10E34">
      <w:pPr>
        <w:pStyle w:val="StyleHeading1SectionSectionHeadingText11Chapterhead3"/>
        <w:rPr>
          <w:lang w:val="hy-AM"/>
        </w:rPr>
      </w:pPr>
    </w:p>
    <w:p w14:paraId="6FD18F6E" w14:textId="77777777" w:rsidR="001E2C3B" w:rsidRPr="00FD60BF" w:rsidRDefault="00BF2763" w:rsidP="0035033F">
      <w:pPr>
        <w:pStyle w:val="Heading3"/>
        <w:numPr>
          <w:ilvl w:val="0"/>
          <w:numId w:val="0"/>
        </w:numPr>
        <w:ind w:left="720"/>
        <w:rPr>
          <w:rFonts w:eastAsia="Times New Roman" w:cs="Times New Roman"/>
          <w:color w:val="1F497D" w:themeColor="text2"/>
          <w:sz w:val="28"/>
          <w:szCs w:val="28"/>
        </w:rPr>
      </w:pPr>
      <w:bookmarkStart w:id="273" w:name="_Toc45838537"/>
      <w:bookmarkStart w:id="274" w:name="_Toc46154365"/>
      <w:bookmarkEnd w:id="267"/>
      <w:bookmarkEnd w:id="268"/>
      <w:r w:rsidRPr="00FD60BF">
        <w:rPr>
          <w:rFonts w:eastAsia="Times New Roman" w:cs="Times New Roman"/>
          <w:caps w:val="0"/>
          <w:color w:val="1F497D" w:themeColor="text2"/>
          <w:sz w:val="28"/>
          <w:szCs w:val="28"/>
        </w:rPr>
        <w:t>4.5. 2021-2023ԹԹ ՄԺԾԾ  ԿԱՊԻՏԱԼ ԾԱԽՍԵՐԻ ԵՎ ՆՈՐ ՆԱԽԱՁԵՌՆՈՒԹՅՈՒՆՆԵՐԻ ԳԾՈՎ ԱՌԱՋՆԱՀԵՐԹՈՒԹՅՈՒՆՆԵՐԸ</w:t>
      </w:r>
      <w:bookmarkEnd w:id="273"/>
      <w:bookmarkEnd w:id="274"/>
    </w:p>
    <w:p w14:paraId="557872D5" w14:textId="77777777" w:rsidR="006B4A7A" w:rsidRPr="0035033F" w:rsidRDefault="006B4A7A" w:rsidP="009A7904">
      <w:pPr>
        <w:spacing w:line="276" w:lineRule="auto"/>
        <w:ind w:firstLine="475"/>
        <w:rPr>
          <w:lang w:val="hy-AM"/>
        </w:rPr>
      </w:pPr>
      <w:r w:rsidRPr="0035033F">
        <w:rPr>
          <w:lang w:val="hy-AM"/>
        </w:rPr>
        <w:t>ՀՀ կառավարության ծրագրին համապատասխան ծախսային քաղաքականության արդյունավետության բարձրացման տեսանկյունից միջնաժամկետ ժամանակահատվածում կարևորում է հանրային ֆինանսների նպատակային, խնայողաբար և ադյունավետ օգտագործումը, ինչի արդյունքում ՀՀ պետական բյուջեի ծախսերի կառուցվածքում աստիճանաբար հնարավորության սահմաններում կմեծանա մարդկային կապիտալին և ենթակառուցվածքներին ուղղվող ծախսերի տեսակարար կշիռը:</w:t>
      </w:r>
    </w:p>
    <w:p w14:paraId="08DA4999" w14:textId="2A4E0D06" w:rsidR="006B4A7A" w:rsidRPr="0035033F" w:rsidRDefault="006B4A7A" w:rsidP="009A7904">
      <w:pPr>
        <w:spacing w:line="276" w:lineRule="auto"/>
        <w:ind w:firstLine="475"/>
        <w:rPr>
          <w:lang w:val="hy-AM"/>
        </w:rPr>
      </w:pPr>
      <w:r w:rsidRPr="0035033F">
        <w:rPr>
          <w:lang w:val="hy-AM"/>
        </w:rPr>
        <w:t xml:space="preserve">Երկարաժամկետ տնտեսական աճի ապահովման տեսանկյունից կարևորելով կապիտալ ծախսերի, ինչպես նաև կառավարության կողմից ընդունված ռազմավարական ծրագրերի դերն ու նշանակությունը, մյուս կողմից հաշվի առնելով </w:t>
      </w:r>
      <w:r w:rsidRPr="00CF6B37">
        <w:rPr>
          <w:lang w:val="hy-AM"/>
        </w:rPr>
        <w:t>ՄԺԾԾ հարկաբյուջետային շրջանակի սահմանափակումներ</w:t>
      </w:r>
      <w:r>
        <w:rPr>
          <w:lang w:val="hy-AM"/>
        </w:rPr>
        <w:t xml:space="preserve">ը </w:t>
      </w:r>
      <w:r w:rsidRPr="0035033F">
        <w:rPr>
          <w:lang w:val="hy-AM"/>
        </w:rPr>
        <w:t>2021-2023թթ ՄԺԾԾ-ում առանձին հավելվածներով ներկայացվել են ծախսային առաջնահերթություններ համարվող կապիտալ ծախսերն ու ռազմավարություն</w:t>
      </w:r>
      <w:r w:rsidR="004C5397" w:rsidRPr="00EB1197">
        <w:rPr>
          <w:lang w:val="hy-AM"/>
        </w:rPr>
        <w:t>ներ</w:t>
      </w:r>
      <w:r w:rsidRPr="0035033F">
        <w:rPr>
          <w:lang w:val="hy-AM"/>
        </w:rPr>
        <w:t>ից բխող նոր նախաձեռնությունները, որոնք զետեղվել են համապատասխանաբար 6 և 7 հավե</w:t>
      </w:r>
      <w:r w:rsidR="007724F4">
        <w:rPr>
          <w:lang w:val="hy-AM"/>
        </w:rPr>
        <w:t>լ</w:t>
      </w:r>
      <w:r w:rsidRPr="0035033F">
        <w:rPr>
          <w:lang w:val="hy-AM"/>
        </w:rPr>
        <w:t>վածներում: Նշված ծախսերը դիտարկվում են որպես առաջնահերթություններ և</w:t>
      </w:r>
      <w:r w:rsidR="006B2C4E">
        <w:rPr>
          <w:lang w:val="hy-AM"/>
        </w:rPr>
        <w:t xml:space="preserve"> 2021-2023</w:t>
      </w:r>
      <w:r w:rsidRPr="0035033F">
        <w:rPr>
          <w:lang w:val="hy-AM"/>
        </w:rPr>
        <w:t>թթ. բյուջեում լրացուցիչ ֆինանսական միջոցների առկայության պայմաններում (Հայաստանի Հանրապետության տնտեսական զարգացման բարենպաստ միջավայրի և այլ գործոններով պայմանավորված), ինչպես նաև 2021-2023թթ  ժամանակահատվածում բյուջեով նախատեսված ծախսերի կրճատման, ծախսային ուղղությունների գծով հնարավոր գերակայությունների (առաջնահերթությունների) փոփոխման արդյունքում վերաբաշխումների (փոխատեղումների), խնայողությունների առկայության, Հայաստանի Հանրապետության օրենսդրությամբ սահմանված կարգով Հայաստանի Հանրապետության պետական բյուջեի դեֆիցիտի սահմանաչափի ավելացման պարագայում վերջիններիս ֆինանսավորումը պետք է իրականացվի առաջնահերթ կարգով՝ կապիտալ ծախսերի դեպքում հիմք ընդունելով համապատասխան նախագծանախահաշվային փաստաթղթերի հիման վրա այդ աշխատանքների արժեքների ճշգրտումները։</w:t>
      </w:r>
    </w:p>
    <w:p w14:paraId="39461B7E" w14:textId="77777777" w:rsidR="006B4A7A" w:rsidRPr="009A7904" w:rsidRDefault="004C5397" w:rsidP="009A7904">
      <w:pPr>
        <w:spacing w:line="276" w:lineRule="auto"/>
        <w:ind w:firstLine="475"/>
        <w:rPr>
          <w:rFonts w:cs="Arial"/>
          <w:lang w:val="hy-AM"/>
        </w:rPr>
      </w:pPr>
      <w:r w:rsidRPr="009A7904">
        <w:rPr>
          <w:lang w:val="hy-AM"/>
        </w:rPr>
        <w:t>2021-2023</w:t>
      </w:r>
      <w:r w:rsidR="006B4A7A" w:rsidRPr="009A7904">
        <w:rPr>
          <w:lang w:val="hy-AM"/>
        </w:rPr>
        <w:t>թթ միջնաժամկետ ժամանակահատվածում առաջնահերթ կապիտալ ծախսերը կազմում են համապատասխանաբար՝ 81.337,2, 94.437,4 և 54.647,6 մլն. դրամ (տե՛ս Հավելված</w:t>
      </w:r>
      <w:r w:rsidRPr="009A7904">
        <w:rPr>
          <w:lang w:val="hy-AM"/>
        </w:rPr>
        <w:t xml:space="preserve"> 7), իսկ </w:t>
      </w:r>
      <w:r w:rsidR="006B4A7A" w:rsidRPr="009A7904">
        <w:rPr>
          <w:rFonts w:cs="Arial"/>
          <w:lang w:val="hy-AM"/>
        </w:rPr>
        <w:t>ռազմավարություններից</w:t>
      </w:r>
      <w:r w:rsidR="006B4A7A" w:rsidRPr="009A7904">
        <w:rPr>
          <w:rFonts w:cs="Arial"/>
          <w:lang w:val="es-ES"/>
        </w:rPr>
        <w:t xml:space="preserve"> </w:t>
      </w:r>
      <w:r w:rsidR="006B4A7A" w:rsidRPr="009A7904">
        <w:rPr>
          <w:rFonts w:cs="Arial"/>
          <w:lang w:val="hy-AM"/>
        </w:rPr>
        <w:t>բխող</w:t>
      </w:r>
      <w:r w:rsidR="006B4A7A" w:rsidRPr="009A7904">
        <w:rPr>
          <w:rFonts w:cs="Arial"/>
          <w:lang w:val="es-ES"/>
        </w:rPr>
        <w:t xml:space="preserve"> </w:t>
      </w:r>
      <w:r w:rsidR="006B4A7A" w:rsidRPr="009A7904">
        <w:rPr>
          <w:rFonts w:cs="Arial"/>
          <w:lang w:val="hy-AM"/>
        </w:rPr>
        <w:t>նոր</w:t>
      </w:r>
      <w:r w:rsidR="006B4A7A" w:rsidRPr="009A7904">
        <w:rPr>
          <w:rFonts w:cs="Arial"/>
          <w:lang w:val="es-ES"/>
        </w:rPr>
        <w:t xml:space="preserve"> </w:t>
      </w:r>
      <w:r w:rsidR="006B4A7A" w:rsidRPr="009A7904">
        <w:rPr>
          <w:rFonts w:cs="Arial"/>
          <w:lang w:val="hy-AM"/>
        </w:rPr>
        <w:t xml:space="preserve">նախաձեռնությունների գծով ծախսերը կազմում են </w:t>
      </w:r>
      <w:r w:rsidR="006B4A7A" w:rsidRPr="009A7904">
        <w:rPr>
          <w:rFonts w:cs="Arial"/>
          <w:lang w:val="hy-AM"/>
        </w:rPr>
        <w:lastRenderedPageBreak/>
        <w:t>համապատասխանաբար՝</w:t>
      </w:r>
      <w:r w:rsidR="006B4A7A" w:rsidRPr="009A7904">
        <w:rPr>
          <w:rFonts w:cs="Arial"/>
          <w:lang w:val="es-ES"/>
        </w:rPr>
        <w:t xml:space="preserve"> 27.203,8</w:t>
      </w:r>
      <w:r w:rsidR="006B4A7A" w:rsidRPr="009A7904">
        <w:rPr>
          <w:rFonts w:cs="Arial"/>
          <w:lang w:val="hy-AM"/>
        </w:rPr>
        <w:t>,</w:t>
      </w:r>
      <w:r w:rsidR="006B4A7A" w:rsidRPr="009A7904">
        <w:rPr>
          <w:rFonts w:cs="Arial"/>
          <w:lang w:val="es-ES"/>
        </w:rPr>
        <w:t xml:space="preserve"> 33.857,5 </w:t>
      </w:r>
      <w:r w:rsidR="006B4A7A" w:rsidRPr="009A7904">
        <w:rPr>
          <w:rFonts w:cs="Arial"/>
          <w:lang w:val="hy-AM"/>
        </w:rPr>
        <w:t>և</w:t>
      </w:r>
      <w:r w:rsidR="006B4A7A" w:rsidRPr="009A7904">
        <w:rPr>
          <w:rFonts w:cs="Arial"/>
          <w:lang w:val="es-ES"/>
        </w:rPr>
        <w:t xml:space="preserve"> 38.224,7 </w:t>
      </w:r>
      <w:r w:rsidR="006B4A7A" w:rsidRPr="009A7904">
        <w:rPr>
          <w:rFonts w:cs="Arial"/>
          <w:lang w:val="hy-AM"/>
        </w:rPr>
        <w:t>մլն</w:t>
      </w:r>
      <w:r w:rsidR="006B4A7A" w:rsidRPr="009A7904">
        <w:rPr>
          <w:rFonts w:cs="Arial"/>
          <w:lang w:val="es-ES"/>
        </w:rPr>
        <w:t xml:space="preserve">. </w:t>
      </w:r>
      <w:r w:rsidR="006B4A7A" w:rsidRPr="009A7904">
        <w:rPr>
          <w:rFonts w:cs="Arial"/>
          <w:lang w:val="hy-AM"/>
        </w:rPr>
        <w:t>դրամ</w:t>
      </w:r>
      <w:r w:rsidR="006B4A7A" w:rsidRPr="009A7904">
        <w:rPr>
          <w:rFonts w:cs="Arial"/>
          <w:lang w:val="es-ES"/>
        </w:rPr>
        <w:t xml:space="preserve"> (</w:t>
      </w:r>
      <w:r w:rsidR="006B4A7A" w:rsidRPr="009A7904">
        <w:rPr>
          <w:rFonts w:cs="Arial"/>
          <w:lang w:val="hy-AM"/>
        </w:rPr>
        <w:t>տե՛ս</w:t>
      </w:r>
      <w:r w:rsidR="006B4A7A" w:rsidRPr="009A7904">
        <w:rPr>
          <w:rFonts w:cs="Arial"/>
          <w:lang w:val="es-ES"/>
        </w:rPr>
        <w:t xml:space="preserve"> </w:t>
      </w:r>
      <w:r w:rsidR="006B4A7A" w:rsidRPr="009A7904">
        <w:rPr>
          <w:rFonts w:cs="Arial"/>
          <w:lang w:val="hy-AM"/>
        </w:rPr>
        <w:t>Հավելված</w:t>
      </w:r>
      <w:r w:rsidR="006B4A7A" w:rsidRPr="009A7904">
        <w:rPr>
          <w:rFonts w:cs="Arial"/>
          <w:lang w:val="es-ES"/>
        </w:rPr>
        <w:t xml:space="preserve"> 6)</w:t>
      </w:r>
      <w:r w:rsidR="006B4A7A" w:rsidRPr="009A7904">
        <w:rPr>
          <w:rFonts w:cs="Arial"/>
          <w:lang w:val="hy-AM"/>
        </w:rPr>
        <w:t>, դրանք առնչվում եմ արդարադատության համակարգի, ՊԵԿ-ի ռազմավարական ծրագրերին</w:t>
      </w:r>
      <w:r w:rsidR="00824F14">
        <w:rPr>
          <w:rFonts w:cs="Arial"/>
          <w:lang w:val="hy-AM"/>
        </w:rPr>
        <w:t xml:space="preserve"> և այլն</w:t>
      </w:r>
      <w:r w:rsidR="006B4A7A" w:rsidRPr="009A7904">
        <w:rPr>
          <w:rFonts w:cs="Arial"/>
          <w:lang w:val="hy-AM"/>
        </w:rPr>
        <w:t>։</w:t>
      </w:r>
    </w:p>
    <w:p w14:paraId="5199915B" w14:textId="77777777" w:rsidR="00FD60BF" w:rsidRDefault="006B4A7A" w:rsidP="009A7904">
      <w:pPr>
        <w:spacing w:line="276" w:lineRule="auto"/>
        <w:ind w:firstLine="475"/>
        <w:rPr>
          <w:lang w:val="hy-AM"/>
        </w:rPr>
      </w:pPr>
      <w:r w:rsidRPr="009A7904">
        <w:rPr>
          <w:lang w:val="hy-AM"/>
        </w:rPr>
        <w:t>Կապիտալ</w:t>
      </w:r>
      <w:r w:rsidRPr="006B2C4E">
        <w:rPr>
          <w:lang w:val="hy-AM"/>
        </w:rPr>
        <w:t xml:space="preserve"> ծրագրերի դերը կարևորվել է նաև ՊՖԿՀ բարեփոխումների ռազմավարությունում, որտեղ ընդգրկված է նաև «Հանրային ներդրումների կառավարման» համակարգի ներդրումը, որը հանդիսանում է կապիտալ ծրագրերի գնահատման, առաջնահերթությունների որոշման և ֆինանսավորման համար անհրաժեշտ ռեսուրսների հաշվարկման առանցքային գործիքակազմի բաղադրիչներից մեկը: Այս միջոցառման իրականացումը ապագայում կնպաստի կապիտալ ծախսերի իրականացման արդյունավետության բարձրացմանը՝ խթանելով երկարաժամկետ տնտեսական աճի արագացումը:</w:t>
      </w:r>
      <w:r>
        <w:rPr>
          <w:sz w:val="24"/>
          <w:szCs w:val="24"/>
          <w:lang w:val="hy-AM"/>
        </w:rPr>
        <w:t xml:space="preserve"> </w:t>
      </w:r>
      <w:bookmarkStart w:id="275" w:name="_Toc519513632"/>
      <w:bookmarkStart w:id="276" w:name="_Toc13837290"/>
      <w:bookmarkStart w:id="277" w:name="_Toc45838538"/>
      <w:r w:rsidR="00FD60BF">
        <w:rPr>
          <w:lang w:val="hy-AM"/>
        </w:rPr>
        <w:br w:type="page"/>
      </w:r>
    </w:p>
    <w:p w14:paraId="0B6A2F12" w14:textId="77777777" w:rsidR="00FD60BF" w:rsidRDefault="00FD60BF">
      <w:pPr>
        <w:spacing w:before="0" w:after="200" w:line="276" w:lineRule="auto"/>
        <w:ind w:firstLine="0"/>
        <w:jc w:val="left"/>
        <w:rPr>
          <w:lang w:val="hy-AM"/>
        </w:rPr>
      </w:pPr>
    </w:p>
    <w:p w14:paraId="039C854F" w14:textId="77777777" w:rsidR="00FD60BF" w:rsidRDefault="00FD60BF">
      <w:pPr>
        <w:spacing w:before="0" w:after="200" w:line="276" w:lineRule="auto"/>
        <w:ind w:firstLine="0"/>
        <w:jc w:val="left"/>
        <w:rPr>
          <w:lang w:val="hy-AM"/>
        </w:rPr>
      </w:pPr>
    </w:p>
    <w:p w14:paraId="26B2CAEB" w14:textId="77777777" w:rsidR="00FD60BF" w:rsidRDefault="00FD60BF">
      <w:pPr>
        <w:spacing w:before="0" w:after="200" w:line="276" w:lineRule="auto"/>
        <w:ind w:firstLine="0"/>
        <w:jc w:val="left"/>
        <w:rPr>
          <w:lang w:val="hy-AM"/>
        </w:rPr>
      </w:pPr>
    </w:p>
    <w:p w14:paraId="341F5B16" w14:textId="77777777" w:rsidR="00FD60BF" w:rsidRDefault="00FD60BF">
      <w:pPr>
        <w:spacing w:before="0" w:after="200" w:line="276" w:lineRule="auto"/>
        <w:ind w:firstLine="0"/>
        <w:jc w:val="left"/>
        <w:rPr>
          <w:lang w:val="hy-AM"/>
        </w:rPr>
      </w:pPr>
    </w:p>
    <w:p w14:paraId="31F619EF" w14:textId="77777777" w:rsidR="00FD60BF" w:rsidRDefault="00FD60BF">
      <w:pPr>
        <w:spacing w:before="0" w:after="200" w:line="276" w:lineRule="auto"/>
        <w:ind w:firstLine="0"/>
        <w:jc w:val="left"/>
        <w:rPr>
          <w:lang w:val="hy-AM"/>
        </w:rPr>
      </w:pPr>
    </w:p>
    <w:p w14:paraId="494DAF7A" w14:textId="77777777" w:rsidR="00FD60BF" w:rsidRDefault="00FD60BF">
      <w:pPr>
        <w:spacing w:before="0" w:after="200" w:line="276" w:lineRule="auto"/>
        <w:ind w:firstLine="0"/>
        <w:jc w:val="left"/>
        <w:rPr>
          <w:lang w:val="hy-AM"/>
        </w:rPr>
      </w:pPr>
    </w:p>
    <w:p w14:paraId="4451CA5D" w14:textId="77777777" w:rsidR="006B2C4E" w:rsidRDefault="006B2C4E">
      <w:pPr>
        <w:spacing w:before="0" w:after="200" w:line="276" w:lineRule="auto"/>
        <w:ind w:firstLine="0"/>
        <w:jc w:val="left"/>
        <w:rPr>
          <w:lang w:val="hy-AM"/>
        </w:rPr>
      </w:pPr>
    </w:p>
    <w:p w14:paraId="10CD32F8" w14:textId="77777777" w:rsidR="006B2C4E" w:rsidRDefault="006B2C4E">
      <w:pPr>
        <w:spacing w:before="0" w:after="200" w:line="276" w:lineRule="auto"/>
        <w:ind w:firstLine="0"/>
        <w:jc w:val="left"/>
        <w:rPr>
          <w:lang w:val="hy-AM"/>
        </w:rPr>
      </w:pPr>
    </w:p>
    <w:p w14:paraId="2B291E20" w14:textId="77777777" w:rsidR="00FD60BF" w:rsidRDefault="00FD60BF">
      <w:pPr>
        <w:spacing w:before="0" w:after="200" w:line="276" w:lineRule="auto"/>
        <w:ind w:firstLine="0"/>
        <w:jc w:val="left"/>
        <w:rPr>
          <w:lang w:val="hy-AM"/>
        </w:rPr>
      </w:pPr>
    </w:p>
    <w:p w14:paraId="637576C8" w14:textId="77777777" w:rsidR="00FD60BF" w:rsidRDefault="00FD60BF">
      <w:pPr>
        <w:spacing w:before="0" w:after="200" w:line="276" w:lineRule="auto"/>
        <w:ind w:firstLine="0"/>
        <w:jc w:val="left"/>
        <w:rPr>
          <w:rFonts w:eastAsiaTheme="majorEastAsia" w:cstheme="majorBidi"/>
          <w:b/>
          <w:bCs/>
          <w:color w:val="1F497D" w:themeColor="text2"/>
          <w:sz w:val="32"/>
          <w:szCs w:val="28"/>
          <w:lang w:val="hy-AM"/>
        </w:rPr>
      </w:pPr>
    </w:p>
    <w:p w14:paraId="2C5AC999" w14:textId="77777777" w:rsidR="00173FEB" w:rsidRPr="00EB1197" w:rsidRDefault="00376D1C" w:rsidP="0035033F">
      <w:pPr>
        <w:pStyle w:val="Heading1"/>
        <w:rPr>
          <w:lang w:val="hy-AM"/>
        </w:rPr>
      </w:pPr>
      <w:bookmarkStart w:id="278" w:name="_Toc46154366"/>
      <w:r w:rsidRPr="00EB1197">
        <w:rPr>
          <w:lang w:val="hy-AM"/>
        </w:rPr>
        <w:t>ՄԱՍ</w:t>
      </w:r>
      <w:r w:rsidR="00595A2D" w:rsidRPr="00EB1197">
        <w:rPr>
          <w:lang w:val="hy-AM"/>
        </w:rPr>
        <w:t xml:space="preserve"> II. </w:t>
      </w:r>
      <w:r w:rsidRPr="00EB1197">
        <w:rPr>
          <w:lang w:val="hy-AM"/>
        </w:rPr>
        <w:t>ԾԱԽՍԱՅԻՆ</w:t>
      </w:r>
      <w:r w:rsidR="00595A2D" w:rsidRPr="00EB1197">
        <w:rPr>
          <w:lang w:val="hy-AM"/>
        </w:rPr>
        <w:t xml:space="preserve"> </w:t>
      </w:r>
      <w:r w:rsidRPr="00EB1197">
        <w:rPr>
          <w:lang w:val="hy-AM"/>
        </w:rPr>
        <w:t>ՔԱՂԱՔԱԿԱՆՈՒԹՅԱՆ</w:t>
      </w:r>
      <w:r w:rsidR="00595A2D" w:rsidRPr="00EB1197">
        <w:rPr>
          <w:lang w:val="hy-AM"/>
        </w:rPr>
        <w:t xml:space="preserve"> </w:t>
      </w:r>
      <w:r w:rsidRPr="00EB1197">
        <w:rPr>
          <w:lang w:val="hy-AM"/>
        </w:rPr>
        <w:t>ՌԱԶՄԱՎԱՐՈՒԹՅՈՒՆԸ</w:t>
      </w:r>
      <w:bookmarkEnd w:id="260"/>
      <w:bookmarkEnd w:id="275"/>
      <w:bookmarkEnd w:id="276"/>
      <w:bookmarkEnd w:id="277"/>
      <w:bookmarkEnd w:id="278"/>
    </w:p>
    <w:p w14:paraId="31F4BE7C" w14:textId="77777777" w:rsidR="00002C52" w:rsidRPr="00EB1197" w:rsidRDefault="00002C52" w:rsidP="00002C52">
      <w:pPr>
        <w:rPr>
          <w:lang w:val="hy-AM"/>
        </w:rPr>
      </w:pPr>
    </w:p>
    <w:p w14:paraId="153C74F7" w14:textId="77777777" w:rsidR="00002C52" w:rsidRPr="00EB1197" w:rsidRDefault="00002C52" w:rsidP="00002C52">
      <w:pPr>
        <w:rPr>
          <w:lang w:val="hy-AM"/>
        </w:rPr>
      </w:pPr>
    </w:p>
    <w:p w14:paraId="4B5FDA02" w14:textId="77777777" w:rsidR="00002C52" w:rsidRPr="00EB1197" w:rsidRDefault="00002C52" w:rsidP="00002C52">
      <w:pPr>
        <w:rPr>
          <w:lang w:val="hy-AM"/>
        </w:rPr>
      </w:pPr>
    </w:p>
    <w:p w14:paraId="373B53FF" w14:textId="77777777" w:rsidR="00002C52" w:rsidRPr="00EB1197" w:rsidRDefault="00002C52" w:rsidP="00002C52">
      <w:pPr>
        <w:rPr>
          <w:lang w:val="hy-AM"/>
        </w:rPr>
      </w:pPr>
    </w:p>
    <w:p w14:paraId="7A122C3C" w14:textId="77777777" w:rsidR="00002C52" w:rsidRPr="00EB1197" w:rsidRDefault="00002C52" w:rsidP="00002C52">
      <w:pPr>
        <w:rPr>
          <w:lang w:val="hy-AM"/>
        </w:rPr>
      </w:pPr>
    </w:p>
    <w:p w14:paraId="2637E865" w14:textId="77777777" w:rsidR="00002C52" w:rsidRPr="00EB1197" w:rsidRDefault="00002C52" w:rsidP="00002C52">
      <w:pPr>
        <w:rPr>
          <w:lang w:val="hy-AM"/>
        </w:rPr>
      </w:pPr>
    </w:p>
    <w:p w14:paraId="49DB2210" w14:textId="77777777" w:rsidR="00002C52" w:rsidRPr="00EB1197" w:rsidRDefault="00002C52" w:rsidP="00002C52">
      <w:pPr>
        <w:rPr>
          <w:lang w:val="hy-AM"/>
        </w:rPr>
      </w:pPr>
    </w:p>
    <w:p w14:paraId="76B6A291" w14:textId="77777777" w:rsidR="00002C52" w:rsidRPr="00EB1197" w:rsidRDefault="00002C52" w:rsidP="00002C52">
      <w:pPr>
        <w:rPr>
          <w:lang w:val="hy-AM"/>
        </w:rPr>
      </w:pPr>
    </w:p>
    <w:p w14:paraId="57877DF3" w14:textId="77777777" w:rsidR="00002C52" w:rsidRPr="00EB1197" w:rsidRDefault="00002C52" w:rsidP="00002C52">
      <w:pPr>
        <w:rPr>
          <w:lang w:val="hy-AM"/>
        </w:rPr>
      </w:pPr>
    </w:p>
    <w:p w14:paraId="03F7B510" w14:textId="77777777" w:rsidR="00002C52" w:rsidRPr="00EB1197" w:rsidRDefault="00002C52" w:rsidP="00002C52">
      <w:pPr>
        <w:rPr>
          <w:lang w:val="hy-AM"/>
        </w:rPr>
      </w:pPr>
    </w:p>
    <w:p w14:paraId="50E9DBDC" w14:textId="77777777" w:rsidR="00002C52" w:rsidRPr="00EB1197" w:rsidRDefault="00002C52" w:rsidP="00002C52">
      <w:pPr>
        <w:rPr>
          <w:lang w:val="hy-AM"/>
        </w:rPr>
      </w:pPr>
    </w:p>
    <w:p w14:paraId="36A477D7" w14:textId="77777777" w:rsidR="00002C52" w:rsidRPr="00EB1197" w:rsidRDefault="00002C52" w:rsidP="00002C52">
      <w:pPr>
        <w:rPr>
          <w:lang w:val="hy-AM"/>
        </w:rPr>
      </w:pPr>
    </w:p>
    <w:p w14:paraId="5E9642AE" w14:textId="77777777" w:rsidR="00002C52" w:rsidRPr="00EB1197" w:rsidRDefault="00002C52" w:rsidP="00002C52">
      <w:pPr>
        <w:rPr>
          <w:lang w:val="hy-AM"/>
        </w:rPr>
      </w:pPr>
    </w:p>
    <w:p w14:paraId="4588E34E" w14:textId="77777777" w:rsidR="00002C52" w:rsidRPr="00EB1197" w:rsidRDefault="00002C52" w:rsidP="00002C52">
      <w:pPr>
        <w:rPr>
          <w:lang w:val="hy-AM"/>
        </w:rPr>
      </w:pPr>
    </w:p>
    <w:p w14:paraId="2F84F5DD" w14:textId="77777777" w:rsidR="00002C52" w:rsidRPr="00EB1197" w:rsidRDefault="00002C52" w:rsidP="00002C52">
      <w:pPr>
        <w:rPr>
          <w:lang w:val="hy-AM"/>
        </w:rPr>
      </w:pPr>
    </w:p>
    <w:p w14:paraId="1AD8E08D" w14:textId="77777777" w:rsidR="00002C52" w:rsidRPr="00EB1197" w:rsidRDefault="00002C52" w:rsidP="00002C52">
      <w:pPr>
        <w:rPr>
          <w:lang w:val="hy-AM"/>
        </w:rPr>
      </w:pPr>
    </w:p>
    <w:p w14:paraId="0D2B3CB8" w14:textId="77777777" w:rsidR="00002C52" w:rsidRPr="00EB1197" w:rsidRDefault="00002C52" w:rsidP="00002C52">
      <w:pPr>
        <w:rPr>
          <w:lang w:val="hy-AM"/>
        </w:rPr>
      </w:pPr>
    </w:p>
    <w:p w14:paraId="4EC51ADC" w14:textId="77777777" w:rsidR="009D2825" w:rsidRPr="003C716D" w:rsidRDefault="009D2825" w:rsidP="006F7D6E">
      <w:pPr>
        <w:pStyle w:val="Heading2"/>
        <w:numPr>
          <w:ilvl w:val="0"/>
          <w:numId w:val="0"/>
        </w:numPr>
        <w:ind w:left="450"/>
        <w:rPr>
          <w:b w:val="0"/>
          <w:bCs w:val="0"/>
          <w:spacing w:val="40"/>
          <w:kern w:val="32"/>
        </w:rPr>
      </w:pPr>
      <w:bookmarkStart w:id="279" w:name="_Toc519513633"/>
      <w:bookmarkStart w:id="280" w:name="_Toc13837291"/>
      <w:bookmarkStart w:id="281" w:name="_Toc45637515"/>
      <w:bookmarkStart w:id="282" w:name="_Toc45838539"/>
      <w:bookmarkStart w:id="283" w:name="_Toc46154367"/>
      <w:bookmarkStart w:id="284" w:name="_Toc519513706"/>
      <w:bookmarkStart w:id="285" w:name="_Toc13837387"/>
      <w:bookmarkStart w:id="286" w:name="_Toc296702416"/>
      <w:r w:rsidRPr="00BA32F2">
        <w:rPr>
          <w:sz w:val="28"/>
          <w:szCs w:val="28"/>
        </w:rPr>
        <w:t>ՀՀ 2021-2023ԹԹ</w:t>
      </w:r>
      <w:r w:rsidR="006B2C4E">
        <w:rPr>
          <w:sz w:val="28"/>
          <w:szCs w:val="28"/>
          <w:lang w:val="hy-AM"/>
        </w:rPr>
        <w:t>.</w:t>
      </w:r>
      <w:r w:rsidRPr="00BA32F2">
        <w:rPr>
          <w:sz w:val="28"/>
          <w:szCs w:val="28"/>
        </w:rPr>
        <w:t xml:space="preserve"> ՊԵՏԱԿԱՆ ԲՅՈՒՋԵՆԵՐԻ ԾԱԽՍԱՅԻՆ ԳԵՐԱԿԱՅՈՒԹՅՈՒՆՆԵՐԸ</w:t>
      </w:r>
      <w:bookmarkEnd w:id="279"/>
      <w:bookmarkEnd w:id="280"/>
      <w:bookmarkEnd w:id="281"/>
      <w:bookmarkEnd w:id="282"/>
      <w:bookmarkEnd w:id="283"/>
    </w:p>
    <w:p w14:paraId="7AA456B7" w14:textId="77777777" w:rsidR="006B2C4E" w:rsidRDefault="006B2C4E" w:rsidP="009D2825">
      <w:pPr>
        <w:spacing w:line="360" w:lineRule="auto"/>
        <w:ind w:firstLine="720"/>
        <w:rPr>
          <w:rFonts w:cs="Sylfaen"/>
          <w:lang w:val="hy-AM"/>
        </w:rPr>
      </w:pPr>
    </w:p>
    <w:p w14:paraId="0D9FA0CC" w14:textId="77777777" w:rsidR="009D2825" w:rsidRPr="003C716D" w:rsidRDefault="009D2825" w:rsidP="009A7904">
      <w:pPr>
        <w:spacing w:line="276" w:lineRule="auto"/>
        <w:ind w:firstLine="720"/>
        <w:rPr>
          <w:lang w:val="es-ES"/>
        </w:rPr>
      </w:pPr>
      <w:r w:rsidRPr="006B2C4E">
        <w:rPr>
          <w:rFonts w:cs="Sylfaen"/>
          <w:lang w:val="hy-AM"/>
        </w:rPr>
        <w:t>Ծախսային</w:t>
      </w:r>
      <w:r w:rsidRPr="003C716D">
        <w:rPr>
          <w:lang w:val="es-ES"/>
        </w:rPr>
        <w:t xml:space="preserve"> </w:t>
      </w:r>
      <w:r w:rsidRPr="006B2C4E">
        <w:rPr>
          <w:rFonts w:cs="Sylfaen"/>
          <w:lang w:val="hy-AM"/>
        </w:rPr>
        <w:t>քաղաքականության</w:t>
      </w:r>
      <w:r w:rsidRPr="003C716D">
        <w:rPr>
          <w:lang w:val="es-ES"/>
        </w:rPr>
        <w:t xml:space="preserve"> </w:t>
      </w:r>
      <w:r w:rsidRPr="006B2C4E">
        <w:rPr>
          <w:rFonts w:cs="Sylfaen"/>
          <w:lang w:val="hy-AM"/>
        </w:rPr>
        <w:t>ռազմավարությունը</w:t>
      </w:r>
      <w:r w:rsidRPr="003C716D">
        <w:rPr>
          <w:lang w:val="es-ES"/>
        </w:rPr>
        <w:t xml:space="preserve"> </w:t>
      </w:r>
      <w:r w:rsidRPr="006B2C4E">
        <w:rPr>
          <w:rFonts w:cs="Sylfaen"/>
          <w:lang w:val="hy-AM"/>
        </w:rPr>
        <w:t>շարադրող</w:t>
      </w:r>
      <w:r w:rsidRPr="003C716D">
        <w:rPr>
          <w:lang w:val="es-ES"/>
        </w:rPr>
        <w:t xml:space="preserve"> </w:t>
      </w:r>
      <w:r w:rsidRPr="006B2C4E">
        <w:rPr>
          <w:rFonts w:cs="Sylfaen"/>
          <w:lang w:val="hy-AM"/>
        </w:rPr>
        <w:t>փաստաթղթում</w:t>
      </w:r>
      <w:r w:rsidRPr="003C716D">
        <w:rPr>
          <w:rFonts w:cs="Sylfaen"/>
          <w:lang w:val="es-ES"/>
        </w:rPr>
        <w:t xml:space="preserve"> </w:t>
      </w:r>
      <w:r w:rsidRPr="003C716D">
        <w:rPr>
          <w:lang w:val="es-ES"/>
        </w:rPr>
        <w:t xml:space="preserve"> </w:t>
      </w:r>
      <w:r w:rsidRPr="006B2C4E">
        <w:rPr>
          <w:rFonts w:cs="Sylfaen"/>
          <w:lang w:val="hy-AM"/>
        </w:rPr>
        <w:t>ընդ</w:t>
      </w:r>
      <w:r w:rsidRPr="003C716D">
        <w:rPr>
          <w:rFonts w:cs="Sylfaen"/>
          <w:lang w:val="es-ES"/>
        </w:rPr>
        <w:softHyphen/>
      </w:r>
      <w:r w:rsidRPr="006B2C4E">
        <w:rPr>
          <w:rFonts w:cs="Sylfaen"/>
          <w:lang w:val="hy-AM"/>
        </w:rPr>
        <w:t>հանուր</w:t>
      </w:r>
      <w:r w:rsidRPr="003C716D">
        <w:rPr>
          <w:lang w:val="es-ES"/>
        </w:rPr>
        <w:t xml:space="preserve"> </w:t>
      </w:r>
      <w:r w:rsidRPr="006B2C4E">
        <w:rPr>
          <w:rFonts w:cs="Sylfaen"/>
          <w:lang w:val="hy-AM"/>
        </w:rPr>
        <w:t>գծե</w:t>
      </w:r>
      <w:r w:rsidRPr="003C716D">
        <w:rPr>
          <w:rFonts w:cs="Sylfaen"/>
          <w:lang w:val="es-ES"/>
        </w:rPr>
        <w:softHyphen/>
      </w:r>
      <w:r w:rsidRPr="006B2C4E">
        <w:rPr>
          <w:rFonts w:cs="Sylfaen"/>
          <w:lang w:val="hy-AM"/>
        </w:rPr>
        <w:t>րով</w:t>
      </w:r>
      <w:r w:rsidRPr="003C716D">
        <w:rPr>
          <w:lang w:val="es-ES"/>
        </w:rPr>
        <w:t xml:space="preserve"> </w:t>
      </w:r>
      <w:r w:rsidRPr="006B2C4E">
        <w:rPr>
          <w:rFonts w:cs="Sylfaen"/>
          <w:lang w:val="hy-AM"/>
        </w:rPr>
        <w:t>ներկայացվում</w:t>
      </w:r>
      <w:r w:rsidRPr="003C716D">
        <w:rPr>
          <w:lang w:val="es-ES"/>
        </w:rPr>
        <w:t xml:space="preserve"> </w:t>
      </w:r>
      <w:r w:rsidRPr="006B2C4E">
        <w:rPr>
          <w:rFonts w:cs="Sylfaen"/>
          <w:lang w:val="hy-AM"/>
        </w:rPr>
        <w:t>են</w:t>
      </w:r>
      <w:r w:rsidRPr="003C716D">
        <w:rPr>
          <w:lang w:val="es-ES"/>
        </w:rPr>
        <w:t xml:space="preserve"> 202</w:t>
      </w:r>
      <w:r>
        <w:rPr>
          <w:lang w:val="hy-AM"/>
        </w:rPr>
        <w:t>1</w:t>
      </w:r>
      <w:r w:rsidRPr="003C716D">
        <w:rPr>
          <w:lang w:val="es-ES"/>
        </w:rPr>
        <w:t>-202</w:t>
      </w:r>
      <w:r>
        <w:rPr>
          <w:lang w:val="hy-AM"/>
        </w:rPr>
        <w:t>3</w:t>
      </w:r>
      <w:r w:rsidRPr="003C716D">
        <w:rPr>
          <w:lang w:val="es-ES"/>
        </w:rPr>
        <w:t xml:space="preserve">թթ. </w:t>
      </w:r>
      <w:r w:rsidRPr="006B2C4E">
        <w:rPr>
          <w:rFonts w:cs="Sylfaen"/>
          <w:lang w:val="hy-AM"/>
        </w:rPr>
        <w:t>ժամանակահատվածում</w:t>
      </w:r>
      <w:r w:rsidRPr="003C716D">
        <w:rPr>
          <w:lang w:val="es-ES"/>
        </w:rPr>
        <w:t xml:space="preserve"> </w:t>
      </w:r>
      <w:r w:rsidRPr="006B2C4E">
        <w:rPr>
          <w:rFonts w:cs="Sylfaen"/>
          <w:lang w:val="hy-AM"/>
        </w:rPr>
        <w:t>պետական</w:t>
      </w:r>
      <w:r w:rsidRPr="003C716D">
        <w:rPr>
          <w:lang w:val="es-ES"/>
        </w:rPr>
        <w:t xml:space="preserve"> </w:t>
      </w:r>
      <w:r w:rsidRPr="006B2C4E">
        <w:rPr>
          <w:rFonts w:cs="Sylfaen"/>
          <w:lang w:val="hy-AM"/>
        </w:rPr>
        <w:t>բյուջեի</w:t>
      </w:r>
      <w:r w:rsidRPr="003C716D">
        <w:rPr>
          <w:lang w:val="es-ES"/>
        </w:rPr>
        <w:t xml:space="preserve"> </w:t>
      </w:r>
      <w:r w:rsidRPr="006B2C4E">
        <w:rPr>
          <w:rFonts w:cs="Sylfaen"/>
          <w:lang w:val="hy-AM"/>
        </w:rPr>
        <w:t>ծախսերի</w:t>
      </w:r>
      <w:r w:rsidRPr="003C716D">
        <w:rPr>
          <w:lang w:val="es-ES"/>
        </w:rPr>
        <w:t xml:space="preserve"> </w:t>
      </w:r>
      <w:r w:rsidRPr="006B2C4E">
        <w:rPr>
          <w:rFonts w:cs="Sylfaen"/>
          <w:lang w:val="hy-AM"/>
        </w:rPr>
        <w:t>ըստ</w:t>
      </w:r>
      <w:r w:rsidRPr="003C716D">
        <w:rPr>
          <w:lang w:val="es-ES"/>
        </w:rPr>
        <w:t xml:space="preserve"> </w:t>
      </w:r>
      <w:r w:rsidRPr="006B2C4E">
        <w:rPr>
          <w:rFonts w:cs="Sylfaen"/>
          <w:lang w:val="hy-AM"/>
        </w:rPr>
        <w:t>բնագավառների</w:t>
      </w:r>
      <w:r w:rsidRPr="003C716D">
        <w:rPr>
          <w:lang w:val="es-ES"/>
        </w:rPr>
        <w:t xml:space="preserve"> </w:t>
      </w:r>
      <w:r w:rsidRPr="006B2C4E">
        <w:rPr>
          <w:rFonts w:cs="Sylfaen"/>
          <w:lang w:val="hy-AM"/>
        </w:rPr>
        <w:t>քա</w:t>
      </w:r>
      <w:r w:rsidRPr="003C716D">
        <w:rPr>
          <w:rFonts w:cs="Sylfaen"/>
          <w:lang w:val="es-ES"/>
        </w:rPr>
        <w:softHyphen/>
      </w:r>
      <w:r w:rsidRPr="006B2C4E">
        <w:rPr>
          <w:rFonts w:cs="Sylfaen"/>
          <w:lang w:val="hy-AM"/>
        </w:rPr>
        <w:t>ղա</w:t>
      </w:r>
      <w:r w:rsidRPr="003C716D">
        <w:rPr>
          <w:rFonts w:cs="Sylfaen"/>
          <w:lang w:val="es-ES"/>
        </w:rPr>
        <w:softHyphen/>
      </w:r>
      <w:r w:rsidRPr="006B2C4E">
        <w:rPr>
          <w:rFonts w:cs="Sylfaen"/>
          <w:lang w:val="hy-AM"/>
        </w:rPr>
        <w:t>քականության</w:t>
      </w:r>
      <w:r w:rsidRPr="003C716D">
        <w:rPr>
          <w:lang w:val="es-ES"/>
        </w:rPr>
        <w:t xml:space="preserve"> </w:t>
      </w:r>
      <w:r w:rsidRPr="006B2C4E">
        <w:rPr>
          <w:rFonts w:cs="Sylfaen"/>
          <w:lang w:val="hy-AM"/>
        </w:rPr>
        <w:t>գերակայությունները</w:t>
      </w:r>
      <w:r w:rsidRPr="003C716D">
        <w:rPr>
          <w:lang w:val="es-ES"/>
        </w:rPr>
        <w:t xml:space="preserve">: </w:t>
      </w:r>
      <w:r w:rsidRPr="006B2C4E">
        <w:rPr>
          <w:rFonts w:cs="Sylfaen"/>
          <w:lang w:val="hy-AM"/>
        </w:rPr>
        <w:t>Այս</w:t>
      </w:r>
      <w:r w:rsidRPr="003C716D">
        <w:rPr>
          <w:lang w:val="es-ES"/>
        </w:rPr>
        <w:t xml:space="preserve"> </w:t>
      </w:r>
      <w:r w:rsidRPr="006B2C4E">
        <w:rPr>
          <w:rFonts w:cs="Sylfaen"/>
          <w:lang w:val="hy-AM"/>
        </w:rPr>
        <w:t>գերակայությունները</w:t>
      </w:r>
      <w:r w:rsidRPr="003C716D">
        <w:rPr>
          <w:lang w:val="es-ES"/>
        </w:rPr>
        <w:t xml:space="preserve"> </w:t>
      </w:r>
      <w:r w:rsidRPr="006B2C4E">
        <w:rPr>
          <w:rFonts w:cs="Sylfaen"/>
          <w:lang w:val="hy-AM"/>
        </w:rPr>
        <w:t>բխում</w:t>
      </w:r>
      <w:r w:rsidRPr="003C716D">
        <w:rPr>
          <w:lang w:val="es-ES"/>
        </w:rPr>
        <w:t xml:space="preserve"> </w:t>
      </w:r>
      <w:r w:rsidRPr="006B2C4E">
        <w:rPr>
          <w:rFonts w:cs="Sylfaen"/>
          <w:lang w:val="hy-AM"/>
        </w:rPr>
        <w:t>են</w:t>
      </w:r>
      <w:r w:rsidRPr="003C716D">
        <w:rPr>
          <w:lang w:val="es-ES"/>
        </w:rPr>
        <w:t xml:space="preserve"> Կ</w:t>
      </w:r>
      <w:r w:rsidRPr="006B2C4E">
        <w:rPr>
          <w:rFonts w:cs="Sylfaen"/>
          <w:lang w:val="hy-AM"/>
        </w:rPr>
        <w:t>առա</w:t>
      </w:r>
      <w:r w:rsidRPr="003C716D">
        <w:rPr>
          <w:rFonts w:cs="Sylfaen"/>
          <w:lang w:val="es-ES"/>
        </w:rPr>
        <w:softHyphen/>
      </w:r>
      <w:r w:rsidRPr="006B2C4E">
        <w:rPr>
          <w:rFonts w:cs="Sylfaen"/>
          <w:lang w:val="hy-AM"/>
        </w:rPr>
        <w:t>վարության</w:t>
      </w:r>
      <w:r w:rsidRPr="003C716D">
        <w:rPr>
          <w:lang w:val="es-ES"/>
        </w:rPr>
        <w:t xml:space="preserve"> </w:t>
      </w:r>
      <w:r w:rsidRPr="006B2C4E">
        <w:rPr>
          <w:rFonts w:cs="Sylfaen"/>
          <w:lang w:val="hy-AM"/>
        </w:rPr>
        <w:t>ընդ</w:t>
      </w:r>
      <w:r w:rsidRPr="003C716D">
        <w:rPr>
          <w:rFonts w:cs="Sylfaen"/>
          <w:lang w:val="es-ES"/>
        </w:rPr>
        <w:softHyphen/>
      </w:r>
      <w:r w:rsidRPr="006B2C4E">
        <w:rPr>
          <w:rFonts w:cs="Sylfaen"/>
          <w:lang w:val="hy-AM"/>
        </w:rPr>
        <w:t>հա</w:t>
      </w:r>
      <w:r w:rsidRPr="003C716D">
        <w:rPr>
          <w:rFonts w:cs="Sylfaen"/>
          <w:lang w:val="es-ES"/>
        </w:rPr>
        <w:softHyphen/>
      </w:r>
      <w:r w:rsidRPr="006B2C4E">
        <w:rPr>
          <w:rFonts w:cs="Sylfaen"/>
          <w:lang w:val="hy-AM"/>
        </w:rPr>
        <w:t>նուր</w:t>
      </w:r>
      <w:r w:rsidRPr="003C716D">
        <w:rPr>
          <w:lang w:val="es-ES"/>
        </w:rPr>
        <w:t xml:space="preserve"> </w:t>
      </w:r>
      <w:r w:rsidRPr="006B2C4E">
        <w:rPr>
          <w:rFonts w:cs="Sylfaen"/>
          <w:lang w:val="hy-AM"/>
        </w:rPr>
        <w:t>ռազ</w:t>
      </w:r>
      <w:r w:rsidRPr="003C716D">
        <w:rPr>
          <w:rFonts w:cs="Sylfaen"/>
          <w:lang w:val="es-ES"/>
        </w:rPr>
        <w:softHyphen/>
      </w:r>
      <w:r w:rsidRPr="006B2C4E">
        <w:rPr>
          <w:rFonts w:cs="Sylfaen"/>
          <w:lang w:val="hy-AM"/>
        </w:rPr>
        <w:t>մավարական</w:t>
      </w:r>
      <w:r w:rsidRPr="003C716D">
        <w:rPr>
          <w:lang w:val="es-ES"/>
        </w:rPr>
        <w:t xml:space="preserve"> </w:t>
      </w:r>
      <w:r w:rsidRPr="006B2C4E">
        <w:rPr>
          <w:rFonts w:cs="Sylfaen"/>
          <w:lang w:val="hy-AM"/>
        </w:rPr>
        <w:t>գերակայությունների</w:t>
      </w:r>
      <w:r w:rsidRPr="003C716D">
        <w:rPr>
          <w:lang w:val="es-ES"/>
        </w:rPr>
        <w:t xml:space="preserve"> </w:t>
      </w:r>
      <w:r w:rsidRPr="006B2C4E">
        <w:rPr>
          <w:rFonts w:cs="Sylfaen"/>
          <w:lang w:val="hy-AM"/>
        </w:rPr>
        <w:t>համա</w:t>
      </w:r>
      <w:r w:rsidRPr="003C716D">
        <w:rPr>
          <w:rFonts w:cs="Sylfaen"/>
          <w:lang w:val="es-ES"/>
        </w:rPr>
        <w:softHyphen/>
      </w:r>
      <w:r w:rsidRPr="006B2C4E">
        <w:rPr>
          <w:rFonts w:cs="Sylfaen"/>
          <w:lang w:val="hy-AM"/>
        </w:rPr>
        <w:t>տեքստից</w:t>
      </w:r>
      <w:r w:rsidRPr="003C716D">
        <w:rPr>
          <w:lang w:val="es-ES"/>
        </w:rPr>
        <w:t xml:space="preserve"> (Կ</w:t>
      </w:r>
      <w:r w:rsidRPr="006B2C4E">
        <w:rPr>
          <w:rFonts w:cs="Sylfaen"/>
          <w:lang w:val="hy-AM"/>
        </w:rPr>
        <w:t>առա</w:t>
      </w:r>
      <w:r w:rsidRPr="003C716D">
        <w:rPr>
          <w:rFonts w:cs="Sylfaen"/>
          <w:lang w:val="es-ES"/>
        </w:rPr>
        <w:softHyphen/>
      </w:r>
      <w:r w:rsidRPr="006B2C4E">
        <w:rPr>
          <w:rFonts w:cs="Sylfaen"/>
          <w:lang w:val="hy-AM"/>
        </w:rPr>
        <w:t>վա</w:t>
      </w:r>
      <w:r w:rsidRPr="003C716D">
        <w:rPr>
          <w:rFonts w:cs="Sylfaen"/>
          <w:lang w:val="es-ES"/>
        </w:rPr>
        <w:softHyphen/>
      </w:r>
      <w:r w:rsidRPr="006B2C4E">
        <w:rPr>
          <w:rFonts w:cs="Sylfaen"/>
          <w:lang w:val="hy-AM"/>
        </w:rPr>
        <w:t>րության</w:t>
      </w:r>
      <w:r w:rsidRPr="003C716D">
        <w:rPr>
          <w:lang w:val="es-ES"/>
        </w:rPr>
        <w:t xml:space="preserve"> </w:t>
      </w:r>
      <w:r w:rsidRPr="006B2C4E">
        <w:rPr>
          <w:rFonts w:cs="Sylfaen"/>
          <w:lang w:val="hy-AM"/>
        </w:rPr>
        <w:t>ծրագիր</w:t>
      </w:r>
      <w:r w:rsidRPr="003C716D">
        <w:rPr>
          <w:rFonts w:cs="Sylfaen"/>
          <w:lang w:val="es-ES"/>
        </w:rPr>
        <w:t xml:space="preserve">, </w:t>
      </w:r>
      <w:r w:rsidRPr="006B2C4E">
        <w:rPr>
          <w:rFonts w:cs="Sylfaen"/>
          <w:lang w:val="hy-AM"/>
        </w:rPr>
        <w:t>տար</w:t>
      </w:r>
      <w:r w:rsidRPr="003C716D">
        <w:rPr>
          <w:rFonts w:cs="Sylfaen"/>
          <w:lang w:val="es-ES"/>
        </w:rPr>
        <w:softHyphen/>
      </w:r>
      <w:r w:rsidRPr="006B2C4E">
        <w:rPr>
          <w:rFonts w:cs="Sylfaen"/>
          <w:lang w:val="hy-AM"/>
        </w:rPr>
        <w:t>բեր</w:t>
      </w:r>
      <w:r w:rsidRPr="003C716D">
        <w:rPr>
          <w:rFonts w:cs="Sylfaen"/>
          <w:lang w:val="es-ES"/>
        </w:rPr>
        <w:t xml:space="preserve"> </w:t>
      </w:r>
      <w:r w:rsidRPr="006B2C4E">
        <w:rPr>
          <w:rFonts w:cs="Sylfaen"/>
          <w:lang w:val="hy-AM"/>
        </w:rPr>
        <w:t>ոլորտ</w:t>
      </w:r>
      <w:r w:rsidRPr="003C716D">
        <w:rPr>
          <w:rFonts w:cs="Sylfaen"/>
          <w:lang w:val="es-ES"/>
        </w:rPr>
        <w:softHyphen/>
      </w:r>
      <w:r w:rsidRPr="006B2C4E">
        <w:rPr>
          <w:rFonts w:cs="Sylfaen"/>
          <w:lang w:val="hy-AM"/>
        </w:rPr>
        <w:t>նե</w:t>
      </w:r>
      <w:r w:rsidRPr="003C716D">
        <w:rPr>
          <w:rFonts w:cs="Sylfaen"/>
          <w:lang w:val="es-ES"/>
        </w:rPr>
        <w:softHyphen/>
      </w:r>
      <w:r w:rsidRPr="006B2C4E">
        <w:rPr>
          <w:rFonts w:cs="Sylfaen"/>
          <w:lang w:val="hy-AM"/>
        </w:rPr>
        <w:t>րում</w:t>
      </w:r>
      <w:r w:rsidRPr="003C716D">
        <w:rPr>
          <w:rFonts w:cs="Sylfaen"/>
          <w:lang w:val="es-ES"/>
        </w:rPr>
        <w:t xml:space="preserve"> Կ</w:t>
      </w:r>
      <w:r w:rsidRPr="006B2C4E">
        <w:rPr>
          <w:rFonts w:cs="Sylfaen"/>
          <w:lang w:val="hy-AM"/>
        </w:rPr>
        <w:t>առավարության</w:t>
      </w:r>
      <w:r w:rsidRPr="003C716D">
        <w:rPr>
          <w:rFonts w:cs="Sylfaen"/>
          <w:lang w:val="es-ES"/>
        </w:rPr>
        <w:t xml:space="preserve"> </w:t>
      </w:r>
      <w:r w:rsidRPr="006B2C4E">
        <w:rPr>
          <w:rFonts w:cs="Sylfaen"/>
          <w:lang w:val="hy-AM"/>
        </w:rPr>
        <w:t>կողմից</w:t>
      </w:r>
      <w:r w:rsidRPr="003C716D">
        <w:rPr>
          <w:rFonts w:cs="Sylfaen"/>
          <w:lang w:val="es-ES"/>
        </w:rPr>
        <w:t xml:space="preserve"> </w:t>
      </w:r>
      <w:r w:rsidRPr="006B2C4E">
        <w:rPr>
          <w:rFonts w:cs="Sylfaen"/>
          <w:lang w:val="hy-AM"/>
        </w:rPr>
        <w:t>ընդուն</w:t>
      </w:r>
      <w:r w:rsidRPr="003C716D">
        <w:rPr>
          <w:rFonts w:cs="Sylfaen"/>
          <w:lang w:val="es-ES"/>
        </w:rPr>
        <w:softHyphen/>
      </w:r>
      <w:r w:rsidRPr="006B2C4E">
        <w:rPr>
          <w:rFonts w:cs="Sylfaen"/>
          <w:lang w:val="hy-AM"/>
        </w:rPr>
        <w:t>ված</w:t>
      </w:r>
      <w:r w:rsidRPr="003C716D">
        <w:rPr>
          <w:rFonts w:cs="Sylfaen"/>
          <w:lang w:val="es-ES"/>
        </w:rPr>
        <w:t xml:space="preserve"> </w:t>
      </w:r>
      <w:r w:rsidRPr="006B2C4E">
        <w:rPr>
          <w:rFonts w:cs="Sylfaen"/>
          <w:lang w:val="hy-AM"/>
        </w:rPr>
        <w:t>մի</w:t>
      </w:r>
      <w:r w:rsidRPr="003C716D">
        <w:rPr>
          <w:rFonts w:cs="Sylfaen"/>
          <w:lang w:val="es-ES"/>
        </w:rPr>
        <w:t xml:space="preserve"> </w:t>
      </w:r>
      <w:r w:rsidRPr="006B2C4E">
        <w:rPr>
          <w:rFonts w:cs="Sylfaen"/>
          <w:lang w:val="hy-AM"/>
        </w:rPr>
        <w:t>շարք</w:t>
      </w:r>
      <w:r w:rsidRPr="003C716D">
        <w:rPr>
          <w:rFonts w:cs="Sylfaen"/>
          <w:lang w:val="es-ES"/>
        </w:rPr>
        <w:t xml:space="preserve"> </w:t>
      </w:r>
      <w:r w:rsidRPr="006B2C4E">
        <w:rPr>
          <w:rFonts w:cs="Sylfaen"/>
          <w:lang w:val="hy-AM"/>
        </w:rPr>
        <w:t>միջնաժամկետ</w:t>
      </w:r>
      <w:r w:rsidRPr="003C716D">
        <w:rPr>
          <w:rFonts w:cs="Sylfaen"/>
          <w:lang w:val="es-ES"/>
        </w:rPr>
        <w:t xml:space="preserve"> </w:t>
      </w:r>
      <w:r w:rsidRPr="006B2C4E">
        <w:rPr>
          <w:rFonts w:cs="Sylfaen"/>
          <w:lang w:val="hy-AM"/>
        </w:rPr>
        <w:t>և</w:t>
      </w:r>
      <w:r w:rsidRPr="003C716D">
        <w:rPr>
          <w:rFonts w:cs="Sylfaen"/>
          <w:lang w:val="es-ES"/>
        </w:rPr>
        <w:t xml:space="preserve"> </w:t>
      </w:r>
      <w:r w:rsidRPr="006B2C4E">
        <w:rPr>
          <w:rFonts w:cs="Sylfaen"/>
          <w:lang w:val="hy-AM"/>
        </w:rPr>
        <w:t>եր</w:t>
      </w:r>
      <w:r w:rsidRPr="003C716D">
        <w:rPr>
          <w:rFonts w:cs="Sylfaen"/>
          <w:lang w:val="es-ES"/>
        </w:rPr>
        <w:softHyphen/>
      </w:r>
      <w:r w:rsidRPr="006B2C4E">
        <w:rPr>
          <w:rFonts w:cs="Sylfaen"/>
          <w:lang w:val="hy-AM"/>
        </w:rPr>
        <w:t>կա</w:t>
      </w:r>
      <w:r w:rsidRPr="003C716D">
        <w:rPr>
          <w:rFonts w:cs="Sylfaen"/>
          <w:lang w:val="es-ES"/>
        </w:rPr>
        <w:softHyphen/>
      </w:r>
      <w:r w:rsidRPr="006B2C4E">
        <w:rPr>
          <w:rFonts w:cs="Sylfaen"/>
          <w:lang w:val="hy-AM"/>
        </w:rPr>
        <w:t>րաժամկետ</w:t>
      </w:r>
      <w:r w:rsidRPr="003C716D">
        <w:rPr>
          <w:rFonts w:cs="Sylfaen"/>
          <w:lang w:val="es-ES"/>
        </w:rPr>
        <w:t xml:space="preserve"> </w:t>
      </w:r>
      <w:r w:rsidRPr="006B2C4E">
        <w:rPr>
          <w:rFonts w:cs="Sylfaen"/>
          <w:lang w:val="hy-AM"/>
        </w:rPr>
        <w:t>ծրագրեր</w:t>
      </w:r>
      <w:r w:rsidRPr="003C716D">
        <w:rPr>
          <w:rFonts w:cs="Sylfaen"/>
          <w:lang w:val="es-ES"/>
        </w:rPr>
        <w:t xml:space="preserve"> </w:t>
      </w:r>
      <w:r w:rsidRPr="006B2C4E">
        <w:rPr>
          <w:rFonts w:cs="Sylfaen"/>
          <w:lang w:val="hy-AM"/>
        </w:rPr>
        <w:t>և</w:t>
      </w:r>
      <w:r w:rsidRPr="003C716D">
        <w:rPr>
          <w:rFonts w:cs="Sylfaen"/>
          <w:lang w:val="es-ES"/>
        </w:rPr>
        <w:t xml:space="preserve"> </w:t>
      </w:r>
      <w:r w:rsidRPr="006B2C4E">
        <w:rPr>
          <w:rFonts w:cs="Sylfaen"/>
          <w:lang w:val="hy-AM"/>
        </w:rPr>
        <w:t>այլն</w:t>
      </w:r>
      <w:r w:rsidRPr="003C716D">
        <w:rPr>
          <w:rFonts w:cs="Sylfaen"/>
          <w:lang w:val="es-ES"/>
        </w:rPr>
        <w:t xml:space="preserve">) </w:t>
      </w:r>
      <w:r w:rsidRPr="006B2C4E">
        <w:rPr>
          <w:rFonts w:cs="Sylfaen"/>
          <w:lang w:val="hy-AM"/>
        </w:rPr>
        <w:t>և</w:t>
      </w:r>
      <w:r w:rsidRPr="003C716D">
        <w:rPr>
          <w:rFonts w:cs="Sylfaen"/>
          <w:lang w:val="es-ES"/>
        </w:rPr>
        <w:t xml:space="preserve"> </w:t>
      </w:r>
      <w:r w:rsidRPr="006B2C4E">
        <w:rPr>
          <w:rFonts w:cs="Sylfaen"/>
          <w:lang w:val="hy-AM"/>
        </w:rPr>
        <w:t>պետք</w:t>
      </w:r>
      <w:r w:rsidRPr="003C716D">
        <w:rPr>
          <w:rFonts w:cs="Sylfaen"/>
          <w:lang w:val="es-ES"/>
        </w:rPr>
        <w:t xml:space="preserve"> </w:t>
      </w:r>
      <w:r w:rsidRPr="006B2C4E">
        <w:rPr>
          <w:rFonts w:cs="Sylfaen"/>
          <w:lang w:val="hy-AM"/>
        </w:rPr>
        <w:t>է</w:t>
      </w:r>
      <w:r w:rsidRPr="003C716D">
        <w:rPr>
          <w:rFonts w:cs="Sylfaen"/>
          <w:lang w:val="es-ES"/>
        </w:rPr>
        <w:t xml:space="preserve"> </w:t>
      </w:r>
      <w:r w:rsidRPr="006B2C4E">
        <w:rPr>
          <w:rFonts w:cs="Sylfaen"/>
          <w:lang w:val="hy-AM"/>
        </w:rPr>
        <w:t>ծառայեն</w:t>
      </w:r>
      <w:r w:rsidRPr="003C716D">
        <w:rPr>
          <w:rFonts w:cs="Sylfaen"/>
          <w:lang w:val="es-ES"/>
        </w:rPr>
        <w:t xml:space="preserve"> </w:t>
      </w:r>
      <w:r w:rsidRPr="006B2C4E">
        <w:rPr>
          <w:rFonts w:cs="Sylfaen"/>
          <w:lang w:val="hy-AM"/>
        </w:rPr>
        <w:t>որպես</w:t>
      </w:r>
      <w:r w:rsidRPr="003C716D">
        <w:rPr>
          <w:rFonts w:cs="Sylfaen"/>
          <w:lang w:val="es-ES"/>
        </w:rPr>
        <w:t xml:space="preserve"> </w:t>
      </w:r>
      <w:r w:rsidRPr="006B2C4E">
        <w:rPr>
          <w:rFonts w:cs="Sylfaen"/>
          <w:lang w:val="hy-AM"/>
        </w:rPr>
        <w:t>հիմք</w:t>
      </w:r>
      <w:r w:rsidRPr="003C716D">
        <w:rPr>
          <w:rFonts w:cs="Sylfaen"/>
          <w:lang w:val="es-ES"/>
        </w:rPr>
        <w:t xml:space="preserve">` </w:t>
      </w:r>
      <w:r w:rsidRPr="006B2C4E">
        <w:rPr>
          <w:rFonts w:cs="Sylfaen"/>
          <w:lang w:val="hy-AM"/>
        </w:rPr>
        <w:t>ՀՀ</w:t>
      </w:r>
      <w:r w:rsidRPr="003C716D">
        <w:rPr>
          <w:rFonts w:cs="Sylfaen"/>
          <w:lang w:val="es-ES"/>
        </w:rPr>
        <w:t xml:space="preserve"> 202</w:t>
      </w:r>
      <w:r>
        <w:rPr>
          <w:rFonts w:cs="Sylfaen"/>
          <w:lang w:val="hy-AM"/>
        </w:rPr>
        <w:t>1</w:t>
      </w:r>
      <w:r w:rsidRPr="003C716D">
        <w:rPr>
          <w:rFonts w:cs="Sylfaen"/>
          <w:lang w:val="es-ES"/>
        </w:rPr>
        <w:t xml:space="preserve"> թվակա</w:t>
      </w:r>
      <w:r w:rsidRPr="006B2C4E">
        <w:rPr>
          <w:rFonts w:cs="Sylfaen"/>
          <w:lang w:val="hy-AM"/>
        </w:rPr>
        <w:t>նի</w:t>
      </w:r>
      <w:r w:rsidRPr="003C716D">
        <w:rPr>
          <w:rFonts w:cs="Sylfaen"/>
          <w:lang w:val="es-ES"/>
        </w:rPr>
        <w:t xml:space="preserve"> </w:t>
      </w:r>
      <w:r w:rsidRPr="006B2C4E">
        <w:rPr>
          <w:rFonts w:cs="Sylfaen"/>
          <w:lang w:val="hy-AM"/>
        </w:rPr>
        <w:t>պետական</w:t>
      </w:r>
      <w:r w:rsidRPr="003C716D">
        <w:rPr>
          <w:rFonts w:cs="Sylfaen"/>
          <w:lang w:val="es-ES"/>
        </w:rPr>
        <w:t xml:space="preserve"> </w:t>
      </w:r>
      <w:r w:rsidRPr="006B2C4E">
        <w:rPr>
          <w:rFonts w:cs="Sylfaen"/>
          <w:lang w:val="hy-AM"/>
        </w:rPr>
        <w:t>բյուջեի</w:t>
      </w:r>
      <w:r w:rsidRPr="003C716D">
        <w:rPr>
          <w:lang w:val="es-ES"/>
        </w:rPr>
        <w:t xml:space="preserve"> </w:t>
      </w:r>
      <w:r w:rsidRPr="006B2C4E">
        <w:rPr>
          <w:rFonts w:cs="Sylfaen"/>
          <w:lang w:val="hy-AM"/>
        </w:rPr>
        <w:t>նա</w:t>
      </w:r>
      <w:r w:rsidRPr="003C716D">
        <w:rPr>
          <w:rFonts w:cs="Sylfaen"/>
          <w:lang w:val="es-ES"/>
        </w:rPr>
        <w:softHyphen/>
      </w:r>
      <w:r w:rsidRPr="006B2C4E">
        <w:rPr>
          <w:rFonts w:cs="Sylfaen"/>
          <w:lang w:val="hy-AM"/>
        </w:rPr>
        <w:t>խագծի</w:t>
      </w:r>
      <w:r w:rsidRPr="003C716D">
        <w:rPr>
          <w:lang w:val="es-ES"/>
        </w:rPr>
        <w:t xml:space="preserve"> </w:t>
      </w:r>
      <w:r w:rsidRPr="006B2C4E">
        <w:rPr>
          <w:rFonts w:cs="Sylfaen"/>
          <w:lang w:val="hy-AM"/>
        </w:rPr>
        <w:t>մշակման</w:t>
      </w:r>
      <w:r w:rsidRPr="003C716D">
        <w:rPr>
          <w:lang w:val="es-ES"/>
        </w:rPr>
        <w:t xml:space="preserve"> </w:t>
      </w:r>
      <w:r w:rsidRPr="006B2C4E">
        <w:rPr>
          <w:rFonts w:cs="Sylfaen"/>
          <w:lang w:val="hy-AM"/>
        </w:rPr>
        <w:t>համար</w:t>
      </w:r>
      <w:r w:rsidRPr="003C716D">
        <w:rPr>
          <w:lang w:val="es-ES"/>
        </w:rPr>
        <w:t xml:space="preserve">: </w:t>
      </w:r>
    </w:p>
    <w:p w14:paraId="3FE85E64" w14:textId="77777777" w:rsidR="009D2825" w:rsidRPr="003C716D" w:rsidRDefault="009D2825" w:rsidP="009A7904">
      <w:pPr>
        <w:spacing w:line="276" w:lineRule="auto"/>
        <w:ind w:firstLine="720"/>
        <w:rPr>
          <w:lang w:val="es-ES"/>
        </w:rPr>
      </w:pPr>
      <w:r w:rsidRPr="003C716D">
        <w:rPr>
          <w:rFonts w:cs="Sylfaen"/>
        </w:rPr>
        <w:t>Ինչպես</w:t>
      </w:r>
      <w:r w:rsidRPr="003C716D">
        <w:rPr>
          <w:lang w:val="es-ES"/>
        </w:rPr>
        <w:t xml:space="preserve"> </w:t>
      </w:r>
      <w:r w:rsidRPr="003C716D">
        <w:rPr>
          <w:rFonts w:cs="Sylfaen"/>
        </w:rPr>
        <w:t>արդեն</w:t>
      </w:r>
      <w:r w:rsidRPr="003C716D">
        <w:rPr>
          <w:lang w:val="es-ES"/>
        </w:rPr>
        <w:t xml:space="preserve"> </w:t>
      </w:r>
      <w:r w:rsidRPr="003C716D">
        <w:rPr>
          <w:rFonts w:cs="Sylfaen"/>
        </w:rPr>
        <w:t>վերը</w:t>
      </w:r>
      <w:r w:rsidRPr="003C716D">
        <w:rPr>
          <w:lang w:val="es-ES"/>
        </w:rPr>
        <w:t xml:space="preserve"> </w:t>
      </w:r>
      <w:r w:rsidRPr="003C716D">
        <w:rPr>
          <w:rFonts w:cs="Sylfaen"/>
        </w:rPr>
        <w:t>նշվել</w:t>
      </w:r>
      <w:r w:rsidRPr="003C716D">
        <w:rPr>
          <w:lang w:val="es-ES"/>
        </w:rPr>
        <w:t xml:space="preserve"> </w:t>
      </w:r>
      <w:r w:rsidRPr="003C716D">
        <w:rPr>
          <w:rFonts w:cs="Sylfaen"/>
        </w:rPr>
        <w:t>էր</w:t>
      </w:r>
      <w:r w:rsidRPr="003C716D">
        <w:rPr>
          <w:lang w:val="es-ES"/>
        </w:rPr>
        <w:t xml:space="preserve"> Կ</w:t>
      </w:r>
      <w:r w:rsidRPr="003C716D">
        <w:rPr>
          <w:rFonts w:cs="Sylfaen"/>
        </w:rPr>
        <w:t>առավարությունն</w:t>
      </w:r>
      <w:r w:rsidRPr="003C716D">
        <w:rPr>
          <w:lang w:val="es-ES"/>
        </w:rPr>
        <w:t xml:space="preserve"> </w:t>
      </w:r>
      <w:r w:rsidRPr="003C716D">
        <w:rPr>
          <w:rFonts w:cs="Sylfaen"/>
        </w:rPr>
        <w:t>առաջիկա</w:t>
      </w:r>
      <w:r w:rsidRPr="003C716D">
        <w:rPr>
          <w:lang w:val="es-ES"/>
        </w:rPr>
        <w:t xml:space="preserve"> </w:t>
      </w:r>
      <w:r w:rsidRPr="003C716D">
        <w:rPr>
          <w:rFonts w:cs="Sylfaen"/>
        </w:rPr>
        <w:t>տարիների</w:t>
      </w:r>
      <w:r w:rsidRPr="003C716D">
        <w:rPr>
          <w:lang w:val="es-ES"/>
        </w:rPr>
        <w:t xml:space="preserve"> </w:t>
      </w:r>
      <w:r w:rsidRPr="003C716D">
        <w:rPr>
          <w:rFonts w:cs="Sylfaen"/>
        </w:rPr>
        <w:t>համար</w:t>
      </w:r>
      <w:r w:rsidRPr="003C716D">
        <w:rPr>
          <w:lang w:val="es-ES"/>
        </w:rPr>
        <w:t xml:space="preserve"> </w:t>
      </w:r>
      <w:r w:rsidRPr="003C716D">
        <w:rPr>
          <w:rFonts w:cs="Sylfaen"/>
        </w:rPr>
        <w:t>առավել</w:t>
      </w:r>
      <w:r w:rsidRPr="003C716D">
        <w:rPr>
          <w:lang w:val="es-ES"/>
        </w:rPr>
        <w:t xml:space="preserve"> </w:t>
      </w:r>
      <w:r w:rsidRPr="003C716D">
        <w:rPr>
          <w:rFonts w:cs="Sylfaen"/>
        </w:rPr>
        <w:t>կարևո</w:t>
      </w:r>
      <w:r w:rsidRPr="003C716D">
        <w:rPr>
          <w:rFonts w:cs="Sylfaen"/>
          <w:lang w:val="es-ES"/>
        </w:rPr>
        <w:softHyphen/>
      </w:r>
      <w:r w:rsidRPr="003C716D">
        <w:rPr>
          <w:rFonts w:cs="Sylfaen"/>
        </w:rPr>
        <w:t>րում</w:t>
      </w:r>
      <w:r w:rsidRPr="003C716D">
        <w:rPr>
          <w:lang w:val="es-ES"/>
        </w:rPr>
        <w:t xml:space="preserve"> </w:t>
      </w:r>
      <w:r w:rsidRPr="003C716D">
        <w:rPr>
          <w:rFonts w:cs="Sylfaen"/>
        </w:rPr>
        <w:t>է</w:t>
      </w:r>
      <w:r w:rsidRPr="003C716D">
        <w:rPr>
          <w:lang w:val="es-ES"/>
        </w:rPr>
        <w:t xml:space="preserve"> </w:t>
      </w:r>
      <w:r w:rsidRPr="003C716D">
        <w:rPr>
          <w:rFonts w:cs="Sylfaen"/>
        </w:rPr>
        <w:t>պե</w:t>
      </w:r>
      <w:r w:rsidRPr="003C716D">
        <w:rPr>
          <w:rFonts w:cs="Sylfaen"/>
          <w:lang w:val="es-ES"/>
        </w:rPr>
        <w:softHyphen/>
      </w:r>
      <w:r w:rsidRPr="003C716D">
        <w:rPr>
          <w:rFonts w:cs="Sylfaen"/>
        </w:rPr>
        <w:t>տական</w:t>
      </w:r>
      <w:r w:rsidRPr="003C716D">
        <w:rPr>
          <w:lang w:val="es-ES"/>
        </w:rPr>
        <w:t xml:space="preserve"> </w:t>
      </w:r>
      <w:r w:rsidRPr="003C716D">
        <w:rPr>
          <w:rFonts w:cs="Sylfaen"/>
        </w:rPr>
        <w:t>բյուջեի</w:t>
      </w:r>
      <w:r w:rsidRPr="003C716D">
        <w:rPr>
          <w:lang w:val="es-ES"/>
        </w:rPr>
        <w:t xml:space="preserve"> </w:t>
      </w:r>
      <w:r w:rsidRPr="003C716D">
        <w:rPr>
          <w:rFonts w:cs="Sylfaen"/>
        </w:rPr>
        <w:t>հիմնական</w:t>
      </w:r>
      <w:r w:rsidRPr="003C716D">
        <w:rPr>
          <w:lang w:val="es-ES"/>
        </w:rPr>
        <w:t xml:space="preserve"> </w:t>
      </w:r>
      <w:r w:rsidRPr="003C716D">
        <w:rPr>
          <w:rFonts w:cs="Sylfaen"/>
        </w:rPr>
        <w:t>ծախսային</w:t>
      </w:r>
      <w:r w:rsidRPr="003C716D">
        <w:rPr>
          <w:lang w:val="es-ES"/>
        </w:rPr>
        <w:t xml:space="preserve"> </w:t>
      </w:r>
      <w:r w:rsidRPr="003C716D">
        <w:rPr>
          <w:rFonts w:cs="Sylfaen"/>
        </w:rPr>
        <w:t>հետևյալ</w:t>
      </w:r>
      <w:r w:rsidRPr="003C716D">
        <w:rPr>
          <w:lang w:val="es-ES"/>
        </w:rPr>
        <w:t xml:space="preserve"> </w:t>
      </w:r>
      <w:r w:rsidRPr="003C716D">
        <w:rPr>
          <w:rFonts w:cs="Sylfaen"/>
        </w:rPr>
        <w:t>գերակայությունները</w:t>
      </w:r>
      <w:r w:rsidRPr="003C716D">
        <w:rPr>
          <w:lang w:val="es-ES"/>
        </w:rPr>
        <w:t>.</w:t>
      </w:r>
    </w:p>
    <w:p w14:paraId="507A0994" w14:textId="77777777" w:rsidR="009D2825" w:rsidRPr="003C716D" w:rsidRDefault="009D2825" w:rsidP="009A7904">
      <w:pPr>
        <w:spacing w:line="276" w:lineRule="auto"/>
        <w:ind w:firstLine="360"/>
        <w:rPr>
          <w:lang w:val="es-ES"/>
        </w:rPr>
      </w:pPr>
      <w:r w:rsidRPr="003C716D">
        <w:rPr>
          <w:lang w:val="es-ES"/>
        </w:rPr>
        <w:t>(i)</w:t>
      </w:r>
      <w:r w:rsidRPr="003C716D">
        <w:rPr>
          <w:lang w:val="es-ES"/>
        </w:rPr>
        <w:tab/>
      </w:r>
      <w:r w:rsidRPr="003C716D">
        <w:rPr>
          <w:rFonts w:cs="Sylfaen"/>
        </w:rPr>
        <w:t>սոցիալական</w:t>
      </w:r>
      <w:r w:rsidRPr="003C716D">
        <w:rPr>
          <w:lang w:val="es-ES"/>
        </w:rPr>
        <w:t xml:space="preserve"> </w:t>
      </w:r>
      <w:r w:rsidRPr="003C716D">
        <w:rPr>
          <w:rFonts w:cs="Sylfaen"/>
        </w:rPr>
        <w:t>ոլորտի</w:t>
      </w:r>
      <w:r w:rsidRPr="003C716D">
        <w:rPr>
          <w:lang w:val="es-ES"/>
        </w:rPr>
        <w:t xml:space="preserve"> </w:t>
      </w:r>
      <w:r w:rsidRPr="003C716D">
        <w:rPr>
          <w:rFonts w:cs="Sylfaen"/>
        </w:rPr>
        <w:t>առանձին</w:t>
      </w:r>
      <w:r w:rsidRPr="003C716D">
        <w:rPr>
          <w:lang w:val="es-ES"/>
        </w:rPr>
        <w:t xml:space="preserve"> </w:t>
      </w:r>
      <w:r w:rsidRPr="003C716D">
        <w:rPr>
          <w:rFonts w:cs="Sylfaen"/>
        </w:rPr>
        <w:t>ճյուղերում</w:t>
      </w:r>
      <w:r w:rsidRPr="003C716D">
        <w:rPr>
          <w:lang w:val="es-ES"/>
        </w:rPr>
        <w:t xml:space="preserve"> (</w:t>
      </w:r>
      <w:r w:rsidRPr="003C716D">
        <w:rPr>
          <w:rFonts w:cs="Sylfaen"/>
        </w:rPr>
        <w:t>մասնավորապես՝</w:t>
      </w:r>
      <w:r w:rsidRPr="003C716D">
        <w:rPr>
          <w:lang w:val="es-ES"/>
        </w:rPr>
        <w:t xml:space="preserve"> </w:t>
      </w:r>
      <w:r w:rsidRPr="003C716D">
        <w:rPr>
          <w:rFonts w:cs="Sylfaen"/>
        </w:rPr>
        <w:t>կրթություն</w:t>
      </w:r>
      <w:r w:rsidRPr="003C716D">
        <w:rPr>
          <w:lang w:val="es-ES"/>
        </w:rPr>
        <w:t xml:space="preserve">, </w:t>
      </w:r>
      <w:r w:rsidRPr="003C716D">
        <w:rPr>
          <w:rFonts w:cs="Sylfaen"/>
        </w:rPr>
        <w:t>առողջա</w:t>
      </w:r>
      <w:r w:rsidRPr="003C716D">
        <w:rPr>
          <w:rFonts w:cs="Sylfaen"/>
          <w:lang w:val="es-ES"/>
        </w:rPr>
        <w:softHyphen/>
      </w:r>
      <w:r w:rsidRPr="003C716D">
        <w:rPr>
          <w:rFonts w:cs="Sylfaen"/>
        </w:rPr>
        <w:t>պա</w:t>
      </w:r>
      <w:r w:rsidRPr="003C716D">
        <w:rPr>
          <w:rFonts w:cs="Sylfaen"/>
          <w:lang w:val="es-ES"/>
        </w:rPr>
        <w:softHyphen/>
      </w:r>
      <w:r w:rsidRPr="003C716D">
        <w:rPr>
          <w:rFonts w:cs="Sylfaen"/>
        </w:rPr>
        <w:t>հութ</w:t>
      </w:r>
      <w:r w:rsidRPr="003C716D">
        <w:rPr>
          <w:rFonts w:cs="Sylfaen"/>
          <w:lang w:val="es-ES"/>
        </w:rPr>
        <w:softHyphen/>
      </w:r>
      <w:r w:rsidRPr="003C716D">
        <w:rPr>
          <w:rFonts w:cs="Sylfaen"/>
        </w:rPr>
        <w:t>յուն</w:t>
      </w:r>
      <w:r w:rsidRPr="003C716D">
        <w:rPr>
          <w:lang w:val="es-ES"/>
        </w:rPr>
        <w:t xml:space="preserve">, </w:t>
      </w:r>
      <w:r w:rsidRPr="003C716D">
        <w:rPr>
          <w:rFonts w:cs="Sylfaen"/>
        </w:rPr>
        <w:t>սո</w:t>
      </w:r>
      <w:r w:rsidRPr="003C716D">
        <w:rPr>
          <w:rFonts w:cs="Sylfaen"/>
          <w:lang w:val="es-ES"/>
        </w:rPr>
        <w:softHyphen/>
      </w:r>
      <w:r w:rsidRPr="003C716D">
        <w:rPr>
          <w:rFonts w:cs="Sylfaen"/>
          <w:lang w:val="es-ES"/>
        </w:rPr>
        <w:softHyphen/>
      </w:r>
      <w:r w:rsidRPr="003C716D">
        <w:rPr>
          <w:rFonts w:cs="Sylfaen"/>
        </w:rPr>
        <w:t>ցիալական</w:t>
      </w:r>
      <w:r w:rsidRPr="003C716D">
        <w:rPr>
          <w:lang w:val="es-ES"/>
        </w:rPr>
        <w:t xml:space="preserve"> </w:t>
      </w:r>
      <w:r w:rsidRPr="003C716D">
        <w:rPr>
          <w:rFonts w:cs="Sylfaen"/>
        </w:rPr>
        <w:t>պաշտպանություն</w:t>
      </w:r>
      <w:r w:rsidRPr="003C716D">
        <w:rPr>
          <w:lang w:val="es-ES"/>
        </w:rPr>
        <w:t xml:space="preserve">), </w:t>
      </w:r>
      <w:r w:rsidRPr="003C716D">
        <w:rPr>
          <w:rFonts w:cs="Sylfaen"/>
        </w:rPr>
        <w:t>ինչպես</w:t>
      </w:r>
      <w:r w:rsidRPr="003C716D">
        <w:rPr>
          <w:lang w:val="es-ES"/>
        </w:rPr>
        <w:t xml:space="preserve"> </w:t>
      </w:r>
      <w:r w:rsidRPr="003C716D">
        <w:rPr>
          <w:rFonts w:cs="Sylfaen"/>
        </w:rPr>
        <w:t>նաև</w:t>
      </w:r>
      <w:r w:rsidRPr="003C716D">
        <w:rPr>
          <w:lang w:val="es-ES"/>
        </w:rPr>
        <w:t xml:space="preserve"> </w:t>
      </w:r>
      <w:r w:rsidRPr="003C716D">
        <w:rPr>
          <w:rFonts w:cs="Sylfaen"/>
        </w:rPr>
        <w:t>պետական</w:t>
      </w:r>
      <w:r w:rsidRPr="003C716D">
        <w:rPr>
          <w:lang w:val="es-ES"/>
        </w:rPr>
        <w:t xml:space="preserve"> </w:t>
      </w:r>
      <w:r w:rsidRPr="003C716D">
        <w:rPr>
          <w:rFonts w:cs="Sylfaen"/>
        </w:rPr>
        <w:t>կառավարման</w:t>
      </w:r>
      <w:r w:rsidRPr="003C716D">
        <w:rPr>
          <w:lang w:val="es-ES"/>
        </w:rPr>
        <w:t xml:space="preserve"> </w:t>
      </w:r>
      <w:r w:rsidRPr="003C716D">
        <w:rPr>
          <w:rFonts w:cs="Sylfaen"/>
        </w:rPr>
        <w:t>բնագավառ</w:t>
      </w:r>
      <w:r w:rsidRPr="003C716D">
        <w:rPr>
          <w:rFonts w:cs="Sylfaen"/>
          <w:lang w:val="es-ES"/>
        </w:rPr>
        <w:softHyphen/>
      </w:r>
      <w:r w:rsidRPr="003C716D">
        <w:rPr>
          <w:rFonts w:cs="Sylfaen"/>
        </w:rPr>
        <w:t>ներում</w:t>
      </w:r>
      <w:r w:rsidRPr="003C716D">
        <w:rPr>
          <w:lang w:val="es-ES"/>
        </w:rPr>
        <w:t xml:space="preserve"> </w:t>
      </w:r>
      <w:r w:rsidRPr="003C716D">
        <w:rPr>
          <w:rFonts w:cs="Sylfaen"/>
        </w:rPr>
        <w:t>պե</w:t>
      </w:r>
      <w:r w:rsidRPr="003C716D">
        <w:rPr>
          <w:rFonts w:cs="Sylfaen"/>
          <w:lang w:val="es-ES"/>
        </w:rPr>
        <w:softHyphen/>
      </w:r>
      <w:r w:rsidRPr="003C716D">
        <w:rPr>
          <w:rFonts w:cs="Sylfaen"/>
        </w:rPr>
        <w:t>տա</w:t>
      </w:r>
      <w:r w:rsidRPr="003C716D">
        <w:rPr>
          <w:rFonts w:cs="Sylfaen"/>
          <w:lang w:val="es-ES"/>
        </w:rPr>
        <w:softHyphen/>
      </w:r>
      <w:r w:rsidRPr="003C716D">
        <w:rPr>
          <w:rFonts w:cs="Sylfaen"/>
        </w:rPr>
        <w:t>կան</w:t>
      </w:r>
      <w:r w:rsidRPr="003C716D">
        <w:rPr>
          <w:lang w:val="es-ES"/>
        </w:rPr>
        <w:t xml:space="preserve"> </w:t>
      </w:r>
      <w:r w:rsidRPr="003C716D">
        <w:rPr>
          <w:rFonts w:cs="Sylfaen"/>
        </w:rPr>
        <w:t>մար</w:t>
      </w:r>
      <w:r w:rsidRPr="003C716D">
        <w:rPr>
          <w:rFonts w:cs="Sylfaen"/>
          <w:lang w:val="es-ES"/>
        </w:rPr>
        <w:softHyphen/>
      </w:r>
      <w:r w:rsidRPr="003C716D">
        <w:rPr>
          <w:rFonts w:cs="Sylfaen"/>
        </w:rPr>
        <w:t>մինների</w:t>
      </w:r>
      <w:r w:rsidRPr="003C716D">
        <w:rPr>
          <w:lang w:val="es-ES"/>
        </w:rPr>
        <w:t xml:space="preserve"> </w:t>
      </w:r>
      <w:r w:rsidRPr="003C716D">
        <w:rPr>
          <w:rFonts w:cs="Sylfaen"/>
        </w:rPr>
        <w:t>գործունեության</w:t>
      </w:r>
      <w:r w:rsidRPr="003C716D">
        <w:rPr>
          <w:lang w:val="es-ES"/>
        </w:rPr>
        <w:t xml:space="preserve"> </w:t>
      </w:r>
      <w:r w:rsidRPr="003C716D">
        <w:rPr>
          <w:rFonts w:cs="Sylfaen"/>
        </w:rPr>
        <w:t>արդյունավետության</w:t>
      </w:r>
      <w:r w:rsidRPr="003C716D">
        <w:rPr>
          <w:lang w:val="es-ES"/>
        </w:rPr>
        <w:t xml:space="preserve">, </w:t>
      </w:r>
      <w:r w:rsidRPr="003C716D">
        <w:rPr>
          <w:rFonts w:cs="Sylfaen"/>
        </w:rPr>
        <w:t>նպատակաուղ</w:t>
      </w:r>
      <w:r w:rsidRPr="003C716D">
        <w:rPr>
          <w:rFonts w:cs="Sylfaen"/>
          <w:lang w:val="es-ES"/>
        </w:rPr>
        <w:softHyphen/>
      </w:r>
      <w:r w:rsidRPr="003C716D">
        <w:rPr>
          <w:rFonts w:cs="Sylfaen"/>
        </w:rPr>
        <w:t>ղվա</w:t>
      </w:r>
      <w:r w:rsidRPr="003C716D">
        <w:rPr>
          <w:rFonts w:cs="Sylfaen"/>
          <w:lang w:val="es-ES"/>
        </w:rPr>
        <w:softHyphen/>
      </w:r>
      <w:r w:rsidRPr="003C716D">
        <w:rPr>
          <w:rFonts w:cs="Sylfaen"/>
        </w:rPr>
        <w:t>ծու</w:t>
      </w:r>
      <w:r w:rsidRPr="003C716D">
        <w:rPr>
          <w:rFonts w:cs="Sylfaen"/>
          <w:lang w:val="es-ES"/>
        </w:rPr>
        <w:softHyphen/>
      </w:r>
      <w:r w:rsidRPr="003C716D">
        <w:rPr>
          <w:rFonts w:cs="Sylfaen"/>
        </w:rPr>
        <w:t>թյան</w:t>
      </w:r>
      <w:r w:rsidRPr="003C716D">
        <w:rPr>
          <w:lang w:val="es-ES"/>
        </w:rPr>
        <w:t xml:space="preserve"> </w:t>
      </w:r>
      <w:r w:rsidRPr="003C716D">
        <w:rPr>
          <w:rFonts w:cs="Sylfaen"/>
        </w:rPr>
        <w:t>և</w:t>
      </w:r>
      <w:r w:rsidRPr="003C716D">
        <w:rPr>
          <w:lang w:val="es-ES"/>
        </w:rPr>
        <w:t xml:space="preserve"> </w:t>
      </w:r>
      <w:r w:rsidRPr="003C716D">
        <w:rPr>
          <w:rFonts w:cs="Sylfaen"/>
        </w:rPr>
        <w:t>հաս</w:t>
      </w:r>
      <w:r w:rsidRPr="003C716D">
        <w:rPr>
          <w:rFonts w:cs="Sylfaen"/>
          <w:lang w:val="es-ES"/>
        </w:rPr>
        <w:softHyphen/>
      </w:r>
      <w:r w:rsidRPr="003C716D">
        <w:rPr>
          <w:rFonts w:cs="Sylfaen"/>
        </w:rPr>
        <w:t>ցեա</w:t>
      </w:r>
      <w:r w:rsidRPr="003C716D">
        <w:rPr>
          <w:rFonts w:cs="Sylfaen"/>
          <w:lang w:val="es-ES"/>
        </w:rPr>
        <w:softHyphen/>
      </w:r>
      <w:r w:rsidRPr="003C716D">
        <w:rPr>
          <w:rFonts w:cs="Sylfaen"/>
        </w:rPr>
        <w:t>կանության</w:t>
      </w:r>
      <w:r w:rsidRPr="003C716D">
        <w:rPr>
          <w:lang w:val="es-ES"/>
        </w:rPr>
        <w:t xml:space="preserve"> </w:t>
      </w:r>
      <w:r w:rsidRPr="003C716D">
        <w:rPr>
          <w:rFonts w:cs="Sylfaen"/>
        </w:rPr>
        <w:t>մա</w:t>
      </w:r>
      <w:r w:rsidRPr="003C716D">
        <w:rPr>
          <w:rFonts w:cs="Sylfaen"/>
          <w:lang w:val="es-ES"/>
        </w:rPr>
        <w:softHyphen/>
      </w:r>
      <w:r w:rsidRPr="003C716D">
        <w:rPr>
          <w:rFonts w:cs="Sylfaen"/>
        </w:rPr>
        <w:t>կարդակի</w:t>
      </w:r>
      <w:r w:rsidRPr="003C716D">
        <w:rPr>
          <w:lang w:val="es-ES"/>
        </w:rPr>
        <w:t xml:space="preserve"> </w:t>
      </w:r>
      <w:r w:rsidRPr="003C716D">
        <w:rPr>
          <w:rFonts w:cs="Sylfaen"/>
        </w:rPr>
        <w:t>բարձրացման</w:t>
      </w:r>
      <w:r w:rsidRPr="003C716D">
        <w:rPr>
          <w:lang w:val="es-ES"/>
        </w:rPr>
        <w:t xml:space="preserve">, </w:t>
      </w:r>
      <w:r w:rsidRPr="003C716D">
        <w:rPr>
          <w:rFonts w:cs="Sylfaen"/>
        </w:rPr>
        <w:t>նրանց</w:t>
      </w:r>
      <w:r w:rsidRPr="003C716D">
        <w:rPr>
          <w:lang w:val="es-ES"/>
        </w:rPr>
        <w:t xml:space="preserve"> </w:t>
      </w:r>
      <w:r w:rsidRPr="003C716D">
        <w:rPr>
          <w:rFonts w:cs="Sylfaen"/>
        </w:rPr>
        <w:t>կողմից</w:t>
      </w:r>
      <w:r w:rsidRPr="003C716D">
        <w:rPr>
          <w:lang w:val="es-ES"/>
        </w:rPr>
        <w:t xml:space="preserve"> </w:t>
      </w:r>
      <w:r w:rsidRPr="003C716D">
        <w:rPr>
          <w:rFonts w:cs="Sylfaen"/>
        </w:rPr>
        <w:t>հանրությանը</w:t>
      </w:r>
      <w:r w:rsidRPr="003C716D">
        <w:rPr>
          <w:lang w:val="es-ES"/>
        </w:rPr>
        <w:t xml:space="preserve"> </w:t>
      </w:r>
      <w:r w:rsidRPr="003C716D">
        <w:rPr>
          <w:rFonts w:cs="Sylfaen"/>
        </w:rPr>
        <w:t>մատուց</w:t>
      </w:r>
      <w:r w:rsidRPr="003C716D">
        <w:rPr>
          <w:rFonts w:cs="Sylfaen"/>
          <w:lang w:val="es-ES"/>
        </w:rPr>
        <w:softHyphen/>
      </w:r>
      <w:r w:rsidRPr="003C716D">
        <w:rPr>
          <w:rFonts w:cs="Sylfaen"/>
        </w:rPr>
        <w:t>վող</w:t>
      </w:r>
      <w:r w:rsidRPr="003C716D">
        <w:rPr>
          <w:lang w:val="es-ES"/>
        </w:rPr>
        <w:t xml:space="preserve"> </w:t>
      </w:r>
      <w:r w:rsidRPr="003C716D">
        <w:rPr>
          <w:rFonts w:cs="Sylfaen"/>
        </w:rPr>
        <w:t>ծառայու</w:t>
      </w:r>
      <w:r w:rsidRPr="003C716D">
        <w:rPr>
          <w:rFonts w:cs="Sylfaen"/>
          <w:lang w:val="es-ES"/>
        </w:rPr>
        <w:softHyphen/>
      </w:r>
      <w:r w:rsidRPr="003C716D">
        <w:rPr>
          <w:rFonts w:cs="Sylfaen"/>
        </w:rPr>
        <w:t>թ</w:t>
      </w:r>
      <w:r w:rsidRPr="003C716D">
        <w:rPr>
          <w:rFonts w:cs="Sylfaen"/>
          <w:lang w:val="es-ES"/>
        </w:rPr>
        <w:softHyphen/>
      </w:r>
      <w:r w:rsidRPr="003C716D">
        <w:rPr>
          <w:rFonts w:cs="Sylfaen"/>
        </w:rPr>
        <w:t>յուն</w:t>
      </w:r>
      <w:r w:rsidRPr="003C716D">
        <w:rPr>
          <w:rFonts w:cs="Sylfaen"/>
          <w:lang w:val="es-ES"/>
        </w:rPr>
        <w:softHyphen/>
      </w:r>
      <w:r w:rsidRPr="003C716D">
        <w:rPr>
          <w:rFonts w:cs="Sylfaen"/>
        </w:rPr>
        <w:t>նե</w:t>
      </w:r>
      <w:r w:rsidRPr="003C716D">
        <w:rPr>
          <w:rFonts w:cs="Sylfaen"/>
          <w:lang w:val="es-ES"/>
        </w:rPr>
        <w:softHyphen/>
      </w:r>
      <w:r w:rsidRPr="003C716D">
        <w:rPr>
          <w:rFonts w:cs="Sylfaen"/>
        </w:rPr>
        <w:t>րը</w:t>
      </w:r>
      <w:r w:rsidRPr="003C716D">
        <w:rPr>
          <w:lang w:val="es-ES"/>
        </w:rPr>
        <w:t xml:space="preserve"> </w:t>
      </w:r>
      <w:r w:rsidRPr="003C716D">
        <w:rPr>
          <w:rFonts w:cs="Sylfaen"/>
        </w:rPr>
        <w:t>բնակչության</w:t>
      </w:r>
      <w:r w:rsidRPr="003C716D">
        <w:rPr>
          <w:lang w:val="es-ES"/>
        </w:rPr>
        <w:t xml:space="preserve"> </w:t>
      </w:r>
      <w:r w:rsidRPr="003C716D">
        <w:rPr>
          <w:rFonts w:cs="Sylfaen"/>
        </w:rPr>
        <w:t>հա</w:t>
      </w:r>
      <w:r w:rsidRPr="003C716D">
        <w:rPr>
          <w:rFonts w:cs="Sylfaen"/>
          <w:lang w:val="es-ES"/>
        </w:rPr>
        <w:softHyphen/>
      </w:r>
      <w:r w:rsidRPr="003C716D">
        <w:rPr>
          <w:rFonts w:cs="Sylfaen"/>
        </w:rPr>
        <w:t>մար</w:t>
      </w:r>
      <w:r w:rsidRPr="003C716D">
        <w:rPr>
          <w:lang w:val="es-ES"/>
        </w:rPr>
        <w:t xml:space="preserve"> </w:t>
      </w:r>
      <w:r w:rsidRPr="003C716D">
        <w:rPr>
          <w:rFonts w:cs="Sylfaen"/>
        </w:rPr>
        <w:t>ավելի</w:t>
      </w:r>
      <w:r w:rsidRPr="003C716D">
        <w:rPr>
          <w:lang w:val="es-ES"/>
        </w:rPr>
        <w:t xml:space="preserve"> </w:t>
      </w:r>
      <w:r w:rsidRPr="003C716D">
        <w:rPr>
          <w:rFonts w:cs="Sylfaen"/>
        </w:rPr>
        <w:t>մատչելի</w:t>
      </w:r>
      <w:r w:rsidRPr="003C716D">
        <w:rPr>
          <w:lang w:val="es-ES"/>
        </w:rPr>
        <w:t xml:space="preserve"> </w:t>
      </w:r>
      <w:r w:rsidRPr="003C716D">
        <w:rPr>
          <w:rFonts w:cs="Sylfaen"/>
        </w:rPr>
        <w:t>դարձնելու</w:t>
      </w:r>
      <w:r w:rsidRPr="003C716D">
        <w:rPr>
          <w:lang w:val="es-ES"/>
        </w:rPr>
        <w:t xml:space="preserve"> </w:t>
      </w:r>
      <w:r w:rsidRPr="003C716D">
        <w:rPr>
          <w:rFonts w:cs="Sylfaen"/>
        </w:rPr>
        <w:t>նպատակով</w:t>
      </w:r>
      <w:r w:rsidRPr="003C716D">
        <w:rPr>
          <w:lang w:val="es-ES"/>
        </w:rPr>
        <w:t xml:space="preserve"> </w:t>
      </w:r>
      <w:r w:rsidRPr="003C716D">
        <w:rPr>
          <w:rFonts w:cs="Sylfaen"/>
        </w:rPr>
        <w:t>իրակա</w:t>
      </w:r>
      <w:r w:rsidRPr="003C716D">
        <w:rPr>
          <w:rFonts w:cs="Sylfaen"/>
          <w:lang w:val="es-ES"/>
        </w:rPr>
        <w:softHyphen/>
      </w:r>
      <w:r w:rsidRPr="003C716D">
        <w:rPr>
          <w:rFonts w:cs="Sylfaen"/>
        </w:rPr>
        <w:t>նաց</w:t>
      </w:r>
      <w:r w:rsidRPr="003C716D">
        <w:rPr>
          <w:rFonts w:cs="Sylfaen"/>
          <w:lang w:val="es-ES"/>
        </w:rPr>
        <w:softHyphen/>
      </w:r>
      <w:r w:rsidRPr="003C716D">
        <w:rPr>
          <w:rFonts w:cs="Sylfaen"/>
        </w:rPr>
        <w:t>վող</w:t>
      </w:r>
      <w:r w:rsidRPr="003C716D">
        <w:rPr>
          <w:rFonts w:cs="Sylfaen"/>
          <w:lang w:val="es-ES"/>
        </w:rPr>
        <w:t xml:space="preserve"> </w:t>
      </w:r>
      <w:r w:rsidRPr="003C716D">
        <w:rPr>
          <w:rFonts w:cs="Sylfaen"/>
        </w:rPr>
        <w:t>բարեփո</w:t>
      </w:r>
      <w:r w:rsidRPr="003C716D">
        <w:rPr>
          <w:rFonts w:cs="Sylfaen"/>
          <w:lang w:val="es-ES"/>
        </w:rPr>
        <w:softHyphen/>
      </w:r>
      <w:r w:rsidRPr="003C716D">
        <w:rPr>
          <w:rFonts w:cs="Sylfaen"/>
        </w:rPr>
        <w:t>խում</w:t>
      </w:r>
      <w:r w:rsidRPr="003C716D">
        <w:rPr>
          <w:rFonts w:cs="Sylfaen"/>
          <w:lang w:val="es-ES"/>
        </w:rPr>
        <w:softHyphen/>
      </w:r>
      <w:r w:rsidRPr="003C716D">
        <w:rPr>
          <w:rFonts w:cs="Sylfaen"/>
        </w:rPr>
        <w:t>ների</w:t>
      </w:r>
      <w:r w:rsidRPr="003C716D">
        <w:rPr>
          <w:rFonts w:cs="Sylfaen"/>
          <w:lang w:val="es-ES"/>
        </w:rPr>
        <w:t xml:space="preserve"> </w:t>
      </w:r>
      <w:r w:rsidRPr="003C716D">
        <w:rPr>
          <w:rFonts w:cs="Sylfaen"/>
        </w:rPr>
        <w:t>ֆի</w:t>
      </w:r>
      <w:r w:rsidRPr="003C716D">
        <w:rPr>
          <w:rFonts w:cs="Sylfaen"/>
          <w:lang w:val="es-ES"/>
        </w:rPr>
        <w:softHyphen/>
      </w:r>
      <w:r w:rsidRPr="003C716D">
        <w:rPr>
          <w:rFonts w:cs="Sylfaen"/>
        </w:rPr>
        <w:t>նանսական</w:t>
      </w:r>
      <w:r w:rsidRPr="003C716D">
        <w:rPr>
          <w:lang w:val="es-ES"/>
        </w:rPr>
        <w:t xml:space="preserve"> </w:t>
      </w:r>
      <w:r w:rsidRPr="003C716D">
        <w:rPr>
          <w:rFonts w:cs="Sylfaen"/>
        </w:rPr>
        <w:t>ապահովում</w:t>
      </w:r>
      <w:r w:rsidRPr="003C716D">
        <w:rPr>
          <w:lang w:val="es-ES"/>
        </w:rPr>
        <w:t xml:space="preserve">, </w:t>
      </w:r>
    </w:p>
    <w:p w14:paraId="74CE5824" w14:textId="77777777" w:rsidR="009D2825" w:rsidRPr="003C716D" w:rsidRDefault="009D2825" w:rsidP="009A7904">
      <w:pPr>
        <w:spacing w:line="276" w:lineRule="auto"/>
        <w:ind w:firstLine="360"/>
        <w:rPr>
          <w:lang w:val="es-ES"/>
        </w:rPr>
      </w:pPr>
      <w:r w:rsidRPr="003C716D">
        <w:rPr>
          <w:lang w:val="es-ES"/>
        </w:rPr>
        <w:t>(ii)</w:t>
      </w:r>
      <w:r w:rsidRPr="003C716D">
        <w:rPr>
          <w:lang w:val="es-ES"/>
        </w:rPr>
        <w:tab/>
      </w:r>
      <w:r w:rsidRPr="003C716D">
        <w:rPr>
          <w:rFonts w:cs="Sylfaen"/>
        </w:rPr>
        <w:t>հանրապետության</w:t>
      </w:r>
      <w:r w:rsidRPr="003C716D">
        <w:rPr>
          <w:lang w:val="es-ES"/>
        </w:rPr>
        <w:t xml:space="preserve"> </w:t>
      </w:r>
      <w:r w:rsidRPr="003C716D">
        <w:rPr>
          <w:rFonts w:cs="Sylfaen"/>
        </w:rPr>
        <w:t>տարածքային</w:t>
      </w:r>
      <w:r w:rsidRPr="003C716D">
        <w:rPr>
          <w:lang w:val="es-ES"/>
        </w:rPr>
        <w:t xml:space="preserve"> </w:t>
      </w:r>
      <w:r w:rsidRPr="003C716D">
        <w:rPr>
          <w:rFonts w:cs="Sylfaen"/>
        </w:rPr>
        <w:t>ամբողջականությունը</w:t>
      </w:r>
      <w:r w:rsidRPr="003C716D">
        <w:rPr>
          <w:lang w:val="es-ES"/>
        </w:rPr>
        <w:t xml:space="preserve">, </w:t>
      </w:r>
      <w:r w:rsidRPr="003C716D">
        <w:rPr>
          <w:rFonts w:cs="Sylfaen"/>
        </w:rPr>
        <w:t>տարածաշրջանում</w:t>
      </w:r>
      <w:r w:rsidRPr="003C716D">
        <w:rPr>
          <w:lang w:val="es-ES"/>
        </w:rPr>
        <w:t xml:space="preserve"> </w:t>
      </w:r>
      <w:r w:rsidRPr="003C716D">
        <w:rPr>
          <w:rFonts w:cs="Sylfaen"/>
        </w:rPr>
        <w:t>կայու</w:t>
      </w:r>
      <w:r w:rsidRPr="003C716D">
        <w:rPr>
          <w:rFonts w:cs="Sylfaen"/>
          <w:lang w:val="es-ES"/>
        </w:rPr>
        <w:softHyphen/>
      </w:r>
      <w:r w:rsidRPr="003C716D">
        <w:rPr>
          <w:rFonts w:cs="Sylfaen"/>
        </w:rPr>
        <w:t>նու</w:t>
      </w:r>
      <w:r w:rsidRPr="003C716D">
        <w:rPr>
          <w:rFonts w:cs="Sylfaen"/>
          <w:lang w:val="es-ES"/>
        </w:rPr>
        <w:softHyphen/>
      </w:r>
      <w:r w:rsidRPr="003C716D">
        <w:rPr>
          <w:rFonts w:cs="Sylfaen"/>
        </w:rPr>
        <w:t>թյունը</w:t>
      </w:r>
      <w:r w:rsidRPr="003C716D">
        <w:rPr>
          <w:lang w:val="es-ES"/>
        </w:rPr>
        <w:t xml:space="preserve"> </w:t>
      </w:r>
      <w:r w:rsidRPr="003C716D">
        <w:rPr>
          <w:rFonts w:cs="Sylfaen"/>
        </w:rPr>
        <w:t>և</w:t>
      </w:r>
      <w:r w:rsidRPr="003C716D">
        <w:rPr>
          <w:lang w:val="es-ES"/>
        </w:rPr>
        <w:t xml:space="preserve"> </w:t>
      </w:r>
      <w:r w:rsidRPr="003C716D">
        <w:rPr>
          <w:rFonts w:cs="Sylfaen"/>
        </w:rPr>
        <w:t>Ղա</w:t>
      </w:r>
      <w:r w:rsidRPr="003C716D">
        <w:rPr>
          <w:rFonts w:cs="Sylfaen"/>
          <w:lang w:val="es-ES"/>
        </w:rPr>
        <w:softHyphen/>
      </w:r>
      <w:r w:rsidRPr="003C716D">
        <w:rPr>
          <w:rFonts w:cs="Sylfaen"/>
          <w:lang w:val="es-ES"/>
        </w:rPr>
        <w:softHyphen/>
      </w:r>
      <w:r w:rsidRPr="003C716D">
        <w:rPr>
          <w:rFonts w:cs="Sylfaen"/>
        </w:rPr>
        <w:t>րա</w:t>
      </w:r>
      <w:r w:rsidRPr="003C716D">
        <w:rPr>
          <w:rFonts w:cs="Sylfaen"/>
          <w:lang w:val="es-ES"/>
        </w:rPr>
        <w:softHyphen/>
      </w:r>
      <w:r w:rsidRPr="003C716D">
        <w:rPr>
          <w:rFonts w:cs="Sylfaen"/>
        </w:rPr>
        <w:t>բաղյան</w:t>
      </w:r>
      <w:r w:rsidRPr="003C716D">
        <w:rPr>
          <w:lang w:val="es-ES"/>
        </w:rPr>
        <w:t xml:space="preserve"> </w:t>
      </w:r>
      <w:r w:rsidRPr="003C716D">
        <w:rPr>
          <w:rFonts w:cs="Sylfaen"/>
        </w:rPr>
        <w:t>հակամարտության</w:t>
      </w:r>
      <w:r w:rsidRPr="003C716D">
        <w:rPr>
          <w:lang w:val="es-ES"/>
        </w:rPr>
        <w:t xml:space="preserve"> </w:t>
      </w:r>
      <w:r w:rsidRPr="003C716D">
        <w:rPr>
          <w:rFonts w:cs="Sylfaen"/>
        </w:rPr>
        <w:t>կողմերի</w:t>
      </w:r>
      <w:r w:rsidRPr="003C716D">
        <w:rPr>
          <w:lang w:val="es-ES"/>
        </w:rPr>
        <w:t xml:space="preserve"> </w:t>
      </w:r>
      <w:r w:rsidRPr="003C716D">
        <w:rPr>
          <w:rFonts w:cs="Sylfaen"/>
        </w:rPr>
        <w:t>ուժերի</w:t>
      </w:r>
      <w:r w:rsidRPr="003C716D">
        <w:rPr>
          <w:lang w:val="es-ES"/>
        </w:rPr>
        <w:t xml:space="preserve"> </w:t>
      </w:r>
      <w:r w:rsidRPr="003C716D">
        <w:rPr>
          <w:rFonts w:cs="Sylfaen"/>
        </w:rPr>
        <w:t>հավասարակշռությունը</w:t>
      </w:r>
      <w:r w:rsidRPr="003C716D">
        <w:rPr>
          <w:lang w:val="es-ES"/>
        </w:rPr>
        <w:t xml:space="preserve"> </w:t>
      </w:r>
      <w:r w:rsidRPr="003C716D">
        <w:rPr>
          <w:rFonts w:cs="Sylfaen"/>
        </w:rPr>
        <w:t>պահպա</w:t>
      </w:r>
      <w:r w:rsidRPr="003C716D">
        <w:rPr>
          <w:rFonts w:cs="Sylfaen"/>
          <w:lang w:val="es-ES"/>
        </w:rPr>
        <w:softHyphen/>
      </w:r>
      <w:r w:rsidRPr="003C716D">
        <w:rPr>
          <w:rFonts w:cs="Sylfaen"/>
        </w:rPr>
        <w:t>նելու</w:t>
      </w:r>
      <w:r w:rsidRPr="003C716D">
        <w:rPr>
          <w:lang w:val="es-ES"/>
        </w:rPr>
        <w:t xml:space="preserve"> </w:t>
      </w:r>
      <w:r w:rsidRPr="003C716D">
        <w:rPr>
          <w:rFonts w:cs="Sylfaen"/>
        </w:rPr>
        <w:t>նպա</w:t>
      </w:r>
      <w:r w:rsidRPr="003C716D">
        <w:rPr>
          <w:rFonts w:cs="Sylfaen"/>
          <w:lang w:val="es-ES"/>
        </w:rPr>
        <w:softHyphen/>
      </w:r>
      <w:r w:rsidRPr="003C716D">
        <w:rPr>
          <w:rFonts w:cs="Sylfaen"/>
        </w:rPr>
        <w:t>տակով</w:t>
      </w:r>
      <w:r w:rsidRPr="003C716D">
        <w:rPr>
          <w:lang w:val="es-ES"/>
        </w:rPr>
        <w:t xml:space="preserve"> </w:t>
      </w:r>
      <w:r w:rsidRPr="003C716D">
        <w:rPr>
          <w:rFonts w:cs="Sylfaen"/>
        </w:rPr>
        <w:t>պաշտ</w:t>
      </w:r>
      <w:r w:rsidRPr="003C716D">
        <w:rPr>
          <w:rFonts w:cs="Sylfaen"/>
          <w:lang w:val="es-ES"/>
        </w:rPr>
        <w:softHyphen/>
      </w:r>
      <w:r w:rsidRPr="003C716D">
        <w:rPr>
          <w:rFonts w:cs="Sylfaen"/>
          <w:lang w:val="es-ES"/>
        </w:rPr>
        <w:softHyphen/>
      </w:r>
      <w:r w:rsidRPr="003C716D">
        <w:rPr>
          <w:rFonts w:cs="Sylfaen"/>
          <w:lang w:val="es-ES"/>
        </w:rPr>
        <w:softHyphen/>
      </w:r>
      <w:r w:rsidRPr="003C716D">
        <w:rPr>
          <w:rFonts w:cs="Sylfaen"/>
        </w:rPr>
        <w:t>պանության</w:t>
      </w:r>
      <w:r w:rsidRPr="003C716D">
        <w:rPr>
          <w:lang w:val="es-ES"/>
        </w:rPr>
        <w:t xml:space="preserve"> </w:t>
      </w:r>
      <w:r w:rsidRPr="003C716D">
        <w:rPr>
          <w:rFonts w:cs="Sylfaen"/>
        </w:rPr>
        <w:t>և</w:t>
      </w:r>
      <w:r w:rsidRPr="003C716D">
        <w:rPr>
          <w:lang w:val="es-ES"/>
        </w:rPr>
        <w:t xml:space="preserve"> </w:t>
      </w:r>
      <w:r w:rsidRPr="003C716D">
        <w:rPr>
          <w:rFonts w:cs="Sylfaen"/>
        </w:rPr>
        <w:t>ազգային</w:t>
      </w:r>
      <w:r w:rsidRPr="003C716D">
        <w:rPr>
          <w:lang w:val="es-ES"/>
        </w:rPr>
        <w:t xml:space="preserve"> </w:t>
      </w:r>
      <w:r w:rsidRPr="003C716D">
        <w:rPr>
          <w:rFonts w:cs="Sylfaen"/>
        </w:rPr>
        <w:t>անվտանգության</w:t>
      </w:r>
      <w:r w:rsidRPr="003C716D">
        <w:rPr>
          <w:lang w:val="es-ES"/>
        </w:rPr>
        <w:t xml:space="preserve"> </w:t>
      </w:r>
      <w:r w:rsidRPr="003C716D">
        <w:rPr>
          <w:rFonts w:cs="Sylfaen"/>
        </w:rPr>
        <w:t>կառույցների</w:t>
      </w:r>
      <w:r w:rsidRPr="003C716D">
        <w:rPr>
          <w:lang w:val="es-ES"/>
        </w:rPr>
        <w:t xml:space="preserve"> </w:t>
      </w:r>
      <w:r w:rsidRPr="003C716D">
        <w:rPr>
          <w:rFonts w:cs="Sylfaen"/>
        </w:rPr>
        <w:t>կենսագործու</w:t>
      </w:r>
      <w:r w:rsidRPr="003C716D">
        <w:rPr>
          <w:rFonts w:cs="Sylfaen"/>
          <w:lang w:val="es-ES"/>
        </w:rPr>
        <w:softHyphen/>
      </w:r>
      <w:r w:rsidRPr="003C716D">
        <w:rPr>
          <w:rFonts w:cs="Sylfaen"/>
        </w:rPr>
        <w:t>նեության</w:t>
      </w:r>
      <w:r w:rsidRPr="003C716D">
        <w:rPr>
          <w:lang w:val="es-ES"/>
        </w:rPr>
        <w:t xml:space="preserve"> </w:t>
      </w:r>
      <w:r w:rsidRPr="003C716D">
        <w:rPr>
          <w:rFonts w:cs="Sylfaen"/>
        </w:rPr>
        <w:t>համար</w:t>
      </w:r>
      <w:r w:rsidRPr="003C716D">
        <w:rPr>
          <w:lang w:val="es-ES"/>
        </w:rPr>
        <w:t xml:space="preserve"> </w:t>
      </w:r>
      <w:r w:rsidRPr="003C716D">
        <w:rPr>
          <w:rFonts w:cs="Sylfaen"/>
        </w:rPr>
        <w:t>ան</w:t>
      </w:r>
      <w:r w:rsidRPr="003C716D">
        <w:rPr>
          <w:rFonts w:cs="Sylfaen"/>
          <w:lang w:val="es-ES"/>
        </w:rPr>
        <w:softHyphen/>
      </w:r>
      <w:r w:rsidRPr="003C716D">
        <w:rPr>
          <w:rFonts w:cs="Sylfaen"/>
        </w:rPr>
        <w:t>հրաժեշտ</w:t>
      </w:r>
      <w:r w:rsidRPr="003C716D">
        <w:rPr>
          <w:lang w:val="es-ES"/>
        </w:rPr>
        <w:t xml:space="preserve"> </w:t>
      </w:r>
      <w:r w:rsidRPr="003C716D">
        <w:rPr>
          <w:rFonts w:cs="Sylfaen"/>
        </w:rPr>
        <w:t>ֆի</w:t>
      </w:r>
      <w:r w:rsidRPr="003C716D">
        <w:rPr>
          <w:rFonts w:cs="Sylfaen"/>
          <w:lang w:val="es-ES"/>
        </w:rPr>
        <w:softHyphen/>
      </w:r>
      <w:r w:rsidRPr="003C716D">
        <w:rPr>
          <w:rFonts w:cs="Sylfaen"/>
        </w:rPr>
        <w:t>նան</w:t>
      </w:r>
      <w:r w:rsidRPr="003C716D">
        <w:rPr>
          <w:rFonts w:cs="Sylfaen"/>
          <w:lang w:val="es-ES"/>
        </w:rPr>
        <w:softHyphen/>
      </w:r>
      <w:r w:rsidRPr="003C716D">
        <w:rPr>
          <w:rFonts w:cs="Sylfaen"/>
        </w:rPr>
        <w:t>սական</w:t>
      </w:r>
      <w:r w:rsidRPr="003C716D">
        <w:rPr>
          <w:lang w:val="es-ES"/>
        </w:rPr>
        <w:t xml:space="preserve"> </w:t>
      </w:r>
      <w:r w:rsidRPr="003C716D">
        <w:rPr>
          <w:rFonts w:cs="Sylfaen"/>
        </w:rPr>
        <w:t>ապահովում</w:t>
      </w:r>
      <w:r w:rsidRPr="003C716D">
        <w:rPr>
          <w:lang w:val="es-ES"/>
        </w:rPr>
        <w:t xml:space="preserve">, </w:t>
      </w:r>
    </w:p>
    <w:p w14:paraId="2B185411" w14:textId="77777777" w:rsidR="009D2825" w:rsidRDefault="009D2825" w:rsidP="009A7904">
      <w:pPr>
        <w:spacing w:line="276" w:lineRule="auto"/>
        <w:ind w:firstLine="360"/>
        <w:rPr>
          <w:lang w:val="es-ES"/>
        </w:rPr>
      </w:pPr>
      <w:r w:rsidRPr="003C716D">
        <w:rPr>
          <w:lang w:val="es-ES"/>
        </w:rPr>
        <w:t>(iii)</w:t>
      </w:r>
      <w:r w:rsidRPr="003C716D">
        <w:rPr>
          <w:lang w:val="es-ES"/>
        </w:rPr>
        <w:tab/>
        <w:t xml:space="preserve"> </w:t>
      </w:r>
      <w:r w:rsidRPr="003C716D">
        <w:rPr>
          <w:rFonts w:cs="Sylfaen"/>
        </w:rPr>
        <w:t>տնտեսության</w:t>
      </w:r>
      <w:r w:rsidRPr="003C716D">
        <w:rPr>
          <w:lang w:val="es-ES"/>
        </w:rPr>
        <w:t xml:space="preserve"> </w:t>
      </w:r>
      <w:r w:rsidRPr="003C716D">
        <w:rPr>
          <w:rFonts w:cs="Sylfaen"/>
        </w:rPr>
        <w:t>առանձին</w:t>
      </w:r>
      <w:r w:rsidRPr="003C716D">
        <w:rPr>
          <w:lang w:val="es-ES"/>
        </w:rPr>
        <w:t xml:space="preserve"> </w:t>
      </w:r>
      <w:r w:rsidRPr="003C716D">
        <w:rPr>
          <w:rFonts w:cs="Sylfaen"/>
        </w:rPr>
        <w:t>ոլորտներում</w:t>
      </w:r>
      <w:r w:rsidRPr="003C716D">
        <w:rPr>
          <w:lang w:val="es-ES"/>
        </w:rPr>
        <w:t xml:space="preserve"> (</w:t>
      </w:r>
      <w:r w:rsidRPr="003C716D">
        <w:rPr>
          <w:rFonts w:cs="Sylfaen"/>
        </w:rPr>
        <w:t>մասնավորապես՝</w:t>
      </w:r>
      <w:r w:rsidRPr="003C716D">
        <w:rPr>
          <w:lang w:val="es-ES"/>
        </w:rPr>
        <w:t xml:space="preserve"> </w:t>
      </w:r>
      <w:r w:rsidRPr="003C716D">
        <w:rPr>
          <w:rFonts w:cs="Sylfaen"/>
        </w:rPr>
        <w:t>գյուղատնտեսություն</w:t>
      </w:r>
      <w:r w:rsidRPr="003C716D">
        <w:rPr>
          <w:lang w:val="es-ES"/>
        </w:rPr>
        <w:t xml:space="preserve">, </w:t>
      </w:r>
      <w:r w:rsidRPr="003C716D">
        <w:rPr>
          <w:rFonts w:cs="Sylfaen"/>
        </w:rPr>
        <w:t>ջրային</w:t>
      </w:r>
      <w:r w:rsidRPr="003C716D">
        <w:rPr>
          <w:lang w:val="es-ES"/>
        </w:rPr>
        <w:t xml:space="preserve"> </w:t>
      </w:r>
      <w:r w:rsidRPr="003C716D">
        <w:rPr>
          <w:rFonts w:cs="Sylfaen"/>
        </w:rPr>
        <w:t>տնտե</w:t>
      </w:r>
      <w:r w:rsidRPr="003C716D">
        <w:rPr>
          <w:rFonts w:cs="Sylfaen"/>
          <w:lang w:val="es-ES"/>
        </w:rPr>
        <w:softHyphen/>
      </w:r>
      <w:r w:rsidRPr="003C716D">
        <w:rPr>
          <w:rFonts w:cs="Sylfaen"/>
          <w:lang w:val="es-ES"/>
        </w:rPr>
        <w:softHyphen/>
      </w:r>
      <w:r w:rsidRPr="003C716D">
        <w:rPr>
          <w:rFonts w:cs="Sylfaen"/>
        </w:rPr>
        <w:t>սու</w:t>
      </w:r>
      <w:r w:rsidRPr="003C716D">
        <w:rPr>
          <w:rFonts w:cs="Sylfaen"/>
          <w:lang w:val="es-ES"/>
        </w:rPr>
        <w:softHyphen/>
      </w:r>
      <w:r w:rsidRPr="003C716D">
        <w:rPr>
          <w:rFonts w:cs="Sylfaen"/>
        </w:rPr>
        <w:t>թյուն</w:t>
      </w:r>
      <w:r w:rsidRPr="003C716D">
        <w:rPr>
          <w:lang w:val="es-ES"/>
        </w:rPr>
        <w:t xml:space="preserve">, </w:t>
      </w:r>
      <w:r w:rsidRPr="003C716D">
        <w:rPr>
          <w:rFonts w:cs="Sylfaen"/>
        </w:rPr>
        <w:t>ճանապարհային</w:t>
      </w:r>
      <w:r w:rsidRPr="003C716D">
        <w:rPr>
          <w:lang w:val="es-ES"/>
        </w:rPr>
        <w:t xml:space="preserve"> </w:t>
      </w:r>
      <w:r w:rsidRPr="003C716D">
        <w:rPr>
          <w:rFonts w:cs="Sylfaen"/>
        </w:rPr>
        <w:t>տնտեսություն</w:t>
      </w:r>
      <w:r w:rsidRPr="003C716D">
        <w:rPr>
          <w:lang w:val="es-ES"/>
        </w:rPr>
        <w:t xml:space="preserve"> </w:t>
      </w:r>
      <w:r w:rsidRPr="003C716D">
        <w:rPr>
          <w:rFonts w:cs="Sylfaen"/>
        </w:rPr>
        <w:t>և</w:t>
      </w:r>
      <w:r w:rsidRPr="003C716D">
        <w:rPr>
          <w:lang w:val="es-ES"/>
        </w:rPr>
        <w:t xml:space="preserve"> </w:t>
      </w:r>
      <w:r w:rsidRPr="003C716D">
        <w:rPr>
          <w:rFonts w:cs="Sylfaen"/>
        </w:rPr>
        <w:t>էներգետիկա</w:t>
      </w:r>
      <w:r w:rsidRPr="003C716D">
        <w:rPr>
          <w:lang w:val="es-ES"/>
        </w:rPr>
        <w:t xml:space="preserve">) </w:t>
      </w:r>
      <w:r w:rsidRPr="003C716D">
        <w:rPr>
          <w:rFonts w:cs="Sylfaen"/>
        </w:rPr>
        <w:t>ենթակառուցվածքների</w:t>
      </w:r>
      <w:r w:rsidRPr="003C716D">
        <w:rPr>
          <w:lang w:val="es-ES"/>
        </w:rPr>
        <w:t xml:space="preserve"> </w:t>
      </w:r>
      <w:r w:rsidRPr="003C716D">
        <w:rPr>
          <w:rFonts w:cs="Sylfaen"/>
        </w:rPr>
        <w:t>վերա</w:t>
      </w:r>
      <w:r w:rsidRPr="003C716D">
        <w:rPr>
          <w:rFonts w:cs="Sylfaen"/>
          <w:lang w:val="es-ES"/>
        </w:rPr>
        <w:softHyphen/>
      </w:r>
      <w:r w:rsidRPr="003C716D">
        <w:rPr>
          <w:rFonts w:cs="Sylfaen"/>
        </w:rPr>
        <w:t>կանգնման</w:t>
      </w:r>
      <w:r w:rsidRPr="003C716D">
        <w:rPr>
          <w:lang w:val="es-ES"/>
        </w:rPr>
        <w:t xml:space="preserve"> </w:t>
      </w:r>
      <w:r w:rsidRPr="003C716D">
        <w:rPr>
          <w:rFonts w:cs="Sylfaen"/>
        </w:rPr>
        <w:t>և</w:t>
      </w:r>
      <w:r w:rsidRPr="003C716D">
        <w:rPr>
          <w:lang w:val="es-ES"/>
        </w:rPr>
        <w:t xml:space="preserve"> </w:t>
      </w:r>
      <w:r w:rsidRPr="003C716D">
        <w:rPr>
          <w:rFonts w:cs="Sylfaen"/>
        </w:rPr>
        <w:t>զար</w:t>
      </w:r>
      <w:r w:rsidRPr="003C716D">
        <w:rPr>
          <w:rFonts w:cs="Sylfaen"/>
          <w:lang w:val="es-ES"/>
        </w:rPr>
        <w:softHyphen/>
      </w:r>
      <w:r w:rsidRPr="003C716D">
        <w:rPr>
          <w:rFonts w:cs="Sylfaen"/>
        </w:rPr>
        <w:t>գաց</w:t>
      </w:r>
      <w:r w:rsidRPr="003C716D">
        <w:rPr>
          <w:rFonts w:cs="Sylfaen"/>
          <w:lang w:val="es-ES"/>
        </w:rPr>
        <w:softHyphen/>
      </w:r>
      <w:r w:rsidRPr="003C716D">
        <w:rPr>
          <w:rFonts w:cs="Sylfaen"/>
        </w:rPr>
        <w:t>ման</w:t>
      </w:r>
      <w:r w:rsidRPr="003C716D">
        <w:rPr>
          <w:lang w:val="es-ES"/>
        </w:rPr>
        <w:t xml:space="preserve"> </w:t>
      </w:r>
      <w:r w:rsidRPr="003C716D">
        <w:rPr>
          <w:rFonts w:cs="Sylfaen"/>
        </w:rPr>
        <w:t>ծրագրերի</w:t>
      </w:r>
      <w:r w:rsidRPr="003C716D">
        <w:rPr>
          <w:lang w:val="es-ES"/>
        </w:rPr>
        <w:t xml:space="preserve"> </w:t>
      </w:r>
      <w:r w:rsidRPr="003C716D">
        <w:rPr>
          <w:rFonts w:cs="Sylfaen"/>
        </w:rPr>
        <w:t>իրականացում</w:t>
      </w:r>
      <w:r w:rsidRPr="003C716D">
        <w:rPr>
          <w:lang w:val="es-ES"/>
        </w:rPr>
        <w:t xml:space="preserve">: </w:t>
      </w:r>
    </w:p>
    <w:p w14:paraId="5F5DD4BC" w14:textId="77777777" w:rsidR="005305FA" w:rsidRDefault="005305FA" w:rsidP="009A7904">
      <w:pPr>
        <w:spacing w:line="276" w:lineRule="auto"/>
        <w:ind w:firstLine="360"/>
        <w:rPr>
          <w:lang w:val="es-ES"/>
        </w:rPr>
      </w:pPr>
    </w:p>
    <w:p w14:paraId="2DB711DB" w14:textId="77777777" w:rsidR="006B2C4E" w:rsidRDefault="006B2C4E" w:rsidP="009A7904">
      <w:pPr>
        <w:spacing w:line="276" w:lineRule="auto"/>
        <w:ind w:firstLine="360"/>
        <w:rPr>
          <w:lang w:val="es-ES"/>
        </w:rPr>
      </w:pPr>
    </w:p>
    <w:p w14:paraId="6334C510" w14:textId="77777777" w:rsidR="009D2825" w:rsidRPr="005305FA" w:rsidRDefault="009D2825"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287" w:name="_Toc488070533"/>
      <w:bookmarkStart w:id="288" w:name="_Toc13837292"/>
      <w:bookmarkStart w:id="289" w:name="_Toc45637516"/>
      <w:bookmarkStart w:id="290" w:name="_Toc45838540"/>
      <w:bookmarkStart w:id="291" w:name="_Toc46154368"/>
      <w:bookmarkStart w:id="292" w:name="_Toc170376085"/>
      <w:bookmarkStart w:id="293" w:name="_Toc202428367"/>
      <w:bookmarkStart w:id="294" w:name="_Toc266780804"/>
      <w:bookmarkStart w:id="295" w:name="_Toc296702366"/>
      <w:r w:rsidRPr="005305FA">
        <w:rPr>
          <w:rFonts w:eastAsia="Times New Roman" w:cs="Times New Roman"/>
          <w:caps w:val="0"/>
          <w:color w:val="1F497D" w:themeColor="text2"/>
          <w:sz w:val="28"/>
          <w:szCs w:val="28"/>
        </w:rPr>
        <w:t>1</w:t>
      </w:r>
      <w:r w:rsidR="009858E4" w:rsidRPr="00EB1197">
        <w:rPr>
          <w:rFonts w:eastAsia="Times New Roman" w:cs="Times New Roman"/>
          <w:caps w:val="0"/>
          <w:color w:val="1F497D" w:themeColor="text2"/>
          <w:sz w:val="28"/>
          <w:szCs w:val="28"/>
          <w:lang w:val="es-ES"/>
        </w:rPr>
        <w:t>.</w:t>
      </w:r>
      <w:r w:rsidRPr="005305FA">
        <w:rPr>
          <w:rFonts w:eastAsia="Times New Roman" w:cs="Times New Roman"/>
          <w:caps w:val="0"/>
          <w:color w:val="1F497D" w:themeColor="text2"/>
          <w:sz w:val="28"/>
          <w:szCs w:val="28"/>
        </w:rPr>
        <w:t xml:space="preserve"> </w:t>
      </w:r>
      <w:bookmarkEnd w:id="287"/>
      <w:bookmarkEnd w:id="288"/>
      <w:r w:rsidRPr="005305FA">
        <w:rPr>
          <w:rFonts w:eastAsia="Times New Roman" w:cs="Times New Roman"/>
          <w:caps w:val="0"/>
          <w:color w:val="1F497D" w:themeColor="text2"/>
          <w:sz w:val="28"/>
          <w:szCs w:val="28"/>
        </w:rPr>
        <w:t>ՊԵՏԱԿԱՆ ՄԱՐՄԻՆՆԵՐԻ ՊԱՀՊԱՆՄԱՆ ԾԱԽՍԵՐ</w:t>
      </w:r>
      <w:bookmarkEnd w:id="289"/>
      <w:bookmarkEnd w:id="290"/>
      <w:bookmarkEnd w:id="291"/>
    </w:p>
    <w:p w14:paraId="7A78F417" w14:textId="77777777" w:rsidR="009D2825" w:rsidRPr="003E3623" w:rsidRDefault="009D2825" w:rsidP="009A7904">
      <w:pPr>
        <w:overflowPunct w:val="0"/>
        <w:autoSpaceDE w:val="0"/>
        <w:autoSpaceDN w:val="0"/>
        <w:adjustRightInd w:val="0"/>
        <w:spacing w:before="240" w:after="0" w:line="276" w:lineRule="auto"/>
        <w:ind w:firstLine="547"/>
        <w:textAlignment w:val="baseline"/>
        <w:rPr>
          <w:szCs w:val="20"/>
          <w:lang w:val="hy-AM"/>
        </w:rPr>
      </w:pPr>
      <w:r w:rsidRPr="003E3623">
        <w:rPr>
          <w:szCs w:val="20"/>
        </w:rPr>
        <w:t>Ոլորտը</w:t>
      </w:r>
      <w:r w:rsidRPr="003E3623">
        <w:rPr>
          <w:szCs w:val="20"/>
          <w:lang w:val="es-ES"/>
        </w:rPr>
        <w:t xml:space="preserve"> </w:t>
      </w:r>
      <w:r w:rsidRPr="003E3623">
        <w:rPr>
          <w:szCs w:val="20"/>
        </w:rPr>
        <w:t>ներառում</w:t>
      </w:r>
      <w:r w:rsidRPr="003E3623">
        <w:rPr>
          <w:szCs w:val="20"/>
          <w:lang w:val="es-ES"/>
        </w:rPr>
        <w:t xml:space="preserve"> </w:t>
      </w:r>
      <w:r w:rsidRPr="003E3623">
        <w:rPr>
          <w:szCs w:val="20"/>
        </w:rPr>
        <w:t>է</w:t>
      </w:r>
      <w:r w:rsidRPr="003E3623">
        <w:rPr>
          <w:szCs w:val="20"/>
          <w:lang w:val="es-ES"/>
        </w:rPr>
        <w:t xml:space="preserve"> </w:t>
      </w:r>
      <w:r w:rsidRPr="003E3623">
        <w:rPr>
          <w:szCs w:val="20"/>
        </w:rPr>
        <w:t>Սահմանադրությամբ</w:t>
      </w:r>
      <w:r w:rsidRPr="003E3623">
        <w:rPr>
          <w:szCs w:val="20"/>
          <w:lang w:val="es-ES"/>
        </w:rPr>
        <w:t xml:space="preserve"> </w:t>
      </w:r>
      <w:r w:rsidRPr="003E3623">
        <w:rPr>
          <w:szCs w:val="20"/>
        </w:rPr>
        <w:t>և</w:t>
      </w:r>
      <w:r w:rsidRPr="003E3623">
        <w:rPr>
          <w:szCs w:val="20"/>
          <w:lang w:val="es-ES"/>
        </w:rPr>
        <w:t xml:space="preserve"> </w:t>
      </w:r>
      <w:r w:rsidRPr="003E3623">
        <w:rPr>
          <w:szCs w:val="20"/>
        </w:rPr>
        <w:t>օրենքով</w:t>
      </w:r>
      <w:r w:rsidRPr="003E3623">
        <w:rPr>
          <w:szCs w:val="20"/>
          <w:lang w:val="es-ES"/>
        </w:rPr>
        <w:t xml:space="preserve"> </w:t>
      </w:r>
      <w:r w:rsidRPr="003E3623">
        <w:rPr>
          <w:szCs w:val="20"/>
        </w:rPr>
        <w:t>ստեղծված</w:t>
      </w:r>
      <w:r w:rsidRPr="003E3623">
        <w:rPr>
          <w:szCs w:val="20"/>
          <w:lang w:val="es-ES"/>
        </w:rPr>
        <w:t xml:space="preserve"> </w:t>
      </w:r>
      <w:r w:rsidRPr="003E3623">
        <w:rPr>
          <w:szCs w:val="20"/>
        </w:rPr>
        <w:t>պետական</w:t>
      </w:r>
      <w:r w:rsidRPr="003E3623">
        <w:rPr>
          <w:szCs w:val="20"/>
          <w:lang w:val="es-ES"/>
        </w:rPr>
        <w:t xml:space="preserve"> </w:t>
      </w:r>
      <w:r w:rsidRPr="003E3623">
        <w:rPr>
          <w:szCs w:val="20"/>
        </w:rPr>
        <w:t>մարմինների</w:t>
      </w:r>
      <w:r w:rsidRPr="003E3623">
        <w:rPr>
          <w:szCs w:val="20"/>
          <w:lang w:val="es-ES"/>
        </w:rPr>
        <w:t xml:space="preserve"> </w:t>
      </w:r>
      <w:r w:rsidRPr="003E3623">
        <w:rPr>
          <w:szCs w:val="20"/>
        </w:rPr>
        <w:t>պահպանմանն</w:t>
      </w:r>
      <w:r w:rsidRPr="003E3623">
        <w:rPr>
          <w:szCs w:val="20"/>
          <w:lang w:val="es-ES"/>
        </w:rPr>
        <w:t xml:space="preserve"> </w:t>
      </w:r>
      <w:r w:rsidRPr="003E3623">
        <w:rPr>
          <w:szCs w:val="20"/>
        </w:rPr>
        <w:t>ուղղված</w:t>
      </w:r>
      <w:r w:rsidRPr="003E3623">
        <w:rPr>
          <w:szCs w:val="20"/>
          <w:lang w:val="es-ES"/>
        </w:rPr>
        <w:t xml:space="preserve"> </w:t>
      </w:r>
      <w:r w:rsidRPr="003E3623">
        <w:rPr>
          <w:szCs w:val="20"/>
        </w:rPr>
        <w:t>բյուջետային</w:t>
      </w:r>
      <w:r w:rsidRPr="003E3623">
        <w:rPr>
          <w:szCs w:val="20"/>
          <w:lang w:val="es-ES"/>
        </w:rPr>
        <w:t xml:space="preserve"> </w:t>
      </w:r>
      <w:r w:rsidRPr="003E3623">
        <w:rPr>
          <w:szCs w:val="20"/>
        </w:rPr>
        <w:t>ծրագրերի</w:t>
      </w:r>
      <w:r w:rsidRPr="003E3623">
        <w:rPr>
          <w:szCs w:val="20"/>
          <w:lang w:val="es-ES"/>
        </w:rPr>
        <w:t xml:space="preserve"> </w:t>
      </w:r>
      <w:r w:rsidRPr="003E3623">
        <w:rPr>
          <w:szCs w:val="20"/>
        </w:rPr>
        <w:t>ու</w:t>
      </w:r>
      <w:r w:rsidRPr="003E3623">
        <w:rPr>
          <w:szCs w:val="20"/>
          <w:lang w:val="es-ES"/>
        </w:rPr>
        <w:t xml:space="preserve"> </w:t>
      </w:r>
      <w:r w:rsidRPr="003E3623">
        <w:rPr>
          <w:szCs w:val="20"/>
        </w:rPr>
        <w:t>միջոցառումների</w:t>
      </w:r>
      <w:r w:rsidRPr="003E3623">
        <w:rPr>
          <w:szCs w:val="20"/>
          <w:lang w:val="es-ES"/>
        </w:rPr>
        <w:t xml:space="preserve"> </w:t>
      </w:r>
      <w:r w:rsidRPr="003E3623">
        <w:rPr>
          <w:szCs w:val="20"/>
        </w:rPr>
        <w:t>շրջանակը</w:t>
      </w:r>
      <w:r w:rsidRPr="003E3623">
        <w:rPr>
          <w:szCs w:val="20"/>
          <w:lang w:val="hy-AM"/>
        </w:rPr>
        <w:t xml:space="preserve">, որն ընդգրկում է պետական իշխանության մարմինների (օրենսդիր, գործադիր և դատական), Սահմանադրությամբ և օրենքով ստեղծված ինքնավար և անկախ մարմինների ընթացիկ պահպանումը և տեխնիկական միջոցներով ապահովումը: </w:t>
      </w:r>
    </w:p>
    <w:p w14:paraId="0D390B2C" w14:textId="77777777" w:rsidR="009D2825" w:rsidRPr="003E3623" w:rsidRDefault="009D2825" w:rsidP="009A7904">
      <w:pPr>
        <w:overflowPunct w:val="0"/>
        <w:autoSpaceDE w:val="0"/>
        <w:autoSpaceDN w:val="0"/>
        <w:adjustRightInd w:val="0"/>
        <w:spacing w:after="0" w:line="276" w:lineRule="auto"/>
        <w:ind w:firstLine="547"/>
        <w:textAlignment w:val="baseline"/>
        <w:rPr>
          <w:lang w:val="es-ES"/>
        </w:rPr>
      </w:pPr>
      <w:r w:rsidRPr="003E3623">
        <w:rPr>
          <w:lang w:val="hy-AM"/>
        </w:rPr>
        <w:t>Ընդհանուր</w:t>
      </w:r>
      <w:r w:rsidRPr="003E3623">
        <w:rPr>
          <w:lang w:val="es-ES"/>
        </w:rPr>
        <w:t xml:space="preserve"> </w:t>
      </w:r>
      <w:r w:rsidRPr="003E3623">
        <w:rPr>
          <w:lang w:val="hy-AM"/>
        </w:rPr>
        <w:t>առմամբ</w:t>
      </w:r>
      <w:r w:rsidRPr="003E3623">
        <w:rPr>
          <w:lang w:val="es-ES"/>
        </w:rPr>
        <w:t xml:space="preserve">, </w:t>
      </w:r>
      <w:r w:rsidRPr="003E3623">
        <w:rPr>
          <w:lang w:val="hy-AM"/>
        </w:rPr>
        <w:t>պետական</w:t>
      </w:r>
      <w:r w:rsidRPr="003E3623">
        <w:rPr>
          <w:lang w:val="es-ES"/>
        </w:rPr>
        <w:t xml:space="preserve"> </w:t>
      </w:r>
      <w:r w:rsidRPr="003E3623">
        <w:rPr>
          <w:lang w:val="hy-AM"/>
        </w:rPr>
        <w:t>կառավարման</w:t>
      </w:r>
      <w:r w:rsidRPr="003E3623">
        <w:rPr>
          <w:lang w:val="es-ES"/>
        </w:rPr>
        <w:t xml:space="preserve"> </w:t>
      </w:r>
      <w:r w:rsidRPr="003E3623">
        <w:rPr>
          <w:lang w:val="hy-AM"/>
        </w:rPr>
        <w:t>համակարգի</w:t>
      </w:r>
      <w:r w:rsidRPr="003E3623">
        <w:rPr>
          <w:lang w:val="es-ES"/>
        </w:rPr>
        <w:t xml:space="preserve"> </w:t>
      </w:r>
      <w:r w:rsidRPr="003E3623">
        <w:rPr>
          <w:lang w:val="hy-AM"/>
        </w:rPr>
        <w:t>բարեփոխումներին</w:t>
      </w:r>
      <w:r w:rsidRPr="003E3623">
        <w:rPr>
          <w:lang w:val="es-ES"/>
        </w:rPr>
        <w:t xml:space="preserve"> </w:t>
      </w:r>
      <w:r w:rsidRPr="003E3623">
        <w:rPr>
          <w:lang w:val="hy-AM"/>
        </w:rPr>
        <w:t>ուղղված</w:t>
      </w:r>
      <w:r w:rsidRPr="003E3623">
        <w:rPr>
          <w:lang w:val="es-ES"/>
        </w:rPr>
        <w:t xml:space="preserve">  </w:t>
      </w:r>
      <w:r w:rsidRPr="003E3623">
        <w:rPr>
          <w:lang w:val="hy-AM"/>
        </w:rPr>
        <w:t>Կառավարության</w:t>
      </w:r>
      <w:r w:rsidRPr="003E3623">
        <w:rPr>
          <w:lang w:val="es-ES"/>
        </w:rPr>
        <w:t xml:space="preserve"> </w:t>
      </w:r>
      <w:r w:rsidRPr="003E3623">
        <w:rPr>
          <w:lang w:val="hy-AM"/>
        </w:rPr>
        <w:t>կողմից</w:t>
      </w:r>
      <w:r w:rsidRPr="003E3623">
        <w:rPr>
          <w:lang w:val="es-ES"/>
        </w:rPr>
        <w:t xml:space="preserve"> </w:t>
      </w:r>
      <w:r w:rsidRPr="003E3623">
        <w:rPr>
          <w:lang w:val="hy-AM"/>
        </w:rPr>
        <w:t>իրականացվող</w:t>
      </w:r>
      <w:r w:rsidRPr="003E3623">
        <w:rPr>
          <w:lang w:val="es-ES"/>
        </w:rPr>
        <w:t xml:space="preserve"> </w:t>
      </w:r>
      <w:r w:rsidRPr="003E3623">
        <w:rPr>
          <w:lang w:val="hy-AM"/>
        </w:rPr>
        <w:t>գործողությունները</w:t>
      </w:r>
      <w:r w:rsidRPr="003E3623">
        <w:rPr>
          <w:lang w:val="es-ES"/>
        </w:rPr>
        <w:t xml:space="preserve"> </w:t>
      </w:r>
      <w:r w:rsidRPr="003E3623">
        <w:rPr>
          <w:lang w:val="hy-AM"/>
        </w:rPr>
        <w:t>միտված</w:t>
      </w:r>
      <w:r w:rsidRPr="003E3623">
        <w:rPr>
          <w:lang w:val="es-ES"/>
        </w:rPr>
        <w:t xml:space="preserve"> </w:t>
      </w:r>
      <w:r w:rsidRPr="003E3623">
        <w:rPr>
          <w:lang w:val="hy-AM"/>
        </w:rPr>
        <w:t>են</w:t>
      </w:r>
      <w:r w:rsidRPr="003E3623">
        <w:rPr>
          <w:lang w:val="es-ES"/>
        </w:rPr>
        <w:t xml:space="preserve"> </w:t>
      </w:r>
      <w:r w:rsidRPr="003E3623">
        <w:rPr>
          <w:lang w:val="hy-AM"/>
        </w:rPr>
        <w:t>լինելու</w:t>
      </w:r>
      <w:r w:rsidRPr="003E3623">
        <w:rPr>
          <w:lang w:val="es-ES"/>
        </w:rPr>
        <w:t xml:space="preserve"> </w:t>
      </w:r>
      <w:r w:rsidRPr="003E3623">
        <w:rPr>
          <w:lang w:val="hy-AM"/>
        </w:rPr>
        <w:t>պետական</w:t>
      </w:r>
      <w:r w:rsidRPr="003E3623">
        <w:rPr>
          <w:lang w:val="es-ES"/>
        </w:rPr>
        <w:t xml:space="preserve"> </w:t>
      </w:r>
      <w:r w:rsidRPr="003E3623">
        <w:rPr>
          <w:lang w:val="hy-AM"/>
        </w:rPr>
        <w:lastRenderedPageBreak/>
        <w:t>կառավարման</w:t>
      </w:r>
      <w:r w:rsidRPr="003E3623">
        <w:rPr>
          <w:lang w:val="es-ES"/>
        </w:rPr>
        <w:t xml:space="preserve"> </w:t>
      </w:r>
      <w:r w:rsidRPr="003E3623">
        <w:rPr>
          <w:lang w:val="hy-AM"/>
        </w:rPr>
        <w:t>համակարգում</w:t>
      </w:r>
      <w:r w:rsidRPr="003E3623">
        <w:rPr>
          <w:lang w:val="es-ES"/>
        </w:rPr>
        <w:t xml:space="preserve"> </w:t>
      </w:r>
      <w:r w:rsidRPr="003E3623">
        <w:rPr>
          <w:lang w:val="hy-AM"/>
        </w:rPr>
        <w:t>կոռուպցիոն</w:t>
      </w:r>
      <w:r w:rsidRPr="003E3623">
        <w:rPr>
          <w:lang w:val="es-ES"/>
        </w:rPr>
        <w:t xml:space="preserve"> </w:t>
      </w:r>
      <w:r w:rsidRPr="003E3623">
        <w:rPr>
          <w:lang w:val="hy-AM"/>
        </w:rPr>
        <w:t>երևույթների</w:t>
      </w:r>
      <w:r w:rsidRPr="003E3623">
        <w:rPr>
          <w:lang w:val="es-ES"/>
        </w:rPr>
        <w:t xml:space="preserve"> </w:t>
      </w:r>
      <w:r w:rsidRPr="003E3623">
        <w:rPr>
          <w:lang w:val="hy-AM"/>
        </w:rPr>
        <w:t>բացառմանը`</w:t>
      </w:r>
      <w:r w:rsidRPr="003E3623">
        <w:rPr>
          <w:lang w:val="es-ES"/>
        </w:rPr>
        <w:t xml:space="preserve"> </w:t>
      </w:r>
      <w:r w:rsidRPr="003E3623">
        <w:rPr>
          <w:lang w:val="hy-AM"/>
        </w:rPr>
        <w:t>միաժամանակ</w:t>
      </w:r>
      <w:r w:rsidRPr="003E3623">
        <w:rPr>
          <w:lang w:val="es-ES"/>
        </w:rPr>
        <w:t xml:space="preserve"> </w:t>
      </w:r>
      <w:r w:rsidRPr="003E3623">
        <w:rPr>
          <w:lang w:val="hy-AM"/>
        </w:rPr>
        <w:t>պետական</w:t>
      </w:r>
      <w:r w:rsidRPr="003E3623">
        <w:rPr>
          <w:lang w:val="es-ES"/>
        </w:rPr>
        <w:t xml:space="preserve"> </w:t>
      </w:r>
      <w:r w:rsidRPr="003E3623">
        <w:rPr>
          <w:lang w:val="hy-AM"/>
        </w:rPr>
        <w:t>իշխանության</w:t>
      </w:r>
      <w:r w:rsidRPr="003E3623">
        <w:rPr>
          <w:lang w:val="es-ES"/>
        </w:rPr>
        <w:t xml:space="preserve"> </w:t>
      </w:r>
      <w:r w:rsidRPr="003E3623">
        <w:rPr>
          <w:lang w:val="hy-AM"/>
        </w:rPr>
        <w:t>մարմինների</w:t>
      </w:r>
      <w:r w:rsidRPr="003E3623">
        <w:rPr>
          <w:lang w:val="es-ES"/>
        </w:rPr>
        <w:t xml:space="preserve"> </w:t>
      </w:r>
      <w:r w:rsidRPr="003E3623">
        <w:rPr>
          <w:lang w:val="hy-AM"/>
        </w:rPr>
        <w:t>գործունեության</w:t>
      </w:r>
      <w:r w:rsidRPr="003E3623">
        <w:rPr>
          <w:lang w:val="es-ES"/>
        </w:rPr>
        <w:t xml:space="preserve"> </w:t>
      </w:r>
      <w:r w:rsidRPr="003E3623">
        <w:rPr>
          <w:lang w:val="hy-AM"/>
        </w:rPr>
        <w:t>թափանցիկության</w:t>
      </w:r>
      <w:r w:rsidRPr="003E3623">
        <w:rPr>
          <w:lang w:val="es-ES"/>
        </w:rPr>
        <w:t xml:space="preserve">, </w:t>
      </w:r>
      <w:r w:rsidRPr="003E3623">
        <w:rPr>
          <w:lang w:val="hy-AM"/>
        </w:rPr>
        <w:t>պետական</w:t>
      </w:r>
      <w:r w:rsidRPr="003E3623">
        <w:rPr>
          <w:lang w:val="es-ES"/>
        </w:rPr>
        <w:t xml:space="preserve"> </w:t>
      </w:r>
      <w:r w:rsidRPr="003E3623">
        <w:rPr>
          <w:lang w:val="hy-AM"/>
        </w:rPr>
        <w:t>կառավարման</w:t>
      </w:r>
      <w:r w:rsidRPr="003E3623">
        <w:rPr>
          <w:lang w:val="es-ES"/>
        </w:rPr>
        <w:t xml:space="preserve"> </w:t>
      </w:r>
      <w:r w:rsidRPr="003E3623">
        <w:rPr>
          <w:lang w:val="hy-AM"/>
        </w:rPr>
        <w:t>գործընթացներին</w:t>
      </w:r>
      <w:r w:rsidRPr="003E3623">
        <w:rPr>
          <w:lang w:val="es-ES"/>
        </w:rPr>
        <w:t xml:space="preserve"> </w:t>
      </w:r>
      <w:r w:rsidRPr="003E3623">
        <w:rPr>
          <w:lang w:val="hy-AM"/>
        </w:rPr>
        <w:t>քաղաքացիական</w:t>
      </w:r>
      <w:r w:rsidRPr="003E3623">
        <w:rPr>
          <w:lang w:val="es-ES"/>
        </w:rPr>
        <w:t xml:space="preserve"> </w:t>
      </w:r>
      <w:r w:rsidRPr="003E3623">
        <w:rPr>
          <w:lang w:val="hy-AM"/>
        </w:rPr>
        <w:t>հասարակության</w:t>
      </w:r>
      <w:r w:rsidRPr="003E3623">
        <w:rPr>
          <w:lang w:val="es-ES"/>
        </w:rPr>
        <w:t xml:space="preserve"> </w:t>
      </w:r>
      <w:r w:rsidRPr="003E3623">
        <w:rPr>
          <w:lang w:val="hy-AM"/>
        </w:rPr>
        <w:t>ներկայացուցիչների</w:t>
      </w:r>
      <w:r w:rsidRPr="003E3623">
        <w:rPr>
          <w:lang w:val="es-ES"/>
        </w:rPr>
        <w:t xml:space="preserve"> </w:t>
      </w:r>
      <w:r w:rsidRPr="003E3623">
        <w:rPr>
          <w:lang w:val="hy-AM"/>
        </w:rPr>
        <w:t>մասնակցության</w:t>
      </w:r>
      <w:r w:rsidRPr="003E3623">
        <w:rPr>
          <w:lang w:val="es-ES"/>
        </w:rPr>
        <w:t xml:space="preserve"> </w:t>
      </w:r>
      <w:r w:rsidRPr="003E3623">
        <w:rPr>
          <w:lang w:val="hy-AM"/>
        </w:rPr>
        <w:t>աստիճանի</w:t>
      </w:r>
      <w:r w:rsidRPr="003E3623">
        <w:rPr>
          <w:lang w:val="es-ES"/>
        </w:rPr>
        <w:t xml:space="preserve"> </w:t>
      </w:r>
      <w:r w:rsidRPr="003E3623">
        <w:rPr>
          <w:lang w:val="hy-AM"/>
        </w:rPr>
        <w:t>բարձրացման</w:t>
      </w:r>
      <w:r w:rsidRPr="003E3623">
        <w:rPr>
          <w:lang w:val="es-ES"/>
        </w:rPr>
        <w:t xml:space="preserve">, </w:t>
      </w:r>
      <w:r w:rsidRPr="003E3623">
        <w:rPr>
          <w:lang w:val="hy-AM"/>
        </w:rPr>
        <w:t>կառավարման</w:t>
      </w:r>
      <w:r w:rsidRPr="003E3623">
        <w:rPr>
          <w:lang w:val="es-ES"/>
        </w:rPr>
        <w:t xml:space="preserve"> </w:t>
      </w:r>
      <w:r w:rsidRPr="003E3623">
        <w:rPr>
          <w:lang w:val="hy-AM"/>
        </w:rPr>
        <w:t>համակարգում</w:t>
      </w:r>
      <w:r w:rsidRPr="003E3623">
        <w:rPr>
          <w:lang w:val="es-ES"/>
        </w:rPr>
        <w:t xml:space="preserve"> </w:t>
      </w:r>
      <w:r w:rsidRPr="003E3623">
        <w:rPr>
          <w:lang w:val="hy-AM"/>
        </w:rPr>
        <w:t>տարբեր</w:t>
      </w:r>
      <w:r w:rsidRPr="003E3623">
        <w:rPr>
          <w:lang w:val="es-ES"/>
        </w:rPr>
        <w:t xml:space="preserve"> </w:t>
      </w:r>
      <w:r w:rsidRPr="003E3623">
        <w:rPr>
          <w:lang w:val="hy-AM"/>
        </w:rPr>
        <w:t>հանրային</w:t>
      </w:r>
      <w:r w:rsidRPr="003E3623">
        <w:rPr>
          <w:lang w:val="es-ES"/>
        </w:rPr>
        <w:t xml:space="preserve"> </w:t>
      </w:r>
      <w:r w:rsidRPr="003E3623">
        <w:rPr>
          <w:lang w:val="hy-AM"/>
        </w:rPr>
        <w:t>ու</w:t>
      </w:r>
      <w:r w:rsidRPr="003E3623">
        <w:rPr>
          <w:lang w:val="es-ES"/>
        </w:rPr>
        <w:t xml:space="preserve"> </w:t>
      </w:r>
      <w:r w:rsidRPr="003E3623">
        <w:rPr>
          <w:lang w:val="hy-AM"/>
        </w:rPr>
        <w:t>հասարակական</w:t>
      </w:r>
      <w:r w:rsidRPr="003E3623">
        <w:rPr>
          <w:lang w:val="es-ES"/>
        </w:rPr>
        <w:t xml:space="preserve"> </w:t>
      </w:r>
      <w:r w:rsidRPr="003E3623">
        <w:rPr>
          <w:lang w:val="hy-AM"/>
        </w:rPr>
        <w:t>խորհուրդների</w:t>
      </w:r>
      <w:r w:rsidRPr="003E3623">
        <w:rPr>
          <w:lang w:val="es-ES"/>
        </w:rPr>
        <w:t xml:space="preserve"> </w:t>
      </w:r>
      <w:r w:rsidRPr="003E3623">
        <w:rPr>
          <w:lang w:val="hy-AM"/>
        </w:rPr>
        <w:t>մասնակցության</w:t>
      </w:r>
      <w:r w:rsidRPr="003E3623">
        <w:rPr>
          <w:lang w:val="es-ES"/>
        </w:rPr>
        <w:t xml:space="preserve"> </w:t>
      </w:r>
      <w:r w:rsidRPr="003E3623">
        <w:rPr>
          <w:lang w:val="hy-AM"/>
        </w:rPr>
        <w:t>ապահովման</w:t>
      </w:r>
      <w:r w:rsidRPr="003E3623">
        <w:rPr>
          <w:lang w:val="es-ES"/>
        </w:rPr>
        <w:t xml:space="preserve"> </w:t>
      </w:r>
      <w:r w:rsidRPr="003E3623">
        <w:rPr>
          <w:lang w:val="hy-AM"/>
        </w:rPr>
        <w:t>և</w:t>
      </w:r>
      <w:r w:rsidRPr="003E3623">
        <w:rPr>
          <w:lang w:val="es-ES"/>
        </w:rPr>
        <w:t xml:space="preserve"> </w:t>
      </w:r>
      <w:r w:rsidRPr="003E3623">
        <w:rPr>
          <w:lang w:val="hy-AM"/>
        </w:rPr>
        <w:t>այլ</w:t>
      </w:r>
      <w:r w:rsidRPr="003E3623">
        <w:rPr>
          <w:lang w:val="es-ES"/>
        </w:rPr>
        <w:t xml:space="preserve"> </w:t>
      </w:r>
      <w:r w:rsidRPr="003E3623">
        <w:rPr>
          <w:lang w:val="hy-AM"/>
        </w:rPr>
        <w:t>մեխանիզմների</w:t>
      </w:r>
      <w:r w:rsidRPr="003E3623">
        <w:rPr>
          <w:lang w:val="es-ES"/>
        </w:rPr>
        <w:t xml:space="preserve"> </w:t>
      </w:r>
      <w:r w:rsidRPr="003E3623">
        <w:rPr>
          <w:lang w:val="hy-AM"/>
        </w:rPr>
        <w:t>գործարկմամբ</w:t>
      </w:r>
      <w:r w:rsidRPr="003E3623">
        <w:rPr>
          <w:lang w:val="es-ES"/>
        </w:rPr>
        <w:t>:</w:t>
      </w:r>
    </w:p>
    <w:p w14:paraId="606E515A" w14:textId="77777777" w:rsidR="009D2825" w:rsidRPr="003E3623" w:rsidRDefault="009D2825" w:rsidP="009A7904">
      <w:pPr>
        <w:spacing w:after="0" w:line="276" w:lineRule="auto"/>
        <w:ind w:firstLine="547"/>
        <w:rPr>
          <w:lang w:val="es-ES"/>
        </w:rPr>
      </w:pPr>
      <w:r w:rsidRPr="003E3623">
        <w:rPr>
          <w:lang w:val="ru-RU"/>
        </w:rPr>
        <w:t>Հանրային</w:t>
      </w:r>
      <w:r w:rsidRPr="003E3623">
        <w:rPr>
          <w:lang w:val="es-ES"/>
        </w:rPr>
        <w:t xml:space="preserve"> </w:t>
      </w:r>
      <w:r w:rsidRPr="003E3623">
        <w:rPr>
          <w:lang w:val="ru-RU"/>
        </w:rPr>
        <w:t>կառավարման</w:t>
      </w:r>
      <w:r w:rsidRPr="003E3623">
        <w:rPr>
          <w:lang w:val="es-ES"/>
        </w:rPr>
        <w:t xml:space="preserve"> </w:t>
      </w:r>
      <w:r w:rsidRPr="003E3623">
        <w:rPr>
          <w:lang w:val="ru-RU"/>
        </w:rPr>
        <w:t>թափանցիկության</w:t>
      </w:r>
      <w:r w:rsidRPr="003E3623">
        <w:rPr>
          <w:lang w:val="es-ES"/>
        </w:rPr>
        <w:t xml:space="preserve"> </w:t>
      </w:r>
      <w:r w:rsidRPr="003E3623">
        <w:rPr>
          <w:lang w:val="ru-RU"/>
        </w:rPr>
        <w:t>և</w:t>
      </w:r>
      <w:r w:rsidRPr="003E3623">
        <w:rPr>
          <w:lang w:val="es-ES"/>
        </w:rPr>
        <w:t xml:space="preserve"> </w:t>
      </w:r>
      <w:r w:rsidRPr="003E3623">
        <w:rPr>
          <w:lang w:val="ru-RU"/>
        </w:rPr>
        <w:t>հաշվետվողականության</w:t>
      </w:r>
      <w:r w:rsidRPr="003E3623">
        <w:rPr>
          <w:lang w:val="es-ES"/>
        </w:rPr>
        <w:t xml:space="preserve"> </w:t>
      </w:r>
      <w:r w:rsidRPr="003E3623">
        <w:rPr>
          <w:lang w:val="ru-RU"/>
        </w:rPr>
        <w:t>ապահովման</w:t>
      </w:r>
      <w:r w:rsidRPr="003E3623">
        <w:rPr>
          <w:lang w:val="es-ES"/>
        </w:rPr>
        <w:t xml:space="preserve">, </w:t>
      </w:r>
      <w:r w:rsidRPr="003E3623">
        <w:rPr>
          <w:lang w:val="ru-RU"/>
        </w:rPr>
        <w:t>վարչական</w:t>
      </w:r>
      <w:r w:rsidRPr="003E3623">
        <w:rPr>
          <w:lang w:val="es-ES"/>
        </w:rPr>
        <w:t xml:space="preserve"> </w:t>
      </w:r>
      <w:r w:rsidRPr="003E3623">
        <w:rPr>
          <w:lang w:val="ru-RU"/>
        </w:rPr>
        <w:t>կոռուպցիայի</w:t>
      </w:r>
      <w:r w:rsidRPr="003E3623">
        <w:rPr>
          <w:lang w:val="es-ES"/>
        </w:rPr>
        <w:t xml:space="preserve"> </w:t>
      </w:r>
      <w:r w:rsidRPr="003E3623">
        <w:rPr>
          <w:lang w:val="ru-RU"/>
        </w:rPr>
        <w:t>հաղթահարման</w:t>
      </w:r>
      <w:r w:rsidRPr="003E3623">
        <w:rPr>
          <w:lang w:val="es-ES"/>
        </w:rPr>
        <w:t xml:space="preserve"> </w:t>
      </w:r>
      <w:r w:rsidRPr="003E3623">
        <w:rPr>
          <w:lang w:val="ru-RU"/>
        </w:rPr>
        <w:t>նպատակով</w:t>
      </w:r>
      <w:r w:rsidRPr="003E3623">
        <w:rPr>
          <w:lang w:val="es-ES"/>
        </w:rPr>
        <w:t xml:space="preserve"> </w:t>
      </w:r>
      <w:r w:rsidRPr="003E3623">
        <w:rPr>
          <w:lang w:val="ru-RU"/>
        </w:rPr>
        <w:t>կարևորվում</w:t>
      </w:r>
      <w:r w:rsidRPr="003E3623">
        <w:rPr>
          <w:lang w:val="es-ES"/>
        </w:rPr>
        <w:t xml:space="preserve"> </w:t>
      </w:r>
      <w:r w:rsidRPr="003E3623">
        <w:rPr>
          <w:lang w:val="ru-RU"/>
        </w:rPr>
        <w:t>է</w:t>
      </w:r>
      <w:r w:rsidRPr="003E3623">
        <w:rPr>
          <w:lang w:val="es-ES"/>
        </w:rPr>
        <w:t xml:space="preserve"> </w:t>
      </w:r>
      <w:r w:rsidRPr="003E3623">
        <w:rPr>
          <w:lang w:val="ru-RU"/>
        </w:rPr>
        <w:t>պետության</w:t>
      </w:r>
      <w:r w:rsidRPr="003E3623">
        <w:rPr>
          <w:lang w:val="es-ES"/>
        </w:rPr>
        <w:t xml:space="preserve"> </w:t>
      </w:r>
      <w:r w:rsidRPr="003E3623">
        <w:rPr>
          <w:lang w:val="ru-RU"/>
        </w:rPr>
        <w:t>կողմից</w:t>
      </w:r>
      <w:r w:rsidRPr="003E3623">
        <w:rPr>
          <w:lang w:val="es-ES"/>
        </w:rPr>
        <w:t xml:space="preserve"> </w:t>
      </w:r>
      <w:r w:rsidRPr="003E3623">
        <w:rPr>
          <w:lang w:val="ru-RU"/>
        </w:rPr>
        <w:t>ծառայությունների</w:t>
      </w:r>
      <w:r w:rsidRPr="003E3623">
        <w:rPr>
          <w:lang w:val="es-ES"/>
        </w:rPr>
        <w:t xml:space="preserve"> </w:t>
      </w:r>
      <w:r w:rsidRPr="003E3623">
        <w:rPr>
          <w:lang w:val="ru-RU"/>
        </w:rPr>
        <w:t>մատուցման</w:t>
      </w:r>
      <w:r w:rsidRPr="003E3623">
        <w:rPr>
          <w:lang w:val="es-ES"/>
        </w:rPr>
        <w:t xml:space="preserve"> </w:t>
      </w:r>
      <w:r w:rsidRPr="003E3623">
        <w:rPr>
          <w:lang w:val="ru-RU"/>
        </w:rPr>
        <w:t>ոլորտում</w:t>
      </w:r>
      <w:r w:rsidRPr="003E3623">
        <w:rPr>
          <w:lang w:val="es-ES"/>
        </w:rPr>
        <w:t xml:space="preserve"> </w:t>
      </w:r>
      <w:r w:rsidRPr="003E3623">
        <w:rPr>
          <w:lang w:val="ru-RU"/>
        </w:rPr>
        <w:t>էլեկտրոնային</w:t>
      </w:r>
      <w:r w:rsidRPr="003E3623">
        <w:rPr>
          <w:lang w:val="es-ES"/>
        </w:rPr>
        <w:t xml:space="preserve"> </w:t>
      </w:r>
      <w:r w:rsidRPr="003E3623">
        <w:rPr>
          <w:lang w:val="ru-RU"/>
        </w:rPr>
        <w:t>գործիքների</w:t>
      </w:r>
      <w:r w:rsidRPr="003E3623">
        <w:rPr>
          <w:lang w:val="es-ES"/>
        </w:rPr>
        <w:t xml:space="preserve"> </w:t>
      </w:r>
      <w:r w:rsidRPr="003E3623">
        <w:rPr>
          <w:lang w:val="ru-RU"/>
        </w:rPr>
        <w:t>ներդրման</w:t>
      </w:r>
      <w:r w:rsidRPr="003E3623">
        <w:rPr>
          <w:lang w:val="es-ES"/>
        </w:rPr>
        <w:t xml:space="preserve"> </w:t>
      </w:r>
      <w:r w:rsidRPr="003E3623">
        <w:rPr>
          <w:lang w:val="ru-RU"/>
        </w:rPr>
        <w:t>միջոցով</w:t>
      </w:r>
      <w:r w:rsidRPr="003E3623">
        <w:rPr>
          <w:lang w:val="es-ES"/>
        </w:rPr>
        <w:t xml:space="preserve"> </w:t>
      </w:r>
      <w:r w:rsidRPr="003E3623">
        <w:rPr>
          <w:lang w:val="ru-RU"/>
        </w:rPr>
        <w:t>քաղաքացի</w:t>
      </w:r>
      <w:r w:rsidRPr="003E3623">
        <w:rPr>
          <w:lang w:val="es-ES"/>
        </w:rPr>
        <w:t>-</w:t>
      </w:r>
      <w:r w:rsidRPr="003E3623">
        <w:rPr>
          <w:lang w:val="ru-RU"/>
        </w:rPr>
        <w:t>պետություն</w:t>
      </w:r>
      <w:r w:rsidRPr="003E3623">
        <w:rPr>
          <w:lang w:val="es-ES"/>
        </w:rPr>
        <w:t xml:space="preserve"> </w:t>
      </w:r>
      <w:r w:rsidRPr="003E3623">
        <w:rPr>
          <w:lang w:val="ru-RU"/>
        </w:rPr>
        <w:t>շփման</w:t>
      </w:r>
      <w:r w:rsidRPr="003E3623">
        <w:rPr>
          <w:lang w:val="es-ES"/>
        </w:rPr>
        <w:t xml:space="preserve"> </w:t>
      </w:r>
      <w:r w:rsidRPr="003E3623">
        <w:rPr>
          <w:lang w:val="ru-RU"/>
        </w:rPr>
        <w:t>հնարավորինս</w:t>
      </w:r>
      <w:r w:rsidRPr="003E3623">
        <w:rPr>
          <w:lang w:val="es-ES"/>
        </w:rPr>
        <w:t xml:space="preserve"> </w:t>
      </w:r>
      <w:r w:rsidRPr="003E3623">
        <w:rPr>
          <w:lang w:val="ru-RU"/>
        </w:rPr>
        <w:t>սահմանափակումը</w:t>
      </w:r>
      <w:r w:rsidRPr="003E3623">
        <w:rPr>
          <w:lang w:val="es-ES"/>
        </w:rPr>
        <w:t xml:space="preserve">, </w:t>
      </w:r>
      <w:r w:rsidRPr="003E3623">
        <w:rPr>
          <w:lang w:val="ru-RU"/>
        </w:rPr>
        <w:t>պետական</w:t>
      </w:r>
      <w:r w:rsidRPr="003E3623">
        <w:rPr>
          <w:lang w:val="es-ES"/>
        </w:rPr>
        <w:t xml:space="preserve"> </w:t>
      </w:r>
      <w:r w:rsidRPr="003E3623">
        <w:rPr>
          <w:lang w:val="ru-RU"/>
        </w:rPr>
        <w:t>մարմինների</w:t>
      </w:r>
      <w:r w:rsidRPr="003E3623">
        <w:rPr>
          <w:lang w:val="es-ES"/>
        </w:rPr>
        <w:t xml:space="preserve"> </w:t>
      </w:r>
      <w:r w:rsidRPr="003E3623">
        <w:rPr>
          <w:lang w:val="ru-RU"/>
        </w:rPr>
        <w:t>գործունեության</w:t>
      </w:r>
      <w:r w:rsidRPr="003E3623">
        <w:rPr>
          <w:lang w:val="es-ES"/>
        </w:rPr>
        <w:t xml:space="preserve"> </w:t>
      </w:r>
      <w:r w:rsidRPr="003E3623">
        <w:rPr>
          <w:lang w:val="ru-RU"/>
        </w:rPr>
        <w:t>թափանցիկության</w:t>
      </w:r>
      <w:r w:rsidRPr="003E3623">
        <w:rPr>
          <w:lang w:val="es-ES"/>
        </w:rPr>
        <w:t xml:space="preserve">, </w:t>
      </w:r>
      <w:r w:rsidRPr="003E3623">
        <w:rPr>
          <w:lang w:val="ru-RU"/>
        </w:rPr>
        <w:t>հաշվետվողականության</w:t>
      </w:r>
      <w:r w:rsidRPr="003E3623">
        <w:rPr>
          <w:lang w:val="es-ES"/>
        </w:rPr>
        <w:t xml:space="preserve">, </w:t>
      </w:r>
      <w:r w:rsidRPr="003E3623">
        <w:rPr>
          <w:lang w:val="ru-RU"/>
        </w:rPr>
        <w:t>տվյալների</w:t>
      </w:r>
      <w:r w:rsidRPr="003E3623">
        <w:rPr>
          <w:lang w:val="es-ES"/>
        </w:rPr>
        <w:t xml:space="preserve"> </w:t>
      </w:r>
      <w:r w:rsidRPr="003E3623">
        <w:rPr>
          <w:lang w:val="ru-RU"/>
        </w:rPr>
        <w:t>անփոփոխելիության</w:t>
      </w:r>
      <w:r w:rsidRPr="003E3623">
        <w:rPr>
          <w:lang w:val="es-ES"/>
        </w:rPr>
        <w:t xml:space="preserve">, </w:t>
      </w:r>
      <w:r w:rsidRPr="003E3623">
        <w:rPr>
          <w:lang w:val="ru-RU"/>
        </w:rPr>
        <w:t>միասնականության</w:t>
      </w:r>
      <w:r w:rsidRPr="003E3623">
        <w:rPr>
          <w:lang w:val="es-ES"/>
        </w:rPr>
        <w:t xml:space="preserve"> </w:t>
      </w:r>
      <w:r w:rsidRPr="003E3623">
        <w:rPr>
          <w:lang w:val="ru-RU"/>
        </w:rPr>
        <w:t>և</w:t>
      </w:r>
      <w:r w:rsidRPr="003E3623">
        <w:rPr>
          <w:lang w:val="es-ES"/>
        </w:rPr>
        <w:t xml:space="preserve"> </w:t>
      </w:r>
      <w:r w:rsidRPr="003E3623">
        <w:rPr>
          <w:lang w:val="ru-RU"/>
        </w:rPr>
        <w:t>ավտոմատացման</w:t>
      </w:r>
      <w:r w:rsidRPr="003E3623">
        <w:rPr>
          <w:lang w:val="es-ES"/>
        </w:rPr>
        <w:t xml:space="preserve"> </w:t>
      </w:r>
      <w:r w:rsidRPr="003E3623">
        <w:rPr>
          <w:lang w:val="ru-RU"/>
        </w:rPr>
        <w:t>ապահովումը</w:t>
      </w:r>
      <w:r w:rsidRPr="003E3623">
        <w:rPr>
          <w:lang w:val="es-ES"/>
        </w:rPr>
        <w:t xml:space="preserve">, </w:t>
      </w:r>
      <w:r w:rsidRPr="003E3623">
        <w:rPr>
          <w:lang w:val="ru-RU"/>
        </w:rPr>
        <w:t>ինչը</w:t>
      </w:r>
      <w:r w:rsidRPr="003E3623">
        <w:rPr>
          <w:lang w:val="es-ES"/>
        </w:rPr>
        <w:t xml:space="preserve"> </w:t>
      </w:r>
      <w:r w:rsidRPr="003E3623">
        <w:rPr>
          <w:lang w:val="ru-RU"/>
        </w:rPr>
        <w:t>կբարձրացնի</w:t>
      </w:r>
      <w:r w:rsidRPr="003E3623">
        <w:rPr>
          <w:lang w:val="es-ES"/>
        </w:rPr>
        <w:t xml:space="preserve"> </w:t>
      </w:r>
      <w:r w:rsidRPr="003E3623">
        <w:rPr>
          <w:lang w:val="ru-RU"/>
        </w:rPr>
        <w:t>որոշումների</w:t>
      </w:r>
      <w:r w:rsidRPr="003E3623">
        <w:rPr>
          <w:lang w:val="es-ES"/>
        </w:rPr>
        <w:t xml:space="preserve"> </w:t>
      </w:r>
      <w:r w:rsidRPr="003E3623">
        <w:rPr>
          <w:lang w:val="ru-RU"/>
        </w:rPr>
        <w:t>ընդունման</w:t>
      </w:r>
      <w:r w:rsidRPr="003E3623">
        <w:rPr>
          <w:lang w:val="es-ES"/>
        </w:rPr>
        <w:t xml:space="preserve"> </w:t>
      </w:r>
      <w:r w:rsidRPr="003E3623">
        <w:rPr>
          <w:lang w:val="ru-RU"/>
        </w:rPr>
        <w:t>ժամանակ</w:t>
      </w:r>
      <w:r w:rsidRPr="003E3623">
        <w:rPr>
          <w:lang w:val="es-ES"/>
        </w:rPr>
        <w:t xml:space="preserve"> </w:t>
      </w:r>
      <w:r w:rsidRPr="003E3623">
        <w:rPr>
          <w:lang w:val="ru-RU"/>
        </w:rPr>
        <w:t>կիրառվող</w:t>
      </w:r>
      <w:r w:rsidRPr="003E3623">
        <w:rPr>
          <w:lang w:val="es-ES"/>
        </w:rPr>
        <w:t xml:space="preserve"> </w:t>
      </w:r>
      <w:r w:rsidRPr="003E3623">
        <w:rPr>
          <w:lang w:val="ru-RU"/>
        </w:rPr>
        <w:t>տեղեկատվության</w:t>
      </w:r>
      <w:r w:rsidRPr="003E3623">
        <w:rPr>
          <w:lang w:val="es-ES"/>
        </w:rPr>
        <w:t xml:space="preserve"> </w:t>
      </w:r>
      <w:r w:rsidRPr="003E3623">
        <w:rPr>
          <w:lang w:val="ru-RU"/>
        </w:rPr>
        <w:t>հուսալիության</w:t>
      </w:r>
      <w:r w:rsidRPr="003E3623">
        <w:rPr>
          <w:lang w:val="es-ES"/>
        </w:rPr>
        <w:t xml:space="preserve"> </w:t>
      </w:r>
      <w:r w:rsidRPr="003E3623">
        <w:rPr>
          <w:lang w:val="ru-RU"/>
        </w:rPr>
        <w:t>և</w:t>
      </w:r>
      <w:r w:rsidRPr="003E3623">
        <w:rPr>
          <w:lang w:val="es-ES"/>
        </w:rPr>
        <w:t xml:space="preserve"> </w:t>
      </w:r>
      <w:r w:rsidRPr="003E3623">
        <w:rPr>
          <w:lang w:val="ru-RU"/>
        </w:rPr>
        <w:t>ամբողջականության</w:t>
      </w:r>
      <w:r w:rsidRPr="003E3623">
        <w:rPr>
          <w:lang w:val="es-ES"/>
        </w:rPr>
        <w:t xml:space="preserve"> </w:t>
      </w:r>
      <w:r w:rsidRPr="003E3623">
        <w:rPr>
          <w:lang w:val="ru-RU"/>
        </w:rPr>
        <w:t>աստիճանը</w:t>
      </w:r>
      <w:r w:rsidRPr="003E3623">
        <w:rPr>
          <w:lang w:val="es-ES"/>
        </w:rPr>
        <w:t>:</w:t>
      </w:r>
    </w:p>
    <w:p w14:paraId="0333D6A5" w14:textId="77777777" w:rsidR="009D2825" w:rsidRPr="003E3623" w:rsidRDefault="009D2825" w:rsidP="009A7904">
      <w:pPr>
        <w:spacing w:after="0" w:line="276" w:lineRule="auto"/>
        <w:ind w:firstLine="547"/>
        <w:rPr>
          <w:lang w:val="es-ES"/>
        </w:rPr>
      </w:pPr>
      <w:r w:rsidRPr="003E3623">
        <w:t>Պետական</w:t>
      </w:r>
      <w:r w:rsidRPr="003E3623">
        <w:rPr>
          <w:lang w:val="es-ES"/>
        </w:rPr>
        <w:t xml:space="preserve"> </w:t>
      </w:r>
      <w:r w:rsidRPr="003E3623">
        <w:rPr>
          <w:lang w:val="ru-RU"/>
        </w:rPr>
        <w:t>կառավարման</w:t>
      </w:r>
      <w:r w:rsidRPr="003E3623">
        <w:rPr>
          <w:lang w:val="es-ES"/>
        </w:rPr>
        <w:t xml:space="preserve"> </w:t>
      </w:r>
      <w:r w:rsidRPr="003E3623">
        <w:rPr>
          <w:lang w:val="ru-RU"/>
        </w:rPr>
        <w:t>համակարգում</w:t>
      </w:r>
      <w:r w:rsidRPr="003E3623">
        <w:rPr>
          <w:lang w:val="es-ES"/>
        </w:rPr>
        <w:t xml:space="preserve"> </w:t>
      </w:r>
      <w:r w:rsidRPr="003E3623">
        <w:rPr>
          <w:lang w:val="ru-RU"/>
        </w:rPr>
        <w:t>Կառավարությ</w:t>
      </w:r>
      <w:r w:rsidRPr="003E3623">
        <w:rPr>
          <w:lang w:val="hy-AM"/>
        </w:rPr>
        <w:t>ունը դրսևորում է</w:t>
      </w:r>
      <w:r w:rsidRPr="003E3623">
        <w:rPr>
          <w:lang w:val="es-ES"/>
        </w:rPr>
        <w:t xml:space="preserve"> </w:t>
      </w:r>
      <w:r w:rsidRPr="003E3623">
        <w:rPr>
          <w:lang w:val="hy-AM"/>
        </w:rPr>
        <w:t>պ</w:t>
      </w:r>
      <w:r w:rsidRPr="003E3623">
        <w:rPr>
          <w:lang w:val="ru-RU"/>
        </w:rPr>
        <w:t>ետական</w:t>
      </w:r>
      <w:r w:rsidRPr="003E3623">
        <w:rPr>
          <w:lang w:val="es-ES"/>
        </w:rPr>
        <w:t xml:space="preserve"> </w:t>
      </w:r>
      <w:r w:rsidRPr="003E3623">
        <w:rPr>
          <w:lang w:val="ru-RU"/>
        </w:rPr>
        <w:t>ռեսուրսների</w:t>
      </w:r>
      <w:r w:rsidRPr="003E3623">
        <w:rPr>
          <w:lang w:val="es-ES"/>
        </w:rPr>
        <w:t xml:space="preserve"> </w:t>
      </w:r>
      <w:r w:rsidRPr="003E3623">
        <w:rPr>
          <w:lang w:val="ru-RU"/>
        </w:rPr>
        <w:t>կառավարում</w:t>
      </w:r>
      <w:r w:rsidRPr="003E3623">
        <w:rPr>
          <w:lang w:val="hy-AM"/>
        </w:rPr>
        <w:t>ը</w:t>
      </w:r>
      <w:r w:rsidRPr="003E3623">
        <w:rPr>
          <w:lang w:val="es-ES"/>
        </w:rPr>
        <w:t xml:space="preserve"> </w:t>
      </w:r>
      <w:r w:rsidRPr="003E3623">
        <w:rPr>
          <w:lang w:val="ru-RU"/>
        </w:rPr>
        <w:t>արդյունավետ</w:t>
      </w:r>
      <w:r w:rsidRPr="003E3623">
        <w:rPr>
          <w:lang w:val="es-ES"/>
        </w:rPr>
        <w:t xml:space="preserve">, </w:t>
      </w:r>
      <w:r w:rsidRPr="003E3623">
        <w:rPr>
          <w:lang w:val="ru-RU"/>
        </w:rPr>
        <w:t>օգտավետ</w:t>
      </w:r>
      <w:r w:rsidRPr="003E3623">
        <w:rPr>
          <w:lang w:val="es-ES"/>
        </w:rPr>
        <w:t xml:space="preserve"> </w:t>
      </w:r>
      <w:r w:rsidRPr="003E3623">
        <w:rPr>
          <w:lang w:val="ru-RU"/>
        </w:rPr>
        <w:t>և</w:t>
      </w:r>
      <w:r w:rsidRPr="003E3623">
        <w:rPr>
          <w:lang w:val="es-ES"/>
        </w:rPr>
        <w:t xml:space="preserve"> </w:t>
      </w:r>
      <w:r w:rsidRPr="003E3623">
        <w:rPr>
          <w:lang w:val="ru-RU"/>
        </w:rPr>
        <w:t>խնայողաբար</w:t>
      </w:r>
      <w:r w:rsidRPr="003E3623">
        <w:rPr>
          <w:lang w:val="hy-AM"/>
        </w:rPr>
        <w:t xml:space="preserve"> </w:t>
      </w:r>
      <w:r w:rsidRPr="003E3623">
        <w:rPr>
          <w:lang w:val="ru-RU"/>
        </w:rPr>
        <w:t>իրականաց</w:t>
      </w:r>
      <w:r w:rsidRPr="003E3623">
        <w:rPr>
          <w:lang w:val="hy-AM"/>
        </w:rPr>
        <w:t>նելու</w:t>
      </w:r>
      <w:r w:rsidRPr="003E3623">
        <w:rPr>
          <w:lang w:val="es-ES"/>
        </w:rPr>
        <w:t xml:space="preserve"> </w:t>
      </w:r>
      <w:r w:rsidRPr="003E3623">
        <w:rPr>
          <w:lang w:val="ru-RU"/>
        </w:rPr>
        <w:t>մոտեցում</w:t>
      </w:r>
      <w:r w:rsidRPr="003E3623">
        <w:rPr>
          <w:lang w:val="hy-AM"/>
        </w:rPr>
        <w:t>։</w:t>
      </w:r>
    </w:p>
    <w:p w14:paraId="76BE2F76" w14:textId="77777777" w:rsidR="009D2825" w:rsidRDefault="009D2825" w:rsidP="009A7904">
      <w:pPr>
        <w:spacing w:after="0" w:line="276" w:lineRule="auto"/>
        <w:ind w:firstLine="480"/>
        <w:rPr>
          <w:rFonts w:eastAsia="Calibri" w:cs="GHEA Grapalat"/>
          <w:b/>
          <w:lang w:val="hy-AM"/>
        </w:rPr>
      </w:pPr>
      <w:bookmarkStart w:id="296" w:name="_Toc13837293"/>
    </w:p>
    <w:p w14:paraId="792FB28F" w14:textId="77777777" w:rsidR="009D2825" w:rsidRPr="009C1C21" w:rsidRDefault="009D2825" w:rsidP="009A7904">
      <w:pPr>
        <w:spacing w:after="0" w:line="276" w:lineRule="auto"/>
        <w:ind w:left="428" w:firstLine="292"/>
        <w:rPr>
          <w:rFonts w:eastAsia="Calibri" w:cs="GHEA Grapalat"/>
          <w:b/>
          <w:lang w:val="hy-AM"/>
        </w:rPr>
      </w:pPr>
      <w:r w:rsidRPr="009C1C21">
        <w:rPr>
          <w:rFonts w:eastAsia="Calibri" w:cs="GHEA Grapalat"/>
          <w:b/>
          <w:lang w:val="hy-AM"/>
        </w:rPr>
        <w:t>ԾԱԽՍԱՅԻՆ ԾՐԱԳՐԵՐ</w:t>
      </w:r>
      <w:r>
        <w:rPr>
          <w:rFonts w:eastAsia="Calibri" w:cs="GHEA Grapalat"/>
          <w:b/>
          <w:lang w:val="hy-AM"/>
        </w:rPr>
        <w:t>Ի ԳՆԱՀԱՏԱԿԱՆԸ</w:t>
      </w:r>
    </w:p>
    <w:p w14:paraId="35E2100F" w14:textId="77777777" w:rsidR="009D2825" w:rsidRPr="003E3623" w:rsidRDefault="009D2825" w:rsidP="009A7904">
      <w:pPr>
        <w:spacing w:after="0" w:line="276" w:lineRule="auto"/>
        <w:ind w:firstLine="720"/>
        <w:rPr>
          <w:lang w:val="hy-AM"/>
        </w:rPr>
      </w:pPr>
      <w:r w:rsidRPr="003E3623">
        <w:rPr>
          <w:lang w:val="hy-AM"/>
        </w:rPr>
        <w:t>Պետական կառավարման համակարգի պահպանման գծով գոյություն ունեցող բյուջետային ծրագրերը՝ դրանք հանրային իշխանության մարմինների պահպանմանն ու տեխնիկական կարողությունների զարգացմանն ուղղված ծախսային ծրագրերն ու միջոցառումներն են, որոնց գծով ծախսերի մակարդակը կախված է պետական կառավարման համակարգում տեղի ունեցող փոփոխություններից, այդ թվում՝ կառուցվածքային կամ գործառութային փոփոխություններից, ինչպես նաև տնտեսության մեջ տեղի ունեցող գնային և սակագնային տարբեր գործոնների փոփոխություններից:</w:t>
      </w:r>
      <w:bookmarkEnd w:id="296"/>
    </w:p>
    <w:p w14:paraId="3C8EEFE2" w14:textId="77777777" w:rsidR="009D2825" w:rsidRDefault="009D2825" w:rsidP="009A7904">
      <w:pPr>
        <w:spacing w:after="0" w:line="276" w:lineRule="auto"/>
        <w:ind w:firstLine="547"/>
        <w:rPr>
          <w:lang w:val="hy-AM"/>
        </w:rPr>
      </w:pPr>
    </w:p>
    <w:p w14:paraId="5295822C" w14:textId="77777777" w:rsidR="009D2825" w:rsidRPr="003E3623" w:rsidRDefault="009D2825" w:rsidP="009A7904">
      <w:pPr>
        <w:spacing w:after="0" w:line="276" w:lineRule="auto"/>
        <w:ind w:firstLine="547"/>
        <w:rPr>
          <w:lang w:val="hy-AM"/>
        </w:rPr>
      </w:pPr>
      <w:r w:rsidRPr="003E3623">
        <w:rPr>
          <w:lang w:val="af-ZA"/>
        </w:rPr>
        <w:t>20</w:t>
      </w:r>
      <w:r w:rsidRPr="003E3623">
        <w:rPr>
          <w:lang w:val="hy-AM"/>
        </w:rPr>
        <w:t>21</w:t>
      </w:r>
      <w:r w:rsidRPr="003E3623">
        <w:rPr>
          <w:lang w:val="af-ZA"/>
        </w:rPr>
        <w:t>-202</w:t>
      </w:r>
      <w:r w:rsidRPr="003E3623">
        <w:rPr>
          <w:lang w:val="hy-AM"/>
        </w:rPr>
        <w:t>3թթ</w:t>
      </w:r>
      <w:r w:rsidRPr="003E3623">
        <w:rPr>
          <w:lang w:val="af-ZA"/>
        </w:rPr>
        <w:t>.</w:t>
      </w:r>
      <w:r w:rsidRPr="003E3623">
        <w:rPr>
          <w:lang w:val="hy-AM"/>
        </w:rPr>
        <w:t xml:space="preserve"> ՄԺԾԾ չափաքանակները հաշվարկվել են հիմք ընդունելով ՀՀ 2020 թվականի պետական բյուջեի ցուցանիշները և </w:t>
      </w:r>
      <w:r w:rsidRPr="003E3623">
        <w:rPr>
          <w:rFonts w:cs="Calibri"/>
          <w:lang w:val="hy-AM" w:eastAsia="ru-RU"/>
        </w:rPr>
        <w:t xml:space="preserve">2020 թվականի ընթացքում որոշակի իրավական կարգավորումների արդյունքում կատարված օրենսդրական փոփոխությունները: Ընդ որում, հանրային իշխանության մարմինների պահպանման ծախսերը ծրագրավորվել են միասնական սկզբունքի կիրառմամբ: </w:t>
      </w:r>
    </w:p>
    <w:p w14:paraId="4CAFC05A" w14:textId="77777777" w:rsidR="009D2825" w:rsidRPr="003E3623" w:rsidRDefault="009D2825" w:rsidP="009A7904">
      <w:pPr>
        <w:spacing w:after="0" w:line="276" w:lineRule="auto"/>
        <w:ind w:firstLine="720"/>
        <w:rPr>
          <w:lang w:val="hy-AM"/>
        </w:rPr>
      </w:pPr>
      <w:r w:rsidRPr="003E3623">
        <w:rPr>
          <w:lang w:val="hy-AM"/>
        </w:rPr>
        <w:t>Հանրային իշխանության մարմինների պահպանման հա</w:t>
      </w:r>
      <w:r w:rsidRPr="003E3623">
        <w:rPr>
          <w:lang w:val="hy-AM"/>
        </w:rPr>
        <w:softHyphen/>
        <w:t>մար պետական բյուջեով նա</w:t>
      </w:r>
      <w:r w:rsidRPr="003E3623">
        <w:rPr>
          <w:lang w:val="hy-AM"/>
        </w:rPr>
        <w:softHyphen/>
        <w:t>խա</w:t>
      </w:r>
      <w:r w:rsidRPr="003E3623">
        <w:rPr>
          <w:lang w:val="hy-AM"/>
        </w:rPr>
        <w:softHyphen/>
        <w:t>տես</w:t>
      </w:r>
      <w:r w:rsidRPr="003E3623">
        <w:rPr>
          <w:lang w:val="hy-AM"/>
        </w:rPr>
        <w:softHyphen/>
        <w:t xml:space="preserve">ված ծախսերի տեսակարար կշիռը </w:t>
      </w:r>
      <w:r w:rsidRPr="003E3623">
        <w:rPr>
          <w:lang w:val="af-ZA"/>
        </w:rPr>
        <w:t>20</w:t>
      </w:r>
      <w:r w:rsidRPr="003E3623">
        <w:rPr>
          <w:lang w:val="hy-AM"/>
        </w:rPr>
        <w:t>21</w:t>
      </w:r>
      <w:r w:rsidRPr="003E3623">
        <w:rPr>
          <w:lang w:val="af-ZA"/>
        </w:rPr>
        <w:t>-202</w:t>
      </w:r>
      <w:r w:rsidRPr="003E3623">
        <w:rPr>
          <w:lang w:val="hy-AM"/>
        </w:rPr>
        <w:t>3թթ</w:t>
      </w:r>
      <w:r w:rsidRPr="003E3623">
        <w:rPr>
          <w:lang w:val="af-ZA"/>
        </w:rPr>
        <w:t xml:space="preserve">. </w:t>
      </w:r>
      <w:r w:rsidRPr="003E3623">
        <w:rPr>
          <w:lang w:val="hy-AM"/>
        </w:rPr>
        <w:t>ժամանա</w:t>
      </w:r>
      <w:r w:rsidRPr="003E3623">
        <w:rPr>
          <w:lang w:val="hy-AM"/>
        </w:rPr>
        <w:softHyphen/>
        <w:t>կահատվածի համար կկազմի համա</w:t>
      </w:r>
      <w:r w:rsidRPr="003E3623">
        <w:rPr>
          <w:lang w:val="hy-AM"/>
        </w:rPr>
        <w:softHyphen/>
        <w:t>պատաս</w:t>
      </w:r>
      <w:r w:rsidRPr="003E3623">
        <w:rPr>
          <w:lang w:val="hy-AM"/>
        </w:rPr>
        <w:softHyphen/>
        <w:t>խա</w:t>
      </w:r>
      <w:r w:rsidRPr="003E3623">
        <w:rPr>
          <w:lang w:val="hy-AM"/>
        </w:rPr>
        <w:softHyphen/>
        <w:t>նա</w:t>
      </w:r>
      <w:r w:rsidRPr="003E3623">
        <w:rPr>
          <w:lang w:val="hy-AM"/>
        </w:rPr>
        <w:softHyphen/>
        <w:t>բար՝</w:t>
      </w:r>
    </w:p>
    <w:p w14:paraId="0D732BE4" w14:textId="77777777" w:rsidR="009D2825" w:rsidRPr="003E3623" w:rsidRDefault="009D2825" w:rsidP="009A7904">
      <w:pPr>
        <w:spacing w:after="0" w:line="276" w:lineRule="auto"/>
        <w:ind w:firstLine="720"/>
        <w:rPr>
          <w:lang w:val="hy-AM"/>
        </w:rPr>
      </w:pPr>
      <w:r w:rsidRPr="003E3623">
        <w:rPr>
          <w:lang w:val="hy-AM"/>
        </w:rPr>
        <w:t>1. ՀՆԱ-ի 1.8%, 1.7% և 1.6%-ը (2020թ-ին` 1.8%-ը),</w:t>
      </w:r>
    </w:p>
    <w:p w14:paraId="16679296" w14:textId="77777777" w:rsidR="009D2825" w:rsidRPr="003E3623" w:rsidRDefault="009D2825" w:rsidP="009A7904">
      <w:pPr>
        <w:spacing w:after="0" w:line="276" w:lineRule="auto"/>
        <w:ind w:firstLine="720"/>
        <w:rPr>
          <w:lang w:val="hy-AM"/>
        </w:rPr>
      </w:pPr>
      <w:r w:rsidRPr="003E3623">
        <w:rPr>
          <w:lang w:val="hy-AM"/>
        </w:rPr>
        <w:t>2. պետա</w:t>
      </w:r>
      <w:r w:rsidRPr="003E3623">
        <w:rPr>
          <w:lang w:val="hy-AM"/>
        </w:rPr>
        <w:softHyphen/>
        <w:t>կան բյուջեի` 7.0%, 6.5% և 6.0% (2020թ.` 6.9%):</w:t>
      </w:r>
    </w:p>
    <w:p w14:paraId="1E6F4648" w14:textId="77777777" w:rsidR="009A7904" w:rsidRDefault="009A7904" w:rsidP="009A7904">
      <w:pPr>
        <w:spacing w:after="0" w:line="276" w:lineRule="auto"/>
        <w:ind w:firstLine="708"/>
        <w:rPr>
          <w:lang w:val="hy-AM"/>
        </w:rPr>
      </w:pPr>
    </w:p>
    <w:p w14:paraId="2DE7FE11" w14:textId="77777777" w:rsidR="009A7904" w:rsidRDefault="009A7904" w:rsidP="009A7904">
      <w:pPr>
        <w:spacing w:after="0" w:line="276" w:lineRule="auto"/>
        <w:ind w:firstLine="708"/>
        <w:rPr>
          <w:lang w:val="hy-AM"/>
        </w:rPr>
      </w:pPr>
    </w:p>
    <w:p w14:paraId="380A97B6" w14:textId="77777777" w:rsidR="009D2825" w:rsidRPr="003E3623" w:rsidRDefault="009D2825" w:rsidP="009A7904">
      <w:pPr>
        <w:spacing w:after="0" w:line="276" w:lineRule="auto"/>
        <w:ind w:firstLine="708"/>
        <w:rPr>
          <w:lang w:val="af-ZA"/>
        </w:rPr>
      </w:pPr>
      <w:r w:rsidRPr="003E3623">
        <w:rPr>
          <w:lang w:val="hy-AM"/>
        </w:rPr>
        <w:t>Պետական</w:t>
      </w:r>
      <w:r w:rsidRPr="003E3623">
        <w:rPr>
          <w:lang w:val="af-ZA"/>
        </w:rPr>
        <w:t xml:space="preserve"> </w:t>
      </w:r>
      <w:r w:rsidRPr="003E3623">
        <w:rPr>
          <w:lang w:val="hy-AM"/>
        </w:rPr>
        <w:t>իշխանության</w:t>
      </w:r>
      <w:r w:rsidRPr="003E3623">
        <w:rPr>
          <w:lang w:val="af-ZA"/>
        </w:rPr>
        <w:t xml:space="preserve"> </w:t>
      </w:r>
      <w:r w:rsidRPr="003E3623">
        <w:rPr>
          <w:lang w:val="hy-AM"/>
        </w:rPr>
        <w:t>մարմինների</w:t>
      </w:r>
      <w:r w:rsidRPr="003E3623">
        <w:rPr>
          <w:lang w:val="af-ZA"/>
        </w:rPr>
        <w:t xml:space="preserve"> </w:t>
      </w:r>
      <w:r w:rsidRPr="003E3623">
        <w:rPr>
          <w:lang w:val="hy-AM"/>
        </w:rPr>
        <w:t>գծով</w:t>
      </w:r>
      <w:r w:rsidRPr="003E3623">
        <w:rPr>
          <w:lang w:val="af-ZA"/>
        </w:rPr>
        <w:t xml:space="preserve"> 202</w:t>
      </w:r>
      <w:r w:rsidRPr="003E3623">
        <w:rPr>
          <w:lang w:val="hy-AM"/>
        </w:rPr>
        <w:t>1</w:t>
      </w:r>
      <w:r w:rsidRPr="003E3623">
        <w:rPr>
          <w:lang w:val="af-ZA"/>
        </w:rPr>
        <w:t>-202</w:t>
      </w:r>
      <w:r w:rsidRPr="003E3623">
        <w:rPr>
          <w:lang w:val="hy-AM"/>
        </w:rPr>
        <w:t>3թթ</w:t>
      </w:r>
      <w:r w:rsidRPr="003E3623">
        <w:rPr>
          <w:lang w:val="af-ZA"/>
        </w:rPr>
        <w:t xml:space="preserve">. </w:t>
      </w:r>
      <w:r w:rsidRPr="003E3623">
        <w:rPr>
          <w:lang w:val="hy-AM"/>
        </w:rPr>
        <w:t>ժամանակահատվածի</w:t>
      </w:r>
      <w:r w:rsidRPr="003E3623">
        <w:rPr>
          <w:lang w:val="af-ZA"/>
        </w:rPr>
        <w:t xml:space="preserve"> </w:t>
      </w:r>
      <w:r w:rsidRPr="003E3623">
        <w:rPr>
          <w:lang w:val="hy-AM"/>
        </w:rPr>
        <w:t>համար</w:t>
      </w:r>
      <w:r w:rsidRPr="003E3623">
        <w:rPr>
          <w:lang w:val="af-ZA"/>
        </w:rPr>
        <w:t xml:space="preserve"> </w:t>
      </w:r>
      <w:r w:rsidRPr="003E3623">
        <w:rPr>
          <w:lang w:val="hy-AM"/>
        </w:rPr>
        <w:t>ծրագ</w:t>
      </w:r>
      <w:r w:rsidRPr="003E3623">
        <w:rPr>
          <w:lang w:val="af-ZA"/>
        </w:rPr>
        <w:softHyphen/>
      </w:r>
      <w:r w:rsidRPr="003E3623">
        <w:rPr>
          <w:lang w:val="hy-AM"/>
        </w:rPr>
        <w:t>րա</w:t>
      </w:r>
      <w:r w:rsidRPr="003E3623">
        <w:rPr>
          <w:lang w:val="af-ZA"/>
        </w:rPr>
        <w:softHyphen/>
      </w:r>
      <w:r w:rsidRPr="003E3623">
        <w:rPr>
          <w:lang w:val="af-ZA"/>
        </w:rPr>
        <w:softHyphen/>
      </w:r>
      <w:r w:rsidRPr="003E3623">
        <w:rPr>
          <w:lang w:val="af-ZA"/>
        </w:rPr>
        <w:softHyphen/>
      </w:r>
      <w:r w:rsidRPr="003E3623">
        <w:rPr>
          <w:lang w:val="af-ZA"/>
        </w:rPr>
        <w:softHyphen/>
      </w:r>
      <w:r w:rsidRPr="003E3623">
        <w:rPr>
          <w:lang w:val="af-ZA"/>
        </w:rPr>
        <w:softHyphen/>
      </w:r>
      <w:r w:rsidRPr="003E3623">
        <w:rPr>
          <w:lang w:val="hy-AM"/>
        </w:rPr>
        <w:t>վոր</w:t>
      </w:r>
      <w:r w:rsidRPr="003E3623">
        <w:rPr>
          <w:lang w:val="af-ZA"/>
        </w:rPr>
        <w:softHyphen/>
      </w:r>
      <w:r w:rsidRPr="003E3623">
        <w:rPr>
          <w:lang w:val="hy-AM"/>
        </w:rPr>
        <w:t>ված</w:t>
      </w:r>
      <w:r w:rsidRPr="003E3623">
        <w:rPr>
          <w:lang w:val="af-ZA"/>
        </w:rPr>
        <w:t xml:space="preserve"> </w:t>
      </w:r>
      <w:r w:rsidRPr="003E3623">
        <w:rPr>
          <w:lang w:val="hy-AM"/>
        </w:rPr>
        <w:t>ծախսերը</w:t>
      </w:r>
      <w:r w:rsidRPr="003E3623">
        <w:rPr>
          <w:lang w:val="af-ZA"/>
        </w:rPr>
        <w:t xml:space="preserve"> </w:t>
      </w:r>
      <w:r w:rsidRPr="003E3623">
        <w:rPr>
          <w:lang w:val="hy-AM"/>
        </w:rPr>
        <w:t>ներկայացված</w:t>
      </w:r>
      <w:r w:rsidRPr="003E3623">
        <w:rPr>
          <w:lang w:val="af-ZA"/>
        </w:rPr>
        <w:t xml:space="preserve"> </w:t>
      </w:r>
      <w:r w:rsidRPr="003E3623">
        <w:rPr>
          <w:lang w:val="hy-AM"/>
        </w:rPr>
        <w:t>են</w:t>
      </w:r>
      <w:r w:rsidRPr="003E3623">
        <w:rPr>
          <w:lang w:val="af-ZA"/>
        </w:rPr>
        <w:t xml:space="preserve"> </w:t>
      </w:r>
      <w:r w:rsidRPr="003E3623">
        <w:rPr>
          <w:lang w:val="hy-AM"/>
        </w:rPr>
        <w:t>ստորև</w:t>
      </w:r>
      <w:r w:rsidRPr="003E3623">
        <w:rPr>
          <w:lang w:val="af-ZA"/>
        </w:rPr>
        <w:t xml:space="preserve"> </w:t>
      </w:r>
      <w:r w:rsidRPr="003E3623">
        <w:rPr>
          <w:lang w:val="hy-AM"/>
        </w:rPr>
        <w:t>բերված</w:t>
      </w:r>
      <w:r w:rsidRPr="003E3623">
        <w:rPr>
          <w:lang w:val="af-ZA"/>
        </w:rPr>
        <w:t xml:space="preserve"> </w:t>
      </w:r>
      <w:r w:rsidRPr="003E3623">
        <w:rPr>
          <w:lang w:val="hy-AM"/>
        </w:rPr>
        <w:t>աղյուսակում</w:t>
      </w:r>
      <w:r w:rsidRPr="003E3623">
        <w:rPr>
          <w:lang w:val="af-ZA"/>
        </w:rPr>
        <w:t>.</w:t>
      </w:r>
    </w:p>
    <w:p w14:paraId="096AEA2D" w14:textId="77777777" w:rsidR="009D2825" w:rsidRPr="003E3623" w:rsidRDefault="009D2825" w:rsidP="004F3E10">
      <w:pPr>
        <w:spacing w:line="360" w:lineRule="auto"/>
        <w:jc w:val="right"/>
        <w:rPr>
          <w:sz w:val="18"/>
          <w:lang w:val="hy-AM"/>
        </w:rPr>
      </w:pPr>
      <w:r w:rsidRPr="003E3623">
        <w:rPr>
          <w:sz w:val="18"/>
          <w:lang w:val="it-IT"/>
        </w:rPr>
        <w:t xml:space="preserve">                                              </w:t>
      </w:r>
      <w:r w:rsidRPr="003E3623">
        <w:rPr>
          <w:sz w:val="18"/>
          <w:lang w:val="af-ZA"/>
        </w:rPr>
        <w:tab/>
      </w:r>
      <w:r w:rsidRPr="003E3623">
        <w:rPr>
          <w:sz w:val="18"/>
          <w:lang w:val="af-ZA"/>
        </w:rPr>
        <w:tab/>
      </w:r>
      <w:r w:rsidRPr="003E3623">
        <w:rPr>
          <w:sz w:val="18"/>
          <w:lang w:val="af-ZA"/>
        </w:rPr>
        <w:tab/>
      </w:r>
      <w:r w:rsidRPr="003E3623">
        <w:rPr>
          <w:sz w:val="18"/>
          <w:lang w:val="af-ZA"/>
        </w:rPr>
        <w:tab/>
      </w:r>
      <w:r w:rsidRPr="003E3623">
        <w:rPr>
          <w:sz w:val="18"/>
          <w:lang w:val="af-ZA"/>
        </w:rPr>
        <w:tab/>
      </w:r>
      <w:r w:rsidRPr="003E3623">
        <w:rPr>
          <w:sz w:val="18"/>
          <w:lang w:val="af-ZA"/>
        </w:rPr>
        <w:tab/>
      </w:r>
      <w:r w:rsidRPr="003E3623">
        <w:rPr>
          <w:sz w:val="18"/>
          <w:lang w:val="af-ZA"/>
        </w:rPr>
        <w:tab/>
      </w:r>
      <w:r w:rsidRPr="003E3623">
        <w:rPr>
          <w:sz w:val="18"/>
          <w:lang w:val="af-ZA"/>
        </w:rPr>
        <w:tab/>
      </w:r>
      <w:r w:rsidRPr="003E3623">
        <w:rPr>
          <w:sz w:val="18"/>
          <w:lang w:val="hy-AM"/>
        </w:rPr>
        <w:t xml:space="preserve">       </w:t>
      </w:r>
      <w:r w:rsidRPr="003E3623">
        <w:rPr>
          <w:sz w:val="18"/>
        </w:rPr>
        <w:t>(</w:t>
      </w:r>
      <w:r w:rsidRPr="003E3623">
        <w:rPr>
          <w:sz w:val="18"/>
          <w:lang w:val="hy-AM"/>
        </w:rPr>
        <w:t>հազ դրամ</w:t>
      </w:r>
      <w:r w:rsidRPr="003E3623">
        <w:rPr>
          <w:sz w:val="18"/>
        </w:rPr>
        <w:t>)</w:t>
      </w:r>
    </w:p>
    <w:tbl>
      <w:tblPr>
        <w:tblW w:w="9664" w:type="dxa"/>
        <w:tblInd w:w="411" w:type="dxa"/>
        <w:tblLook w:val="04A0" w:firstRow="1" w:lastRow="0" w:firstColumn="1" w:lastColumn="0" w:noHBand="0" w:noVBand="1"/>
      </w:tblPr>
      <w:tblGrid>
        <w:gridCol w:w="3510"/>
        <w:gridCol w:w="2051"/>
        <w:gridCol w:w="2051"/>
        <w:gridCol w:w="2052"/>
      </w:tblGrid>
      <w:tr w:rsidR="009D2825" w:rsidRPr="003E3623" w14:paraId="13BDAAC8" w14:textId="77777777" w:rsidTr="004F3E10">
        <w:trPr>
          <w:trHeight w:val="345"/>
        </w:trPr>
        <w:tc>
          <w:tcPr>
            <w:tcW w:w="3510" w:type="dxa"/>
            <w:tcBorders>
              <w:top w:val="single" w:sz="8" w:space="0" w:color="auto"/>
              <w:left w:val="single" w:sz="8" w:space="0" w:color="auto"/>
              <w:bottom w:val="single" w:sz="8" w:space="0" w:color="auto"/>
              <w:right w:val="single" w:sz="8" w:space="0" w:color="auto"/>
            </w:tcBorders>
            <w:shd w:val="clear" w:color="auto" w:fill="4F81BD" w:themeFill="accent1"/>
            <w:vAlign w:val="center"/>
            <w:hideMark/>
          </w:tcPr>
          <w:p w14:paraId="65A677A5" w14:textId="77777777" w:rsidR="009D2825" w:rsidRPr="004F3E10" w:rsidRDefault="009D2825" w:rsidP="009D2825">
            <w:pPr>
              <w:spacing w:after="0" w:line="240" w:lineRule="auto"/>
              <w:rPr>
                <w:color w:val="FFFFFF" w:themeColor="background1"/>
              </w:rPr>
            </w:pPr>
            <w:r w:rsidRPr="004F3E10">
              <w:rPr>
                <w:rFonts w:cs="Calibri"/>
                <w:color w:val="FFFFFF" w:themeColor="background1"/>
              </w:rPr>
              <w:lastRenderedPageBreak/>
              <w:t> </w:t>
            </w:r>
          </w:p>
        </w:tc>
        <w:tc>
          <w:tcPr>
            <w:tcW w:w="2051" w:type="dxa"/>
            <w:tcBorders>
              <w:top w:val="single" w:sz="8" w:space="0" w:color="auto"/>
              <w:left w:val="nil"/>
              <w:bottom w:val="single" w:sz="8" w:space="0" w:color="auto"/>
              <w:right w:val="single" w:sz="8" w:space="0" w:color="auto"/>
            </w:tcBorders>
            <w:shd w:val="clear" w:color="auto" w:fill="4F81BD" w:themeFill="accent1"/>
            <w:vAlign w:val="center"/>
            <w:hideMark/>
          </w:tcPr>
          <w:p w14:paraId="3E48D0BB" w14:textId="77777777" w:rsidR="009D2825" w:rsidRPr="004F3E10" w:rsidRDefault="009D2825" w:rsidP="009D2825">
            <w:pPr>
              <w:spacing w:after="0" w:line="240" w:lineRule="auto"/>
              <w:jc w:val="center"/>
              <w:rPr>
                <w:color w:val="FFFFFF" w:themeColor="background1"/>
              </w:rPr>
            </w:pPr>
            <w:r w:rsidRPr="004F3E10">
              <w:rPr>
                <w:color w:val="FFFFFF" w:themeColor="background1"/>
              </w:rPr>
              <w:t>2021թ.</w:t>
            </w:r>
          </w:p>
        </w:tc>
        <w:tc>
          <w:tcPr>
            <w:tcW w:w="2051" w:type="dxa"/>
            <w:tcBorders>
              <w:top w:val="single" w:sz="8" w:space="0" w:color="auto"/>
              <w:left w:val="nil"/>
              <w:bottom w:val="single" w:sz="8" w:space="0" w:color="auto"/>
              <w:right w:val="single" w:sz="8" w:space="0" w:color="auto"/>
            </w:tcBorders>
            <w:shd w:val="clear" w:color="auto" w:fill="4F81BD" w:themeFill="accent1"/>
            <w:vAlign w:val="center"/>
            <w:hideMark/>
          </w:tcPr>
          <w:p w14:paraId="0A7C5CF8" w14:textId="77777777" w:rsidR="009D2825" w:rsidRPr="004F3E10" w:rsidRDefault="009D2825" w:rsidP="009D2825">
            <w:pPr>
              <w:spacing w:after="0" w:line="240" w:lineRule="auto"/>
              <w:jc w:val="center"/>
              <w:rPr>
                <w:color w:val="FFFFFF" w:themeColor="background1"/>
              </w:rPr>
            </w:pPr>
            <w:r w:rsidRPr="004F3E10">
              <w:rPr>
                <w:color w:val="FFFFFF" w:themeColor="background1"/>
              </w:rPr>
              <w:t>2022թ.</w:t>
            </w:r>
          </w:p>
        </w:tc>
        <w:tc>
          <w:tcPr>
            <w:tcW w:w="2052" w:type="dxa"/>
            <w:tcBorders>
              <w:top w:val="single" w:sz="8" w:space="0" w:color="auto"/>
              <w:left w:val="nil"/>
              <w:bottom w:val="single" w:sz="8" w:space="0" w:color="auto"/>
              <w:right w:val="single" w:sz="8" w:space="0" w:color="auto"/>
            </w:tcBorders>
            <w:shd w:val="clear" w:color="auto" w:fill="4F81BD" w:themeFill="accent1"/>
            <w:vAlign w:val="center"/>
            <w:hideMark/>
          </w:tcPr>
          <w:p w14:paraId="60075110" w14:textId="77777777" w:rsidR="009D2825" w:rsidRPr="004F3E10" w:rsidRDefault="009D2825" w:rsidP="009D2825">
            <w:pPr>
              <w:spacing w:after="0" w:line="240" w:lineRule="auto"/>
              <w:jc w:val="center"/>
              <w:rPr>
                <w:color w:val="FFFFFF" w:themeColor="background1"/>
              </w:rPr>
            </w:pPr>
            <w:r w:rsidRPr="004F3E10">
              <w:rPr>
                <w:color w:val="FFFFFF" w:themeColor="background1"/>
              </w:rPr>
              <w:t>2023թ.</w:t>
            </w:r>
          </w:p>
        </w:tc>
      </w:tr>
      <w:tr w:rsidR="009D2825" w:rsidRPr="003E3623" w14:paraId="1D44E6F4" w14:textId="77777777" w:rsidTr="004F3E10">
        <w:trPr>
          <w:trHeight w:val="1005"/>
        </w:trPr>
        <w:tc>
          <w:tcPr>
            <w:tcW w:w="3510" w:type="dxa"/>
            <w:tcBorders>
              <w:top w:val="nil"/>
              <w:left w:val="single" w:sz="8" w:space="0" w:color="auto"/>
              <w:bottom w:val="single" w:sz="8" w:space="0" w:color="auto"/>
              <w:right w:val="single" w:sz="8" w:space="0" w:color="auto"/>
            </w:tcBorders>
            <w:shd w:val="clear" w:color="auto" w:fill="C6D9F1" w:themeFill="text2" w:themeFillTint="33"/>
            <w:vAlign w:val="center"/>
            <w:hideMark/>
          </w:tcPr>
          <w:p w14:paraId="6E4D7792" w14:textId="77777777" w:rsidR="009D2825" w:rsidRPr="003E3623" w:rsidRDefault="009D2825" w:rsidP="004F3E10">
            <w:pPr>
              <w:spacing w:after="0" w:line="240" w:lineRule="auto"/>
              <w:ind w:firstLine="0"/>
              <w:jc w:val="left"/>
            </w:pPr>
            <w:r w:rsidRPr="003E3623">
              <w:rPr>
                <w:rFonts w:cs="Arial"/>
              </w:rPr>
              <w:t>Հանրային իշխանության մարմինների պահպանման ծախսեր</w:t>
            </w:r>
          </w:p>
        </w:tc>
        <w:tc>
          <w:tcPr>
            <w:tcW w:w="2051" w:type="dxa"/>
            <w:tcBorders>
              <w:top w:val="nil"/>
              <w:left w:val="nil"/>
              <w:bottom w:val="single" w:sz="8" w:space="0" w:color="auto"/>
              <w:right w:val="single" w:sz="8" w:space="0" w:color="auto"/>
            </w:tcBorders>
            <w:shd w:val="clear" w:color="auto" w:fill="C6D9F1" w:themeFill="text2" w:themeFillTint="33"/>
            <w:vAlign w:val="center"/>
            <w:hideMark/>
          </w:tcPr>
          <w:p w14:paraId="2CF10FBB" w14:textId="77777777" w:rsidR="009D2825" w:rsidRPr="003E3623" w:rsidRDefault="009D2825" w:rsidP="00824F14">
            <w:pPr>
              <w:spacing w:after="0" w:line="240" w:lineRule="auto"/>
              <w:ind w:firstLine="0"/>
              <w:jc w:val="center"/>
            </w:pPr>
            <w:r w:rsidRPr="003E3623">
              <w:t>130,421,060.9</w:t>
            </w:r>
          </w:p>
        </w:tc>
        <w:tc>
          <w:tcPr>
            <w:tcW w:w="2051" w:type="dxa"/>
            <w:tcBorders>
              <w:top w:val="nil"/>
              <w:left w:val="nil"/>
              <w:bottom w:val="single" w:sz="8" w:space="0" w:color="auto"/>
              <w:right w:val="single" w:sz="8" w:space="0" w:color="auto"/>
            </w:tcBorders>
            <w:shd w:val="clear" w:color="auto" w:fill="C6D9F1" w:themeFill="text2" w:themeFillTint="33"/>
            <w:vAlign w:val="center"/>
            <w:hideMark/>
          </w:tcPr>
          <w:p w14:paraId="36F53DCB" w14:textId="77777777" w:rsidR="009D2825" w:rsidRPr="003E3623" w:rsidRDefault="009D2825" w:rsidP="00824F14">
            <w:pPr>
              <w:spacing w:after="0" w:line="240" w:lineRule="auto"/>
              <w:ind w:firstLine="0"/>
              <w:jc w:val="center"/>
            </w:pPr>
            <w:r w:rsidRPr="003E3623">
              <w:t>131,</w:t>
            </w:r>
            <w:r w:rsidRPr="003E3623">
              <w:rPr>
                <w:lang w:val="hy-AM"/>
              </w:rPr>
              <w:t>652</w:t>
            </w:r>
            <w:r w:rsidRPr="003E3623">
              <w:t>,</w:t>
            </w:r>
            <w:r w:rsidRPr="003E3623">
              <w:rPr>
                <w:lang w:val="hy-AM"/>
              </w:rPr>
              <w:t>217</w:t>
            </w:r>
            <w:r w:rsidRPr="003E3623">
              <w:t>.2</w:t>
            </w:r>
          </w:p>
        </w:tc>
        <w:tc>
          <w:tcPr>
            <w:tcW w:w="2052" w:type="dxa"/>
            <w:tcBorders>
              <w:top w:val="nil"/>
              <w:left w:val="nil"/>
              <w:bottom w:val="single" w:sz="8" w:space="0" w:color="auto"/>
              <w:right w:val="single" w:sz="8" w:space="0" w:color="auto"/>
            </w:tcBorders>
            <w:shd w:val="clear" w:color="auto" w:fill="C6D9F1" w:themeFill="text2" w:themeFillTint="33"/>
            <w:vAlign w:val="center"/>
            <w:hideMark/>
          </w:tcPr>
          <w:p w14:paraId="79506BCF" w14:textId="77777777" w:rsidR="009D2825" w:rsidRPr="003E3623" w:rsidRDefault="009D2825" w:rsidP="00824F14">
            <w:pPr>
              <w:spacing w:after="0" w:line="240" w:lineRule="auto"/>
              <w:ind w:firstLine="0"/>
              <w:jc w:val="center"/>
            </w:pPr>
            <w:r w:rsidRPr="003E3623">
              <w:t>132,</w:t>
            </w:r>
            <w:r w:rsidRPr="003E3623">
              <w:rPr>
                <w:lang w:val="hy-AM"/>
              </w:rPr>
              <w:t>910</w:t>
            </w:r>
            <w:r w:rsidRPr="003E3623">
              <w:t>,</w:t>
            </w:r>
            <w:r w:rsidRPr="003E3623">
              <w:rPr>
                <w:lang w:val="hy-AM"/>
              </w:rPr>
              <w:t>300</w:t>
            </w:r>
            <w:r w:rsidRPr="003E3623">
              <w:t>.2</w:t>
            </w:r>
          </w:p>
        </w:tc>
      </w:tr>
      <w:tr w:rsidR="009D2825" w:rsidRPr="003E3623" w14:paraId="1716C68D" w14:textId="77777777" w:rsidTr="009D2825">
        <w:trPr>
          <w:trHeight w:val="1335"/>
        </w:trPr>
        <w:tc>
          <w:tcPr>
            <w:tcW w:w="3510" w:type="dxa"/>
            <w:tcBorders>
              <w:top w:val="nil"/>
              <w:left w:val="single" w:sz="8" w:space="0" w:color="auto"/>
              <w:bottom w:val="single" w:sz="8" w:space="0" w:color="auto"/>
              <w:right w:val="single" w:sz="8" w:space="0" w:color="auto"/>
            </w:tcBorders>
            <w:shd w:val="clear" w:color="auto" w:fill="auto"/>
            <w:vAlign w:val="center"/>
            <w:hideMark/>
          </w:tcPr>
          <w:p w14:paraId="775CD0C4" w14:textId="77777777" w:rsidR="009D2825" w:rsidRPr="003E3623" w:rsidRDefault="009D2825" w:rsidP="004F3E10">
            <w:pPr>
              <w:spacing w:after="0" w:line="240" w:lineRule="auto"/>
              <w:ind w:firstLine="0"/>
              <w:jc w:val="left"/>
            </w:pPr>
            <w:r w:rsidRPr="003E3623">
              <w:rPr>
                <w:rFonts w:cs="Arial"/>
              </w:rPr>
              <w:t>Հերթական՝ մարդահամարի նախապատրաստման, անցկացման և ամփոփման աշխատանքներ</w:t>
            </w:r>
          </w:p>
        </w:tc>
        <w:tc>
          <w:tcPr>
            <w:tcW w:w="2051" w:type="dxa"/>
            <w:tcBorders>
              <w:top w:val="nil"/>
              <w:left w:val="nil"/>
              <w:bottom w:val="single" w:sz="8" w:space="0" w:color="auto"/>
              <w:right w:val="single" w:sz="8" w:space="0" w:color="auto"/>
            </w:tcBorders>
            <w:shd w:val="clear" w:color="auto" w:fill="auto"/>
            <w:vAlign w:val="center"/>
            <w:hideMark/>
          </w:tcPr>
          <w:p w14:paraId="3EC1DCE6" w14:textId="77777777" w:rsidR="009D2825" w:rsidRPr="003E3623" w:rsidRDefault="009D2825" w:rsidP="004F3E10">
            <w:pPr>
              <w:spacing w:after="0" w:line="240" w:lineRule="auto"/>
              <w:jc w:val="center"/>
            </w:pPr>
            <w:r w:rsidRPr="003E3623">
              <w:t>1,020,625.5</w:t>
            </w:r>
          </w:p>
        </w:tc>
        <w:tc>
          <w:tcPr>
            <w:tcW w:w="2051" w:type="dxa"/>
            <w:tcBorders>
              <w:top w:val="nil"/>
              <w:left w:val="nil"/>
              <w:bottom w:val="single" w:sz="8" w:space="0" w:color="auto"/>
              <w:right w:val="single" w:sz="8" w:space="0" w:color="auto"/>
            </w:tcBorders>
            <w:shd w:val="clear" w:color="auto" w:fill="auto"/>
            <w:vAlign w:val="center"/>
            <w:hideMark/>
          </w:tcPr>
          <w:p w14:paraId="2E443A66" w14:textId="77777777" w:rsidR="009D2825" w:rsidRPr="003E3623" w:rsidRDefault="009D2825" w:rsidP="004F3E10">
            <w:pPr>
              <w:spacing w:after="0" w:line="240" w:lineRule="auto"/>
              <w:jc w:val="center"/>
            </w:pPr>
            <w:r w:rsidRPr="003E3623">
              <w:t>104,364.8</w:t>
            </w:r>
          </w:p>
        </w:tc>
        <w:tc>
          <w:tcPr>
            <w:tcW w:w="2052" w:type="dxa"/>
            <w:tcBorders>
              <w:top w:val="nil"/>
              <w:left w:val="nil"/>
              <w:bottom w:val="single" w:sz="8" w:space="0" w:color="auto"/>
              <w:right w:val="single" w:sz="8" w:space="0" w:color="auto"/>
            </w:tcBorders>
            <w:shd w:val="clear" w:color="auto" w:fill="auto"/>
            <w:vAlign w:val="center"/>
            <w:hideMark/>
          </w:tcPr>
          <w:p w14:paraId="0A81228A" w14:textId="77777777" w:rsidR="009D2825" w:rsidRPr="003E3623" w:rsidRDefault="009D2825" w:rsidP="004F3E10">
            <w:pPr>
              <w:spacing w:after="0" w:line="240" w:lineRule="auto"/>
              <w:jc w:val="center"/>
            </w:pPr>
          </w:p>
        </w:tc>
      </w:tr>
      <w:tr w:rsidR="009D2825" w:rsidRPr="003E3623" w14:paraId="59885CC4" w14:textId="77777777" w:rsidTr="004F3E10">
        <w:trPr>
          <w:trHeight w:val="675"/>
        </w:trPr>
        <w:tc>
          <w:tcPr>
            <w:tcW w:w="3510" w:type="dxa"/>
            <w:tcBorders>
              <w:top w:val="nil"/>
              <w:left w:val="single" w:sz="8" w:space="0" w:color="auto"/>
              <w:bottom w:val="single" w:sz="8" w:space="0" w:color="auto"/>
              <w:right w:val="single" w:sz="8" w:space="0" w:color="auto"/>
            </w:tcBorders>
            <w:shd w:val="clear" w:color="auto" w:fill="C6D9F1" w:themeFill="text2" w:themeFillTint="33"/>
            <w:vAlign w:val="center"/>
            <w:hideMark/>
          </w:tcPr>
          <w:p w14:paraId="5FCBCE76" w14:textId="77777777" w:rsidR="009D2825" w:rsidRPr="003E3623" w:rsidRDefault="009D2825" w:rsidP="004F3E10">
            <w:pPr>
              <w:spacing w:after="0" w:line="240" w:lineRule="auto"/>
              <w:ind w:firstLine="0"/>
              <w:jc w:val="left"/>
            </w:pPr>
            <w:r w:rsidRPr="003E3623">
              <w:rPr>
                <w:rFonts w:cs="Arial"/>
                <w:lang w:val="hy-AM"/>
              </w:rPr>
              <w:t>Ազգային ժողովի ընտրություններ</w:t>
            </w:r>
          </w:p>
        </w:tc>
        <w:tc>
          <w:tcPr>
            <w:tcW w:w="2051" w:type="dxa"/>
            <w:tcBorders>
              <w:top w:val="nil"/>
              <w:left w:val="nil"/>
              <w:bottom w:val="single" w:sz="8" w:space="0" w:color="auto"/>
              <w:right w:val="single" w:sz="8" w:space="0" w:color="auto"/>
            </w:tcBorders>
            <w:shd w:val="clear" w:color="auto" w:fill="C6D9F1" w:themeFill="text2" w:themeFillTint="33"/>
            <w:vAlign w:val="center"/>
            <w:hideMark/>
          </w:tcPr>
          <w:p w14:paraId="28BC6A66" w14:textId="77777777" w:rsidR="009D2825" w:rsidRPr="003E3623" w:rsidRDefault="009D2825" w:rsidP="004F3E10">
            <w:pPr>
              <w:spacing w:after="0" w:line="240" w:lineRule="auto"/>
              <w:jc w:val="center"/>
            </w:pPr>
          </w:p>
        </w:tc>
        <w:tc>
          <w:tcPr>
            <w:tcW w:w="2051" w:type="dxa"/>
            <w:tcBorders>
              <w:top w:val="nil"/>
              <w:left w:val="nil"/>
              <w:bottom w:val="single" w:sz="8" w:space="0" w:color="auto"/>
              <w:right w:val="single" w:sz="8" w:space="0" w:color="auto"/>
            </w:tcBorders>
            <w:shd w:val="clear" w:color="auto" w:fill="C6D9F1" w:themeFill="text2" w:themeFillTint="33"/>
            <w:vAlign w:val="center"/>
            <w:hideMark/>
          </w:tcPr>
          <w:p w14:paraId="5F4A8340" w14:textId="77777777" w:rsidR="009D2825" w:rsidRPr="003E3623" w:rsidRDefault="009D2825" w:rsidP="004F3E10">
            <w:pPr>
              <w:spacing w:after="0" w:line="240" w:lineRule="auto"/>
              <w:jc w:val="center"/>
            </w:pPr>
          </w:p>
        </w:tc>
        <w:tc>
          <w:tcPr>
            <w:tcW w:w="2052" w:type="dxa"/>
            <w:tcBorders>
              <w:top w:val="nil"/>
              <w:left w:val="nil"/>
              <w:bottom w:val="single" w:sz="8" w:space="0" w:color="auto"/>
              <w:right w:val="single" w:sz="8" w:space="0" w:color="auto"/>
            </w:tcBorders>
            <w:shd w:val="clear" w:color="auto" w:fill="C6D9F1" w:themeFill="text2" w:themeFillTint="33"/>
            <w:vAlign w:val="center"/>
            <w:hideMark/>
          </w:tcPr>
          <w:p w14:paraId="489A10EE" w14:textId="77777777" w:rsidR="009D2825" w:rsidRPr="003E3623" w:rsidRDefault="009D2825" w:rsidP="004F3E10">
            <w:pPr>
              <w:spacing w:after="0" w:line="240" w:lineRule="auto"/>
              <w:jc w:val="center"/>
            </w:pPr>
            <w:r w:rsidRPr="003E3623">
              <w:t>2,715,963.2</w:t>
            </w:r>
          </w:p>
        </w:tc>
      </w:tr>
      <w:tr w:rsidR="009D2825" w:rsidRPr="003E3623" w14:paraId="2CF414B8" w14:textId="77777777" w:rsidTr="009D2825">
        <w:trPr>
          <w:trHeight w:val="675"/>
        </w:trPr>
        <w:tc>
          <w:tcPr>
            <w:tcW w:w="3510" w:type="dxa"/>
            <w:tcBorders>
              <w:top w:val="nil"/>
              <w:left w:val="single" w:sz="8" w:space="0" w:color="auto"/>
              <w:bottom w:val="single" w:sz="8" w:space="0" w:color="auto"/>
              <w:right w:val="single" w:sz="8" w:space="0" w:color="auto"/>
            </w:tcBorders>
            <w:shd w:val="clear" w:color="auto" w:fill="auto"/>
            <w:vAlign w:val="center"/>
            <w:hideMark/>
          </w:tcPr>
          <w:p w14:paraId="5F5BB107" w14:textId="77777777" w:rsidR="009D2825" w:rsidRPr="003E3623" w:rsidRDefault="009D2825" w:rsidP="004F3E10">
            <w:pPr>
              <w:spacing w:after="0" w:line="240" w:lineRule="auto"/>
              <w:ind w:firstLine="0"/>
              <w:jc w:val="left"/>
            </w:pPr>
            <w:r w:rsidRPr="003E3623">
              <w:rPr>
                <w:rFonts w:cs="Arial"/>
                <w:lang w:val="hy-AM"/>
              </w:rPr>
              <w:t>Երևանի ավագանու հերթական ընտրություններ</w:t>
            </w:r>
          </w:p>
        </w:tc>
        <w:tc>
          <w:tcPr>
            <w:tcW w:w="2051" w:type="dxa"/>
            <w:tcBorders>
              <w:top w:val="nil"/>
              <w:left w:val="nil"/>
              <w:bottom w:val="single" w:sz="8" w:space="0" w:color="auto"/>
              <w:right w:val="single" w:sz="8" w:space="0" w:color="auto"/>
            </w:tcBorders>
            <w:shd w:val="clear" w:color="auto" w:fill="auto"/>
            <w:vAlign w:val="center"/>
            <w:hideMark/>
          </w:tcPr>
          <w:p w14:paraId="5BA353F9" w14:textId="77777777" w:rsidR="009D2825" w:rsidRPr="003E3623" w:rsidRDefault="009D2825" w:rsidP="004F3E10">
            <w:pPr>
              <w:spacing w:after="0" w:line="240" w:lineRule="auto"/>
              <w:jc w:val="center"/>
            </w:pPr>
          </w:p>
        </w:tc>
        <w:tc>
          <w:tcPr>
            <w:tcW w:w="2051" w:type="dxa"/>
            <w:tcBorders>
              <w:top w:val="nil"/>
              <w:left w:val="nil"/>
              <w:bottom w:val="single" w:sz="8" w:space="0" w:color="auto"/>
              <w:right w:val="single" w:sz="8" w:space="0" w:color="auto"/>
            </w:tcBorders>
            <w:shd w:val="clear" w:color="auto" w:fill="auto"/>
            <w:vAlign w:val="center"/>
            <w:hideMark/>
          </w:tcPr>
          <w:p w14:paraId="23D97005" w14:textId="77777777" w:rsidR="009D2825" w:rsidRPr="003E3623" w:rsidRDefault="009D2825" w:rsidP="004F3E10">
            <w:pPr>
              <w:spacing w:after="0" w:line="240" w:lineRule="auto"/>
              <w:jc w:val="center"/>
            </w:pPr>
          </w:p>
        </w:tc>
        <w:tc>
          <w:tcPr>
            <w:tcW w:w="2052" w:type="dxa"/>
            <w:tcBorders>
              <w:top w:val="nil"/>
              <w:left w:val="nil"/>
              <w:bottom w:val="single" w:sz="8" w:space="0" w:color="auto"/>
              <w:right w:val="single" w:sz="8" w:space="0" w:color="auto"/>
            </w:tcBorders>
            <w:shd w:val="clear" w:color="auto" w:fill="auto"/>
            <w:vAlign w:val="center"/>
            <w:hideMark/>
          </w:tcPr>
          <w:p w14:paraId="67AB2D41" w14:textId="77777777" w:rsidR="009D2825" w:rsidRPr="003E3623" w:rsidRDefault="009D2825" w:rsidP="004F3E10">
            <w:pPr>
              <w:spacing w:after="0" w:line="240" w:lineRule="auto"/>
              <w:jc w:val="center"/>
            </w:pPr>
            <w:r w:rsidRPr="003E3623">
              <w:t>718,794.1</w:t>
            </w:r>
          </w:p>
        </w:tc>
      </w:tr>
      <w:tr w:rsidR="009D2825" w:rsidRPr="003E3623" w14:paraId="63F53F1C" w14:textId="77777777" w:rsidTr="004F3E10">
        <w:trPr>
          <w:trHeight w:val="675"/>
        </w:trPr>
        <w:tc>
          <w:tcPr>
            <w:tcW w:w="3510" w:type="dxa"/>
            <w:tcBorders>
              <w:top w:val="nil"/>
              <w:left w:val="single" w:sz="8" w:space="0" w:color="auto"/>
              <w:bottom w:val="single" w:sz="8" w:space="0" w:color="auto"/>
              <w:right w:val="single" w:sz="8" w:space="0" w:color="auto"/>
            </w:tcBorders>
            <w:shd w:val="clear" w:color="auto" w:fill="C6D9F1" w:themeFill="text2" w:themeFillTint="33"/>
            <w:vAlign w:val="center"/>
            <w:hideMark/>
          </w:tcPr>
          <w:p w14:paraId="2ACBA538" w14:textId="77777777" w:rsidR="009D2825" w:rsidRPr="003E3623" w:rsidRDefault="009D2825" w:rsidP="004F3E10">
            <w:pPr>
              <w:spacing w:after="0" w:line="240" w:lineRule="auto"/>
              <w:ind w:firstLine="0"/>
              <w:jc w:val="left"/>
            </w:pPr>
            <w:r w:rsidRPr="003E3623">
              <w:rPr>
                <w:rFonts w:cs="Arial"/>
              </w:rPr>
              <w:t>Տեղական ինքնակառավարման մարմինների ընտրություններ</w:t>
            </w:r>
          </w:p>
        </w:tc>
        <w:tc>
          <w:tcPr>
            <w:tcW w:w="2051" w:type="dxa"/>
            <w:tcBorders>
              <w:top w:val="nil"/>
              <w:left w:val="nil"/>
              <w:bottom w:val="single" w:sz="8" w:space="0" w:color="auto"/>
              <w:right w:val="single" w:sz="8" w:space="0" w:color="auto"/>
            </w:tcBorders>
            <w:shd w:val="clear" w:color="auto" w:fill="C6D9F1" w:themeFill="text2" w:themeFillTint="33"/>
            <w:vAlign w:val="center"/>
            <w:hideMark/>
          </w:tcPr>
          <w:p w14:paraId="618E2F08" w14:textId="77777777" w:rsidR="009D2825" w:rsidRPr="003E3623" w:rsidRDefault="009D2825" w:rsidP="004F3E10">
            <w:pPr>
              <w:spacing w:after="0" w:line="240" w:lineRule="auto"/>
              <w:jc w:val="center"/>
            </w:pPr>
            <w:r w:rsidRPr="003E3623">
              <w:t>1,420,723.0</w:t>
            </w:r>
          </w:p>
        </w:tc>
        <w:tc>
          <w:tcPr>
            <w:tcW w:w="2051" w:type="dxa"/>
            <w:tcBorders>
              <w:top w:val="nil"/>
              <w:left w:val="nil"/>
              <w:bottom w:val="single" w:sz="8" w:space="0" w:color="auto"/>
              <w:right w:val="single" w:sz="8" w:space="0" w:color="auto"/>
            </w:tcBorders>
            <w:shd w:val="clear" w:color="auto" w:fill="C6D9F1" w:themeFill="text2" w:themeFillTint="33"/>
            <w:vAlign w:val="center"/>
            <w:hideMark/>
          </w:tcPr>
          <w:p w14:paraId="26AF3002" w14:textId="77777777" w:rsidR="009D2825" w:rsidRPr="003E3623" w:rsidRDefault="009D2825" w:rsidP="004F3E10">
            <w:pPr>
              <w:spacing w:after="0" w:line="240" w:lineRule="auto"/>
              <w:jc w:val="center"/>
            </w:pPr>
            <w:r w:rsidRPr="003E3623">
              <w:t>719,044.2</w:t>
            </w:r>
          </w:p>
        </w:tc>
        <w:tc>
          <w:tcPr>
            <w:tcW w:w="2052" w:type="dxa"/>
            <w:tcBorders>
              <w:top w:val="nil"/>
              <w:left w:val="nil"/>
              <w:bottom w:val="single" w:sz="8" w:space="0" w:color="auto"/>
              <w:right w:val="single" w:sz="8" w:space="0" w:color="auto"/>
            </w:tcBorders>
            <w:shd w:val="clear" w:color="auto" w:fill="C6D9F1" w:themeFill="text2" w:themeFillTint="33"/>
            <w:vAlign w:val="center"/>
            <w:hideMark/>
          </w:tcPr>
          <w:p w14:paraId="29D177FF" w14:textId="77777777" w:rsidR="009D2825" w:rsidRPr="003E3623" w:rsidRDefault="009D2825" w:rsidP="004F3E10">
            <w:pPr>
              <w:spacing w:after="0" w:line="240" w:lineRule="auto"/>
              <w:jc w:val="center"/>
            </w:pPr>
            <w:r w:rsidRPr="003E3623">
              <w:t>719,044.2</w:t>
            </w:r>
          </w:p>
        </w:tc>
      </w:tr>
    </w:tbl>
    <w:p w14:paraId="52830E55" w14:textId="77777777" w:rsidR="009D2825" w:rsidRDefault="009D2825" w:rsidP="009D2825">
      <w:pPr>
        <w:pStyle w:val="StyleStyleHeading2ChapterParanumTextSylfaenGHEAGrapa"/>
        <w:spacing w:line="240" w:lineRule="auto"/>
        <w:rPr>
          <w:lang w:val="hy-AM"/>
        </w:rPr>
      </w:pPr>
    </w:p>
    <w:p w14:paraId="08C9A1B5" w14:textId="2826F959" w:rsidR="009D2825" w:rsidRPr="003C716D" w:rsidRDefault="009D2825" w:rsidP="006B2C4E">
      <w:pPr>
        <w:pStyle w:val="Heading3"/>
        <w:numPr>
          <w:ilvl w:val="0"/>
          <w:numId w:val="0"/>
        </w:numPr>
        <w:spacing w:before="0" w:after="120"/>
      </w:pPr>
      <w:r>
        <w:br w:type="page"/>
      </w:r>
      <w:bookmarkStart w:id="297" w:name="_Toc45637517"/>
      <w:bookmarkStart w:id="298" w:name="_Toc45838541"/>
      <w:bookmarkStart w:id="299" w:name="_Toc46154369"/>
      <w:r w:rsidRPr="005305FA">
        <w:rPr>
          <w:rFonts w:eastAsia="Times New Roman" w:cs="Times New Roman"/>
          <w:caps w:val="0"/>
          <w:color w:val="1F497D" w:themeColor="text2"/>
          <w:sz w:val="28"/>
          <w:szCs w:val="28"/>
        </w:rPr>
        <w:lastRenderedPageBreak/>
        <w:t>2</w:t>
      </w:r>
      <w:r w:rsidR="009858E4" w:rsidRPr="00EB1197">
        <w:rPr>
          <w:rFonts w:eastAsia="Times New Roman" w:cs="Times New Roman"/>
          <w:caps w:val="0"/>
          <w:color w:val="1F497D" w:themeColor="text2"/>
          <w:sz w:val="28"/>
          <w:szCs w:val="28"/>
        </w:rPr>
        <w:t>.</w:t>
      </w:r>
      <w:r w:rsidRPr="005305FA">
        <w:rPr>
          <w:rFonts w:eastAsia="Times New Roman" w:cs="Times New Roman"/>
          <w:caps w:val="0"/>
          <w:color w:val="1F497D" w:themeColor="text2"/>
          <w:sz w:val="28"/>
          <w:szCs w:val="28"/>
        </w:rPr>
        <w:t xml:space="preserve"> ԿՐԹՈՒԹՅՈ</w:t>
      </w:r>
      <w:r w:rsidR="007724F4">
        <w:rPr>
          <w:rFonts w:eastAsia="Times New Roman" w:cs="Times New Roman"/>
          <w:caps w:val="0"/>
          <w:color w:val="1F497D" w:themeColor="text2"/>
          <w:sz w:val="28"/>
          <w:szCs w:val="28"/>
        </w:rPr>
        <w:t>Ւ</w:t>
      </w:r>
      <w:r w:rsidRPr="005305FA">
        <w:rPr>
          <w:rFonts w:eastAsia="Times New Roman" w:cs="Times New Roman"/>
          <w:caps w:val="0"/>
          <w:color w:val="1F497D" w:themeColor="text2"/>
          <w:sz w:val="28"/>
          <w:szCs w:val="28"/>
        </w:rPr>
        <w:t>Ն, ԳԻՏՈՒԹՅՈ</w:t>
      </w:r>
      <w:r w:rsidR="007724F4">
        <w:rPr>
          <w:rFonts w:eastAsia="Times New Roman" w:cs="Times New Roman"/>
          <w:caps w:val="0"/>
          <w:color w:val="1F497D" w:themeColor="text2"/>
          <w:sz w:val="28"/>
          <w:szCs w:val="28"/>
        </w:rPr>
        <w:t>Ւ</w:t>
      </w:r>
      <w:r w:rsidRPr="005305FA">
        <w:rPr>
          <w:rFonts w:eastAsia="Times New Roman" w:cs="Times New Roman"/>
          <w:caps w:val="0"/>
          <w:color w:val="1F497D" w:themeColor="text2"/>
          <w:sz w:val="28"/>
          <w:szCs w:val="28"/>
        </w:rPr>
        <w:t>Ն, ՄՇԱԿՈՒՅԹ, ՍՊՈՐՏ ԵՎ ԵՐԻՏԱՍԱՐԴՈՒԹՅՈՒՆ</w:t>
      </w:r>
      <w:bookmarkEnd w:id="297"/>
      <w:bookmarkEnd w:id="298"/>
      <w:bookmarkEnd w:id="299"/>
    </w:p>
    <w:p w14:paraId="3A4D5387" w14:textId="77777777" w:rsidR="009D2825" w:rsidRPr="009A7904" w:rsidRDefault="009D2825" w:rsidP="009A7904">
      <w:pPr>
        <w:tabs>
          <w:tab w:val="left" w:pos="851"/>
          <w:tab w:val="left" w:pos="993"/>
        </w:tabs>
        <w:spacing w:line="276" w:lineRule="auto"/>
        <w:rPr>
          <w:rFonts w:cs="GHEA Grapalat"/>
          <w:b/>
          <w:lang w:val="hy-AM"/>
        </w:rPr>
      </w:pPr>
      <w:bookmarkStart w:id="300" w:name="_Toc424298414"/>
      <w:bookmarkStart w:id="301" w:name="_Toc519513641"/>
      <w:bookmarkStart w:id="302" w:name="_Toc13837338"/>
      <w:r w:rsidRPr="009A7904">
        <w:rPr>
          <w:rFonts w:cs="GHEA Grapalat"/>
          <w:b/>
          <w:lang w:val="hy-AM"/>
        </w:rPr>
        <w:t>Կրթության ոլորտ</w:t>
      </w:r>
    </w:p>
    <w:p w14:paraId="438A336A" w14:textId="77777777" w:rsidR="009D2825" w:rsidRPr="009A7904" w:rsidRDefault="009D2825" w:rsidP="009A7904">
      <w:pPr>
        <w:tabs>
          <w:tab w:val="left" w:pos="851"/>
          <w:tab w:val="left" w:pos="993"/>
        </w:tabs>
        <w:spacing w:line="276" w:lineRule="auto"/>
        <w:rPr>
          <w:rFonts w:cs="Arial Unicode"/>
          <w:color w:val="000000"/>
          <w:shd w:val="clear" w:color="auto" w:fill="FFFFFF"/>
          <w:lang w:val="hy-AM"/>
        </w:rPr>
      </w:pPr>
      <w:r w:rsidRPr="009A7904">
        <w:rPr>
          <w:rFonts w:cs="GHEA Grapalat"/>
          <w:lang w:val="hy-AM"/>
        </w:rPr>
        <w:t xml:space="preserve">Համաձայն ՀՀ կառավարության 2019 թվականի փետրվարի 8-ի </w:t>
      </w:r>
      <w:r w:rsidRPr="009A7904">
        <w:rPr>
          <w:rFonts w:ascii="Arial Unicode" w:hAnsi="Arial Unicode"/>
          <w:color w:val="000000"/>
          <w:shd w:val="clear" w:color="auto" w:fill="FFFFFF"/>
          <w:lang w:val="hy-AM"/>
        </w:rPr>
        <w:t xml:space="preserve">N </w:t>
      </w:r>
      <w:r w:rsidRPr="009A7904">
        <w:rPr>
          <w:rFonts w:cs="GHEA Grapalat"/>
          <w:lang w:val="hy-AM"/>
        </w:rPr>
        <w:t xml:space="preserve">65-Ա որոշման 4.4-րդ կետի՝ </w:t>
      </w:r>
      <w:r w:rsidRPr="009A7904">
        <w:rPr>
          <w:rFonts w:cs="Arial Unicode"/>
          <w:color w:val="000000"/>
          <w:shd w:val="clear" w:color="auto" w:fill="FFFFFF"/>
          <w:lang w:val="hy-AM"/>
        </w:rPr>
        <w:t xml:space="preserve">կառավարության համար գերակա խնդիր է կրթության զարգացումը, ինչի շնորհիվ է միայն հնարավոր հասնել կայուն ու ներառական զարգացման և համընդհանուր բարեկեցության: </w:t>
      </w:r>
      <w:r w:rsidRPr="009A7904">
        <w:rPr>
          <w:rFonts w:cs="GHEA Grapalat"/>
          <w:lang w:val="hy-AM"/>
        </w:rPr>
        <w:t xml:space="preserve">Կրթության ոլորտը կարևոր դերակատարություն ունի ինչպես անհատի կայացման, այնպես էլ հասարակության սոցիալական և տնտեսական զարգացման բոլոր ոլորտներում: Դրանով է պայմանավորված, որ այն դասվում է կառավարության ծրագրի գերակայությունների շարքում: </w:t>
      </w:r>
    </w:p>
    <w:p w14:paraId="27E34D64" w14:textId="77777777" w:rsidR="009D2825" w:rsidRPr="009A7904" w:rsidRDefault="009D2825" w:rsidP="009A7904">
      <w:pPr>
        <w:tabs>
          <w:tab w:val="left" w:pos="851"/>
          <w:tab w:val="left" w:pos="993"/>
        </w:tabs>
        <w:spacing w:line="276" w:lineRule="auto"/>
        <w:rPr>
          <w:rFonts w:cs="Arial Armenian"/>
          <w:lang w:val="hy-AM"/>
        </w:rPr>
      </w:pPr>
      <w:r w:rsidRPr="009A7904">
        <w:rPr>
          <w:rFonts w:cs="Arial Armenian"/>
          <w:lang w:val="af-ZA"/>
        </w:rPr>
        <w:t xml:space="preserve">Կրթության </w:t>
      </w:r>
      <w:r w:rsidRPr="009A7904">
        <w:rPr>
          <w:rFonts w:cs="Arial Armenian"/>
          <w:lang w:val="hy-AM"/>
        </w:rPr>
        <w:t xml:space="preserve">ոլորտի </w:t>
      </w:r>
      <w:r w:rsidRPr="009A7904">
        <w:rPr>
          <w:rFonts w:cs="Arial Armenian"/>
          <w:lang w:val="af-ZA"/>
        </w:rPr>
        <w:t>գլխավոր</w:t>
      </w:r>
      <w:r w:rsidRPr="009A7904">
        <w:rPr>
          <w:rFonts w:cs="Arial Armenian"/>
          <w:lang w:val="hy-AM"/>
        </w:rPr>
        <w:t xml:space="preserve"> հիմնախնդիրն է միջազգայնորեն ընդունված չափանիշներին համապատասխան որակի</w:t>
      </w:r>
      <w:r w:rsidRPr="009A7904">
        <w:rPr>
          <w:rFonts w:cs="Arial Armenian"/>
          <w:lang w:val="af-ZA"/>
        </w:rPr>
        <w:t xml:space="preserve"> </w:t>
      </w:r>
      <w:r w:rsidRPr="009A7904">
        <w:rPr>
          <w:rFonts w:cs="Arial Armenian"/>
          <w:lang w:val="hy-AM"/>
        </w:rPr>
        <w:t>ապահովումը: Այս տեսանկյունից ոլորտային քաղաքականությունը ներառում է 3 հիմնական ուղղություններ.</w:t>
      </w:r>
    </w:p>
    <w:p w14:paraId="561CADAC" w14:textId="77777777" w:rsidR="009D2825" w:rsidRPr="009A7904" w:rsidRDefault="009D2825" w:rsidP="009A7904">
      <w:pPr>
        <w:tabs>
          <w:tab w:val="left" w:pos="851"/>
          <w:tab w:val="left" w:pos="993"/>
        </w:tabs>
        <w:spacing w:line="276" w:lineRule="auto"/>
        <w:rPr>
          <w:rFonts w:cs="Arial Armenian"/>
          <w:lang w:val="hy-AM"/>
        </w:rPr>
      </w:pPr>
      <w:r w:rsidRPr="009A7904">
        <w:rPr>
          <w:rFonts w:cs="Arial Armenian"/>
          <w:lang w:val="hy-AM"/>
        </w:rPr>
        <w:t>դասավանդող անձնակազմի, մասնավորապես՝ ուսուցիչների, մասնագիտական որակական բարելավումը: Մասնավորապես նախատեսվում է, որ դասավանդող ուսուցիչների առնվազն 45%-ը կանցնի ատեստավորում մասնագիտական նոր չափանիշներին համապատասխան,</w:t>
      </w:r>
    </w:p>
    <w:p w14:paraId="253F901B" w14:textId="77777777" w:rsidR="009D2825" w:rsidRPr="009A7904" w:rsidRDefault="009D2825" w:rsidP="009A7904">
      <w:pPr>
        <w:tabs>
          <w:tab w:val="left" w:pos="851"/>
          <w:tab w:val="left" w:pos="993"/>
        </w:tabs>
        <w:spacing w:line="276" w:lineRule="auto"/>
        <w:rPr>
          <w:rFonts w:cs="Arial Armenian"/>
          <w:lang w:val="hy-AM"/>
        </w:rPr>
      </w:pPr>
      <w:r w:rsidRPr="009A7904">
        <w:rPr>
          <w:rFonts w:cs="Arial Armenian"/>
          <w:lang w:val="hy-AM"/>
        </w:rPr>
        <w:t>կրթական ծրագրերի բովանդակային արդիականացումն ու համապատասխանեցումը աշխատաշուկայի և տնտեսության զարգացող պահանջներին: Կվերանայվեն հանրակրթական չափորոշիչները, ուսումնական պլանը և առարկայական ծրագրերը` նպատակ ունենալով խթանել սովորողների քննական մտածողությունը, նորարարությունը, վերլուծական և ստեղծագործական հմտությունները: Առանձնակի ուշադրություն կհատկացվի STEM առարկաների և օտար լեզուների դասավանդմանը, քաղաքացիական, ֆինանսական և ձեռնարկատիրական կրթությանը: Մասնագիտական կրթության ոլորտում կմշակվեն և կներդրվեն տնտեսության ժամանակակից պահանջներից բխող նոր մասնագիտությունների կրթական ծրագրեր՝ մեծացնելով շրջանավարտների մրցունակությունն աշխատաշուկայում, բարձրագույն կրթության ծրագրերում կխթանվի գիտահետազոտական աշխատանքների իրականացումը,</w:t>
      </w:r>
    </w:p>
    <w:p w14:paraId="12880F83" w14:textId="77777777" w:rsidR="009D2825" w:rsidRPr="009A7904" w:rsidRDefault="009D2825" w:rsidP="009A7904">
      <w:pPr>
        <w:tabs>
          <w:tab w:val="left" w:pos="851"/>
          <w:tab w:val="left" w:pos="993"/>
        </w:tabs>
        <w:spacing w:line="276" w:lineRule="auto"/>
        <w:rPr>
          <w:rFonts w:cs="Arial Armenian"/>
          <w:lang w:val="af-ZA"/>
        </w:rPr>
      </w:pPr>
      <w:r w:rsidRPr="009A7904">
        <w:rPr>
          <w:rFonts w:cs="Arial Armenian"/>
          <w:lang w:val="hy-AM"/>
        </w:rPr>
        <w:t>ուսումնական հաստատությունների արդիական նյութատեխնիկական հենքի  ապահովումը և սովորողակենտրոն միջավայրի ստեղծումը: Նոր թափ կհաղորդվի նախադպրոցական, դպրոցական և մասնագիտական ուսումնական հաստատությունների շենքերի վերանորոգմանն ու կառուցմանը՝ ներառելով նաև գյուղական փոքրաթիվ աշակերտական համակազմ ունեցող դպրոցները: Հանրապետության</w:t>
      </w:r>
      <w:r w:rsidRPr="009A7904">
        <w:rPr>
          <w:rFonts w:cs="Arial Armenian"/>
          <w:lang w:val="af-ZA"/>
        </w:rPr>
        <w:t xml:space="preserve"> </w:t>
      </w:r>
      <w:r w:rsidRPr="009A7904">
        <w:rPr>
          <w:rFonts w:cs="Arial Armenian"/>
          <w:lang w:val="hy-AM"/>
        </w:rPr>
        <w:t>ևս 3 մարզերի հանրակրթական դպրոցներում կներդրվի «Կայուն դպրոցական սնունդ» ծրագիրը:</w:t>
      </w:r>
    </w:p>
    <w:p w14:paraId="08C7D4CF" w14:textId="77777777" w:rsidR="009D2825" w:rsidRPr="009A7904" w:rsidRDefault="009D2825" w:rsidP="009A7904">
      <w:pPr>
        <w:spacing w:line="276" w:lineRule="auto"/>
        <w:rPr>
          <w:rFonts w:cs="Arial Armenian"/>
          <w:lang w:val="af-ZA"/>
        </w:rPr>
      </w:pPr>
      <w:r w:rsidRPr="009A7904">
        <w:rPr>
          <w:rFonts w:cs="Arial Armenian"/>
          <w:lang w:val="hy-AM"/>
        </w:rPr>
        <w:t>Կրթության ոլորտի հաջորդ կարևոր խնդիրն է մատչելիության ապահովումը</w:t>
      </w:r>
      <w:r w:rsidRPr="009A7904">
        <w:rPr>
          <w:rFonts w:cs="Arial Armenian"/>
          <w:lang w:val="af-ZA"/>
        </w:rPr>
        <w:t xml:space="preserve">, </w:t>
      </w:r>
      <w:r w:rsidRPr="009A7904">
        <w:rPr>
          <w:rFonts w:cs="Arial Armenian"/>
        </w:rPr>
        <w:t>որի</w:t>
      </w:r>
      <w:r w:rsidRPr="009A7904">
        <w:rPr>
          <w:rFonts w:cs="Arial Armenian"/>
          <w:lang w:val="af-ZA"/>
        </w:rPr>
        <w:t xml:space="preserve"> </w:t>
      </w:r>
      <w:r w:rsidRPr="009A7904">
        <w:rPr>
          <w:rFonts w:cs="Arial Armenian"/>
        </w:rPr>
        <w:t>ուղղությամբ</w:t>
      </w:r>
      <w:r w:rsidRPr="009A7904">
        <w:rPr>
          <w:rFonts w:cs="Arial Armenian"/>
          <w:lang w:val="af-ZA"/>
        </w:rPr>
        <w:t xml:space="preserve"> </w:t>
      </w:r>
      <w:r w:rsidRPr="009A7904">
        <w:rPr>
          <w:rFonts w:cs="Arial Armenian"/>
        </w:rPr>
        <w:t>նախատեսվում</w:t>
      </w:r>
      <w:r w:rsidRPr="009A7904">
        <w:rPr>
          <w:rFonts w:cs="Arial Armenian"/>
          <w:lang w:val="af-ZA"/>
        </w:rPr>
        <w:t xml:space="preserve"> </w:t>
      </w:r>
      <w:r w:rsidRPr="009A7904">
        <w:rPr>
          <w:rFonts w:cs="Arial Armenian"/>
        </w:rPr>
        <w:t>են</w:t>
      </w:r>
      <w:r w:rsidRPr="009A7904">
        <w:rPr>
          <w:rFonts w:cs="Arial Armenian"/>
          <w:lang w:val="af-ZA"/>
        </w:rPr>
        <w:t xml:space="preserve"> </w:t>
      </w:r>
      <w:r w:rsidRPr="009A7904">
        <w:rPr>
          <w:rFonts w:cs="Arial Armenian"/>
        </w:rPr>
        <w:t>հետևյալ</w:t>
      </w:r>
      <w:r w:rsidRPr="009A7904">
        <w:rPr>
          <w:rFonts w:cs="Arial Armenian"/>
          <w:lang w:val="af-ZA"/>
        </w:rPr>
        <w:t xml:space="preserve"> </w:t>
      </w:r>
      <w:r w:rsidRPr="009A7904">
        <w:rPr>
          <w:rFonts w:cs="Arial Armenian"/>
        </w:rPr>
        <w:t>միջոցառումները</w:t>
      </w:r>
      <w:r w:rsidRPr="009A7904">
        <w:rPr>
          <w:rFonts w:cs="Arial Armenian"/>
          <w:lang w:val="af-ZA"/>
        </w:rPr>
        <w:t>.</w:t>
      </w:r>
    </w:p>
    <w:p w14:paraId="753BAFDC" w14:textId="77777777" w:rsidR="009D2825" w:rsidRPr="009A7904" w:rsidRDefault="009D2825" w:rsidP="009A7904">
      <w:pPr>
        <w:pStyle w:val="ListParagraph"/>
        <w:numPr>
          <w:ilvl w:val="0"/>
          <w:numId w:val="17"/>
        </w:numPr>
        <w:spacing w:before="0" w:after="0" w:line="276" w:lineRule="auto"/>
        <w:ind w:left="0" w:firstLine="567"/>
        <w:rPr>
          <w:rFonts w:cs="Arial Armenian"/>
          <w:lang w:val="hy-AM"/>
        </w:rPr>
      </w:pPr>
      <w:r w:rsidRPr="009A7904">
        <w:rPr>
          <w:rFonts w:cs="Arial Armenian"/>
        </w:rPr>
        <w:t>կընդլայնվի</w:t>
      </w:r>
      <w:r w:rsidRPr="009A7904">
        <w:rPr>
          <w:rFonts w:cs="Arial Armenian"/>
          <w:lang w:val="af-ZA"/>
        </w:rPr>
        <w:t xml:space="preserve"> </w:t>
      </w:r>
      <w:r w:rsidRPr="009A7904">
        <w:rPr>
          <w:rFonts w:cs="Arial Armenian"/>
        </w:rPr>
        <w:t>ն</w:t>
      </w:r>
      <w:r w:rsidRPr="009A7904">
        <w:rPr>
          <w:rFonts w:cs="Arial Armenian"/>
          <w:lang w:val="hy-AM"/>
        </w:rPr>
        <w:t>ախադպրոցական ծառայություններ</w:t>
      </w:r>
      <w:r w:rsidRPr="009A7904">
        <w:rPr>
          <w:rFonts w:cs="Arial Armenian"/>
        </w:rPr>
        <w:t>ի</w:t>
      </w:r>
      <w:r w:rsidRPr="009A7904">
        <w:rPr>
          <w:rFonts w:cs="Arial Armenian"/>
          <w:lang w:val="af-ZA"/>
        </w:rPr>
        <w:t xml:space="preserve"> </w:t>
      </w:r>
      <w:r w:rsidRPr="009A7904">
        <w:rPr>
          <w:rFonts w:cs="Arial Armenian"/>
        </w:rPr>
        <w:t>մատուցման</w:t>
      </w:r>
      <w:r w:rsidRPr="009A7904">
        <w:rPr>
          <w:rFonts w:cs="Arial Armenian"/>
          <w:lang w:val="af-ZA"/>
        </w:rPr>
        <w:t xml:space="preserve"> </w:t>
      </w:r>
      <w:r w:rsidRPr="009A7904">
        <w:rPr>
          <w:rFonts w:cs="Arial Armenian"/>
        </w:rPr>
        <w:t>շրջանակը</w:t>
      </w:r>
      <w:r w:rsidRPr="009A7904">
        <w:rPr>
          <w:rFonts w:cs="Arial Armenian"/>
          <w:lang w:val="af-ZA"/>
        </w:rPr>
        <w:t xml:space="preserve">, </w:t>
      </w:r>
      <w:r w:rsidRPr="009A7904">
        <w:rPr>
          <w:rFonts w:cs="Arial Armenian"/>
          <w:lang w:val="hy-AM"/>
        </w:rPr>
        <w:t xml:space="preserve">համայնքներին ցուցաբերվող նպատակային օժանդակության շնորհիվ </w:t>
      </w:r>
      <w:r w:rsidRPr="009A7904">
        <w:rPr>
          <w:rFonts w:cs="Arial Armenian"/>
        </w:rPr>
        <w:t>կմեծանա</w:t>
      </w:r>
      <w:r w:rsidRPr="009A7904">
        <w:rPr>
          <w:rFonts w:cs="Arial Armenian"/>
          <w:lang w:val="hy-AM"/>
        </w:rPr>
        <w:t xml:space="preserve"> երեխաների ընդգրկվածությ</w:t>
      </w:r>
      <w:r w:rsidRPr="009A7904">
        <w:rPr>
          <w:rFonts w:cs="Arial Armenian"/>
        </w:rPr>
        <w:t>ունը</w:t>
      </w:r>
      <w:r w:rsidRPr="009A7904">
        <w:rPr>
          <w:rFonts w:cs="Arial Armenian"/>
          <w:lang w:val="af-ZA"/>
        </w:rPr>
        <w:t>,</w:t>
      </w:r>
      <w:r w:rsidRPr="009A7904">
        <w:rPr>
          <w:rFonts w:cs="Arial Armenian"/>
          <w:lang w:val="hy-AM"/>
        </w:rPr>
        <w:t xml:space="preserve"> </w:t>
      </w:r>
    </w:p>
    <w:p w14:paraId="0DD680A3" w14:textId="77777777" w:rsidR="009D2825" w:rsidRPr="009A7904" w:rsidRDefault="009D2825" w:rsidP="009A7904">
      <w:pPr>
        <w:pStyle w:val="ListParagraph"/>
        <w:numPr>
          <w:ilvl w:val="0"/>
          <w:numId w:val="17"/>
        </w:numPr>
        <w:spacing w:before="0" w:after="0" w:line="276" w:lineRule="auto"/>
        <w:ind w:left="0" w:firstLine="567"/>
        <w:rPr>
          <w:rFonts w:cs="Arial Armenian"/>
          <w:lang w:val="hy-AM"/>
        </w:rPr>
      </w:pPr>
      <w:r w:rsidRPr="009A7904">
        <w:rPr>
          <w:rFonts w:cs="Arial Armenian"/>
          <w:lang w:val="hy-AM"/>
        </w:rPr>
        <w:t xml:space="preserve">մինչև 2022 թվականը բոլոր մարզերը կանցնեն համընդհանուր ներառական կրթության, մարզերում գործող հատուկ դպրոցները կվերակազմակերպվեն տարածքային մանկավարժահոգեբանական աջակցության կենտրոնների: Այն մարզերում, որտեղ չեն գործում հատուկ դպրոցներ, կլինի մանկավարժահոգեբանական աջակցության ծառայությունների </w:t>
      </w:r>
      <w:r w:rsidRPr="009A7904">
        <w:rPr>
          <w:rFonts w:cs="Arial Armenian"/>
          <w:lang w:val="hy-AM"/>
        </w:rPr>
        <w:lastRenderedPageBreak/>
        <w:t>պատվիրակում ՀՀ պետական բյուջեի միջոցների հաշվին, կապահովվի վերապատրաստումների միջոցով ուսուցիչների և ուսուցչի օգնականների ներառական դասավանդման հմտությունների զարգացումը,</w:t>
      </w:r>
    </w:p>
    <w:p w14:paraId="7911AE79" w14:textId="77777777" w:rsidR="009D2825" w:rsidRPr="009A7904" w:rsidRDefault="009D2825" w:rsidP="009A7904">
      <w:pPr>
        <w:pStyle w:val="ListParagraph"/>
        <w:numPr>
          <w:ilvl w:val="0"/>
          <w:numId w:val="17"/>
        </w:numPr>
        <w:spacing w:before="0" w:after="0" w:line="276" w:lineRule="auto"/>
        <w:ind w:left="0" w:firstLine="567"/>
        <w:rPr>
          <w:rFonts w:cs="Arial Armenian"/>
          <w:lang w:val="hy-AM"/>
        </w:rPr>
      </w:pPr>
      <w:r w:rsidRPr="009A7904">
        <w:rPr>
          <w:rFonts w:cs="Arial Armenian"/>
          <w:lang w:val="hy-AM"/>
        </w:rPr>
        <w:t>մասնագիտական կրթության ֆինանսավորման աճը կուղղվի խոցելի խմբերի երիտասարդների ընդգրկվածության մեծացմանը: Կընդլայնվի մասնագիտական կրթության՝ պետական բյուջեից ֆինանսավորվող տեղերի թիվը, կընդլայնվեն ուսման վարձի զեղչային համակարգից օգտվող շահառուների խմբերը:</w:t>
      </w:r>
    </w:p>
    <w:p w14:paraId="365F602D" w14:textId="77777777" w:rsidR="009D2825" w:rsidRPr="009A7904" w:rsidRDefault="009D2825" w:rsidP="009A7904">
      <w:pPr>
        <w:spacing w:line="276" w:lineRule="auto"/>
        <w:ind w:firstLine="708"/>
        <w:rPr>
          <w:rFonts w:cs="GHEA Grapalat"/>
          <w:lang w:val="hy-AM"/>
        </w:rPr>
      </w:pPr>
      <w:r w:rsidRPr="009A7904">
        <w:rPr>
          <w:rFonts w:cs="GHEA Grapalat"/>
          <w:lang w:val="hy-AM"/>
        </w:rPr>
        <w:t>Ելնելով վերոնշյալ նպատակներից՝ միջնաժամկետ հատվածում նախանշվել են ոլորտի հետևյալ հիմնական թիրախները.</w:t>
      </w:r>
    </w:p>
    <w:p w14:paraId="03F980E2" w14:textId="77777777" w:rsidR="009D2825" w:rsidRPr="009A7904" w:rsidRDefault="009D2825" w:rsidP="009A7904">
      <w:pPr>
        <w:pStyle w:val="ListParagraph"/>
        <w:numPr>
          <w:ilvl w:val="0"/>
          <w:numId w:val="41"/>
        </w:numPr>
        <w:spacing w:before="0" w:after="0" w:line="276" w:lineRule="auto"/>
        <w:rPr>
          <w:rFonts w:cs="GHEA Grapalat"/>
          <w:lang w:val="hy-AM" w:eastAsia="ru-RU"/>
        </w:rPr>
      </w:pPr>
      <w:r w:rsidRPr="009A7904">
        <w:rPr>
          <w:rFonts w:cs="GHEA Grapalat"/>
          <w:lang w:val="hy-AM" w:eastAsia="ru-RU"/>
        </w:rPr>
        <w:t>պարտադիր կրթության երեք մակարդակներում սովորողների համախառն ընդգրկվածության ցուցանիշի 99% ապահովում,</w:t>
      </w:r>
    </w:p>
    <w:p w14:paraId="15D20C1C" w14:textId="77777777"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rFonts w:cs="GHEA Grapalat"/>
          <w:lang w:val="hy-AM" w:eastAsia="ru-RU"/>
        </w:rPr>
        <w:t xml:space="preserve">նախնական (արհեստագործական) և միջին մասնագիտական կրթության </w:t>
      </w:r>
      <w:r w:rsidRPr="009A7904">
        <w:rPr>
          <w:color w:val="000000"/>
          <w:lang w:val="hy-AM"/>
        </w:rPr>
        <w:t>(</w:t>
      </w:r>
      <w:r w:rsidRPr="009A7904">
        <w:rPr>
          <w:rFonts w:cs="GHEA Grapalat"/>
          <w:lang w:val="hy-AM" w:eastAsia="ru-RU"/>
        </w:rPr>
        <w:t>ՆՄՄԿ</w:t>
      </w:r>
      <w:r w:rsidRPr="009A7904">
        <w:rPr>
          <w:color w:val="000000"/>
          <w:lang w:val="hy-AM"/>
        </w:rPr>
        <w:t>) համակարգում տվյալ տարում ընդունված սովորողների թիվը մասնագիտական կրթության (նախնական (արհեստագործական), միջին և բարձրագույն մասնագիտական) համակարգում տվյալ տարում ընդունված սովորողների ընդհանուր թվում 52.2%-ից հասցնել 55%-ի,</w:t>
      </w:r>
    </w:p>
    <w:p w14:paraId="362755E1" w14:textId="77777777"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ՆՄՄԿ համակարգում տվյալ տարում ընդունված սովորողների թիվը հիմնական  և միջնակարգ դպրոցների շրջանավարտների թվում 33.1%-ից հասցնել 35%-ի,</w:t>
      </w:r>
    </w:p>
    <w:p w14:paraId="1E166C10" w14:textId="77777777"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ուսումնառած մասնագիտության գծով ուսումնառության ավարտից հետո 6 ամսվա ընթացքում զբաղվածություն ունեցող շրջանավարտների թիվը 38.3%-ից հասցնել 45.0%-ի,</w:t>
      </w:r>
    </w:p>
    <w:p w14:paraId="5D3C54B0" w14:textId="77777777"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նախնական և միջին մասնագիտական ուսումնական հաստատությունների՝ ուսումնառությունը բուհերում շարունակած շրջանավարտների թիվը 19%-ից հասցնել 21%-ի,</w:t>
      </w:r>
    </w:p>
    <w:p w14:paraId="6E89CA96" w14:textId="77777777"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աշխատաշուկայի պահանջներից ելնելով` նոր մասնագիտությունների ներդրումը 17-ից հասցնել 24-ի,</w:t>
      </w:r>
    </w:p>
    <w:p w14:paraId="372DD6DA" w14:textId="77777777"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ՆՄՄԿՈՒ ուսումնական գործընթացներում  ներգրավված գործատուների թիվը 1199-ից հասցնել 1650-ի,</w:t>
      </w:r>
    </w:p>
    <w:p w14:paraId="7498347F" w14:textId="77777777"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վերապատրաստման ծրագրերն անցած ՆՄՄԿՈՒ հաստատությունների դասավանդողների մասնաբաժինը 16%-ից հասցնել 32%-ի,</w:t>
      </w:r>
    </w:p>
    <w:p w14:paraId="0E22DB09" w14:textId="77777777"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աշխատանքի վրա հիմնված` դուալ ուսուցման փորձնական ծրագրեր իրականացնող  ՆՄՄԿՈՒ հաստատությունների թիվը, ընդհանուր ՆՄՄԿՈՒ հաստատությունների թվի մեջ, 15-ից հասցնել 23-ի,</w:t>
      </w:r>
    </w:p>
    <w:p w14:paraId="6A399526" w14:textId="77777777" w:rsidR="009D2825" w:rsidRPr="009A7904" w:rsidRDefault="009D2825" w:rsidP="009A7904">
      <w:pPr>
        <w:pStyle w:val="ListParagraph"/>
        <w:numPr>
          <w:ilvl w:val="0"/>
          <w:numId w:val="41"/>
        </w:numPr>
        <w:spacing w:before="0" w:after="0" w:line="276" w:lineRule="auto"/>
        <w:rPr>
          <w:color w:val="000000"/>
          <w:lang w:val="hy-AM"/>
        </w:rPr>
      </w:pPr>
      <w:r w:rsidRPr="009A7904">
        <w:rPr>
          <w:color w:val="000000"/>
          <w:lang w:val="hy-AM"/>
        </w:rPr>
        <w:t xml:space="preserve">ուսման վարձավճարի լրիվ փոխհատուցմամբ սովորող ուսանողների տեսակարար կշիռը բարձրագույն կրթություն ստացողների մեջ 18%-ից </w:t>
      </w:r>
      <w:r w:rsidRPr="009A7904" w:rsidDel="00882275">
        <w:rPr>
          <w:color w:val="000000"/>
          <w:lang w:val="hy-AM"/>
        </w:rPr>
        <w:t xml:space="preserve"> </w:t>
      </w:r>
      <w:r w:rsidRPr="009A7904">
        <w:rPr>
          <w:color w:val="000000"/>
          <w:lang w:val="hy-AM"/>
        </w:rPr>
        <w:t>հասցնել 24%-ի, իսկ սոցիալապես անապահովության սահմանային միավորից բարձր միավոր ունեցող ընտանիքների ուսանողների տեսակարար կշիռն ընդհանուր ուսանողների թվաքանակի մեջ՝ 4.1%-ից՝ 5%-ի,</w:t>
      </w:r>
    </w:p>
    <w:p w14:paraId="3E1BCB71" w14:textId="77777777" w:rsidR="009D2825" w:rsidRPr="009A7904" w:rsidRDefault="009D2825" w:rsidP="009A7904">
      <w:pPr>
        <w:pStyle w:val="ListParagraph"/>
        <w:numPr>
          <w:ilvl w:val="0"/>
          <w:numId w:val="41"/>
        </w:numPr>
        <w:spacing w:before="0" w:after="0" w:line="276" w:lineRule="auto"/>
        <w:rPr>
          <w:color w:val="000000"/>
          <w:lang w:val="hy-AM"/>
        </w:rPr>
      </w:pPr>
      <w:r w:rsidRPr="009A7904">
        <w:rPr>
          <w:color w:val="000000"/>
          <w:lang w:val="hy-AM"/>
        </w:rPr>
        <w:t>արտադպրոցական դաստիարակության ծրագրերում 6-18 տարեկան երեխաների ընդգրկվածության մակարդակը 20.5%-ից հասցնել 23.5%-ի, որից 3.1%-ը՝ գյուղական բնակավայրերում,</w:t>
      </w:r>
    </w:p>
    <w:p w14:paraId="4B587276" w14:textId="77777777" w:rsidR="009D2825" w:rsidRPr="009A7904" w:rsidRDefault="009D2825" w:rsidP="009A7904">
      <w:pPr>
        <w:pStyle w:val="ListParagraph"/>
        <w:numPr>
          <w:ilvl w:val="0"/>
          <w:numId w:val="41"/>
        </w:numPr>
        <w:spacing w:before="0" w:after="0" w:line="276" w:lineRule="auto"/>
        <w:rPr>
          <w:color w:val="000000"/>
          <w:lang w:val="hy-AM"/>
        </w:rPr>
      </w:pPr>
      <w:r w:rsidRPr="009A7904">
        <w:rPr>
          <w:color w:val="000000"/>
          <w:lang w:val="hy-AM"/>
        </w:rPr>
        <w:t>2023 թվականին հանրապետության բոլոր մարզերի տարրական դասարանների և նախակրթարանների սովորողներին ապահովել կայուն դպրոցական սննդով,</w:t>
      </w:r>
    </w:p>
    <w:p w14:paraId="1B2BEC7D" w14:textId="77777777" w:rsidR="009D2825" w:rsidRPr="009A7904" w:rsidRDefault="009D2825" w:rsidP="009A7904">
      <w:pPr>
        <w:pStyle w:val="ListParagraph"/>
        <w:numPr>
          <w:ilvl w:val="0"/>
          <w:numId w:val="41"/>
        </w:numPr>
        <w:spacing w:before="0" w:after="0" w:line="276" w:lineRule="auto"/>
        <w:rPr>
          <w:color w:val="000000"/>
          <w:lang w:val="hy-AM"/>
        </w:rPr>
      </w:pPr>
      <w:r w:rsidRPr="009A7904">
        <w:rPr>
          <w:rFonts w:cs="GHEA Grapalat"/>
          <w:lang w:val="hy-AM"/>
        </w:rPr>
        <w:lastRenderedPageBreak/>
        <w:t>հանրակրթական դպրոցների՝ կամավոր ատեստավորմանը մասնակցած ուսուցիչների թիվը 2023 թվականին հասցնել 45%-ի,</w:t>
      </w:r>
    </w:p>
    <w:p w14:paraId="7F1C4628" w14:textId="77777777" w:rsidR="009D2825" w:rsidRPr="009A7904" w:rsidRDefault="009D2825" w:rsidP="009A7904">
      <w:pPr>
        <w:pStyle w:val="ListParagraph"/>
        <w:numPr>
          <w:ilvl w:val="0"/>
          <w:numId w:val="41"/>
        </w:numPr>
        <w:tabs>
          <w:tab w:val="left" w:pos="360"/>
          <w:tab w:val="left" w:pos="851"/>
          <w:tab w:val="left" w:pos="993"/>
        </w:tabs>
        <w:spacing w:before="0" w:after="0" w:line="276" w:lineRule="auto"/>
        <w:rPr>
          <w:rFonts w:cs="GHEA Grapalat"/>
          <w:lang w:val="hy-AM"/>
        </w:rPr>
      </w:pPr>
      <w:r w:rsidRPr="009A7904">
        <w:rPr>
          <w:rFonts w:cs="GHEA Grapalat"/>
          <w:lang w:val="hy-AM"/>
        </w:rPr>
        <w:t>հաշմանդամություն ունեցող աշակերտների համար հարմարեցված ենթակառուցվածքներ և նյութեր ունեցող դպրոցների թիվը 2023 թվականին հասցնել 100-ի,</w:t>
      </w:r>
    </w:p>
    <w:p w14:paraId="7ABC690F" w14:textId="77777777" w:rsidR="009D2825" w:rsidRPr="009A7904" w:rsidRDefault="009D2825" w:rsidP="009A7904">
      <w:pPr>
        <w:pStyle w:val="ListParagraph"/>
        <w:numPr>
          <w:ilvl w:val="0"/>
          <w:numId w:val="41"/>
        </w:numPr>
        <w:tabs>
          <w:tab w:val="left" w:pos="360"/>
          <w:tab w:val="left" w:pos="851"/>
          <w:tab w:val="left" w:pos="993"/>
        </w:tabs>
        <w:spacing w:before="0" w:after="0" w:line="276" w:lineRule="auto"/>
        <w:rPr>
          <w:rFonts w:cs="GHEA Grapalat"/>
          <w:lang w:val="hy-AM"/>
        </w:rPr>
      </w:pPr>
      <w:r w:rsidRPr="009A7904">
        <w:rPr>
          <w:rFonts w:cs="GHEA Grapalat"/>
          <w:lang w:val="hy-AM"/>
        </w:rPr>
        <w:t>հանրակրթական դպրոց հաճախող կրթության առանձնահատուկ կարիք ունեցող երեխաների տեսակարար կշիռը կրթության առանձնահատուկ կարիք ունեցող երեխաների ընդհանուր թվաքանակի մեջ 2023 թվականին հասցնել 100%-ի:</w:t>
      </w:r>
    </w:p>
    <w:p w14:paraId="29176075" w14:textId="77777777" w:rsidR="009D2825" w:rsidRPr="009A7904" w:rsidRDefault="009D2825" w:rsidP="009A7904">
      <w:pPr>
        <w:pStyle w:val="ListParagraph"/>
        <w:numPr>
          <w:ilvl w:val="0"/>
          <w:numId w:val="41"/>
        </w:numPr>
        <w:tabs>
          <w:tab w:val="left" w:pos="360"/>
          <w:tab w:val="left" w:pos="851"/>
          <w:tab w:val="left" w:pos="993"/>
        </w:tabs>
        <w:spacing w:before="0" w:after="0" w:line="276" w:lineRule="auto"/>
        <w:rPr>
          <w:rFonts w:cs="GHEA Grapalat"/>
          <w:lang w:val="hy-AM"/>
        </w:rPr>
      </w:pPr>
      <w:r w:rsidRPr="009A7904">
        <w:rPr>
          <w:rFonts w:cs="GHEA Grapalat"/>
          <w:lang w:val="hy-AM"/>
        </w:rPr>
        <w:t>օտարերկրյա պետություններում հայերենի և հայագիտական առարկաների դասընթացների թիվը 10-ից 2023 թվականին հասցնել 22-ի,</w:t>
      </w:r>
    </w:p>
    <w:p w14:paraId="00DC33A9" w14:textId="77777777" w:rsidR="009D2825" w:rsidRPr="009A7904" w:rsidRDefault="009D2825" w:rsidP="009A7904">
      <w:pPr>
        <w:pStyle w:val="ListParagraph"/>
        <w:numPr>
          <w:ilvl w:val="0"/>
          <w:numId w:val="41"/>
        </w:numPr>
        <w:tabs>
          <w:tab w:val="left" w:pos="360"/>
          <w:tab w:val="left" w:pos="851"/>
          <w:tab w:val="left" w:pos="993"/>
        </w:tabs>
        <w:spacing w:before="0" w:after="0" w:line="276" w:lineRule="auto"/>
        <w:ind w:left="714" w:hanging="357"/>
        <w:rPr>
          <w:rFonts w:cs="GHEA Grapalat"/>
          <w:lang w:val="hy-AM"/>
        </w:rPr>
      </w:pPr>
      <w:r w:rsidRPr="009A7904">
        <w:rPr>
          <w:rFonts w:cs="GHEA Grapalat"/>
          <w:lang w:val="hy-AM"/>
        </w:rPr>
        <w:t>կրթության կառավարման տեղեկատվական համակարգում ներառված ուսումնական հաստատությունների մասնաբաժինը մինչև 2023 թվականը՝ 57-ից հասցնել 100%-ի,</w:t>
      </w:r>
    </w:p>
    <w:p w14:paraId="1AB694FE" w14:textId="77777777" w:rsidR="009D2825" w:rsidRPr="009A7904" w:rsidRDefault="009D2825" w:rsidP="009A7904">
      <w:pPr>
        <w:pStyle w:val="ListParagraph"/>
        <w:numPr>
          <w:ilvl w:val="0"/>
          <w:numId w:val="41"/>
        </w:numPr>
        <w:tabs>
          <w:tab w:val="left" w:pos="360"/>
          <w:tab w:val="left" w:pos="851"/>
          <w:tab w:val="left" w:pos="993"/>
        </w:tabs>
        <w:spacing w:before="0" w:after="0" w:line="276" w:lineRule="auto"/>
        <w:ind w:left="714" w:hanging="357"/>
        <w:rPr>
          <w:rFonts w:cs="GHEA Grapalat"/>
          <w:lang w:val="hy-AM"/>
        </w:rPr>
      </w:pPr>
      <w:r w:rsidRPr="009A7904">
        <w:rPr>
          <w:rFonts w:cs="Sylfaen"/>
          <w:lang w:val="hy-AM"/>
        </w:rPr>
        <w:t>«</w:t>
      </w:r>
      <w:r w:rsidRPr="009A7904">
        <w:rPr>
          <w:rFonts w:cs="GHEA Grapalat"/>
          <w:lang w:val="hy-AM"/>
        </w:rPr>
        <w:t>Հայկական կրթական միջավայր» տեղեկատվական պորտալում ակտիվ ուսումնական հաստատությունների մասնաբաժինը՝ 15-ից հասցնել 50%-ի:</w:t>
      </w:r>
    </w:p>
    <w:p w14:paraId="697E8966" w14:textId="77777777" w:rsidR="009D2825" w:rsidRPr="009A7904" w:rsidRDefault="009D2825" w:rsidP="009A7904">
      <w:pPr>
        <w:spacing w:line="276" w:lineRule="auto"/>
        <w:ind w:firstLine="708"/>
        <w:rPr>
          <w:rFonts w:cs="GHEA Grapalat"/>
          <w:b/>
          <w:lang w:val="hy-AM"/>
        </w:rPr>
      </w:pPr>
    </w:p>
    <w:p w14:paraId="3669EB14" w14:textId="77777777" w:rsidR="009D2825" w:rsidRPr="009A7904" w:rsidRDefault="009D2825" w:rsidP="009A7904">
      <w:pPr>
        <w:tabs>
          <w:tab w:val="left" w:pos="851"/>
          <w:tab w:val="left" w:pos="993"/>
        </w:tabs>
        <w:spacing w:line="276" w:lineRule="auto"/>
        <w:rPr>
          <w:rFonts w:cs="GHEA Grapalat"/>
          <w:b/>
          <w:lang w:val="hy-AM"/>
        </w:rPr>
      </w:pPr>
      <w:r w:rsidRPr="009A7904">
        <w:rPr>
          <w:rFonts w:cs="GHEA Grapalat"/>
          <w:b/>
          <w:lang w:val="hy-AM"/>
        </w:rPr>
        <w:t>ՈԼՈՐՏԱՅԻՆ ԾԱԽՍԱՅԻՆ ԾՐԱԳՐԵՐԸ</w:t>
      </w:r>
    </w:p>
    <w:p w14:paraId="186C3855" w14:textId="77777777" w:rsidR="009D2825" w:rsidRPr="009A7904" w:rsidRDefault="009D2825" w:rsidP="009A7904">
      <w:pPr>
        <w:pStyle w:val="ListParagraph"/>
        <w:numPr>
          <w:ilvl w:val="0"/>
          <w:numId w:val="43"/>
        </w:numPr>
        <w:tabs>
          <w:tab w:val="left" w:pos="360"/>
          <w:tab w:val="left" w:pos="851"/>
          <w:tab w:val="left" w:pos="993"/>
        </w:tabs>
        <w:spacing w:before="0" w:after="0" w:line="276" w:lineRule="auto"/>
        <w:rPr>
          <w:rFonts w:cs="GHEA Grapalat"/>
          <w:b/>
          <w:lang w:val="hy-AM"/>
        </w:rPr>
      </w:pPr>
      <w:r w:rsidRPr="009A7904">
        <w:rPr>
          <w:rFonts w:cs="GHEA Grapalat"/>
          <w:b/>
          <w:lang w:val="hy-AM"/>
        </w:rPr>
        <w:t>«Նախնական (արհեստագործական) և միջին մասնագիտական կրթություն»</w:t>
      </w:r>
    </w:p>
    <w:p w14:paraId="0AB9D519" w14:textId="77777777" w:rsidR="009D2825" w:rsidRPr="009A7904" w:rsidRDefault="009D2825" w:rsidP="009A7904">
      <w:pPr>
        <w:tabs>
          <w:tab w:val="left" w:pos="611"/>
        </w:tabs>
        <w:spacing w:line="276" w:lineRule="auto"/>
        <w:rPr>
          <w:rFonts w:cs="GHEA Grapalat"/>
          <w:lang w:val="hy-AM"/>
        </w:rPr>
      </w:pPr>
      <w:r w:rsidRPr="009A7904">
        <w:rPr>
          <w:rFonts w:cs="GHEA Grapalat"/>
          <w:lang w:val="hy-AM"/>
        </w:rPr>
        <w:tab/>
        <w:t xml:space="preserve">Ծրագրի նպատակն է՝ աշխատաշուկայի արդի պահանջներին համապատասխան նախնական մասնագիտական (արհեստագործական) և միջին մասնագիտական կրթության որակավորում ունեցող մասնագետների պատրաստումը, կրթության մատչելիության ապահովումը: Ծրագրի գծով 2021-2023 թվականներին նախատեսվում է հատկացնել, ըստ տարիների՝ 11,602.0; 15,259.3 և 15,510.9 մլն դրամ՝ 2020 թվականի 12,645.2 մլն դրամի դիմաց, կամ՝ 2020 թվականի պետական բյուջեի ցուցանիշի համեմատ՝ 2021 թվականին 8.2%-ով պակաս, 2022-2023 թվականներին՝ համապատասխանաբար, 20.7 և 22.7%-ով ավել: Ընդ որում, նախնական մասնագիտական (արհեստագործական) և միջին մասնագիտական կրթության գծով ուսուցման ծախսերը նվազել են, ըստ տարիների՝ 8.6; 4.8 և 2.8%-ով, պայմանավորված սովորողների թվաքանակների փոփոխությամբ, միաժամանակ, նախնական մասնագիտական (արհեստագործական) և միջին մասնագիտական ուսումնական հաստատությունների շենքային պայմանների բարելավման նպատակով 2021 թվականին նախատեսվել է 235.9 մլն դրամ, 2022-2023 թվականներին՝ յուրաքանչյուր տարի, 3,446.9 մլն դրամ՝ 2020 թվականի 235.9 մլն դրամի դիմաց: </w:t>
      </w:r>
    </w:p>
    <w:p w14:paraId="1630C6BF" w14:textId="77777777" w:rsidR="009D2825" w:rsidRPr="009A7904" w:rsidRDefault="009D2825" w:rsidP="009A7904">
      <w:pPr>
        <w:pStyle w:val="ListParagraph"/>
        <w:numPr>
          <w:ilvl w:val="0"/>
          <w:numId w:val="43"/>
        </w:numPr>
        <w:spacing w:before="0" w:after="0" w:line="276" w:lineRule="auto"/>
        <w:rPr>
          <w:rFonts w:cs="Arial"/>
          <w:b/>
          <w:kern w:val="16"/>
          <w:lang w:val="hy-AM"/>
        </w:rPr>
      </w:pPr>
      <w:r w:rsidRPr="009A7904">
        <w:rPr>
          <w:rFonts w:cs="Arial"/>
          <w:b/>
          <w:kern w:val="16"/>
          <w:lang w:val="hy-AM"/>
        </w:rPr>
        <w:t>«Բարձրագույն և հետբուհական մասնագիտական կրթության ծրագիր»</w:t>
      </w:r>
    </w:p>
    <w:p w14:paraId="68455CBC" w14:textId="77777777" w:rsidR="009D2825" w:rsidRPr="009A7904" w:rsidRDefault="009D2825" w:rsidP="009A7904">
      <w:pPr>
        <w:spacing w:line="276" w:lineRule="auto"/>
        <w:ind w:firstLine="360"/>
        <w:rPr>
          <w:lang w:val="hy-AM"/>
        </w:rPr>
      </w:pPr>
      <w:r w:rsidRPr="009A7904">
        <w:rPr>
          <w:rFonts w:cs="GHEA Grapalat"/>
          <w:lang w:val="hy-AM"/>
        </w:rPr>
        <w:t xml:space="preserve">Ծրագրի նպատակն է՝ </w:t>
      </w:r>
      <w:r w:rsidRPr="009A7904">
        <w:rPr>
          <w:lang w:val="hy-AM"/>
        </w:rPr>
        <w:t>մատչելի, որակյալ և մրցունակ բարձրագույն և հետբուհական մասնագիտական կրթության ապահովումը:</w:t>
      </w:r>
    </w:p>
    <w:p w14:paraId="48037FD9" w14:textId="77777777" w:rsidR="009D2825" w:rsidRPr="009A7904" w:rsidRDefault="009D2825" w:rsidP="009A7904">
      <w:pPr>
        <w:spacing w:line="276" w:lineRule="auto"/>
        <w:ind w:firstLine="360"/>
        <w:rPr>
          <w:rFonts w:cs="GHEA Grapalat"/>
          <w:lang w:val="hy-AM"/>
        </w:rPr>
      </w:pPr>
      <w:r w:rsidRPr="009A7904">
        <w:rPr>
          <w:rFonts w:cs="GHEA Grapalat"/>
          <w:lang w:val="hy-AM"/>
        </w:rPr>
        <w:t xml:space="preserve">«Բարձրագույն և հետբուհական մասնագիտական կրթության մասին» ՀՀ օրենքի 4-րդ հոդվածով սահմանված՝ բարձրագույն և հետբուհական մասնագիտական կրթության բնագավառում պետական քաղաքականության սկզբունքներից է բարձրագույն և հետբուհական մասնագիտական կրթության մատչելիությունը: Նույն օրենքի 5-րդ հոդվածի 1-ին մասի համաձայն՝ ՀՀ-ում բարձրագույն և հետբուհական մասնագիտական կրթության բնագավառում պետական քաղաքականության խնդիրներից է պետության համար առաջնային և կարևորություն ներկայացնող բնագավառներում, ինչպես նաև սահմանամերձ կամ բարձրլեռնային </w:t>
      </w:r>
      <w:r w:rsidRPr="009A7904">
        <w:rPr>
          <w:rFonts w:cs="GHEA Grapalat"/>
          <w:lang w:val="hy-AM"/>
        </w:rPr>
        <w:lastRenderedPageBreak/>
        <w:t>բնակավայրերում  մասնագետների պատրաստմանն աջակցելը, իսկ  2-րդ մասի 5-րդ և 6-րդ կետերով սահմանված է, որ պետությունն ապահովում է բարձրագույն և հետբուհական մասնագիտական կրթության զարգացում հետևյալ ձևերով.</w:t>
      </w:r>
    </w:p>
    <w:p w14:paraId="494C82B8" w14:textId="77777777" w:rsidR="009D2825" w:rsidRPr="009A7904" w:rsidRDefault="009D2825" w:rsidP="009A7904">
      <w:pPr>
        <w:spacing w:line="276" w:lineRule="auto"/>
        <w:ind w:firstLine="360"/>
        <w:rPr>
          <w:rFonts w:cs="GHEA Grapalat"/>
          <w:lang w:val="hy-AM"/>
        </w:rPr>
      </w:pPr>
      <w:r w:rsidRPr="009A7904">
        <w:rPr>
          <w:rFonts w:cs="GHEA Grapalat"/>
          <w:lang w:val="hy-AM"/>
        </w:rPr>
        <w:t>1) պետության պահանջներին համապատասխան` բարձրագույն և հետբուհական մասնագիտական կրթական ծրագրեր իրականացնող ուսումնական հաստատություններին և դրանցում սովորողներին ֆինանսական աջակցության ապահովում,</w:t>
      </w:r>
    </w:p>
    <w:p w14:paraId="173FB359" w14:textId="77777777" w:rsidR="009D2825" w:rsidRPr="009A7904" w:rsidRDefault="009D2825" w:rsidP="009A7904">
      <w:pPr>
        <w:spacing w:line="276" w:lineRule="auto"/>
        <w:ind w:firstLine="360"/>
        <w:rPr>
          <w:rFonts w:cs="GHEA Grapalat"/>
          <w:lang w:val="hy-AM"/>
        </w:rPr>
      </w:pPr>
      <w:r w:rsidRPr="009A7904">
        <w:rPr>
          <w:rFonts w:cs="GHEA Grapalat"/>
          <w:lang w:val="hy-AM"/>
        </w:rPr>
        <w:t>2) օրենքով սահմանված կարգով բարձրագույն և հետբուհական մասնագիտական կրթության համակարգի ուսանողներին և ասպիրանտներին պետական ֆինանսական օժանդակություն (կրթաթոշակներ, ուսման վարձի փոխհատուցում (լրիվ և մասնակի (զեղչ), կրթական դրամաշնորհներ, վարկեր):</w:t>
      </w:r>
    </w:p>
    <w:p w14:paraId="01D02365" w14:textId="77777777" w:rsidR="009D2825" w:rsidRPr="009A7904" w:rsidRDefault="009D2825" w:rsidP="009A7904">
      <w:pPr>
        <w:spacing w:line="276" w:lineRule="auto"/>
        <w:ind w:firstLine="360"/>
        <w:rPr>
          <w:rFonts w:cs="GHEA Grapalat"/>
          <w:lang w:val="hy-AM"/>
        </w:rPr>
      </w:pPr>
      <w:r w:rsidRPr="009A7904">
        <w:rPr>
          <w:rFonts w:cs="GHEA Grapalat"/>
          <w:lang w:val="hy-AM"/>
        </w:rPr>
        <w:t>Ծրագրի գծով 2021-2023 թվականներին նախատեսվում է հատկացնել, ըստ տարիների՝ 11,861.9; 12,697.5 և 12,905.9 մլն դրամ՝ 2020 թվականի 12,627.1 մլն դրամի դիմաց, կամ՝ 2020 թվականի պետական բյուջեի ցուցանիշի համեմատ՝ 2021 թվականին 6.1%-ով պակաս, 2022-2023 թվականներին՝ համապատասխանաբար, 0.6 և 2.2%-ով ավել՝ պայմանավորված ուսանողների թվաքանակների փոփոխությամբ:</w:t>
      </w:r>
    </w:p>
    <w:p w14:paraId="28EA86CD" w14:textId="77777777" w:rsidR="009D2825" w:rsidRPr="009A7904" w:rsidRDefault="009D2825" w:rsidP="009A7904">
      <w:pPr>
        <w:pStyle w:val="ListParagraph"/>
        <w:numPr>
          <w:ilvl w:val="0"/>
          <w:numId w:val="43"/>
        </w:numPr>
        <w:spacing w:before="0" w:after="0" w:line="276" w:lineRule="auto"/>
        <w:rPr>
          <w:rFonts w:cs="Arial"/>
          <w:b/>
          <w:kern w:val="16"/>
          <w:lang w:val="hy-AM"/>
        </w:rPr>
      </w:pPr>
      <w:r w:rsidRPr="009A7904">
        <w:rPr>
          <w:rFonts w:cs="Arial"/>
          <w:b/>
          <w:kern w:val="16"/>
          <w:lang w:val="hy-AM"/>
        </w:rPr>
        <w:t>«Հանրակրթության ծրագիր»</w:t>
      </w:r>
    </w:p>
    <w:p w14:paraId="4842274A" w14:textId="77777777" w:rsidR="009D2825" w:rsidRPr="009A7904" w:rsidRDefault="009D2825" w:rsidP="009A7904">
      <w:pPr>
        <w:spacing w:line="276" w:lineRule="auto"/>
        <w:ind w:firstLine="360"/>
        <w:rPr>
          <w:lang w:val="hy-AM"/>
        </w:rPr>
      </w:pPr>
      <w:r w:rsidRPr="009A7904">
        <w:rPr>
          <w:rFonts w:cs="GHEA Grapalat"/>
          <w:lang w:val="hy-AM"/>
        </w:rPr>
        <w:t xml:space="preserve">Ծրագրի նպատակն է՝ </w:t>
      </w:r>
      <w:r w:rsidRPr="009A7904">
        <w:rPr>
          <w:rFonts w:cs="Sylfaen"/>
          <w:lang w:val="hy-AM"/>
        </w:rPr>
        <w:t>պարտադիր</w:t>
      </w:r>
      <w:r w:rsidRPr="009A7904">
        <w:rPr>
          <w:lang w:val="hy-AM"/>
        </w:rPr>
        <w:t xml:space="preserve"> </w:t>
      </w:r>
      <w:r w:rsidRPr="009A7904">
        <w:rPr>
          <w:rFonts w:cs="Sylfaen"/>
          <w:lang w:val="hy-AM"/>
        </w:rPr>
        <w:t>կրթության</w:t>
      </w:r>
      <w:r w:rsidRPr="009A7904">
        <w:rPr>
          <w:lang w:val="hy-AM"/>
        </w:rPr>
        <w:t xml:space="preserve"> </w:t>
      </w:r>
      <w:r w:rsidRPr="009A7904">
        <w:rPr>
          <w:rFonts w:cs="Sylfaen"/>
          <w:lang w:val="hy-AM"/>
        </w:rPr>
        <w:t>երեք</w:t>
      </w:r>
      <w:r w:rsidRPr="009A7904">
        <w:rPr>
          <w:lang w:val="hy-AM"/>
        </w:rPr>
        <w:t xml:space="preserve"> </w:t>
      </w:r>
      <w:r w:rsidRPr="009A7904">
        <w:rPr>
          <w:rFonts w:cs="Sylfaen"/>
          <w:lang w:val="hy-AM"/>
        </w:rPr>
        <w:t>մակարդակներում</w:t>
      </w:r>
      <w:r w:rsidRPr="009A7904">
        <w:rPr>
          <w:lang w:val="hy-AM"/>
        </w:rPr>
        <w:t xml:space="preserve"> </w:t>
      </w:r>
      <w:r w:rsidRPr="009A7904">
        <w:rPr>
          <w:rFonts w:cs="Sylfaen"/>
          <w:lang w:val="hy-AM"/>
        </w:rPr>
        <w:t>սովորողների</w:t>
      </w:r>
      <w:r w:rsidRPr="009A7904">
        <w:rPr>
          <w:lang w:val="hy-AM"/>
        </w:rPr>
        <w:t xml:space="preserve"> </w:t>
      </w:r>
      <w:r w:rsidRPr="009A7904">
        <w:rPr>
          <w:rFonts w:cs="Sylfaen"/>
          <w:lang w:val="hy-AM"/>
        </w:rPr>
        <w:t>ընդ</w:t>
      </w:r>
      <w:r w:rsidRPr="009A7904">
        <w:rPr>
          <w:lang w:val="hy-AM"/>
        </w:rPr>
        <w:t>գ</w:t>
      </w:r>
      <w:r w:rsidRPr="009A7904">
        <w:rPr>
          <w:rFonts w:cs="Sylfaen"/>
          <w:lang w:val="hy-AM"/>
        </w:rPr>
        <w:t>րկվածության</w:t>
      </w:r>
      <w:r w:rsidRPr="009A7904">
        <w:rPr>
          <w:lang w:val="hy-AM"/>
        </w:rPr>
        <w:t xml:space="preserve"> </w:t>
      </w:r>
      <w:r w:rsidRPr="009A7904">
        <w:rPr>
          <w:rFonts w:cs="Sylfaen"/>
          <w:lang w:val="hy-AM"/>
        </w:rPr>
        <w:t>և</w:t>
      </w:r>
      <w:r w:rsidRPr="009A7904">
        <w:rPr>
          <w:lang w:val="hy-AM"/>
        </w:rPr>
        <w:t xml:space="preserve"> գ</w:t>
      </w:r>
      <w:r w:rsidRPr="009A7904">
        <w:rPr>
          <w:rFonts w:cs="Sylfaen"/>
          <w:lang w:val="hy-AM"/>
        </w:rPr>
        <w:t>րա</w:t>
      </w:r>
      <w:r w:rsidRPr="009A7904">
        <w:rPr>
          <w:lang w:val="hy-AM"/>
        </w:rPr>
        <w:t>գ</w:t>
      </w:r>
      <w:r w:rsidRPr="009A7904">
        <w:rPr>
          <w:rFonts w:cs="Sylfaen"/>
          <w:lang w:val="hy-AM"/>
        </w:rPr>
        <w:t>իտության</w:t>
      </w:r>
      <w:r w:rsidRPr="009A7904">
        <w:rPr>
          <w:lang w:val="hy-AM"/>
        </w:rPr>
        <w:t xml:space="preserve"> </w:t>
      </w:r>
      <w:r w:rsidRPr="009A7904">
        <w:rPr>
          <w:rFonts w:cs="Sylfaen"/>
          <w:lang w:val="hy-AM"/>
        </w:rPr>
        <w:t>ապահովումը:</w:t>
      </w:r>
    </w:p>
    <w:p w14:paraId="2CEA10EF" w14:textId="77777777" w:rsidR="009D2825" w:rsidRPr="009A7904" w:rsidRDefault="009D2825" w:rsidP="009A7904">
      <w:pPr>
        <w:overflowPunct w:val="0"/>
        <w:autoSpaceDE w:val="0"/>
        <w:autoSpaceDN w:val="0"/>
        <w:adjustRightInd w:val="0"/>
        <w:spacing w:line="276" w:lineRule="auto"/>
        <w:ind w:firstLine="360"/>
        <w:textAlignment w:val="baseline"/>
        <w:rPr>
          <w:rFonts w:cs="Arial"/>
          <w:lang w:val="hy-AM"/>
        </w:rPr>
      </w:pPr>
      <w:r w:rsidRPr="009A7904">
        <w:rPr>
          <w:rFonts w:cs="Arial"/>
          <w:lang w:val="hy-AM"/>
        </w:rPr>
        <w:t xml:space="preserve">Ծրագրի շրջանակներում միջոցներ են նախատեսվել </w:t>
      </w:r>
      <w:r w:rsidRPr="009A7904">
        <w:rPr>
          <w:rFonts w:cs="Sylfaen"/>
          <w:lang w:val="hy-AM"/>
        </w:rPr>
        <w:t>պարտադիր</w:t>
      </w:r>
      <w:r w:rsidRPr="009A7904">
        <w:rPr>
          <w:lang w:val="hy-AM"/>
        </w:rPr>
        <w:t xml:space="preserve"> </w:t>
      </w:r>
      <w:r w:rsidRPr="009A7904">
        <w:rPr>
          <w:rFonts w:cs="Sylfaen"/>
          <w:lang w:val="hy-AM"/>
        </w:rPr>
        <w:t>կրթության</w:t>
      </w:r>
      <w:r w:rsidRPr="009A7904">
        <w:rPr>
          <w:lang w:val="hy-AM"/>
        </w:rPr>
        <w:t xml:space="preserve"> </w:t>
      </w:r>
      <w:r w:rsidRPr="009A7904">
        <w:rPr>
          <w:rFonts w:cs="Sylfaen"/>
          <w:lang w:val="hy-AM"/>
        </w:rPr>
        <w:t>երեք</w:t>
      </w:r>
      <w:r w:rsidRPr="009A7904">
        <w:rPr>
          <w:lang w:val="hy-AM"/>
        </w:rPr>
        <w:t xml:space="preserve"> </w:t>
      </w:r>
      <w:r w:rsidRPr="009A7904">
        <w:rPr>
          <w:rFonts w:cs="Sylfaen"/>
          <w:lang w:val="hy-AM"/>
        </w:rPr>
        <w:t>մակարդակներում</w:t>
      </w:r>
      <w:r w:rsidRPr="009A7904">
        <w:rPr>
          <w:lang w:val="hy-AM"/>
        </w:rPr>
        <w:t xml:space="preserve"> </w:t>
      </w:r>
      <w:r w:rsidRPr="009A7904">
        <w:rPr>
          <w:rFonts w:cs="Sylfaen"/>
          <w:lang w:val="hy-AM"/>
        </w:rPr>
        <w:t>սովորողների</w:t>
      </w:r>
      <w:r w:rsidRPr="009A7904">
        <w:rPr>
          <w:lang w:val="hy-AM"/>
        </w:rPr>
        <w:t xml:space="preserve"> ուսուցման գծով: </w:t>
      </w:r>
      <w:r w:rsidRPr="009A7904">
        <w:rPr>
          <w:rFonts w:cs="Arial"/>
          <w:lang w:val="hy-AM"/>
        </w:rPr>
        <w:t>ՀՀ կառավարության ծրագրով ամրագրված՝ նախադպրոցահասակ երեխաների 70% ընդգրկվածության թիրախն ապահովելու համար կշարունակվի ծախսարդյունավետ նախադպրոցական ծառայությունների հիմնումը համայնքներում:</w:t>
      </w:r>
    </w:p>
    <w:p w14:paraId="2A986C81" w14:textId="77777777" w:rsidR="009D2825" w:rsidRPr="009A7904" w:rsidRDefault="009D2825" w:rsidP="009A7904">
      <w:pPr>
        <w:overflowPunct w:val="0"/>
        <w:autoSpaceDE w:val="0"/>
        <w:autoSpaceDN w:val="0"/>
        <w:adjustRightInd w:val="0"/>
        <w:spacing w:line="276" w:lineRule="auto"/>
        <w:ind w:firstLine="360"/>
        <w:textAlignment w:val="baseline"/>
        <w:rPr>
          <w:rFonts w:cs="Arial"/>
          <w:lang w:val="hy-AM"/>
        </w:rPr>
      </w:pPr>
      <w:r w:rsidRPr="009A7904">
        <w:rPr>
          <w:rFonts w:cs="Arial"/>
          <w:lang w:val="hy-AM"/>
        </w:rPr>
        <w:t>Կշարունակվի համընդհանուր ներառական կրթության ընդլայնման քաղաքականությունը։ Մինչև  2023 թվականն ապահովվելու է հանրապետության բոլոր մարզերում  և  Երևան  քաղաքում համընդհանուր ներառական հանրակրթությանն անցումը:</w:t>
      </w:r>
    </w:p>
    <w:p w14:paraId="348755E0" w14:textId="77777777" w:rsidR="009D2825" w:rsidRPr="009A7904" w:rsidRDefault="009D2825" w:rsidP="009A7904">
      <w:pPr>
        <w:tabs>
          <w:tab w:val="left" w:pos="2694"/>
        </w:tabs>
        <w:spacing w:line="276" w:lineRule="auto"/>
        <w:ind w:firstLine="284"/>
        <w:contextualSpacing/>
        <w:rPr>
          <w:rFonts w:cs="Arial"/>
          <w:lang w:val="hy-AM"/>
        </w:rPr>
      </w:pPr>
      <w:r w:rsidRPr="009A7904">
        <w:rPr>
          <w:rFonts w:cs="Arial"/>
          <w:lang w:val="hy-AM"/>
        </w:rPr>
        <w:t xml:space="preserve">Ներկայումս հանրապետության  7 մարզերում (Արարատ, Սյունիք, Վայոց Ձոր, Տավուշ, Շիրակ, Արագածոտն, 2020 թվականի սեպտեմբերից՝ Գեղարքունիք) իրականացվում է «Կայուն դպրոցական սնունդ» ծրագիրը: 2021-2023 թվականներին ծրագիրը կներդրվի  Արմավիրի, Լոռու և Կոտայքի մարզերում, արդյունքում՝ հանրապետության  բոլոր մարզերի հանրակրթական ուսումնական հաստատություններում տարրական դասարանների և նախակրթարանների սովորողները կստանան առողջ, կայուն և ապահով սնունդ: </w:t>
      </w:r>
    </w:p>
    <w:p w14:paraId="46F63104" w14:textId="77777777" w:rsidR="009D2825" w:rsidRPr="009A7904" w:rsidRDefault="009D2825" w:rsidP="009A7904">
      <w:pPr>
        <w:tabs>
          <w:tab w:val="left" w:pos="2694"/>
        </w:tabs>
        <w:spacing w:line="276" w:lineRule="auto"/>
        <w:ind w:firstLine="284"/>
        <w:contextualSpacing/>
        <w:rPr>
          <w:rFonts w:cs="Arial"/>
          <w:b/>
          <w:kern w:val="16"/>
          <w:lang w:val="hy-AM"/>
        </w:rPr>
      </w:pPr>
      <w:r w:rsidRPr="009A7904">
        <w:rPr>
          <w:rFonts w:cs="GHEA Grapalat"/>
          <w:lang w:val="hy-AM"/>
        </w:rPr>
        <w:t xml:space="preserve">Ծրագրի գծով 2021-2023 թվականներին նախատեսվում է հատկացնել, ըստ տարիների՝ 103,163.0; 106,121.2 և 107,183.1 մլն դրամ՝ 2020 թվականի 99,854.7 մլն դրամի դիմաց, կամ՝ 2020 թվականի պետական բյուջեի ցուցանիշի համեմատ՝ համապատասխանաբար, 3.3; 6.3 և 7.3%-ով ավել, պայմանավորված սովորողների թվաքանակների փոփոխությամբ:  </w:t>
      </w:r>
    </w:p>
    <w:p w14:paraId="6DC33A98" w14:textId="77777777" w:rsidR="009D2825" w:rsidRPr="009A7904" w:rsidRDefault="009D2825" w:rsidP="009A7904">
      <w:pPr>
        <w:pStyle w:val="ListParagraph"/>
        <w:numPr>
          <w:ilvl w:val="0"/>
          <w:numId w:val="43"/>
        </w:numPr>
        <w:spacing w:before="0" w:after="0" w:line="276" w:lineRule="auto"/>
        <w:ind w:left="360"/>
        <w:rPr>
          <w:rFonts w:cs="Arial"/>
          <w:b/>
          <w:kern w:val="16"/>
          <w:lang w:val="hy-AM"/>
        </w:rPr>
      </w:pPr>
      <w:r w:rsidRPr="009A7904">
        <w:rPr>
          <w:rFonts w:cs="Arial"/>
          <w:b/>
          <w:kern w:val="16"/>
          <w:lang w:val="hy-AM"/>
        </w:rPr>
        <w:t>«Արտադպրոցական դաստիարակության ծրագիր»</w:t>
      </w:r>
    </w:p>
    <w:p w14:paraId="75ABD8BE" w14:textId="77777777" w:rsidR="009D2825" w:rsidRPr="009A7904" w:rsidRDefault="009D2825" w:rsidP="009A7904">
      <w:pPr>
        <w:spacing w:line="276" w:lineRule="auto"/>
        <w:ind w:firstLine="360"/>
        <w:rPr>
          <w:rFonts w:cs="Arial"/>
          <w:b/>
          <w:kern w:val="16"/>
          <w:lang w:val="hy-AM"/>
        </w:rPr>
      </w:pPr>
      <w:r w:rsidRPr="009A7904">
        <w:rPr>
          <w:rFonts w:cs="GHEA Grapalat"/>
          <w:lang w:val="hy-AM"/>
        </w:rPr>
        <w:t>Ծրագրի նպատակն է՝ ն</w:t>
      </w:r>
      <w:r w:rsidRPr="009A7904">
        <w:rPr>
          <w:rFonts w:cs="Sylfaen"/>
          <w:lang w:val="hy-AM"/>
        </w:rPr>
        <w:t>պաստել</w:t>
      </w:r>
      <w:r w:rsidRPr="009A7904">
        <w:rPr>
          <w:lang w:val="hy-AM"/>
        </w:rPr>
        <w:t xml:space="preserve"> </w:t>
      </w:r>
      <w:r w:rsidRPr="009A7904">
        <w:rPr>
          <w:rFonts w:cs="Sylfaen"/>
          <w:lang w:val="hy-AM"/>
        </w:rPr>
        <w:t>հանրակրթական</w:t>
      </w:r>
      <w:r w:rsidRPr="009A7904">
        <w:rPr>
          <w:lang w:val="hy-AM"/>
        </w:rPr>
        <w:t xml:space="preserve"> </w:t>
      </w:r>
      <w:r w:rsidRPr="009A7904">
        <w:rPr>
          <w:rFonts w:cs="Sylfaen"/>
          <w:lang w:val="hy-AM"/>
        </w:rPr>
        <w:t>ուսուցման</w:t>
      </w:r>
      <w:r w:rsidRPr="009A7904">
        <w:rPr>
          <w:lang w:val="hy-AM"/>
        </w:rPr>
        <w:t xml:space="preserve"> </w:t>
      </w:r>
      <w:r w:rsidRPr="009A7904">
        <w:rPr>
          <w:rFonts w:cs="Sylfaen"/>
          <w:lang w:val="hy-AM"/>
        </w:rPr>
        <w:t>համակար</w:t>
      </w:r>
      <w:r w:rsidRPr="009A7904">
        <w:rPr>
          <w:lang w:val="hy-AM"/>
        </w:rPr>
        <w:t>գ</w:t>
      </w:r>
      <w:r w:rsidRPr="009A7904">
        <w:rPr>
          <w:rFonts w:cs="Sylfaen"/>
          <w:lang w:val="hy-AM"/>
        </w:rPr>
        <w:t>ում</w:t>
      </w:r>
      <w:r w:rsidRPr="009A7904">
        <w:rPr>
          <w:lang w:val="hy-AM"/>
        </w:rPr>
        <w:t xml:space="preserve"> </w:t>
      </w:r>
      <w:r w:rsidRPr="009A7904">
        <w:rPr>
          <w:rFonts w:cs="Sylfaen"/>
          <w:lang w:val="hy-AM"/>
        </w:rPr>
        <w:t>ըն</w:t>
      </w:r>
      <w:r w:rsidRPr="009A7904">
        <w:rPr>
          <w:lang w:val="hy-AM"/>
        </w:rPr>
        <w:t>դգ</w:t>
      </w:r>
      <w:r w:rsidRPr="009A7904">
        <w:rPr>
          <w:rFonts w:cs="Sylfaen"/>
          <w:lang w:val="hy-AM"/>
        </w:rPr>
        <w:t>րկված</w:t>
      </w:r>
      <w:r w:rsidRPr="009A7904">
        <w:rPr>
          <w:lang w:val="hy-AM"/>
        </w:rPr>
        <w:t xml:space="preserve"> </w:t>
      </w:r>
      <w:r w:rsidRPr="009A7904">
        <w:rPr>
          <w:rFonts w:cs="Sylfaen"/>
          <w:lang w:val="hy-AM"/>
        </w:rPr>
        <w:t>երեխաների</w:t>
      </w:r>
      <w:r w:rsidRPr="009A7904">
        <w:rPr>
          <w:lang w:val="hy-AM"/>
        </w:rPr>
        <w:t xml:space="preserve"> </w:t>
      </w:r>
      <w:r w:rsidRPr="009A7904">
        <w:rPr>
          <w:rFonts w:cs="Sylfaen"/>
          <w:lang w:val="hy-AM"/>
        </w:rPr>
        <w:t>հո</w:t>
      </w:r>
      <w:r w:rsidRPr="009A7904">
        <w:rPr>
          <w:lang w:val="hy-AM"/>
        </w:rPr>
        <w:t>գ</w:t>
      </w:r>
      <w:r w:rsidRPr="009A7904">
        <w:rPr>
          <w:rFonts w:cs="Sylfaen"/>
          <w:lang w:val="hy-AM"/>
        </w:rPr>
        <w:t>ևոր</w:t>
      </w:r>
      <w:r w:rsidRPr="009A7904">
        <w:rPr>
          <w:lang w:val="hy-AM"/>
        </w:rPr>
        <w:t xml:space="preserve"> </w:t>
      </w:r>
      <w:r w:rsidRPr="009A7904">
        <w:rPr>
          <w:rFonts w:cs="Sylfaen"/>
          <w:lang w:val="hy-AM"/>
        </w:rPr>
        <w:t>և</w:t>
      </w:r>
      <w:r w:rsidRPr="009A7904">
        <w:rPr>
          <w:lang w:val="hy-AM"/>
        </w:rPr>
        <w:t xml:space="preserve"> գ</w:t>
      </w:r>
      <w:r w:rsidRPr="009A7904">
        <w:rPr>
          <w:rFonts w:cs="Sylfaen"/>
          <w:lang w:val="hy-AM"/>
        </w:rPr>
        <w:t>եղա</w:t>
      </w:r>
      <w:r w:rsidRPr="009A7904">
        <w:rPr>
          <w:lang w:val="hy-AM"/>
        </w:rPr>
        <w:t>գ</w:t>
      </w:r>
      <w:r w:rsidRPr="009A7904">
        <w:rPr>
          <w:rFonts w:cs="Sylfaen"/>
          <w:lang w:val="hy-AM"/>
        </w:rPr>
        <w:t>իտական</w:t>
      </w:r>
      <w:r w:rsidRPr="009A7904">
        <w:rPr>
          <w:lang w:val="hy-AM"/>
        </w:rPr>
        <w:t xml:space="preserve"> </w:t>
      </w:r>
      <w:r w:rsidRPr="009A7904">
        <w:rPr>
          <w:rFonts w:cs="Sylfaen"/>
          <w:lang w:val="hy-AM"/>
        </w:rPr>
        <w:t>զար</w:t>
      </w:r>
      <w:r w:rsidRPr="009A7904">
        <w:rPr>
          <w:lang w:val="hy-AM"/>
        </w:rPr>
        <w:t>գ</w:t>
      </w:r>
      <w:r w:rsidRPr="009A7904">
        <w:rPr>
          <w:rFonts w:cs="Sylfaen"/>
          <w:lang w:val="hy-AM"/>
        </w:rPr>
        <w:t>ացմանը</w:t>
      </w:r>
      <w:r w:rsidRPr="009A7904">
        <w:rPr>
          <w:lang w:val="hy-AM"/>
        </w:rPr>
        <w:t xml:space="preserve">, </w:t>
      </w:r>
      <w:r w:rsidRPr="009A7904">
        <w:rPr>
          <w:rFonts w:cs="Sylfaen"/>
          <w:lang w:val="hy-AM"/>
        </w:rPr>
        <w:t>բնապահպանական</w:t>
      </w:r>
      <w:r w:rsidRPr="009A7904">
        <w:rPr>
          <w:lang w:val="hy-AM"/>
        </w:rPr>
        <w:t xml:space="preserve"> </w:t>
      </w:r>
      <w:r w:rsidRPr="009A7904">
        <w:rPr>
          <w:rFonts w:cs="Sylfaen"/>
          <w:lang w:val="hy-AM"/>
        </w:rPr>
        <w:t>և</w:t>
      </w:r>
      <w:r w:rsidRPr="009A7904">
        <w:rPr>
          <w:lang w:val="hy-AM"/>
        </w:rPr>
        <w:t xml:space="preserve"> </w:t>
      </w:r>
      <w:r w:rsidRPr="009A7904">
        <w:rPr>
          <w:rFonts w:cs="Sylfaen"/>
          <w:lang w:val="hy-AM"/>
        </w:rPr>
        <w:t>կիրառական</w:t>
      </w:r>
      <w:r w:rsidRPr="009A7904">
        <w:rPr>
          <w:lang w:val="hy-AM"/>
        </w:rPr>
        <w:t xml:space="preserve"> գ</w:t>
      </w:r>
      <w:r w:rsidRPr="009A7904">
        <w:rPr>
          <w:rFonts w:cs="Sylfaen"/>
          <w:lang w:val="hy-AM"/>
        </w:rPr>
        <w:t>իտելիքների</w:t>
      </w:r>
      <w:r w:rsidRPr="009A7904">
        <w:rPr>
          <w:lang w:val="hy-AM"/>
        </w:rPr>
        <w:t xml:space="preserve"> </w:t>
      </w:r>
      <w:r w:rsidRPr="009A7904">
        <w:rPr>
          <w:rFonts w:cs="Sylfaen"/>
          <w:lang w:val="hy-AM"/>
        </w:rPr>
        <w:t>ձեռքբերմանը</w:t>
      </w:r>
      <w:r w:rsidRPr="009A7904">
        <w:rPr>
          <w:lang w:val="hy-AM"/>
        </w:rPr>
        <w:t xml:space="preserve">: </w:t>
      </w:r>
      <w:r w:rsidRPr="009A7904">
        <w:rPr>
          <w:rFonts w:cs="GHEA Grapalat"/>
          <w:lang w:val="hy-AM"/>
        </w:rPr>
        <w:t xml:space="preserve">Ծրագրի գծով 2021-2023 թվականներին նախատեսվում է </w:t>
      </w:r>
      <w:r w:rsidRPr="009A7904">
        <w:rPr>
          <w:rFonts w:cs="GHEA Grapalat"/>
          <w:lang w:val="hy-AM"/>
        </w:rPr>
        <w:lastRenderedPageBreak/>
        <w:t xml:space="preserve">հատկացնել, ըստ տարիների՝ 3,873.9; 4,327.6 և 4,302.7 մլն դրամ՝ 2020 թվականի 4,546.4 մլն դրամի դիմաց, կամ՝ 2020 թվականի պետական բյուջեի ցուցանիշի համեմատ՝ համապատասխանաբար, 14.8; 4.8 և 5.4%-ով պակաս  </w:t>
      </w:r>
      <w:r w:rsidRPr="009A7904">
        <w:rPr>
          <w:rFonts w:cs="Arial"/>
          <w:lang w:val="hy-AM"/>
        </w:rPr>
        <w:t>(</w:t>
      </w:r>
      <w:r w:rsidRPr="009A7904">
        <w:rPr>
          <w:rFonts w:cs="GHEA Grapalat"/>
          <w:lang w:val="hy-AM"/>
        </w:rPr>
        <w:t>պայմանավորված ոլորտի գերակայություններով և ծախսային առաջնահերթություններով</w:t>
      </w:r>
      <w:r w:rsidRPr="009A7904">
        <w:rPr>
          <w:rFonts w:cs="Arial"/>
          <w:lang w:val="hy-AM"/>
        </w:rPr>
        <w:t>)</w:t>
      </w:r>
      <w:r w:rsidRPr="009A7904">
        <w:rPr>
          <w:rFonts w:cs="GHEA Grapalat"/>
          <w:lang w:val="hy-AM"/>
        </w:rPr>
        <w:t xml:space="preserve"> :</w:t>
      </w:r>
    </w:p>
    <w:p w14:paraId="5CA6F738" w14:textId="77777777" w:rsidR="009D2825" w:rsidRPr="009A7904" w:rsidRDefault="009D2825" w:rsidP="009A7904">
      <w:pPr>
        <w:pStyle w:val="ListParagraph"/>
        <w:numPr>
          <w:ilvl w:val="0"/>
          <w:numId w:val="43"/>
        </w:numPr>
        <w:spacing w:before="0" w:after="0" w:line="276" w:lineRule="auto"/>
        <w:ind w:left="706"/>
        <w:rPr>
          <w:rFonts w:cs="GHEA Grapalat"/>
          <w:lang w:val="hy-AM"/>
        </w:rPr>
      </w:pPr>
      <w:r w:rsidRPr="009A7904">
        <w:rPr>
          <w:rFonts w:cs="Arial"/>
          <w:b/>
          <w:kern w:val="16"/>
          <w:lang w:val="hy-AM"/>
        </w:rPr>
        <w:t>«Ապահով դպրոց»</w:t>
      </w:r>
    </w:p>
    <w:p w14:paraId="0C670579" w14:textId="77777777" w:rsidR="009D2825" w:rsidRPr="009A7904" w:rsidRDefault="009D2825" w:rsidP="009A7904">
      <w:pPr>
        <w:spacing w:line="276" w:lineRule="auto"/>
        <w:ind w:firstLine="346"/>
        <w:rPr>
          <w:rFonts w:cs="GHEA Grapalat"/>
          <w:lang w:val="hy-AM"/>
        </w:rPr>
      </w:pPr>
      <w:r w:rsidRPr="009A7904">
        <w:rPr>
          <w:rFonts w:cs="GHEA Grapalat"/>
          <w:lang w:val="hy-AM"/>
        </w:rPr>
        <w:t xml:space="preserve">Ծրագրի նպատակն է՝ </w:t>
      </w:r>
      <w:r w:rsidRPr="009A7904">
        <w:rPr>
          <w:rFonts w:cs="Sylfaen"/>
          <w:lang w:val="hy-AM"/>
        </w:rPr>
        <w:t xml:space="preserve">դպրոցներին սպառնացող աղետների ռիսկի կառավարման կարողությունների հզորացումը, դպրոցի անձնակազմի և աշակերտների անվտանգության ապահովման մակարդակի բարձրացումը` կիրառելով ներառական և երեխայակենտրոն մոտեցումներ: Ծրագրի շրջանակներում </w:t>
      </w:r>
      <w:r w:rsidRPr="009A7904">
        <w:rPr>
          <w:rFonts w:cs="Arial"/>
          <w:lang w:val="hy-AM"/>
        </w:rPr>
        <w:t>նախատեսվում է իրականացնել փոքրաթիվ համակազմ ունեցող դպրոցների կառուցման կամ հիմնանորոգման աշխատանքներ:</w:t>
      </w:r>
      <w:r w:rsidRPr="009A7904">
        <w:rPr>
          <w:rFonts w:cs="GHEA Grapalat"/>
          <w:lang w:val="hy-AM"/>
        </w:rPr>
        <w:t xml:space="preserve"> Ծրագրի գծով 2021-2023 թվականներին նախատեսվում է հատկացնել, ըստ տարիների՝ 1,127.0; 14,507.6 և 27,688.0 մլն դրամ՝ 2020 թվականի 1,706.7 մլն դրամի դիմաց:</w:t>
      </w:r>
    </w:p>
    <w:p w14:paraId="6749BC89" w14:textId="77777777" w:rsidR="009D2825" w:rsidRPr="009A7904" w:rsidRDefault="009D2825" w:rsidP="009A7904">
      <w:pPr>
        <w:pStyle w:val="ListParagraph"/>
        <w:numPr>
          <w:ilvl w:val="0"/>
          <w:numId w:val="43"/>
        </w:numPr>
        <w:spacing w:before="0" w:after="0" w:line="276" w:lineRule="auto"/>
        <w:ind w:left="706"/>
        <w:rPr>
          <w:lang w:val="hy-AM"/>
        </w:rPr>
      </w:pPr>
      <w:r w:rsidRPr="009A7904">
        <w:rPr>
          <w:rFonts w:cs="Arial"/>
          <w:b/>
          <w:kern w:val="16"/>
          <w:lang w:val="hy-AM"/>
        </w:rPr>
        <w:t>«Կրթության որակի ապահովում»</w:t>
      </w:r>
    </w:p>
    <w:p w14:paraId="12D2BBD9" w14:textId="77777777" w:rsidR="009D2825" w:rsidRPr="009A7904" w:rsidRDefault="009D2825" w:rsidP="009A7904">
      <w:pPr>
        <w:spacing w:line="276" w:lineRule="auto"/>
        <w:ind w:firstLine="346"/>
        <w:rPr>
          <w:lang w:val="hy-AM"/>
        </w:rPr>
      </w:pPr>
      <w:r w:rsidRPr="009A7904">
        <w:rPr>
          <w:rFonts w:cs="GHEA Grapalat"/>
          <w:lang w:val="hy-AM"/>
        </w:rPr>
        <w:t>Ծրագրի նպատակն է՝ ը</w:t>
      </w:r>
      <w:r w:rsidRPr="009A7904">
        <w:rPr>
          <w:lang w:val="hy-AM"/>
        </w:rPr>
        <w:t>նթացիկ աշխատանքների, բարեփոխումների և նոր նախաձեռնությունների միջոցով ֆորմալ և ոչ-ֆորմալ կրթության ոլորտում իրականացվող միջոցառումների, մատուցվող ծառայությունների բովանդակության և կազմակերպման որակի շարունակական բարելավումը:</w:t>
      </w:r>
    </w:p>
    <w:p w14:paraId="397D32C6" w14:textId="77777777" w:rsidR="009D2825" w:rsidRPr="009A7904" w:rsidRDefault="009D2825" w:rsidP="009A7904">
      <w:pPr>
        <w:tabs>
          <w:tab w:val="left" w:pos="2694"/>
        </w:tabs>
        <w:spacing w:line="276" w:lineRule="auto"/>
        <w:ind w:firstLine="284"/>
        <w:contextualSpacing/>
        <w:rPr>
          <w:rFonts w:cs="GHEA Grapalat"/>
          <w:lang w:val="hy-AM"/>
        </w:rPr>
      </w:pPr>
      <w:r w:rsidRPr="009A7904">
        <w:rPr>
          <w:rFonts w:cs="GHEA Grapalat"/>
          <w:lang w:val="hy-AM"/>
        </w:rPr>
        <w:t>Որպես կրթության որակի ապահովման հիմնական գործոն նախարարության (կառավարության) ուշադրության կենտրոնում կլինի ուսուցիչների գործունեությունը․ կստեղծվեն ուսուցիչների մասնագիտական առաջընթացը խթանող մեխանիզմներ և հնարավորություններ, կվերանայվի ուսուցիչների ատեստավորման համակարգը՝ այն կապելով լրացուցիչ վարձատրության հնարավորությունների հետ։ Մշակվել է ուսուցիչների այլընտրանքային՝ կամավոր ատեստավորման համակարգ, որը կգործի պարտադիր ատեստավորմանը զուգահեռ և ուսուցիչների աշխատավարձի բարձրացման հնարավորություն կընձեռի:</w:t>
      </w:r>
    </w:p>
    <w:p w14:paraId="13119F96" w14:textId="77777777" w:rsidR="009D2825" w:rsidRPr="009A7904" w:rsidRDefault="009D2825" w:rsidP="009A7904">
      <w:pPr>
        <w:tabs>
          <w:tab w:val="left" w:pos="2694"/>
        </w:tabs>
        <w:spacing w:line="276" w:lineRule="auto"/>
        <w:ind w:firstLine="284"/>
        <w:contextualSpacing/>
        <w:rPr>
          <w:rFonts w:cs="GHEA Grapalat"/>
          <w:lang w:val="hy-AM"/>
        </w:rPr>
      </w:pPr>
      <w:r w:rsidRPr="009A7904">
        <w:rPr>
          <w:rFonts w:cs="GHEA Grapalat"/>
          <w:lang w:val="hy-AM"/>
        </w:rPr>
        <w:t>Ուսուցիչների մասնագիտական առաջընթացի քաղաքականությունը կզուգորդվի մեկ այլ գերակա ուղղության՝ կրթության բովանդակային արդիականացմամբ, ինչը կիրականացվի Համաշխարհային բանկի աջակցությամբ իրականացվող «Կրթության բարելավման» վարկային և «ԵՄ-ն հանուն նորարարության» դրամաշնորհային ծրագրերի շրջանակում։ Կրթության բովանդակային բարեփոխումներում հատուկ կարևորվում են STEM առարկաները, որոնց արդյունքում ձեռքբերված կարողություններն ու գիտելիքներն առանցքային են ժամանակակից աշխարհում։ Միաժամանակ կշարունակվեն ՆՄՄ ոլորտում կրթական չափորոշիչների մշակման և լրամշակման, վարչական, դասավանդող անձնակազմի վերապատրաստմանն ուղղված աշխատանքները: Համաշխարհային բանկի աջակցությամբ իրականացվող «Կրթության բարելավման» վարկային ծրագրի շրջանակում կհիմնանորոգվեն 8 ավագ դպրոցներ:</w:t>
      </w:r>
    </w:p>
    <w:p w14:paraId="2624062D" w14:textId="77777777" w:rsidR="009D2825" w:rsidRPr="009A7904" w:rsidRDefault="009D2825" w:rsidP="009A7904">
      <w:pPr>
        <w:tabs>
          <w:tab w:val="left" w:pos="2694"/>
        </w:tabs>
        <w:spacing w:line="276" w:lineRule="auto"/>
        <w:ind w:firstLine="284"/>
        <w:contextualSpacing/>
        <w:rPr>
          <w:rFonts w:cs="Arial"/>
          <w:color w:val="FF0000"/>
          <w:lang w:val="hy-AM"/>
        </w:rPr>
      </w:pPr>
      <w:r w:rsidRPr="009A7904">
        <w:rPr>
          <w:rFonts w:cs="GHEA Grapalat"/>
          <w:lang w:val="hy-AM"/>
        </w:rPr>
        <w:t xml:space="preserve">Ծրագրի գծով 2021-2023 թվականներին նախատեսվում է հատկացնել, ըստ տարիների՝ 6,270.2; 1,834.3 և 1,835.4 մլն դրամ՝ 2020 թվականի 7,176.5 մլն դրամի դիմաց, կամ՝ 2020 թվականի պետական բյուջեի ցուցանիշի համեմատ՝ համապատասխանաբար, 12.6; 74.4 և 74.4%-ով պակաս, պայմանավորված 2021 թվականին </w:t>
      </w:r>
      <w:r w:rsidRPr="009A7904">
        <w:rPr>
          <w:rFonts w:cs="Arial"/>
          <w:lang w:val="hy-AM"/>
        </w:rPr>
        <w:t xml:space="preserve">Համաշխարհային բանկի աջակցությամբ իրականացվող «Կրթության բարելավման» վարկային ծրագրի ավարտով, «Կրթության ոլորտում ՏՀՏ ներդրում և շարունակականության ապահովում» միջոցառման՝ առանձին ծրագրով նախատեսմամբ, «Գնահատման և թեստավորման ծառայություններ» միջոցառման՝ Հանրակրթության ծրագրում </w:t>
      </w:r>
      <w:r w:rsidRPr="009A7904">
        <w:rPr>
          <w:rFonts w:cs="Arial"/>
          <w:lang w:val="hy-AM"/>
        </w:rPr>
        <w:lastRenderedPageBreak/>
        <w:t>նախատեսմամբ: Միաժամանակ, 2021 թվականին 598.9 և 689.4 մլն դրամ է նախատեսվել՝ համապատասխանաբար, «Կրթության զարգացման և նորարարության ազգային կենտրոն»-ի  (ԿԶՆԱԿ)  զարգացում» և «Տավուշի մարզում գիտական, տեխնոլոգիական, ճարտարագիտական, մաթեմատիկական (ԳՏՃՄ) ոլորտի կրթական միջավայրի բարելավում» դրամաշնորհային ծրագրերի գծով:</w:t>
      </w:r>
    </w:p>
    <w:p w14:paraId="4F0DA72A" w14:textId="77777777" w:rsidR="009D2825" w:rsidRPr="009A7904" w:rsidRDefault="009D2825" w:rsidP="009A7904">
      <w:pPr>
        <w:spacing w:line="276" w:lineRule="auto"/>
        <w:rPr>
          <w:rFonts w:cs="Arial"/>
          <w:b/>
          <w:kern w:val="16"/>
          <w:lang w:val="hy-AM"/>
        </w:rPr>
      </w:pPr>
      <w:r w:rsidRPr="009A7904">
        <w:rPr>
          <w:rFonts w:cs="Arial"/>
          <w:kern w:val="16"/>
          <w:lang w:val="hy-AM"/>
        </w:rPr>
        <w:t xml:space="preserve">7. </w:t>
      </w:r>
      <w:r w:rsidRPr="009A7904">
        <w:rPr>
          <w:rFonts w:cs="Arial"/>
          <w:b/>
          <w:kern w:val="16"/>
          <w:lang w:val="hy-AM"/>
        </w:rPr>
        <w:t xml:space="preserve">«Համընդհանուր ներառական կրթության համակարգի ներդրում» </w:t>
      </w:r>
    </w:p>
    <w:p w14:paraId="59D2E6A6" w14:textId="77777777" w:rsidR="009D2825" w:rsidRPr="009A7904" w:rsidRDefault="009D2825" w:rsidP="009A7904">
      <w:pPr>
        <w:spacing w:line="276" w:lineRule="auto"/>
        <w:ind w:firstLine="706"/>
        <w:rPr>
          <w:rFonts w:cs="Arial"/>
          <w:kern w:val="16"/>
          <w:lang w:val="hy-AM"/>
        </w:rPr>
      </w:pPr>
      <w:r w:rsidRPr="009A7904">
        <w:rPr>
          <w:rFonts w:cs="GHEA Grapalat"/>
          <w:lang w:val="hy-AM"/>
        </w:rPr>
        <w:t>Ծրագրի նպատակն է՝ յ</w:t>
      </w:r>
      <w:r w:rsidRPr="009A7904">
        <w:rPr>
          <w:lang w:val="hy-AM"/>
        </w:rPr>
        <w:t>ուր</w:t>
      </w:r>
      <w:r w:rsidRPr="009A7904">
        <w:rPr>
          <w:rFonts w:cs="Sylfaen"/>
          <w:lang w:val="hy-AM"/>
        </w:rPr>
        <w:t>աքանչյուր</w:t>
      </w:r>
      <w:r w:rsidRPr="009A7904">
        <w:rPr>
          <w:rFonts w:cs="Arial Armenian"/>
          <w:lang w:val="hy-AM"/>
        </w:rPr>
        <w:t xml:space="preserve"> </w:t>
      </w:r>
      <w:r w:rsidRPr="009A7904">
        <w:rPr>
          <w:rFonts w:cs="Sylfaen"/>
          <w:lang w:val="hy-AM"/>
        </w:rPr>
        <w:t>երեխայի</w:t>
      </w:r>
      <w:r w:rsidRPr="009A7904">
        <w:rPr>
          <w:rFonts w:cs="Arial Armenian"/>
          <w:lang w:val="hy-AM"/>
        </w:rPr>
        <w:t xml:space="preserve"> </w:t>
      </w:r>
      <w:r w:rsidRPr="009A7904">
        <w:rPr>
          <w:rFonts w:cs="Sylfaen"/>
          <w:lang w:val="hy-AM"/>
        </w:rPr>
        <w:t>համար</w:t>
      </w:r>
      <w:r w:rsidRPr="009A7904">
        <w:rPr>
          <w:rFonts w:cs="Arial Armenian"/>
          <w:lang w:val="hy-AM"/>
        </w:rPr>
        <w:t xml:space="preserve"> </w:t>
      </w:r>
      <w:r w:rsidRPr="009A7904">
        <w:rPr>
          <w:rFonts w:cs="Sylfaen"/>
          <w:lang w:val="hy-AM"/>
        </w:rPr>
        <w:t>կրթության</w:t>
      </w:r>
      <w:r w:rsidRPr="009A7904">
        <w:rPr>
          <w:rFonts w:cs="Arial Armenian"/>
          <w:lang w:val="hy-AM"/>
        </w:rPr>
        <w:t xml:space="preserve"> </w:t>
      </w:r>
      <w:r w:rsidRPr="009A7904">
        <w:rPr>
          <w:rFonts w:cs="Sylfaen"/>
          <w:lang w:val="hy-AM"/>
        </w:rPr>
        <w:t>մատչելիության</w:t>
      </w:r>
      <w:r w:rsidRPr="009A7904">
        <w:rPr>
          <w:rFonts w:cs="Arial Armenian"/>
          <w:lang w:val="hy-AM"/>
        </w:rPr>
        <w:t xml:space="preserve">,  </w:t>
      </w:r>
      <w:r w:rsidRPr="009A7904">
        <w:rPr>
          <w:rFonts w:cs="Sylfaen"/>
          <w:lang w:val="hy-AM"/>
        </w:rPr>
        <w:t>հավասար</w:t>
      </w:r>
      <w:r w:rsidRPr="009A7904">
        <w:rPr>
          <w:rFonts w:cs="Arial Armenian"/>
          <w:lang w:val="hy-AM"/>
        </w:rPr>
        <w:t xml:space="preserve"> </w:t>
      </w:r>
      <w:r w:rsidRPr="009A7904">
        <w:rPr>
          <w:rFonts w:cs="Sylfaen"/>
          <w:lang w:val="hy-AM"/>
        </w:rPr>
        <w:t>մասնակցության հնարավորության</w:t>
      </w:r>
      <w:r w:rsidRPr="009A7904">
        <w:rPr>
          <w:rFonts w:cs="Arial Armenian"/>
          <w:lang w:val="hy-AM"/>
        </w:rPr>
        <w:t xml:space="preserve"> </w:t>
      </w:r>
      <w:r w:rsidRPr="009A7904">
        <w:rPr>
          <w:rFonts w:cs="Sylfaen"/>
          <w:lang w:val="hy-AM"/>
        </w:rPr>
        <w:t>և</w:t>
      </w:r>
      <w:r w:rsidRPr="009A7904">
        <w:rPr>
          <w:rFonts w:cs="Arial Armenian"/>
          <w:lang w:val="hy-AM"/>
        </w:rPr>
        <w:t xml:space="preserve"> </w:t>
      </w:r>
      <w:r w:rsidRPr="009A7904">
        <w:rPr>
          <w:rFonts w:cs="Sylfaen"/>
          <w:lang w:val="hy-AM"/>
        </w:rPr>
        <w:t>որակի</w:t>
      </w:r>
      <w:r w:rsidRPr="009A7904">
        <w:rPr>
          <w:rFonts w:cs="Arial Armenian"/>
          <w:lang w:val="hy-AM"/>
        </w:rPr>
        <w:t xml:space="preserve"> </w:t>
      </w:r>
      <w:r w:rsidRPr="009A7904">
        <w:rPr>
          <w:rFonts w:cs="Sylfaen"/>
          <w:lang w:val="hy-AM"/>
        </w:rPr>
        <w:t>ապահովումը</w:t>
      </w:r>
      <w:r w:rsidRPr="009A7904">
        <w:rPr>
          <w:rFonts w:cs="Arial Armenian"/>
          <w:lang w:val="hy-AM"/>
        </w:rPr>
        <w:t xml:space="preserve">՝ </w:t>
      </w:r>
      <w:r w:rsidRPr="009A7904">
        <w:rPr>
          <w:rFonts w:cs="Sylfaen"/>
          <w:lang w:val="hy-AM"/>
        </w:rPr>
        <w:t>զար</w:t>
      </w:r>
      <w:r w:rsidRPr="009A7904">
        <w:rPr>
          <w:rFonts w:cs="Arial Armenian"/>
          <w:lang w:val="hy-AM"/>
        </w:rPr>
        <w:t>գ</w:t>
      </w:r>
      <w:r w:rsidRPr="009A7904">
        <w:rPr>
          <w:rFonts w:cs="Sylfaen"/>
          <w:lang w:val="hy-AM"/>
        </w:rPr>
        <w:t>ացման</w:t>
      </w:r>
      <w:r w:rsidRPr="009A7904">
        <w:rPr>
          <w:rFonts w:cs="Arial Armenian"/>
          <w:lang w:val="hy-AM"/>
        </w:rPr>
        <w:t xml:space="preserve"> </w:t>
      </w:r>
      <w:r w:rsidRPr="009A7904">
        <w:rPr>
          <w:rFonts w:cs="Sylfaen"/>
          <w:lang w:val="hy-AM"/>
        </w:rPr>
        <w:t>առանձնահատկություններին համապատասխան</w:t>
      </w:r>
      <w:r w:rsidRPr="009A7904">
        <w:rPr>
          <w:rFonts w:cs="Arial Armenian"/>
          <w:lang w:val="hy-AM"/>
        </w:rPr>
        <w:t xml:space="preserve"> </w:t>
      </w:r>
      <w:r w:rsidRPr="009A7904">
        <w:rPr>
          <w:rFonts w:cs="Sylfaen"/>
          <w:lang w:val="hy-AM"/>
        </w:rPr>
        <w:t>և</w:t>
      </w:r>
      <w:r w:rsidRPr="009A7904">
        <w:rPr>
          <w:rFonts w:cs="Arial Armenian"/>
          <w:lang w:val="hy-AM"/>
        </w:rPr>
        <w:t xml:space="preserve"> </w:t>
      </w:r>
      <w:r w:rsidRPr="009A7904">
        <w:rPr>
          <w:rFonts w:cs="Sylfaen"/>
          <w:lang w:val="hy-AM"/>
        </w:rPr>
        <w:t>անհրաժեշտ</w:t>
      </w:r>
      <w:r w:rsidRPr="009A7904">
        <w:rPr>
          <w:rFonts w:cs="Arial Armenian"/>
          <w:lang w:val="hy-AM"/>
        </w:rPr>
        <w:t xml:space="preserve"> </w:t>
      </w:r>
      <w:r w:rsidRPr="009A7904">
        <w:rPr>
          <w:rFonts w:cs="Sylfaen"/>
          <w:lang w:val="hy-AM"/>
        </w:rPr>
        <w:t>պայմանների</w:t>
      </w:r>
      <w:r w:rsidRPr="009A7904">
        <w:rPr>
          <w:rFonts w:cs="Arial Armenian"/>
          <w:lang w:val="hy-AM"/>
        </w:rPr>
        <w:t xml:space="preserve"> </w:t>
      </w:r>
      <w:r w:rsidRPr="009A7904">
        <w:rPr>
          <w:rFonts w:cs="Sylfaen"/>
          <w:lang w:val="hy-AM"/>
        </w:rPr>
        <w:t>ստեղծման</w:t>
      </w:r>
      <w:r w:rsidRPr="009A7904">
        <w:rPr>
          <w:rFonts w:cs="Arial Armenian"/>
          <w:lang w:val="hy-AM"/>
        </w:rPr>
        <w:t xml:space="preserve"> </w:t>
      </w:r>
      <w:r w:rsidRPr="009A7904">
        <w:rPr>
          <w:rFonts w:cs="Sylfaen"/>
          <w:lang w:val="hy-AM"/>
        </w:rPr>
        <w:t>միջոցով:</w:t>
      </w:r>
    </w:p>
    <w:p w14:paraId="0AE759D5" w14:textId="77777777" w:rsidR="009D2825" w:rsidRPr="009A7904" w:rsidRDefault="009D2825" w:rsidP="009A7904">
      <w:pPr>
        <w:spacing w:line="276" w:lineRule="auto"/>
        <w:rPr>
          <w:lang w:val="hy-AM"/>
        </w:rPr>
      </w:pPr>
      <w:r w:rsidRPr="009A7904">
        <w:rPr>
          <w:lang w:val="hy-AM"/>
        </w:rPr>
        <w:t>Մինչև  2023 թվականն ապահովվելու է անցումը համընդհանուր ներառական հանրակրթությանը, որով պայմանավորված հատուկ դպրոցները կվերակազմավորվեն մանկավարժահոգեբանական աջակցության կենտրոնների, իսկ այնտեղ սովորող երեխաները կտեղափոխվեն հանրակրթական դպրոցներ։ Կընդլայնվի հանրակրթական դպրոցների ներառական կրթության կարողությունների հզորացումը, լրացուցիչ ծրագրեր կիրականացվեն ուսուցիչների կարողությունների զարգացման ուղղությամբ։ ԱՄՆ ՄԶԳ աջակցությամբ իրականացվող «Ներառական կրթության համակարգի ներդրում» դրամաշնորհային ծրագրով 100 դպրոցներում և 5 մանկավարժահոգեբանական աջակցության կենտրոններում կիրականացվեն կրթության առանձնահատուկ պայմանների կարիք ունեցող անձանց մատչելիության համար հարմարեցման վերանորոգման աշխատանքներ։</w:t>
      </w:r>
    </w:p>
    <w:p w14:paraId="686DE697" w14:textId="77777777" w:rsidR="009D2825" w:rsidRPr="009A7904" w:rsidRDefault="009D2825" w:rsidP="009A7904">
      <w:pPr>
        <w:spacing w:line="276" w:lineRule="auto"/>
        <w:rPr>
          <w:lang w:val="hy-AM"/>
        </w:rPr>
      </w:pPr>
      <w:r w:rsidRPr="009A7904">
        <w:rPr>
          <w:lang w:val="hy-AM"/>
        </w:rPr>
        <w:t>Ծրագրի գծով 2021-2023 թվականներին նախատեսվում է հատկացնել, ըստ տարիների՝ 2,633.6; 2,466.4 և 2,466.4 մլն դրամ՝ 2020 թվականի 2,469.9 մլն դրամի դիմաց, կամ՝ 2020 թվականի պետական բյուջեի ցուցանիշի համեմատ՝ 2021 թվականին 6.6%-ով ավելի, 2022-2023 թվականներին՝ յուրաքանչյուր տարի 0.1%-ով պակաս:</w:t>
      </w:r>
    </w:p>
    <w:p w14:paraId="5B34211F" w14:textId="77777777" w:rsidR="009D2825" w:rsidRPr="009A7904" w:rsidRDefault="009D2825" w:rsidP="009A7904">
      <w:pPr>
        <w:spacing w:line="276" w:lineRule="auto"/>
        <w:ind w:left="706" w:firstLine="0"/>
        <w:rPr>
          <w:rFonts w:cs="Arial"/>
          <w:b/>
          <w:kern w:val="16"/>
          <w:lang w:val="hy-AM"/>
        </w:rPr>
      </w:pPr>
      <w:r w:rsidRPr="009A7904">
        <w:rPr>
          <w:rFonts w:cs="Arial"/>
          <w:b/>
          <w:kern w:val="16"/>
          <w:lang w:val="hy-AM"/>
        </w:rPr>
        <w:t xml:space="preserve">8. «Կրթության, մշակույթի և սպորտի  ոլորտներում միջազգային և սփյուռքի հետ համագործակցության զարգացում» </w:t>
      </w:r>
    </w:p>
    <w:p w14:paraId="79E77C2C" w14:textId="77777777" w:rsidR="009D2825" w:rsidRPr="009A7904" w:rsidRDefault="009D2825" w:rsidP="009A7904">
      <w:pPr>
        <w:spacing w:line="276" w:lineRule="auto"/>
        <w:rPr>
          <w:lang w:val="hy-AM"/>
        </w:rPr>
      </w:pPr>
      <w:r w:rsidRPr="009A7904">
        <w:rPr>
          <w:lang w:val="hy-AM"/>
        </w:rPr>
        <w:t>Ծրագրի նպատակն է՝ կրթության,  մշակույթի և սպորտի ոլորտներում Հայաստանի Հանրապետության և օտարերկրյա պետությունների, միջազգային կազմակերպությունների, հայկական համայնքների հետ փոխհամագործակցության ապահովումը: Ծրագրի գծով 2021-2023 թվականներին նախատեսվում է հատկացնել, ըստ տարիների՝ 1,082.0; 478.1 և 461.7 մլն դրամ՝ 2020 թվականի 466.2 մլն դրամի դիմաց, կամ՝ 2020 թվականի պետական բյուջեի ցուցանիշի համեմատ՝ 2021 թվականին 132.1%-ով ավելի (2021 թվականին Հայաստանում «STARMUS» փառատոնի կազմակերպման և անցկացման մասնակցության վճարի գծով նախատեսվել է 660.0 մլն դրամ), 2022 թվականին՝ 2.6%-ով ավելի, իսկ 2023 թվականին՝ 1.0%-ով պակաս:</w:t>
      </w:r>
    </w:p>
    <w:p w14:paraId="4093A2FD" w14:textId="77777777" w:rsidR="009D2825" w:rsidRPr="009A7904" w:rsidRDefault="009D2825" w:rsidP="009A7904">
      <w:pPr>
        <w:spacing w:line="276" w:lineRule="auto"/>
        <w:ind w:left="706" w:firstLine="0"/>
        <w:rPr>
          <w:rFonts w:cs="Arial"/>
          <w:b/>
          <w:kern w:val="16"/>
          <w:lang w:val="hy-AM"/>
        </w:rPr>
      </w:pPr>
      <w:r w:rsidRPr="009A7904">
        <w:rPr>
          <w:rFonts w:cs="Arial"/>
          <w:b/>
          <w:kern w:val="16"/>
          <w:lang w:val="hy-AM"/>
        </w:rPr>
        <w:t>9. «Կրթության ոլորտում տեղեկատվական և հաղորդակցական տեխնոլոգիաների ներդրում»  նոր ծրագիր</w:t>
      </w:r>
    </w:p>
    <w:p w14:paraId="7AE09940" w14:textId="77777777" w:rsidR="009D2825" w:rsidRPr="009A7904" w:rsidRDefault="009D2825" w:rsidP="009A7904">
      <w:pPr>
        <w:spacing w:line="276" w:lineRule="auto"/>
        <w:rPr>
          <w:lang w:val="hy-AM"/>
        </w:rPr>
      </w:pPr>
      <w:r w:rsidRPr="009A7904">
        <w:rPr>
          <w:lang w:val="hy-AM"/>
        </w:rPr>
        <w:t>Ծրագրի նպատակն է՝ կրթության ոլորտում տեղեկատվական և հաղորդակցական տեխնոլոգիաների կիրառման ընդլայնումը: Ծրագրի գծով 2021-2023 թվականներին նախատեսվում է հատկացնել, յուրաքանչյուր տարի 424.1 մլն դրամ:</w:t>
      </w:r>
    </w:p>
    <w:p w14:paraId="1564282F" w14:textId="77777777" w:rsidR="006B2C4E" w:rsidRPr="009A7904" w:rsidRDefault="006B2C4E" w:rsidP="009A7904">
      <w:pPr>
        <w:tabs>
          <w:tab w:val="left" w:pos="851"/>
          <w:tab w:val="left" w:pos="993"/>
        </w:tabs>
        <w:spacing w:line="276" w:lineRule="auto"/>
        <w:rPr>
          <w:rFonts w:cs="GHEA Grapalat"/>
          <w:b/>
          <w:lang w:val="hy-AM"/>
        </w:rPr>
      </w:pPr>
    </w:p>
    <w:p w14:paraId="3E665756" w14:textId="77777777" w:rsidR="009D2825" w:rsidRPr="009A7904" w:rsidRDefault="009D2825" w:rsidP="009A7904">
      <w:pPr>
        <w:tabs>
          <w:tab w:val="left" w:pos="851"/>
          <w:tab w:val="left" w:pos="993"/>
        </w:tabs>
        <w:spacing w:line="276" w:lineRule="auto"/>
        <w:rPr>
          <w:rFonts w:cs="GHEA Grapalat"/>
          <w:b/>
          <w:lang w:val="hy-AM"/>
        </w:rPr>
      </w:pPr>
      <w:r w:rsidRPr="009A7904">
        <w:rPr>
          <w:rFonts w:cs="GHEA Grapalat"/>
          <w:b/>
          <w:lang w:val="hy-AM"/>
        </w:rPr>
        <w:t>Գիտության ոլորտ</w:t>
      </w:r>
    </w:p>
    <w:p w14:paraId="773143EC" w14:textId="77777777" w:rsidR="009D2825" w:rsidRPr="009A7904" w:rsidRDefault="009D2825" w:rsidP="009A7904">
      <w:pPr>
        <w:spacing w:line="276" w:lineRule="auto"/>
        <w:rPr>
          <w:lang w:val="fr-FR"/>
        </w:rPr>
      </w:pPr>
      <w:r w:rsidRPr="009A7904">
        <w:rPr>
          <w:lang w:val="hy-AM"/>
        </w:rPr>
        <w:lastRenderedPageBreak/>
        <w:t xml:space="preserve">ՀՀ գիտության ոլորտում պետական քաղաքականության հիմնական նպատակներն են </w:t>
      </w:r>
      <w:r w:rsidRPr="009A7904">
        <w:rPr>
          <w:rFonts w:eastAsia="Tahoma" w:cs="Tahoma"/>
          <w:lang w:val="af-ZA"/>
        </w:rPr>
        <w:t>գիտության կայուն զարգացման ապահովումը, գիտության ֆինանսավորման արդյունավետության բարձրացումը և կատարողականի վրա հիմնված ֆինանսավորման մեխանիզմների ներդրումը, միջազգայնորեն մրցունակ հիմնարար ուսումնասիրությունների, տնտեսության պահանջներից բխող կիրառական հետազոտությունների, ինչպես նաև երկակի նշանակություն ունեցող գիտելիքների ձեռքբերմանն ուղղված գիտահետազոտական աշխատանքների խթանումը, գիտական կադրերի վերարտադրության արդյունավետ համակարգի ներդրումը, գիտության ենթակառուցվածքների արդիականացումը, կրթութ</w:t>
      </w:r>
      <w:r w:rsidRPr="009A7904">
        <w:rPr>
          <w:rFonts w:eastAsia="Tahoma" w:cs="Tahoma"/>
          <w:lang w:val="hy-AM"/>
        </w:rPr>
        <w:t>յ</w:t>
      </w:r>
      <w:r w:rsidRPr="009A7904">
        <w:rPr>
          <w:rFonts w:eastAsia="Tahoma" w:cs="Tahoma"/>
          <w:lang w:val="af-ZA"/>
        </w:rPr>
        <w:t>ուն-գիտություն կապի ամրապնդումը, գիտական արդյունքի առևտրայնացումը, միջազգային գիտական համագործակցության զարգացումը, մտավոր սեփականության արդյունավետ պաշտպանությունը</w:t>
      </w:r>
      <w:r w:rsidRPr="009A7904">
        <w:rPr>
          <w:rFonts w:eastAsia="Tahoma" w:cs="Tahoma"/>
          <w:lang w:val="hy-AM"/>
        </w:rPr>
        <w:t>:</w:t>
      </w:r>
      <w:r w:rsidRPr="009A7904">
        <w:rPr>
          <w:lang w:val="fr-FR"/>
        </w:rPr>
        <w:t xml:space="preserve"> </w:t>
      </w:r>
    </w:p>
    <w:p w14:paraId="3807B217" w14:textId="77777777" w:rsidR="009D2825" w:rsidRPr="009A7904" w:rsidRDefault="009D2825" w:rsidP="009A7904">
      <w:pPr>
        <w:spacing w:line="276" w:lineRule="auto"/>
        <w:rPr>
          <w:lang w:val="fr-FR"/>
        </w:rPr>
      </w:pPr>
      <w:r w:rsidRPr="009A7904">
        <w:rPr>
          <w:rFonts w:cs="Sylfaen"/>
        </w:rPr>
        <w:t>Այդ</w:t>
      </w:r>
      <w:r w:rsidRPr="009A7904">
        <w:rPr>
          <w:rFonts w:cs="Sylfaen"/>
          <w:lang w:val="fr-FR"/>
        </w:rPr>
        <w:t xml:space="preserve"> </w:t>
      </w:r>
      <w:r w:rsidRPr="009A7904">
        <w:rPr>
          <w:rFonts w:cs="Sylfaen"/>
        </w:rPr>
        <w:t>նպատակներին</w:t>
      </w:r>
      <w:r w:rsidRPr="009A7904">
        <w:rPr>
          <w:rFonts w:cs="Sylfaen"/>
          <w:lang w:val="fr-FR"/>
        </w:rPr>
        <w:t xml:space="preserve"> </w:t>
      </w:r>
      <w:r w:rsidRPr="009A7904">
        <w:rPr>
          <w:rFonts w:cs="Sylfaen"/>
        </w:rPr>
        <w:t>հասնելու</w:t>
      </w:r>
      <w:r w:rsidRPr="009A7904">
        <w:rPr>
          <w:rFonts w:cs="Sylfaen"/>
          <w:lang w:val="fr-FR"/>
        </w:rPr>
        <w:t xml:space="preserve"> </w:t>
      </w:r>
      <w:r w:rsidRPr="009A7904">
        <w:rPr>
          <w:rFonts w:cs="Sylfaen"/>
        </w:rPr>
        <w:t>ուղղությամբ</w:t>
      </w:r>
      <w:r w:rsidRPr="009A7904">
        <w:rPr>
          <w:rFonts w:cs="Sylfaen"/>
          <w:lang w:val="fr-FR"/>
        </w:rPr>
        <w:t xml:space="preserve"> </w:t>
      </w:r>
      <w:r w:rsidRPr="009A7904">
        <w:rPr>
          <w:rFonts w:cs="Sylfaen"/>
          <w:lang w:val="af-ZA"/>
        </w:rPr>
        <w:t>2021-2023 թվականների</w:t>
      </w:r>
      <w:r w:rsidRPr="009A7904">
        <w:rPr>
          <w:rFonts w:cs="Sylfaen"/>
          <w:lang w:val="fr-FR"/>
        </w:rPr>
        <w:t xml:space="preserve"> ընթացքում </w:t>
      </w:r>
      <w:r w:rsidRPr="009A7904">
        <w:rPr>
          <w:rFonts w:cs="Sylfaen"/>
        </w:rPr>
        <w:t>իրականացվելու</w:t>
      </w:r>
      <w:r w:rsidRPr="009A7904">
        <w:rPr>
          <w:rFonts w:cs="Sylfaen"/>
          <w:lang w:val="fr-FR"/>
        </w:rPr>
        <w:t xml:space="preserve"> </w:t>
      </w:r>
      <w:r w:rsidRPr="009A7904">
        <w:rPr>
          <w:rFonts w:cs="Sylfaen"/>
        </w:rPr>
        <w:t>են</w:t>
      </w:r>
      <w:r w:rsidRPr="009A7904">
        <w:rPr>
          <w:rFonts w:cs="Sylfaen"/>
          <w:lang w:val="fr-FR"/>
        </w:rPr>
        <w:t xml:space="preserve"> </w:t>
      </w:r>
      <w:r w:rsidRPr="009A7904">
        <w:rPr>
          <w:shd w:val="clear" w:color="auto" w:fill="FFFFFF"/>
          <w:lang w:val="en-AU"/>
        </w:rPr>
        <w:t>միջոցառումներ</w:t>
      </w:r>
      <w:r w:rsidRPr="009A7904">
        <w:rPr>
          <w:shd w:val="clear" w:color="auto" w:fill="FFFFFF"/>
          <w:lang w:val="fr-FR"/>
        </w:rPr>
        <w:t xml:space="preserve">, </w:t>
      </w:r>
      <w:r w:rsidRPr="009A7904">
        <w:rPr>
          <w:shd w:val="clear" w:color="auto" w:fill="FFFFFF"/>
        </w:rPr>
        <w:t>որոնք</w:t>
      </w:r>
      <w:r w:rsidRPr="009A7904">
        <w:rPr>
          <w:shd w:val="clear" w:color="auto" w:fill="FFFFFF"/>
          <w:lang w:val="fr-FR"/>
        </w:rPr>
        <w:t xml:space="preserve"> </w:t>
      </w:r>
      <w:r w:rsidRPr="009A7904">
        <w:rPr>
          <w:shd w:val="clear" w:color="auto" w:fill="FFFFFF"/>
        </w:rPr>
        <w:t>ամրագրված</w:t>
      </w:r>
      <w:r w:rsidRPr="009A7904">
        <w:rPr>
          <w:shd w:val="clear" w:color="auto" w:fill="FFFFFF"/>
          <w:lang w:val="fr-FR"/>
        </w:rPr>
        <w:t xml:space="preserve"> </w:t>
      </w:r>
      <w:r w:rsidRPr="009A7904">
        <w:rPr>
          <w:shd w:val="clear" w:color="auto" w:fill="FFFFFF"/>
        </w:rPr>
        <w:t>են</w:t>
      </w:r>
      <w:r w:rsidRPr="009A7904">
        <w:rPr>
          <w:shd w:val="clear" w:color="auto" w:fill="FFFFFF"/>
          <w:lang w:val="fr-FR"/>
        </w:rPr>
        <w:t xml:space="preserve"> </w:t>
      </w:r>
      <w:r w:rsidRPr="009A7904">
        <w:rPr>
          <w:rFonts w:cs="GHEA Grapalat"/>
          <w:lang w:val="hy-AM"/>
        </w:rPr>
        <w:t xml:space="preserve">ՀՀ կառավարության 2019 թվականի փետրվարի 8-ի </w:t>
      </w:r>
      <w:r w:rsidRPr="009A7904">
        <w:rPr>
          <w:rFonts w:ascii="Arial Unicode" w:hAnsi="Arial Unicode"/>
          <w:shd w:val="clear" w:color="auto" w:fill="FFFFFF"/>
          <w:lang w:val="hy-AM"/>
        </w:rPr>
        <w:t xml:space="preserve">N </w:t>
      </w:r>
      <w:r w:rsidRPr="009A7904">
        <w:rPr>
          <w:rFonts w:cs="GHEA Grapalat"/>
          <w:lang w:val="hy-AM"/>
        </w:rPr>
        <w:t>65-Ա որոշման 4.4-րդ կետ</w:t>
      </w:r>
      <w:r w:rsidRPr="009A7904">
        <w:rPr>
          <w:rFonts w:cs="GHEA Grapalat"/>
        </w:rPr>
        <w:t>ի</w:t>
      </w:r>
      <w:r w:rsidRPr="009A7904">
        <w:rPr>
          <w:lang w:val="fr-FR"/>
        </w:rPr>
        <w:t xml:space="preserve"> «</w:t>
      </w:r>
      <w:r w:rsidRPr="009A7904">
        <w:rPr>
          <w:spacing w:val="-4"/>
        </w:rPr>
        <w:t>Գիտության</w:t>
      </w:r>
      <w:r w:rsidRPr="009A7904">
        <w:rPr>
          <w:spacing w:val="-4"/>
          <w:lang w:val="fr-FR"/>
        </w:rPr>
        <w:t xml:space="preserve"> </w:t>
      </w:r>
      <w:r w:rsidRPr="009A7904">
        <w:rPr>
          <w:spacing w:val="-4"/>
        </w:rPr>
        <w:t>ոլորտին</w:t>
      </w:r>
      <w:r w:rsidRPr="009A7904">
        <w:rPr>
          <w:spacing w:val="-4"/>
          <w:lang w:val="fr-FR"/>
        </w:rPr>
        <w:t xml:space="preserve">» </w:t>
      </w:r>
      <w:r w:rsidRPr="009A7904">
        <w:rPr>
          <w:spacing w:val="-4"/>
        </w:rPr>
        <w:t>վերաբերող</w:t>
      </w:r>
      <w:r w:rsidRPr="009A7904">
        <w:rPr>
          <w:spacing w:val="-4"/>
          <w:lang w:val="fr-FR"/>
        </w:rPr>
        <w:t xml:space="preserve"> </w:t>
      </w:r>
      <w:r w:rsidRPr="009A7904">
        <w:rPr>
          <w:spacing w:val="-4"/>
        </w:rPr>
        <w:t>բաժնում</w:t>
      </w:r>
      <w:r w:rsidRPr="009A7904">
        <w:rPr>
          <w:spacing w:val="-4"/>
          <w:lang w:val="hy-AM"/>
        </w:rPr>
        <w:t>:</w:t>
      </w:r>
      <w:r w:rsidRPr="009A7904">
        <w:rPr>
          <w:spacing w:val="-4"/>
          <w:lang w:val="fr-FR"/>
        </w:rPr>
        <w:t xml:space="preserve"> </w:t>
      </w:r>
    </w:p>
    <w:p w14:paraId="1A47F1DA" w14:textId="77777777" w:rsidR="009D2825" w:rsidRPr="009A7904" w:rsidRDefault="009D2825" w:rsidP="009A7904">
      <w:pPr>
        <w:pStyle w:val="ListParagraph"/>
        <w:tabs>
          <w:tab w:val="left" w:pos="851"/>
        </w:tabs>
        <w:spacing w:line="276" w:lineRule="auto"/>
        <w:ind w:left="0" w:firstLine="709"/>
        <w:rPr>
          <w:spacing w:val="-4"/>
          <w:lang w:val="hy-AM"/>
        </w:rPr>
      </w:pPr>
      <w:r w:rsidRPr="009A7904">
        <w:rPr>
          <w:spacing w:val="-4"/>
          <w:lang w:val="ru-RU"/>
        </w:rPr>
        <w:t>Գ</w:t>
      </w:r>
      <w:r w:rsidRPr="009A7904">
        <w:rPr>
          <w:spacing w:val="-4"/>
          <w:lang w:val="hy-AM"/>
        </w:rPr>
        <w:t xml:space="preserve">իտության ոլորտի 2021-2023 թվականների զարգացման հիմնական թիրախներն են. </w:t>
      </w:r>
    </w:p>
    <w:p w14:paraId="5515F556" w14:textId="77777777" w:rsidR="009D2825" w:rsidRPr="009A7904" w:rsidRDefault="009D2825" w:rsidP="009A7904">
      <w:pPr>
        <w:pStyle w:val="ListParagraph"/>
        <w:numPr>
          <w:ilvl w:val="0"/>
          <w:numId w:val="18"/>
        </w:numPr>
        <w:tabs>
          <w:tab w:val="left" w:pos="851"/>
        </w:tabs>
        <w:spacing w:before="0" w:after="0" w:line="276" w:lineRule="auto"/>
        <w:rPr>
          <w:spacing w:val="-4"/>
          <w:lang w:val="hy-AM"/>
        </w:rPr>
      </w:pPr>
      <w:r w:rsidRPr="009A7904">
        <w:rPr>
          <w:spacing w:val="-4"/>
          <w:lang w:val="hy-AM"/>
        </w:rPr>
        <w:t>գիտության  ֆինանսավորման արդյունավետության բարձրացումը,</w:t>
      </w:r>
    </w:p>
    <w:p w14:paraId="4671C679"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ոլորտում արդյունավետության վրա հիմնված ֆինանսավորման մեխանիզմների ներդրումը,</w:t>
      </w:r>
    </w:p>
    <w:p w14:paraId="15D7EED2"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երկրի տնտեսության կարիքներից բխող և գիտական հետազոտությունների արդի պահանջներին համապատասխանող ուղղությունների զարգացումը,</w:t>
      </w:r>
    </w:p>
    <w:p w14:paraId="17F1A01F"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ոլորտում երիտասարդ կադրերի ամրապնդման մեխանիզմների ներդրումը, Հայաստանում իրականացվող ծրագրերում օտարերկրյա պետություններում գտնվող հայ գիտնականների ներգրավումը, վերինտեգրման ծրագրերի իրականացումը,</w:t>
      </w:r>
    </w:p>
    <w:p w14:paraId="2B9870B9"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բեկումնային զարգացում ապահովող որոշ տեխնոլոգիական ոլորտներում գիտական, գիտակրթական և գիտատեխնոլոգիական գերազանցության կենտրոնների ստեղծումը,</w:t>
      </w:r>
    </w:p>
    <w:p w14:paraId="12292A2C"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rFonts w:cs="Sylfaen"/>
          <w:spacing w:val="-4"/>
          <w:lang w:val="hy-AM"/>
        </w:rPr>
        <w:t>կրթություն</w:t>
      </w:r>
      <w:r w:rsidRPr="009A7904">
        <w:rPr>
          <w:spacing w:val="-4"/>
          <w:lang w:val="hy-AM"/>
        </w:rPr>
        <w:t>-գիտություն կապի սերտացումը՝ ձևավորելով բարձրագույն ուսումնական հաստատությունների և գիտական կազմակերպությունների ցանցեր՝ ըստ գիտական գործունեության բնագավառների և ապահովելով ուսանողների, պրոֆեսորադասախոսական կազմի և գիտաշխատողների տեղաշարժը ցանցի մաս կազմող բարձրագույն ուսումնական հաստատություններում և գիտական կազմակերպություններում.</w:t>
      </w:r>
    </w:p>
    <w:p w14:paraId="50439FF7"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հայերեն լեզվի գործառության ու զարգացման համար անհրաժեշտ պայմանների ստեղծումը,</w:t>
      </w:r>
    </w:p>
    <w:p w14:paraId="4D5CB998"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միջազգայնորեն մրցունակ, միջազգային գիտական նվաճումներին միտված, երկրի տնտեսության մրցունակությանը և անվտանգությանն անմիջականորեն նպաստող գիտական համակարգի ստեղծումը:</w:t>
      </w:r>
    </w:p>
    <w:p w14:paraId="7948E783" w14:textId="77777777" w:rsidR="009D2825" w:rsidRPr="009A7904" w:rsidRDefault="009D2825" w:rsidP="009A7904">
      <w:pPr>
        <w:pStyle w:val="ListParagraph"/>
        <w:tabs>
          <w:tab w:val="left" w:pos="851"/>
        </w:tabs>
        <w:spacing w:line="276" w:lineRule="auto"/>
        <w:ind w:left="0" w:firstLine="709"/>
        <w:rPr>
          <w:spacing w:val="-4"/>
          <w:lang w:val="hy-AM"/>
        </w:rPr>
      </w:pPr>
      <w:r w:rsidRPr="009A7904">
        <w:rPr>
          <w:spacing w:val="-4"/>
          <w:lang w:val="hy-AM"/>
        </w:rPr>
        <w:t>Վերոնշյալ նպատակների ձեռքբերման ուղղությամբ 2021-2023 թվականներին իրականացվելու են հետևյալ միջոցառումները՝</w:t>
      </w:r>
    </w:p>
    <w:p w14:paraId="7CE690FC"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գիտական և գիտատեխնիկական գործունեության բնագավառում կատարողականի վրա հիմնված պետական ֆինանսավորման մեխանիզմների ներդրում,</w:t>
      </w:r>
    </w:p>
    <w:p w14:paraId="34551240"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ոլորտի օպտիմալացման և կառուցվածքային բարեփոխումների ծրագրի մշակում և ներդրում,</w:t>
      </w:r>
    </w:p>
    <w:p w14:paraId="3EAA0115"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ոլորտի զարգացման 2021-2025 թվականների ռազմավարական ծրագրի մշակում և ներդրում,</w:t>
      </w:r>
    </w:p>
    <w:p w14:paraId="1AF868AF"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lastRenderedPageBreak/>
        <w:t>գիտության և տեխնիկայի զարգացման 2020-2024 թվականների համար սահմանված գերակայությունների շրջանակներում ծրագրերի առաջնահերթ իրականացման մեխանիզմների ներդրում,</w:t>
      </w:r>
    </w:p>
    <w:p w14:paraId="46D4C42F"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տնտեսության պահանջներից բխող հետազոտությունների պատվերների ձևավորման մեխանիզմների մշակում և ներդրում,</w:t>
      </w:r>
    </w:p>
    <w:p w14:paraId="6B772B45"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երկակի նշանակության ծրագրերի իրականացում,</w:t>
      </w:r>
    </w:p>
    <w:p w14:paraId="55C3DAFE"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ոլորտ երիտասարդ կադրերի ներգրավման ծրագրի ներդրում,</w:t>
      </w:r>
    </w:p>
    <w:p w14:paraId="55B535E3"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օտարերկրյա պետություններում աշխատող գիտական և (կամ) գիտակրթական կադրերի վերաինտեգրման ծրագրերի իրականացում,</w:t>
      </w:r>
    </w:p>
    <w:p w14:paraId="23E129B9"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 xml:space="preserve"> միջազգային չափանիշներին համապատասխան գիտական հետազոտություններ իրականացնելու պայմանների ձևավորման մեխանիզմների մշակում և ներդրում,</w:t>
      </w:r>
    </w:p>
    <w:p w14:paraId="100A5309"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գիտանորարարական ենթակառուցվածքների ստեղծման աջակցության մեխանիզմների ներդրում,</w:t>
      </w:r>
    </w:p>
    <w:p w14:paraId="772035EA" w14:textId="77777777"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Եվրոպական հետազոտական տարածքում խելացի մասնագիտացման տիրույթի ձեռքբերմանն ուղղված ծրագրերի իրականացում:</w:t>
      </w:r>
    </w:p>
    <w:p w14:paraId="29C1544F" w14:textId="77777777" w:rsidR="009D2825" w:rsidRPr="009A7904" w:rsidRDefault="006B2C4E" w:rsidP="009A7904">
      <w:pPr>
        <w:tabs>
          <w:tab w:val="left" w:pos="851"/>
          <w:tab w:val="left" w:pos="993"/>
        </w:tabs>
        <w:spacing w:line="276" w:lineRule="auto"/>
        <w:ind w:firstLine="0"/>
        <w:rPr>
          <w:rFonts w:cs="GHEA Grapalat"/>
          <w:b/>
          <w:lang w:val="hy-AM"/>
        </w:rPr>
      </w:pPr>
      <w:r w:rsidRPr="009A7904">
        <w:rPr>
          <w:rFonts w:cs="GHEA Grapalat"/>
          <w:b/>
          <w:lang w:val="hy-AM"/>
        </w:rPr>
        <w:tab/>
      </w:r>
      <w:r w:rsidR="009D2825" w:rsidRPr="009A7904">
        <w:rPr>
          <w:rFonts w:cs="GHEA Grapalat"/>
          <w:b/>
          <w:lang w:val="hy-AM"/>
        </w:rPr>
        <w:t>ՈԼՈՐՏԱՅԻՆ ԾԱԽՍԱՅԻՆ ԾՐԱԳԻՐԸ</w:t>
      </w:r>
    </w:p>
    <w:p w14:paraId="78CC2FBD" w14:textId="77777777" w:rsidR="009D2825" w:rsidRPr="009A7904" w:rsidRDefault="009D2825" w:rsidP="009A7904">
      <w:pPr>
        <w:pStyle w:val="ListParagraph"/>
        <w:numPr>
          <w:ilvl w:val="0"/>
          <w:numId w:val="42"/>
        </w:numPr>
        <w:tabs>
          <w:tab w:val="clear" w:pos="870"/>
          <w:tab w:val="left" w:pos="360"/>
          <w:tab w:val="left" w:pos="851"/>
          <w:tab w:val="left" w:pos="993"/>
        </w:tabs>
        <w:spacing w:before="0" w:after="0" w:line="276" w:lineRule="auto"/>
        <w:rPr>
          <w:rFonts w:cs="GHEA Grapalat"/>
          <w:b/>
          <w:lang w:val="hy-AM"/>
        </w:rPr>
      </w:pPr>
      <w:r w:rsidRPr="009A7904">
        <w:rPr>
          <w:rFonts w:cs="GHEA Grapalat"/>
          <w:b/>
          <w:lang w:val="hy-AM"/>
        </w:rPr>
        <w:t>«Գիտական և գիտատեխնիկական հետազոտությունների ծրագիր»</w:t>
      </w:r>
    </w:p>
    <w:p w14:paraId="4C506C15" w14:textId="77777777" w:rsidR="009D2825" w:rsidRPr="009A7904" w:rsidRDefault="009D2825" w:rsidP="009A7904">
      <w:pPr>
        <w:spacing w:line="276" w:lineRule="auto"/>
        <w:ind w:firstLine="720"/>
        <w:rPr>
          <w:shd w:val="clear" w:color="auto" w:fill="FFFFFF"/>
          <w:lang w:val="hy-AM"/>
        </w:rPr>
      </w:pPr>
      <w:r w:rsidRPr="009A7904">
        <w:rPr>
          <w:shd w:val="clear" w:color="auto" w:fill="FFFFFF"/>
          <w:lang w:val="hy-AM"/>
        </w:rPr>
        <w:tab/>
        <w:t xml:space="preserve">Ծրագրի գծով 2021-2023 թվականներին նախատեսվում է հատկացնել, ըստ տարիների՝ 13,753,6; 13,434.7 և 13,437.4 մլն դրամ՝ 2020 թվականի 14,255.3 մլն դրամի դիմաց, կամ՝ 2020 թվականի պետական բյուջեի ցուցանիշի համեմատ՝ նվազումը կազմում է, համապատասխանաբար, 3.5; 5.8 և 5.7 տոկոս, պայմանավորված հետևյալով. գիտական ենթակառուցվածքի արդիականացման գծով գումարի ծավալը ձևավորվել է ցանկում ընդգրկված կազմակերպությունների կողմից ներկայացված բյուջետային հայտերի, ինչպես նաև ՀՀ ԿԳՄՍ նախարարի հրամանով ձևավորված միջգերատեսչական մրցութային հանձնաժողովի քննարկման արդյունքում եղած առաջարկությունների հիման վրա: </w:t>
      </w:r>
    </w:p>
    <w:p w14:paraId="444F365F" w14:textId="77777777" w:rsidR="009D2825" w:rsidRPr="009A7904" w:rsidRDefault="006B2C4E" w:rsidP="009A7904">
      <w:pPr>
        <w:tabs>
          <w:tab w:val="left" w:pos="851"/>
          <w:tab w:val="left" w:pos="993"/>
        </w:tabs>
        <w:spacing w:line="276" w:lineRule="auto"/>
        <w:rPr>
          <w:rFonts w:cs="GHEA Grapalat"/>
          <w:b/>
          <w:lang w:val="hy-AM"/>
        </w:rPr>
      </w:pPr>
      <w:r w:rsidRPr="009A7904">
        <w:rPr>
          <w:rFonts w:cs="GHEA Grapalat"/>
          <w:b/>
          <w:lang w:val="hy-AM"/>
        </w:rPr>
        <w:tab/>
      </w:r>
      <w:r w:rsidR="009D2825" w:rsidRPr="009A7904">
        <w:rPr>
          <w:rFonts w:cs="GHEA Grapalat"/>
          <w:b/>
          <w:lang w:val="hy-AM"/>
        </w:rPr>
        <w:t>Մշակույթի ոլորտ</w:t>
      </w:r>
    </w:p>
    <w:p w14:paraId="2DE5C510" w14:textId="77777777" w:rsidR="009D2825" w:rsidRPr="009A7904" w:rsidRDefault="009D2825" w:rsidP="009A7904">
      <w:pPr>
        <w:spacing w:line="276" w:lineRule="auto"/>
        <w:ind w:firstLine="720"/>
        <w:rPr>
          <w:shd w:val="clear" w:color="auto" w:fill="FFFFFF"/>
          <w:lang w:val="hy-AM"/>
        </w:rPr>
      </w:pPr>
      <w:r w:rsidRPr="009A7904">
        <w:rPr>
          <w:shd w:val="clear" w:color="auto" w:fill="FFFFFF"/>
          <w:lang w:val="hy-AM"/>
        </w:rPr>
        <w:t>Համաձայն</w:t>
      </w:r>
      <w:r w:rsidRPr="009A7904">
        <w:rPr>
          <w:shd w:val="clear" w:color="auto" w:fill="FFFFFF"/>
          <w:lang w:val="af-ZA"/>
        </w:rPr>
        <w:t xml:space="preserve"> </w:t>
      </w:r>
      <w:r w:rsidRPr="009A7904">
        <w:rPr>
          <w:shd w:val="clear" w:color="auto" w:fill="FFFFFF"/>
          <w:lang w:val="hy-AM"/>
        </w:rPr>
        <w:t>ՀՀ</w:t>
      </w:r>
      <w:r w:rsidRPr="009A7904">
        <w:rPr>
          <w:shd w:val="clear" w:color="auto" w:fill="FFFFFF"/>
          <w:lang w:val="af-ZA"/>
        </w:rPr>
        <w:t xml:space="preserve"> </w:t>
      </w:r>
      <w:r w:rsidRPr="009A7904">
        <w:rPr>
          <w:shd w:val="clear" w:color="auto" w:fill="FFFFFF"/>
          <w:lang w:val="hy-AM"/>
        </w:rPr>
        <w:t>կառավարության</w:t>
      </w:r>
      <w:r w:rsidRPr="009A7904">
        <w:rPr>
          <w:shd w:val="clear" w:color="auto" w:fill="FFFFFF"/>
          <w:lang w:val="af-ZA"/>
        </w:rPr>
        <w:t xml:space="preserve"> 2019</w:t>
      </w:r>
      <w:r w:rsidRPr="009A7904">
        <w:rPr>
          <w:shd w:val="clear" w:color="auto" w:fill="FFFFFF"/>
          <w:lang w:val="hy-AM"/>
        </w:rPr>
        <w:t xml:space="preserve"> թվականի</w:t>
      </w:r>
      <w:r w:rsidRPr="009A7904">
        <w:rPr>
          <w:shd w:val="clear" w:color="auto" w:fill="FFFFFF"/>
          <w:lang w:val="af-ZA"/>
        </w:rPr>
        <w:t xml:space="preserve"> </w:t>
      </w:r>
      <w:r w:rsidRPr="009A7904">
        <w:rPr>
          <w:shd w:val="clear" w:color="auto" w:fill="FFFFFF"/>
          <w:lang w:val="hy-AM"/>
        </w:rPr>
        <w:t>փետրվարի</w:t>
      </w:r>
      <w:r w:rsidRPr="009A7904">
        <w:rPr>
          <w:shd w:val="clear" w:color="auto" w:fill="FFFFFF"/>
          <w:lang w:val="af-ZA"/>
        </w:rPr>
        <w:t xml:space="preserve"> 8-</w:t>
      </w:r>
      <w:r w:rsidRPr="009A7904">
        <w:rPr>
          <w:shd w:val="clear" w:color="auto" w:fill="FFFFFF"/>
          <w:lang w:val="hy-AM"/>
        </w:rPr>
        <w:t>ի</w:t>
      </w:r>
      <w:r w:rsidRPr="009A7904">
        <w:rPr>
          <w:shd w:val="clear" w:color="auto" w:fill="FFFFFF"/>
          <w:lang w:val="af-ZA"/>
        </w:rPr>
        <w:t xml:space="preserve"> N 65-</w:t>
      </w:r>
      <w:r w:rsidRPr="009A7904">
        <w:rPr>
          <w:shd w:val="clear" w:color="auto" w:fill="FFFFFF"/>
          <w:lang w:val="hy-AM"/>
        </w:rPr>
        <w:t>Ա</w:t>
      </w:r>
      <w:r w:rsidRPr="009A7904">
        <w:rPr>
          <w:shd w:val="clear" w:color="auto" w:fill="FFFFFF"/>
          <w:lang w:val="af-ZA"/>
        </w:rPr>
        <w:t xml:space="preserve"> </w:t>
      </w:r>
      <w:r w:rsidRPr="009A7904">
        <w:rPr>
          <w:shd w:val="clear" w:color="auto" w:fill="FFFFFF"/>
          <w:lang w:val="hy-AM"/>
        </w:rPr>
        <w:t>որոշման</w:t>
      </w:r>
      <w:r w:rsidRPr="009A7904">
        <w:rPr>
          <w:shd w:val="clear" w:color="auto" w:fill="FFFFFF"/>
          <w:lang w:val="af-ZA"/>
        </w:rPr>
        <w:t xml:space="preserve"> 4.5-</w:t>
      </w:r>
      <w:r w:rsidRPr="009A7904">
        <w:rPr>
          <w:shd w:val="clear" w:color="auto" w:fill="FFFFFF"/>
          <w:lang w:val="hy-AM"/>
        </w:rPr>
        <w:t>րդ</w:t>
      </w:r>
      <w:r w:rsidRPr="009A7904">
        <w:rPr>
          <w:shd w:val="clear" w:color="auto" w:fill="FFFFFF"/>
          <w:lang w:val="af-ZA"/>
        </w:rPr>
        <w:t xml:space="preserve"> </w:t>
      </w:r>
      <w:r w:rsidRPr="009A7904">
        <w:rPr>
          <w:shd w:val="clear" w:color="auto" w:fill="FFFFFF"/>
          <w:lang w:val="hy-AM"/>
        </w:rPr>
        <w:t>կետի</w:t>
      </w:r>
      <w:r w:rsidRPr="009A7904">
        <w:rPr>
          <w:shd w:val="clear" w:color="auto" w:fill="FFFFFF"/>
          <w:lang w:val="af-ZA"/>
        </w:rPr>
        <w:t xml:space="preserve">, </w:t>
      </w:r>
      <w:r w:rsidRPr="009A7904">
        <w:rPr>
          <w:shd w:val="clear" w:color="auto" w:fill="FFFFFF"/>
          <w:lang w:val="hy-AM"/>
        </w:rPr>
        <w:t>Կառավարությունը նպատակադրվել է</w:t>
      </w:r>
      <w:r w:rsidRPr="009A7904">
        <w:rPr>
          <w:shd w:val="clear" w:color="auto" w:fill="FFFFFF"/>
          <w:lang w:val="af-ZA"/>
        </w:rPr>
        <w:t xml:space="preserve"> </w:t>
      </w:r>
      <w:r w:rsidRPr="009A7904">
        <w:rPr>
          <w:shd w:val="clear" w:color="auto" w:fill="FFFFFF"/>
          <w:lang w:val="hy-AM"/>
        </w:rPr>
        <w:t>ստեղծել</w:t>
      </w:r>
      <w:r w:rsidRPr="009A7904">
        <w:rPr>
          <w:shd w:val="clear" w:color="auto" w:fill="FFFFFF"/>
          <w:lang w:val="af-ZA"/>
        </w:rPr>
        <w:t xml:space="preserve"> </w:t>
      </w:r>
      <w:r w:rsidRPr="009A7904">
        <w:rPr>
          <w:shd w:val="clear" w:color="auto" w:fill="FFFFFF"/>
          <w:lang w:val="hy-AM"/>
        </w:rPr>
        <w:t>ստեղծագործական</w:t>
      </w:r>
      <w:r w:rsidRPr="009A7904">
        <w:rPr>
          <w:shd w:val="clear" w:color="auto" w:fill="FFFFFF"/>
          <w:lang w:val="af-ZA"/>
        </w:rPr>
        <w:t xml:space="preserve"> </w:t>
      </w:r>
      <w:r w:rsidRPr="009A7904">
        <w:rPr>
          <w:shd w:val="clear" w:color="auto" w:fill="FFFFFF"/>
          <w:lang w:val="hy-AM"/>
        </w:rPr>
        <w:t>կարողությունների</w:t>
      </w:r>
      <w:r w:rsidRPr="009A7904">
        <w:rPr>
          <w:shd w:val="clear" w:color="auto" w:fill="FFFFFF"/>
          <w:lang w:val="af-ZA"/>
        </w:rPr>
        <w:t xml:space="preserve"> </w:t>
      </w:r>
      <w:r w:rsidRPr="009A7904">
        <w:rPr>
          <w:shd w:val="clear" w:color="auto" w:fill="FFFFFF"/>
          <w:lang w:val="hy-AM"/>
        </w:rPr>
        <w:t>լիարժեք</w:t>
      </w:r>
      <w:r w:rsidRPr="009A7904">
        <w:rPr>
          <w:shd w:val="clear" w:color="auto" w:fill="FFFFFF"/>
          <w:lang w:val="af-ZA"/>
        </w:rPr>
        <w:t xml:space="preserve"> </w:t>
      </w:r>
      <w:r w:rsidRPr="009A7904">
        <w:rPr>
          <w:shd w:val="clear" w:color="auto" w:fill="FFFFFF"/>
          <w:lang w:val="hy-AM"/>
        </w:rPr>
        <w:t>արտահայտման</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իրացման</w:t>
      </w:r>
      <w:r w:rsidRPr="009A7904">
        <w:rPr>
          <w:shd w:val="clear" w:color="auto" w:fill="FFFFFF"/>
          <w:lang w:val="af-ZA"/>
        </w:rPr>
        <w:t xml:space="preserve"> </w:t>
      </w:r>
      <w:r w:rsidRPr="009A7904">
        <w:rPr>
          <w:shd w:val="clear" w:color="auto" w:fill="FFFFFF"/>
          <w:lang w:val="hy-AM"/>
        </w:rPr>
        <w:t>համար</w:t>
      </w:r>
      <w:r w:rsidRPr="009A7904">
        <w:rPr>
          <w:shd w:val="clear" w:color="auto" w:fill="FFFFFF"/>
          <w:lang w:val="af-ZA"/>
        </w:rPr>
        <w:t xml:space="preserve"> </w:t>
      </w:r>
      <w:r w:rsidRPr="009A7904">
        <w:rPr>
          <w:shd w:val="clear" w:color="auto" w:fill="FFFFFF"/>
          <w:lang w:val="hy-AM"/>
        </w:rPr>
        <w:t>բարենպաստ</w:t>
      </w:r>
      <w:r w:rsidRPr="009A7904">
        <w:rPr>
          <w:shd w:val="clear" w:color="auto" w:fill="FFFFFF"/>
          <w:lang w:val="af-ZA"/>
        </w:rPr>
        <w:t xml:space="preserve"> </w:t>
      </w:r>
      <w:r w:rsidRPr="009A7904">
        <w:rPr>
          <w:shd w:val="clear" w:color="auto" w:fill="FFFFFF"/>
          <w:lang w:val="hy-AM"/>
        </w:rPr>
        <w:t>միջավայր</w:t>
      </w:r>
      <w:r w:rsidRPr="009A7904">
        <w:rPr>
          <w:shd w:val="clear" w:color="auto" w:fill="FFFFFF"/>
          <w:lang w:val="af-ZA"/>
        </w:rPr>
        <w:t xml:space="preserve">,  </w:t>
      </w:r>
      <w:r w:rsidRPr="009A7904">
        <w:rPr>
          <w:shd w:val="clear" w:color="auto" w:fill="FFFFFF"/>
          <w:lang w:val="hy-AM"/>
        </w:rPr>
        <w:t>իրականացնել</w:t>
      </w:r>
      <w:r w:rsidRPr="009A7904">
        <w:rPr>
          <w:shd w:val="clear" w:color="auto" w:fill="FFFFFF"/>
          <w:lang w:val="af-ZA"/>
        </w:rPr>
        <w:t xml:space="preserve"> </w:t>
      </w:r>
      <w:r w:rsidRPr="009A7904">
        <w:rPr>
          <w:shd w:val="clear" w:color="auto" w:fill="FFFFFF"/>
          <w:lang w:val="hy-AM"/>
        </w:rPr>
        <w:t>հայկական</w:t>
      </w:r>
      <w:r w:rsidRPr="009A7904">
        <w:rPr>
          <w:shd w:val="clear" w:color="auto" w:fill="FFFFFF"/>
          <w:lang w:val="af-ZA"/>
        </w:rPr>
        <w:t xml:space="preserve"> </w:t>
      </w:r>
      <w:r w:rsidRPr="009A7904">
        <w:rPr>
          <w:shd w:val="clear" w:color="auto" w:fill="FFFFFF"/>
          <w:lang w:val="hy-AM"/>
        </w:rPr>
        <w:t>մշակույթի</w:t>
      </w:r>
      <w:r w:rsidRPr="009A7904">
        <w:rPr>
          <w:shd w:val="clear" w:color="auto" w:fill="FFFFFF"/>
          <w:lang w:val="af-ZA"/>
        </w:rPr>
        <w:t xml:space="preserve"> </w:t>
      </w:r>
      <w:r w:rsidRPr="009A7904">
        <w:rPr>
          <w:shd w:val="clear" w:color="auto" w:fill="FFFFFF"/>
          <w:lang w:val="hy-AM"/>
        </w:rPr>
        <w:t>ճանաչելիությանն</w:t>
      </w:r>
      <w:r w:rsidRPr="009A7904">
        <w:rPr>
          <w:shd w:val="clear" w:color="auto" w:fill="FFFFFF"/>
          <w:lang w:val="af-ZA"/>
        </w:rPr>
        <w:t xml:space="preserve"> </w:t>
      </w:r>
      <w:r w:rsidRPr="009A7904">
        <w:rPr>
          <w:shd w:val="clear" w:color="auto" w:fill="FFFFFF"/>
          <w:lang w:val="hy-AM"/>
        </w:rPr>
        <w:t>ուղղված</w:t>
      </w:r>
      <w:r w:rsidRPr="009A7904">
        <w:rPr>
          <w:shd w:val="clear" w:color="auto" w:fill="FFFFFF"/>
          <w:lang w:val="af-ZA"/>
        </w:rPr>
        <w:t xml:space="preserve"> </w:t>
      </w:r>
      <w:r w:rsidRPr="009A7904">
        <w:rPr>
          <w:shd w:val="clear" w:color="auto" w:fill="FFFFFF"/>
          <w:lang w:val="hy-AM"/>
        </w:rPr>
        <w:t>ծրագրեր՝</w:t>
      </w:r>
      <w:r w:rsidRPr="009A7904">
        <w:rPr>
          <w:shd w:val="clear" w:color="auto" w:fill="FFFFFF"/>
          <w:lang w:val="af-ZA"/>
        </w:rPr>
        <w:t xml:space="preserve"> </w:t>
      </w:r>
      <w:r w:rsidRPr="009A7904">
        <w:rPr>
          <w:shd w:val="clear" w:color="auto" w:fill="FFFFFF"/>
          <w:lang w:val="hy-AM"/>
        </w:rPr>
        <w:t>Հայաստանում</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նրա</w:t>
      </w:r>
      <w:r w:rsidRPr="009A7904">
        <w:rPr>
          <w:shd w:val="clear" w:color="auto" w:fill="FFFFFF"/>
          <w:lang w:val="af-ZA"/>
        </w:rPr>
        <w:t xml:space="preserve"> </w:t>
      </w:r>
      <w:r w:rsidRPr="009A7904">
        <w:rPr>
          <w:shd w:val="clear" w:color="auto" w:fill="FFFFFF"/>
          <w:lang w:val="hy-AM"/>
        </w:rPr>
        <w:t>սահմաններից</w:t>
      </w:r>
      <w:r w:rsidRPr="009A7904">
        <w:rPr>
          <w:shd w:val="clear" w:color="auto" w:fill="FFFFFF"/>
          <w:lang w:val="af-ZA"/>
        </w:rPr>
        <w:t xml:space="preserve"> </w:t>
      </w:r>
      <w:r w:rsidRPr="009A7904">
        <w:rPr>
          <w:shd w:val="clear" w:color="auto" w:fill="FFFFFF"/>
          <w:lang w:val="hy-AM"/>
        </w:rPr>
        <w:t>դուրս</w:t>
      </w:r>
      <w:r w:rsidRPr="009A7904">
        <w:rPr>
          <w:shd w:val="clear" w:color="auto" w:fill="FFFFFF"/>
          <w:lang w:val="af-ZA"/>
        </w:rPr>
        <w:t xml:space="preserve">, </w:t>
      </w:r>
      <w:r w:rsidRPr="009A7904">
        <w:rPr>
          <w:shd w:val="clear" w:color="auto" w:fill="FFFFFF"/>
          <w:lang w:val="hy-AM"/>
        </w:rPr>
        <w:t>խթանել</w:t>
      </w:r>
      <w:r w:rsidRPr="009A7904">
        <w:rPr>
          <w:shd w:val="clear" w:color="auto" w:fill="FFFFFF"/>
          <w:lang w:val="af-ZA"/>
        </w:rPr>
        <w:t xml:space="preserve"> </w:t>
      </w:r>
      <w:r w:rsidRPr="009A7904">
        <w:rPr>
          <w:shd w:val="clear" w:color="auto" w:fill="FFFFFF"/>
          <w:lang w:val="hy-AM"/>
        </w:rPr>
        <w:t>Հայաստանի</w:t>
      </w:r>
      <w:r w:rsidRPr="009A7904">
        <w:rPr>
          <w:shd w:val="clear" w:color="auto" w:fill="FFFFFF"/>
          <w:lang w:val="af-ZA"/>
        </w:rPr>
        <w:t xml:space="preserve"> </w:t>
      </w:r>
      <w:r w:rsidRPr="009A7904">
        <w:rPr>
          <w:shd w:val="clear" w:color="auto" w:fill="FFFFFF"/>
          <w:lang w:val="hy-AM"/>
        </w:rPr>
        <w:t>Հանրապետության</w:t>
      </w:r>
      <w:r w:rsidRPr="009A7904">
        <w:rPr>
          <w:shd w:val="clear" w:color="auto" w:fill="FFFFFF"/>
          <w:lang w:val="af-ZA"/>
        </w:rPr>
        <w:t xml:space="preserve"> </w:t>
      </w:r>
      <w:r w:rsidRPr="009A7904">
        <w:rPr>
          <w:shd w:val="clear" w:color="auto" w:fill="FFFFFF"/>
          <w:lang w:val="hy-AM"/>
        </w:rPr>
        <w:t>տարածքում</w:t>
      </w:r>
      <w:r w:rsidRPr="009A7904">
        <w:rPr>
          <w:shd w:val="clear" w:color="auto" w:fill="FFFFFF"/>
          <w:lang w:val="af-ZA"/>
        </w:rPr>
        <w:t xml:space="preserve"> </w:t>
      </w:r>
      <w:r w:rsidRPr="009A7904">
        <w:rPr>
          <w:shd w:val="clear" w:color="auto" w:fill="FFFFFF"/>
          <w:lang w:val="hy-AM"/>
        </w:rPr>
        <w:t>գտնվող</w:t>
      </w:r>
      <w:r w:rsidRPr="009A7904">
        <w:rPr>
          <w:shd w:val="clear" w:color="auto" w:fill="FFFFFF"/>
          <w:lang w:val="af-ZA"/>
        </w:rPr>
        <w:t xml:space="preserve"> </w:t>
      </w:r>
      <w:r w:rsidRPr="009A7904">
        <w:rPr>
          <w:shd w:val="clear" w:color="auto" w:fill="FFFFFF"/>
          <w:lang w:val="hy-AM"/>
        </w:rPr>
        <w:t>պատմամշակութային</w:t>
      </w:r>
      <w:r w:rsidRPr="009A7904">
        <w:rPr>
          <w:shd w:val="clear" w:color="auto" w:fill="FFFFFF"/>
          <w:lang w:val="af-ZA"/>
        </w:rPr>
        <w:t xml:space="preserve"> </w:t>
      </w:r>
      <w:r w:rsidRPr="009A7904">
        <w:rPr>
          <w:shd w:val="clear" w:color="auto" w:fill="FFFFFF"/>
          <w:lang w:val="hy-AM"/>
        </w:rPr>
        <w:t>հուշարձանների</w:t>
      </w:r>
      <w:r w:rsidRPr="009A7904">
        <w:rPr>
          <w:shd w:val="clear" w:color="auto" w:fill="FFFFFF"/>
          <w:lang w:val="af-ZA"/>
        </w:rPr>
        <w:t xml:space="preserve"> </w:t>
      </w:r>
      <w:r w:rsidRPr="009A7904">
        <w:rPr>
          <w:shd w:val="clear" w:color="auto" w:fill="FFFFFF"/>
          <w:lang w:val="hy-AM"/>
        </w:rPr>
        <w:t>ուսումնասիրությունների</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հնագիտական</w:t>
      </w:r>
      <w:r w:rsidRPr="009A7904">
        <w:rPr>
          <w:shd w:val="clear" w:color="auto" w:fill="FFFFFF"/>
          <w:lang w:val="af-ZA"/>
        </w:rPr>
        <w:t xml:space="preserve"> </w:t>
      </w:r>
      <w:r w:rsidRPr="009A7904">
        <w:rPr>
          <w:shd w:val="clear" w:color="auto" w:fill="FFFFFF"/>
          <w:lang w:val="hy-AM"/>
        </w:rPr>
        <w:t>համալիր</w:t>
      </w:r>
      <w:r w:rsidRPr="009A7904">
        <w:rPr>
          <w:shd w:val="clear" w:color="auto" w:fill="FFFFFF"/>
          <w:lang w:val="af-ZA"/>
        </w:rPr>
        <w:t xml:space="preserve"> </w:t>
      </w:r>
      <w:r w:rsidRPr="009A7904">
        <w:rPr>
          <w:shd w:val="clear" w:color="auto" w:fill="FFFFFF"/>
          <w:lang w:val="hy-AM"/>
        </w:rPr>
        <w:t>հետազոտական</w:t>
      </w:r>
      <w:r w:rsidRPr="009A7904">
        <w:rPr>
          <w:shd w:val="clear" w:color="auto" w:fill="FFFFFF"/>
          <w:lang w:val="af-ZA"/>
        </w:rPr>
        <w:t xml:space="preserve"> </w:t>
      </w:r>
      <w:r w:rsidRPr="009A7904">
        <w:rPr>
          <w:shd w:val="clear" w:color="auto" w:fill="FFFFFF"/>
          <w:lang w:val="hy-AM"/>
        </w:rPr>
        <w:t>ծրագրերի</w:t>
      </w:r>
      <w:r w:rsidRPr="009A7904">
        <w:rPr>
          <w:shd w:val="clear" w:color="auto" w:fill="FFFFFF"/>
          <w:lang w:val="af-ZA"/>
        </w:rPr>
        <w:t xml:space="preserve"> </w:t>
      </w:r>
      <w:r w:rsidRPr="009A7904">
        <w:rPr>
          <w:shd w:val="clear" w:color="auto" w:fill="FFFFFF"/>
          <w:lang w:val="hy-AM"/>
        </w:rPr>
        <w:t>իրականացումը</w:t>
      </w:r>
      <w:r w:rsidRPr="009A7904">
        <w:rPr>
          <w:shd w:val="clear" w:color="auto" w:fill="FFFFFF"/>
          <w:lang w:val="af-ZA"/>
        </w:rPr>
        <w:t xml:space="preserve">, </w:t>
      </w:r>
      <w:r w:rsidRPr="009A7904">
        <w:rPr>
          <w:shd w:val="clear" w:color="auto" w:fill="FFFFFF"/>
          <w:lang w:val="hy-AM"/>
        </w:rPr>
        <w:t>այդ</w:t>
      </w:r>
      <w:r w:rsidRPr="009A7904">
        <w:rPr>
          <w:shd w:val="clear" w:color="auto" w:fill="FFFFFF"/>
          <w:lang w:val="af-ZA"/>
        </w:rPr>
        <w:t xml:space="preserve"> </w:t>
      </w:r>
      <w:r w:rsidRPr="009A7904">
        <w:rPr>
          <w:shd w:val="clear" w:color="auto" w:fill="FFFFFF"/>
          <w:lang w:val="hy-AM"/>
        </w:rPr>
        <w:t>ուսումնասիրությունների</w:t>
      </w:r>
      <w:r w:rsidRPr="009A7904">
        <w:rPr>
          <w:shd w:val="clear" w:color="auto" w:fill="FFFFFF"/>
          <w:lang w:val="af-ZA"/>
        </w:rPr>
        <w:t xml:space="preserve"> </w:t>
      </w:r>
      <w:r w:rsidRPr="009A7904">
        <w:rPr>
          <w:shd w:val="clear" w:color="auto" w:fill="FFFFFF"/>
          <w:lang w:val="hy-AM"/>
        </w:rPr>
        <w:t>միջազգայնացումը</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հանրահռչակումը</w:t>
      </w:r>
      <w:r w:rsidRPr="009A7904">
        <w:rPr>
          <w:shd w:val="clear" w:color="auto" w:fill="FFFFFF"/>
          <w:lang w:val="af-ZA"/>
        </w:rPr>
        <w:t xml:space="preserve">, </w:t>
      </w:r>
      <w:r w:rsidRPr="009A7904">
        <w:rPr>
          <w:shd w:val="clear" w:color="auto" w:fill="FFFFFF"/>
          <w:lang w:val="hy-AM"/>
        </w:rPr>
        <w:t>ստեղծել</w:t>
      </w:r>
      <w:r w:rsidRPr="009A7904">
        <w:rPr>
          <w:shd w:val="clear" w:color="auto" w:fill="FFFFFF"/>
          <w:lang w:val="af-ZA"/>
        </w:rPr>
        <w:t xml:space="preserve"> </w:t>
      </w:r>
      <w:r w:rsidRPr="009A7904">
        <w:rPr>
          <w:shd w:val="clear" w:color="auto" w:fill="FFFFFF"/>
          <w:lang w:val="hy-AM"/>
        </w:rPr>
        <w:t>ստեղծագործական</w:t>
      </w:r>
      <w:r w:rsidRPr="009A7904">
        <w:rPr>
          <w:shd w:val="clear" w:color="auto" w:fill="FFFFFF"/>
          <w:lang w:val="af-ZA"/>
        </w:rPr>
        <w:t xml:space="preserve"> </w:t>
      </w:r>
      <w:r w:rsidRPr="009A7904">
        <w:rPr>
          <w:shd w:val="clear" w:color="auto" w:fill="FFFFFF"/>
          <w:lang w:val="hy-AM"/>
        </w:rPr>
        <w:t>կարողությունների</w:t>
      </w:r>
      <w:r w:rsidRPr="009A7904">
        <w:rPr>
          <w:shd w:val="clear" w:color="auto" w:fill="FFFFFF"/>
          <w:lang w:val="af-ZA"/>
        </w:rPr>
        <w:t xml:space="preserve"> </w:t>
      </w:r>
      <w:r w:rsidRPr="009A7904">
        <w:rPr>
          <w:shd w:val="clear" w:color="auto" w:fill="FFFFFF"/>
          <w:lang w:val="hy-AM"/>
        </w:rPr>
        <w:t>լիարժեք</w:t>
      </w:r>
      <w:r w:rsidRPr="009A7904">
        <w:rPr>
          <w:shd w:val="clear" w:color="auto" w:fill="FFFFFF"/>
          <w:lang w:val="af-ZA"/>
        </w:rPr>
        <w:t xml:space="preserve"> </w:t>
      </w:r>
      <w:r w:rsidRPr="009A7904">
        <w:rPr>
          <w:shd w:val="clear" w:color="auto" w:fill="FFFFFF"/>
          <w:lang w:val="hy-AM"/>
        </w:rPr>
        <w:t>արտահայտման</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իրացման</w:t>
      </w:r>
      <w:r w:rsidRPr="009A7904">
        <w:rPr>
          <w:shd w:val="clear" w:color="auto" w:fill="FFFFFF"/>
          <w:lang w:val="af-ZA"/>
        </w:rPr>
        <w:t xml:space="preserve"> </w:t>
      </w:r>
      <w:r w:rsidRPr="009A7904">
        <w:rPr>
          <w:shd w:val="clear" w:color="auto" w:fill="FFFFFF"/>
          <w:lang w:val="hy-AM"/>
        </w:rPr>
        <w:t>համար</w:t>
      </w:r>
      <w:r w:rsidRPr="009A7904">
        <w:rPr>
          <w:shd w:val="clear" w:color="auto" w:fill="FFFFFF"/>
          <w:lang w:val="af-ZA"/>
        </w:rPr>
        <w:t xml:space="preserve"> </w:t>
      </w:r>
      <w:r w:rsidRPr="009A7904">
        <w:rPr>
          <w:shd w:val="clear" w:color="auto" w:fill="FFFFFF"/>
          <w:lang w:val="hy-AM"/>
        </w:rPr>
        <w:t>բարենպաստ</w:t>
      </w:r>
      <w:r w:rsidRPr="009A7904">
        <w:rPr>
          <w:shd w:val="clear" w:color="auto" w:fill="FFFFFF"/>
          <w:lang w:val="af-ZA"/>
        </w:rPr>
        <w:t xml:space="preserve"> </w:t>
      </w:r>
      <w:r w:rsidRPr="009A7904">
        <w:rPr>
          <w:shd w:val="clear" w:color="auto" w:fill="FFFFFF"/>
          <w:lang w:val="hy-AM"/>
        </w:rPr>
        <w:t>միջավայր</w:t>
      </w:r>
      <w:r w:rsidRPr="009A7904">
        <w:rPr>
          <w:shd w:val="clear" w:color="auto" w:fill="FFFFFF"/>
          <w:lang w:val="af-ZA"/>
        </w:rPr>
        <w:t>,</w:t>
      </w:r>
      <w:r w:rsidRPr="009A7904">
        <w:rPr>
          <w:shd w:val="clear" w:color="auto" w:fill="FFFFFF"/>
          <w:lang w:val="hy-AM"/>
        </w:rPr>
        <w:t xml:space="preserve"> իրականացնել</w:t>
      </w:r>
      <w:r w:rsidRPr="009A7904">
        <w:rPr>
          <w:shd w:val="clear" w:color="auto" w:fill="FFFFFF"/>
          <w:lang w:val="af-ZA"/>
        </w:rPr>
        <w:t xml:space="preserve"> </w:t>
      </w:r>
      <w:r w:rsidRPr="009A7904">
        <w:rPr>
          <w:shd w:val="clear" w:color="auto" w:fill="FFFFFF"/>
          <w:lang w:val="hy-AM"/>
        </w:rPr>
        <w:t>հայկական</w:t>
      </w:r>
      <w:r w:rsidRPr="009A7904">
        <w:rPr>
          <w:shd w:val="clear" w:color="auto" w:fill="FFFFFF"/>
          <w:lang w:val="af-ZA"/>
        </w:rPr>
        <w:t xml:space="preserve"> </w:t>
      </w:r>
      <w:r w:rsidRPr="009A7904">
        <w:rPr>
          <w:shd w:val="clear" w:color="auto" w:fill="FFFFFF"/>
          <w:lang w:val="hy-AM"/>
        </w:rPr>
        <w:t>մշակույթի</w:t>
      </w:r>
      <w:r w:rsidRPr="009A7904">
        <w:rPr>
          <w:shd w:val="clear" w:color="auto" w:fill="FFFFFF"/>
          <w:lang w:val="af-ZA"/>
        </w:rPr>
        <w:t xml:space="preserve"> </w:t>
      </w:r>
      <w:r w:rsidRPr="009A7904">
        <w:rPr>
          <w:shd w:val="clear" w:color="auto" w:fill="FFFFFF"/>
          <w:lang w:val="hy-AM"/>
        </w:rPr>
        <w:t>ճանաչելիությանն</w:t>
      </w:r>
      <w:r w:rsidRPr="009A7904">
        <w:rPr>
          <w:shd w:val="clear" w:color="auto" w:fill="FFFFFF"/>
          <w:lang w:val="af-ZA"/>
        </w:rPr>
        <w:t xml:space="preserve"> </w:t>
      </w:r>
      <w:r w:rsidRPr="009A7904">
        <w:rPr>
          <w:shd w:val="clear" w:color="auto" w:fill="FFFFFF"/>
          <w:lang w:val="hy-AM"/>
        </w:rPr>
        <w:t>ուղղված</w:t>
      </w:r>
      <w:r w:rsidRPr="009A7904">
        <w:rPr>
          <w:shd w:val="clear" w:color="auto" w:fill="FFFFFF"/>
          <w:lang w:val="af-ZA"/>
        </w:rPr>
        <w:t xml:space="preserve"> </w:t>
      </w:r>
      <w:r w:rsidRPr="009A7904">
        <w:rPr>
          <w:shd w:val="clear" w:color="auto" w:fill="FFFFFF"/>
          <w:lang w:val="hy-AM"/>
        </w:rPr>
        <w:t>ծրագրեր՝</w:t>
      </w:r>
      <w:r w:rsidRPr="009A7904">
        <w:rPr>
          <w:shd w:val="clear" w:color="auto" w:fill="FFFFFF"/>
          <w:lang w:val="af-ZA"/>
        </w:rPr>
        <w:t xml:space="preserve"> </w:t>
      </w:r>
      <w:r w:rsidRPr="009A7904">
        <w:rPr>
          <w:shd w:val="clear" w:color="auto" w:fill="FFFFFF"/>
          <w:lang w:val="hy-AM"/>
        </w:rPr>
        <w:t>Հայաստանում</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նրա</w:t>
      </w:r>
      <w:r w:rsidRPr="009A7904">
        <w:rPr>
          <w:shd w:val="clear" w:color="auto" w:fill="FFFFFF"/>
          <w:lang w:val="af-ZA"/>
        </w:rPr>
        <w:t xml:space="preserve"> </w:t>
      </w:r>
      <w:r w:rsidRPr="009A7904">
        <w:rPr>
          <w:shd w:val="clear" w:color="auto" w:fill="FFFFFF"/>
          <w:lang w:val="hy-AM"/>
        </w:rPr>
        <w:t>սահմաններից</w:t>
      </w:r>
      <w:r w:rsidRPr="009A7904">
        <w:rPr>
          <w:shd w:val="clear" w:color="auto" w:fill="FFFFFF"/>
          <w:lang w:val="af-ZA"/>
        </w:rPr>
        <w:t xml:space="preserve"> </w:t>
      </w:r>
      <w:r w:rsidRPr="009A7904">
        <w:rPr>
          <w:shd w:val="clear" w:color="auto" w:fill="FFFFFF"/>
          <w:lang w:val="hy-AM"/>
        </w:rPr>
        <w:t>դուրս</w:t>
      </w:r>
      <w:r w:rsidRPr="009A7904">
        <w:rPr>
          <w:shd w:val="clear" w:color="auto" w:fill="FFFFFF"/>
          <w:lang w:val="af-ZA"/>
        </w:rPr>
        <w:t xml:space="preserve">, </w:t>
      </w:r>
      <w:r w:rsidRPr="009A7904">
        <w:rPr>
          <w:shd w:val="clear" w:color="auto" w:fill="FFFFFF"/>
          <w:lang w:val="hy-AM"/>
        </w:rPr>
        <w:t>աջակցել</w:t>
      </w:r>
      <w:r w:rsidRPr="009A7904">
        <w:rPr>
          <w:shd w:val="clear" w:color="auto" w:fill="FFFFFF"/>
          <w:lang w:val="af-ZA"/>
        </w:rPr>
        <w:t xml:space="preserve"> </w:t>
      </w:r>
      <w:r w:rsidRPr="009A7904">
        <w:rPr>
          <w:shd w:val="clear" w:color="auto" w:fill="FFFFFF"/>
          <w:lang w:val="hy-AM"/>
        </w:rPr>
        <w:t>դեբյուտային</w:t>
      </w:r>
      <w:r w:rsidRPr="009A7904">
        <w:rPr>
          <w:shd w:val="clear" w:color="auto" w:fill="FFFFFF"/>
          <w:lang w:val="af-ZA"/>
        </w:rPr>
        <w:t xml:space="preserve"> </w:t>
      </w:r>
      <w:r w:rsidRPr="009A7904">
        <w:rPr>
          <w:shd w:val="clear" w:color="auto" w:fill="FFFFFF"/>
          <w:lang w:val="hy-AM"/>
        </w:rPr>
        <w:t>ստեղծագործական</w:t>
      </w:r>
      <w:r w:rsidRPr="009A7904">
        <w:rPr>
          <w:shd w:val="clear" w:color="auto" w:fill="FFFFFF"/>
          <w:lang w:val="af-ZA"/>
        </w:rPr>
        <w:t xml:space="preserve"> </w:t>
      </w:r>
      <w:r w:rsidRPr="009A7904">
        <w:rPr>
          <w:shd w:val="clear" w:color="auto" w:fill="FFFFFF"/>
          <w:lang w:val="hy-AM"/>
        </w:rPr>
        <w:t>ծրագրերին՝</w:t>
      </w:r>
      <w:r w:rsidRPr="009A7904">
        <w:rPr>
          <w:shd w:val="clear" w:color="auto" w:fill="FFFFFF"/>
          <w:lang w:val="af-ZA"/>
        </w:rPr>
        <w:t xml:space="preserve"> </w:t>
      </w:r>
      <w:r w:rsidRPr="009A7904">
        <w:rPr>
          <w:shd w:val="clear" w:color="auto" w:fill="FFFFFF"/>
          <w:lang w:val="hy-AM"/>
        </w:rPr>
        <w:t>արվեստի</w:t>
      </w:r>
      <w:r w:rsidRPr="009A7904">
        <w:rPr>
          <w:shd w:val="clear" w:color="auto" w:fill="FFFFFF"/>
          <w:lang w:val="af-ZA"/>
        </w:rPr>
        <w:t xml:space="preserve"> </w:t>
      </w:r>
      <w:r w:rsidRPr="009A7904">
        <w:rPr>
          <w:shd w:val="clear" w:color="auto" w:fill="FFFFFF"/>
          <w:lang w:val="hy-AM"/>
        </w:rPr>
        <w:t>փորձարարական</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նորարարական</w:t>
      </w:r>
      <w:r w:rsidRPr="009A7904">
        <w:rPr>
          <w:shd w:val="clear" w:color="auto" w:fill="FFFFFF"/>
          <w:lang w:val="af-ZA"/>
        </w:rPr>
        <w:t xml:space="preserve"> </w:t>
      </w:r>
      <w:r w:rsidRPr="009A7904">
        <w:rPr>
          <w:shd w:val="clear" w:color="auto" w:fill="FFFFFF"/>
          <w:lang w:val="hy-AM"/>
        </w:rPr>
        <w:t>ձևերի</w:t>
      </w:r>
      <w:r w:rsidRPr="009A7904">
        <w:rPr>
          <w:shd w:val="clear" w:color="auto" w:fill="FFFFFF"/>
          <w:lang w:val="af-ZA"/>
        </w:rPr>
        <w:t xml:space="preserve">  </w:t>
      </w:r>
      <w:r w:rsidRPr="009A7904">
        <w:rPr>
          <w:shd w:val="clear" w:color="auto" w:fill="FFFFFF"/>
          <w:lang w:val="hy-AM"/>
        </w:rPr>
        <w:t>խրախուսմամբ,</w:t>
      </w:r>
      <w:r w:rsidRPr="009A7904">
        <w:rPr>
          <w:shd w:val="clear" w:color="auto" w:fill="FFFFFF"/>
          <w:lang w:val="af-ZA"/>
        </w:rPr>
        <w:t xml:space="preserve"> </w:t>
      </w:r>
      <w:r w:rsidRPr="009A7904">
        <w:rPr>
          <w:shd w:val="clear" w:color="auto" w:fill="FFFFFF"/>
          <w:lang w:val="hy-AM"/>
        </w:rPr>
        <w:t>ապահովել</w:t>
      </w:r>
      <w:r w:rsidRPr="009A7904">
        <w:rPr>
          <w:shd w:val="clear" w:color="auto" w:fill="FFFFFF"/>
          <w:lang w:val="af-ZA"/>
        </w:rPr>
        <w:t xml:space="preserve"> </w:t>
      </w:r>
      <w:r w:rsidRPr="009A7904">
        <w:rPr>
          <w:shd w:val="clear" w:color="auto" w:fill="FFFFFF"/>
          <w:lang w:val="hy-AM"/>
        </w:rPr>
        <w:t>մշակութային</w:t>
      </w:r>
      <w:r w:rsidRPr="009A7904">
        <w:rPr>
          <w:shd w:val="clear" w:color="auto" w:fill="FFFFFF"/>
          <w:lang w:val="af-ZA"/>
        </w:rPr>
        <w:t xml:space="preserve"> </w:t>
      </w:r>
      <w:r w:rsidRPr="009A7904">
        <w:rPr>
          <w:shd w:val="clear" w:color="auto" w:fill="FFFFFF"/>
          <w:lang w:val="hy-AM"/>
        </w:rPr>
        <w:t>ծառայությունների</w:t>
      </w:r>
      <w:r w:rsidRPr="009A7904">
        <w:rPr>
          <w:shd w:val="clear" w:color="auto" w:fill="FFFFFF"/>
          <w:lang w:val="af-ZA"/>
        </w:rPr>
        <w:t xml:space="preserve"> </w:t>
      </w:r>
      <w:r w:rsidRPr="009A7904">
        <w:rPr>
          <w:shd w:val="clear" w:color="auto" w:fill="FFFFFF"/>
          <w:lang w:val="hy-AM"/>
        </w:rPr>
        <w:t>համաչափությունը</w:t>
      </w:r>
      <w:r w:rsidRPr="009A7904">
        <w:rPr>
          <w:shd w:val="clear" w:color="auto" w:fill="FFFFFF"/>
          <w:lang w:val="af-ZA"/>
        </w:rPr>
        <w:t xml:space="preserve">, </w:t>
      </w:r>
      <w:r w:rsidRPr="009A7904">
        <w:rPr>
          <w:shd w:val="clear" w:color="auto" w:fill="FFFFFF"/>
          <w:lang w:val="hy-AM"/>
        </w:rPr>
        <w:t>մատչելիությունը</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հասանելիությունը</w:t>
      </w:r>
      <w:r w:rsidRPr="009A7904">
        <w:rPr>
          <w:shd w:val="clear" w:color="auto" w:fill="FFFFFF"/>
          <w:lang w:val="af-ZA"/>
        </w:rPr>
        <w:t xml:space="preserve"> </w:t>
      </w:r>
      <w:r w:rsidRPr="009A7904">
        <w:rPr>
          <w:shd w:val="clear" w:color="auto" w:fill="FFFFFF"/>
          <w:lang w:val="hy-AM"/>
        </w:rPr>
        <w:t>Հայաստանի</w:t>
      </w:r>
      <w:r w:rsidRPr="009A7904">
        <w:rPr>
          <w:shd w:val="clear" w:color="auto" w:fill="FFFFFF"/>
          <w:lang w:val="af-ZA"/>
        </w:rPr>
        <w:t xml:space="preserve"> </w:t>
      </w:r>
      <w:r w:rsidRPr="009A7904">
        <w:rPr>
          <w:shd w:val="clear" w:color="auto" w:fill="FFFFFF"/>
          <w:lang w:val="hy-AM"/>
        </w:rPr>
        <w:t>Հանրապետության</w:t>
      </w:r>
      <w:r w:rsidRPr="009A7904">
        <w:rPr>
          <w:shd w:val="clear" w:color="auto" w:fill="FFFFFF"/>
          <w:lang w:val="af-ZA"/>
        </w:rPr>
        <w:t xml:space="preserve"> </w:t>
      </w:r>
      <w:r w:rsidRPr="009A7904">
        <w:rPr>
          <w:shd w:val="clear" w:color="auto" w:fill="FFFFFF"/>
          <w:lang w:val="hy-AM"/>
        </w:rPr>
        <w:t>մարզերում:</w:t>
      </w:r>
      <w:r w:rsidRPr="009A7904">
        <w:rPr>
          <w:shd w:val="clear" w:color="auto" w:fill="FFFFFF"/>
          <w:lang w:val="af-ZA"/>
        </w:rPr>
        <w:t xml:space="preserve"> </w:t>
      </w:r>
    </w:p>
    <w:p w14:paraId="62C5B587" w14:textId="77777777" w:rsidR="009D2825" w:rsidRPr="009A7904" w:rsidRDefault="009D2825" w:rsidP="009A7904">
      <w:pPr>
        <w:spacing w:line="276" w:lineRule="auto"/>
        <w:ind w:firstLine="720"/>
        <w:rPr>
          <w:shd w:val="clear" w:color="auto" w:fill="FFFFFF"/>
          <w:lang w:val="af-ZA"/>
        </w:rPr>
      </w:pPr>
      <w:r w:rsidRPr="009A7904">
        <w:rPr>
          <w:shd w:val="clear" w:color="auto" w:fill="FFFFFF"/>
          <w:lang w:val="hy-AM"/>
        </w:rPr>
        <w:t>Մշակույթի</w:t>
      </w:r>
      <w:r w:rsidRPr="009A7904">
        <w:rPr>
          <w:shd w:val="clear" w:color="auto" w:fill="FFFFFF"/>
          <w:lang w:val="af-ZA"/>
        </w:rPr>
        <w:t xml:space="preserve"> </w:t>
      </w:r>
      <w:r w:rsidRPr="009A7904">
        <w:rPr>
          <w:shd w:val="clear" w:color="auto" w:fill="FFFFFF"/>
          <w:lang w:val="hy-AM"/>
        </w:rPr>
        <w:t>ոլորտի</w:t>
      </w:r>
      <w:r w:rsidRPr="009A7904">
        <w:rPr>
          <w:shd w:val="clear" w:color="auto" w:fill="FFFFFF"/>
          <w:lang w:val="af-ZA"/>
        </w:rPr>
        <w:t xml:space="preserve"> </w:t>
      </w:r>
      <w:r w:rsidRPr="009A7904">
        <w:rPr>
          <w:shd w:val="clear" w:color="auto" w:fill="FFFFFF"/>
          <w:lang w:val="hy-AM"/>
        </w:rPr>
        <w:t>հիմնական</w:t>
      </w:r>
      <w:r w:rsidRPr="009A7904">
        <w:rPr>
          <w:shd w:val="clear" w:color="auto" w:fill="FFFFFF"/>
          <w:lang w:val="af-ZA"/>
        </w:rPr>
        <w:t xml:space="preserve"> </w:t>
      </w:r>
      <w:r w:rsidRPr="009A7904">
        <w:rPr>
          <w:shd w:val="clear" w:color="auto" w:fill="FFFFFF"/>
          <w:lang w:val="hy-AM"/>
        </w:rPr>
        <w:t>թիրախներն են</w:t>
      </w:r>
      <w:r w:rsidRPr="009A7904">
        <w:rPr>
          <w:shd w:val="clear" w:color="auto" w:fill="FFFFFF"/>
          <w:lang w:val="af-ZA"/>
        </w:rPr>
        <w:t xml:space="preserve">. </w:t>
      </w:r>
    </w:p>
    <w:p w14:paraId="55D1D728" w14:textId="77777777"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lastRenderedPageBreak/>
        <w:t>Կինոարվեստի, կինոարտադրության զարգացմանն աջակցություն, հայկական ավանդույթների շարունակականության ապահովում, կինոարվեստի հանրահռչակում</w:t>
      </w:r>
      <w:r w:rsidRPr="009A7904">
        <w:rPr>
          <w:lang w:val="af-ZA"/>
        </w:rPr>
        <w:t>,</w:t>
      </w:r>
      <w:r w:rsidRPr="009A7904">
        <w:rPr>
          <w:lang w:val="hy-AM"/>
        </w:rPr>
        <w:t xml:space="preserve"> </w:t>
      </w:r>
    </w:p>
    <w:p w14:paraId="6E37EE93" w14:textId="77777777"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Մշակութային ժառանգության պահպանում, օգտագործում, համալրում և հանրահռչակում,</w:t>
      </w:r>
    </w:p>
    <w:p w14:paraId="72C85D75" w14:textId="77777777"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 xml:space="preserve"> Գրական դաշտի բոլոր օղակների հավասարաչափ զարգացում, գրական արտադրանքի միջոցով գրական-մշակութային ժառանգության պահպանում, զարգացում, տարածում և հանրահռչակում, քաղաքացիական հասարակության ձևավորում, ստեղծագործական ներուժի վերարտադրման և զարգացման համար պայմանների ստեղծում,</w:t>
      </w:r>
    </w:p>
    <w:p w14:paraId="0BB64C9D" w14:textId="77777777"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 xml:space="preserve"> Ազգային հենքի վրա ժամանակակից թատերարվեստի, երաժշտարվեստի, կերպարվեստի և պարարվեստի զարգացում և հանրահռչակում,</w:t>
      </w:r>
    </w:p>
    <w:p w14:paraId="6BA5E74B" w14:textId="77777777"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Երեխաների հոգևոր և գեղագիտական ընդունակությունների բացահայտում և զարգացում,</w:t>
      </w:r>
    </w:p>
    <w:p w14:paraId="56A7144B" w14:textId="77777777"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 xml:space="preserve"> Մարզերում մշակութային կյանքի և մշակութաստեղծ գործունեության ակտիվացում,</w:t>
      </w:r>
    </w:p>
    <w:p w14:paraId="62C25863" w14:textId="77777777"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 xml:space="preserve"> ՀՀ ազգային արխիվային հավաքածուի պահպանության, համալրման, հաշվառման և օգտագործման ապահովում:</w:t>
      </w:r>
    </w:p>
    <w:p w14:paraId="54C5B152" w14:textId="77777777" w:rsidR="009D2825" w:rsidRPr="009A7904" w:rsidRDefault="009D2825" w:rsidP="009A7904">
      <w:pPr>
        <w:keepNext/>
        <w:widowControl w:val="0"/>
        <w:tabs>
          <w:tab w:val="left" w:pos="567"/>
          <w:tab w:val="left" w:pos="993"/>
          <w:tab w:val="right" w:pos="10208"/>
        </w:tabs>
        <w:spacing w:line="276" w:lineRule="auto"/>
        <w:ind w:left="786"/>
        <w:contextualSpacing/>
        <w:outlineLvl w:val="1"/>
        <w:rPr>
          <w:rFonts w:cs="Sylfaen"/>
          <w:b/>
          <w:lang w:val="hy-AM"/>
        </w:rPr>
      </w:pPr>
    </w:p>
    <w:p w14:paraId="3F306B15" w14:textId="77777777" w:rsidR="009D2825" w:rsidRPr="009A7904" w:rsidRDefault="009D2825" w:rsidP="009A7904">
      <w:pPr>
        <w:tabs>
          <w:tab w:val="left" w:pos="851"/>
          <w:tab w:val="left" w:pos="993"/>
        </w:tabs>
        <w:spacing w:line="276" w:lineRule="auto"/>
        <w:ind w:firstLine="0"/>
        <w:rPr>
          <w:rFonts w:cs="Sylfaen"/>
          <w:b/>
          <w:lang w:val="hy-AM"/>
        </w:rPr>
      </w:pPr>
      <w:r w:rsidRPr="009A7904">
        <w:rPr>
          <w:rFonts w:cs="Sylfaen"/>
          <w:b/>
          <w:lang w:val="hy-AM"/>
        </w:rPr>
        <w:t xml:space="preserve"> </w:t>
      </w:r>
      <w:r w:rsidRPr="009A7904">
        <w:rPr>
          <w:rFonts w:cs="GHEA Grapalat"/>
          <w:b/>
          <w:lang w:val="hy-AM"/>
        </w:rPr>
        <w:t>ՈԼՈՐՏԱՅԻՆ ԾԱԽՍԱՅԻՆ ԾՐԱԳՐԵՐԸ</w:t>
      </w:r>
      <w:r w:rsidRPr="009A7904">
        <w:rPr>
          <w:rFonts w:cs="Sylfaen"/>
          <w:b/>
          <w:lang w:val="hy-AM"/>
        </w:rPr>
        <w:t xml:space="preserve"> </w:t>
      </w:r>
    </w:p>
    <w:p w14:paraId="3F88EBBB" w14:textId="77777777" w:rsidR="009D2825" w:rsidRPr="009A7904" w:rsidRDefault="009D2825" w:rsidP="009A7904">
      <w:pPr>
        <w:spacing w:line="276" w:lineRule="auto"/>
        <w:ind w:firstLine="360"/>
        <w:rPr>
          <w:rFonts w:cs="Sylfaen"/>
          <w:b/>
          <w:i/>
          <w:lang w:val="hy-AM"/>
        </w:rPr>
      </w:pPr>
      <w:r w:rsidRPr="009A7904">
        <w:rPr>
          <w:rFonts w:cs="Sylfaen"/>
          <w:b/>
          <w:i/>
          <w:lang w:val="hy-AM"/>
        </w:rPr>
        <w:t>1.</w:t>
      </w:r>
      <w:r w:rsidRPr="009A7904">
        <w:rPr>
          <w:rFonts w:cs="Sylfaen"/>
          <w:b/>
          <w:i/>
          <w:lang w:val="af-ZA"/>
        </w:rPr>
        <w:t>Կինեմատոգրաֆիայի ծրագ</w:t>
      </w:r>
      <w:r w:rsidRPr="009A7904">
        <w:rPr>
          <w:rFonts w:cs="Sylfaen"/>
          <w:b/>
          <w:i/>
          <w:lang w:val="hy-AM"/>
        </w:rPr>
        <w:t>իր</w:t>
      </w:r>
    </w:p>
    <w:p w14:paraId="02C83C61" w14:textId="77777777" w:rsidR="009D2825" w:rsidRPr="009A7904" w:rsidRDefault="009D2825" w:rsidP="009A7904">
      <w:pPr>
        <w:spacing w:line="276" w:lineRule="auto"/>
        <w:rPr>
          <w:lang w:val="hy-AM"/>
        </w:rPr>
      </w:pPr>
      <w:r w:rsidRPr="009A7904">
        <w:rPr>
          <w:rFonts w:cs="Sylfaen"/>
          <w:i/>
          <w:lang w:val="hy-AM"/>
        </w:rPr>
        <w:t xml:space="preserve">        </w:t>
      </w:r>
      <w:r w:rsidRPr="009A7904">
        <w:rPr>
          <w:rFonts w:cs="Sylfaen"/>
          <w:lang w:val="hy-AM"/>
        </w:rPr>
        <w:t>Ծրագրի նպատակն է՝</w:t>
      </w:r>
      <w:r w:rsidRPr="009A7904">
        <w:rPr>
          <w:lang w:val="hy-AM"/>
        </w:rPr>
        <w:t xml:space="preserve"> նպաստել կինոարտադրանքի</w:t>
      </w:r>
      <w:r w:rsidRPr="009A7904">
        <w:rPr>
          <w:lang w:val="af-ZA"/>
        </w:rPr>
        <w:t xml:space="preserve"> </w:t>
      </w:r>
      <w:r w:rsidRPr="009A7904">
        <w:rPr>
          <w:lang w:val="hy-AM"/>
        </w:rPr>
        <w:t>ստեղծմանը</w:t>
      </w:r>
      <w:r w:rsidRPr="009A7904">
        <w:rPr>
          <w:lang w:val="af-ZA"/>
        </w:rPr>
        <w:t xml:space="preserve">, Հայաստանում և </w:t>
      </w:r>
      <w:r w:rsidRPr="009A7904">
        <w:rPr>
          <w:lang w:val="hy-AM"/>
        </w:rPr>
        <w:t>միջազգային</w:t>
      </w:r>
      <w:r w:rsidRPr="009A7904">
        <w:rPr>
          <w:lang w:val="af-ZA"/>
        </w:rPr>
        <w:t xml:space="preserve"> </w:t>
      </w:r>
      <w:r w:rsidRPr="009A7904">
        <w:rPr>
          <w:lang w:val="hy-AM"/>
        </w:rPr>
        <w:t>ասպարեզում</w:t>
      </w:r>
      <w:r w:rsidRPr="009A7904">
        <w:rPr>
          <w:lang w:val="af-ZA"/>
        </w:rPr>
        <w:t xml:space="preserve"> հայրենական կինոարտադրության </w:t>
      </w:r>
      <w:r w:rsidRPr="009A7904">
        <w:rPr>
          <w:lang w:val="hy-AM"/>
        </w:rPr>
        <w:t>ներկայացմանը</w:t>
      </w:r>
      <w:r w:rsidRPr="009A7904">
        <w:rPr>
          <w:lang w:val="af-ZA"/>
        </w:rPr>
        <w:t xml:space="preserve">, </w:t>
      </w:r>
      <w:r w:rsidRPr="009A7904">
        <w:rPr>
          <w:lang w:val="hy-AM"/>
        </w:rPr>
        <w:t>հայկական</w:t>
      </w:r>
      <w:r w:rsidRPr="009A7904">
        <w:rPr>
          <w:lang w:val="af-ZA"/>
        </w:rPr>
        <w:t xml:space="preserve"> </w:t>
      </w:r>
      <w:r w:rsidRPr="009A7904">
        <w:rPr>
          <w:lang w:val="hy-AM"/>
        </w:rPr>
        <w:t>կինոժառանգության</w:t>
      </w:r>
      <w:r w:rsidRPr="009A7904">
        <w:rPr>
          <w:lang w:val="af-ZA"/>
        </w:rPr>
        <w:t xml:space="preserve"> </w:t>
      </w:r>
      <w:r w:rsidRPr="009A7904">
        <w:rPr>
          <w:lang w:val="hy-AM"/>
        </w:rPr>
        <w:t>թվայնացմանը:</w:t>
      </w:r>
    </w:p>
    <w:p w14:paraId="56C107BD" w14:textId="77777777" w:rsidR="009D2825" w:rsidRPr="009A7904" w:rsidRDefault="009D2825" w:rsidP="009A7904">
      <w:pPr>
        <w:spacing w:after="0" w:line="276" w:lineRule="auto"/>
        <w:ind w:firstLine="360"/>
        <w:rPr>
          <w:lang w:val="af-ZA"/>
        </w:rPr>
      </w:pPr>
      <w:r w:rsidRPr="009A7904">
        <w:rPr>
          <w:rFonts w:cs="Sylfaen"/>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714</w:t>
      </w:r>
      <w:r w:rsidRPr="009A7904">
        <w:rPr>
          <w:rFonts w:cs="Sylfaen"/>
          <w:lang w:val="af-ZA"/>
        </w:rPr>
        <w:t>.1</w:t>
      </w:r>
      <w:r w:rsidRPr="009A7904">
        <w:rPr>
          <w:rFonts w:cs="Sylfaen"/>
          <w:lang w:val="hy-AM"/>
        </w:rPr>
        <w:t>; 842</w:t>
      </w:r>
      <w:r w:rsidRPr="009A7904">
        <w:rPr>
          <w:rFonts w:cs="Sylfaen"/>
          <w:lang w:val="af-ZA"/>
        </w:rPr>
        <w:t>.</w:t>
      </w:r>
      <w:r w:rsidRPr="009A7904">
        <w:rPr>
          <w:rFonts w:cs="Sylfaen"/>
          <w:lang w:val="hy-AM"/>
        </w:rPr>
        <w:t>0 և 842</w:t>
      </w:r>
      <w:r w:rsidRPr="009A7904">
        <w:rPr>
          <w:rFonts w:cs="Sylfaen"/>
          <w:lang w:val="af-ZA"/>
        </w:rPr>
        <w:t>.</w:t>
      </w:r>
      <w:r w:rsidRPr="009A7904">
        <w:rPr>
          <w:rFonts w:cs="Sylfaen"/>
          <w:lang w:val="hy-AM"/>
        </w:rPr>
        <w:t>0 մլն դրամ</w:t>
      </w:r>
      <w:r w:rsidRPr="009A7904">
        <w:rPr>
          <w:lang w:val="hy-AM"/>
        </w:rPr>
        <w:t>՝ 2020 թվականի 842.0 մլն դրամի դիմաց</w:t>
      </w:r>
      <w:r w:rsidRPr="009A7904">
        <w:rPr>
          <w:lang w:val="af-ZA"/>
        </w:rPr>
        <w:t>:</w:t>
      </w:r>
    </w:p>
    <w:p w14:paraId="4652C7D6" w14:textId="77777777" w:rsidR="009D2825" w:rsidRPr="009A7904" w:rsidRDefault="009D2825" w:rsidP="009A7904">
      <w:pPr>
        <w:spacing w:after="0" w:line="276" w:lineRule="auto"/>
        <w:ind w:firstLine="360"/>
        <w:rPr>
          <w:lang w:val="hy-AM"/>
        </w:rPr>
      </w:pPr>
      <w:r w:rsidRPr="009A7904">
        <w:rPr>
          <w:lang w:val="hy-AM"/>
        </w:rPr>
        <w:t xml:space="preserve">2021 թվականի ծախսերի նվազումը 2020 թվականի պետական բյուջեի նկատմամբ՝ </w:t>
      </w:r>
      <w:r w:rsidRPr="009A7904">
        <w:rPr>
          <w:lang w:val="af-ZA"/>
        </w:rPr>
        <w:t>15</w:t>
      </w:r>
      <w:r w:rsidRPr="009A7904">
        <w:rPr>
          <w:lang w:val="hy-AM"/>
        </w:rPr>
        <w:t>.2</w:t>
      </w:r>
      <w:r w:rsidRPr="009A7904">
        <w:rPr>
          <w:lang w:val="af-ZA"/>
        </w:rPr>
        <w:t>%</w:t>
      </w:r>
      <w:r w:rsidRPr="009A7904">
        <w:rPr>
          <w:lang w:val="hy-AM"/>
        </w:rPr>
        <w:t>-ով պայմանավորված է ծախսերի գերակայություններով և առաջնահերթություններով:</w:t>
      </w:r>
    </w:p>
    <w:p w14:paraId="70C935FB" w14:textId="77777777" w:rsidR="009D2825" w:rsidRPr="009A7904" w:rsidRDefault="009D2825" w:rsidP="009A7904">
      <w:pPr>
        <w:spacing w:line="276" w:lineRule="auto"/>
        <w:ind w:firstLine="360"/>
        <w:rPr>
          <w:rFonts w:cs="Sylfaen"/>
          <w:b/>
          <w:i/>
          <w:lang w:val="hy-AM"/>
        </w:rPr>
      </w:pPr>
      <w:r w:rsidRPr="009A7904">
        <w:rPr>
          <w:rFonts w:cs="Sylfaen"/>
          <w:b/>
          <w:i/>
          <w:lang w:val="hy-AM"/>
        </w:rPr>
        <w:t>2. Մշակութային</w:t>
      </w:r>
      <w:r w:rsidRPr="009A7904">
        <w:rPr>
          <w:b/>
          <w:i/>
          <w:lang w:val="af-ZA"/>
        </w:rPr>
        <w:t xml:space="preserve"> </w:t>
      </w:r>
      <w:r w:rsidRPr="009A7904">
        <w:rPr>
          <w:rFonts w:cs="Sylfaen"/>
          <w:b/>
          <w:i/>
          <w:lang w:val="hy-AM"/>
        </w:rPr>
        <w:t>ժառանգության</w:t>
      </w:r>
      <w:r w:rsidRPr="009A7904">
        <w:rPr>
          <w:rFonts w:cs="Sylfaen"/>
          <w:b/>
          <w:i/>
          <w:lang w:val="af-ZA"/>
        </w:rPr>
        <w:t xml:space="preserve"> ծրագ</w:t>
      </w:r>
      <w:r w:rsidRPr="009A7904">
        <w:rPr>
          <w:rFonts w:cs="Sylfaen"/>
          <w:b/>
          <w:i/>
          <w:lang w:val="hy-AM"/>
        </w:rPr>
        <w:t>իր</w:t>
      </w:r>
    </w:p>
    <w:p w14:paraId="7228C4D5" w14:textId="77777777" w:rsidR="009D2825" w:rsidRPr="009A7904" w:rsidRDefault="009D2825" w:rsidP="009A7904">
      <w:pPr>
        <w:spacing w:after="0" w:line="276" w:lineRule="auto"/>
        <w:rPr>
          <w:rFonts w:cs="Sylfaen"/>
          <w:lang w:val="hy-AM"/>
        </w:rPr>
      </w:pPr>
      <w:r w:rsidRPr="009A7904">
        <w:rPr>
          <w:rFonts w:cs="Sylfaen"/>
          <w:b/>
          <w:i/>
          <w:lang w:val="hy-AM"/>
        </w:rPr>
        <w:t xml:space="preserve">        </w:t>
      </w:r>
      <w:r w:rsidRPr="009A7904">
        <w:rPr>
          <w:rFonts w:cs="Sylfaen"/>
          <w:lang w:val="hy-AM"/>
        </w:rPr>
        <w:t xml:space="preserve">Ծրագրի նպատակն է՝ </w:t>
      </w:r>
      <w:r w:rsidRPr="009A7904">
        <w:rPr>
          <w:lang w:val="hy-AM"/>
        </w:rPr>
        <w:t>նպաստել</w:t>
      </w:r>
      <w:r w:rsidRPr="009A7904">
        <w:rPr>
          <w:lang w:val="af-ZA"/>
        </w:rPr>
        <w:t xml:space="preserve"> մ</w:t>
      </w:r>
      <w:r w:rsidRPr="009A7904">
        <w:rPr>
          <w:lang w:val="hy-AM"/>
        </w:rPr>
        <w:t>շակութային</w:t>
      </w:r>
      <w:r w:rsidRPr="009A7904">
        <w:rPr>
          <w:lang w:val="af-ZA"/>
        </w:rPr>
        <w:t xml:space="preserve"> </w:t>
      </w:r>
      <w:r w:rsidRPr="009A7904">
        <w:rPr>
          <w:lang w:val="hy-AM"/>
        </w:rPr>
        <w:t>շարժական</w:t>
      </w:r>
      <w:r w:rsidRPr="009A7904">
        <w:rPr>
          <w:lang w:val="af-ZA"/>
        </w:rPr>
        <w:t xml:space="preserve"> </w:t>
      </w:r>
      <w:r w:rsidRPr="009A7904">
        <w:rPr>
          <w:lang w:val="hy-AM"/>
        </w:rPr>
        <w:t>ժառանգության</w:t>
      </w:r>
      <w:r w:rsidRPr="009A7904">
        <w:rPr>
          <w:lang w:val="af-ZA"/>
        </w:rPr>
        <w:t xml:space="preserve"> </w:t>
      </w:r>
      <w:r w:rsidRPr="009A7904">
        <w:rPr>
          <w:lang w:val="hy-AM"/>
        </w:rPr>
        <w:t>հաշվառմանը</w:t>
      </w:r>
      <w:r w:rsidRPr="009A7904">
        <w:rPr>
          <w:lang w:val="af-ZA"/>
        </w:rPr>
        <w:t xml:space="preserve">, </w:t>
      </w:r>
      <w:r w:rsidRPr="009A7904">
        <w:rPr>
          <w:lang w:val="hy-AM"/>
        </w:rPr>
        <w:t>գիտական</w:t>
      </w:r>
      <w:r w:rsidRPr="009A7904">
        <w:rPr>
          <w:lang w:val="af-ZA"/>
        </w:rPr>
        <w:t xml:space="preserve"> </w:t>
      </w:r>
      <w:r w:rsidRPr="009A7904">
        <w:rPr>
          <w:lang w:val="hy-AM"/>
        </w:rPr>
        <w:t>ուսումնա</w:t>
      </w:r>
      <w:r w:rsidRPr="009A7904">
        <w:rPr>
          <w:lang w:val="af-ZA"/>
        </w:rPr>
        <w:softHyphen/>
      </w:r>
      <w:r w:rsidRPr="009A7904">
        <w:rPr>
          <w:lang w:val="hy-AM"/>
        </w:rPr>
        <w:t>սիրու</w:t>
      </w:r>
      <w:r w:rsidRPr="009A7904">
        <w:rPr>
          <w:lang w:val="af-ZA"/>
        </w:rPr>
        <w:softHyphen/>
      </w:r>
      <w:r w:rsidRPr="009A7904">
        <w:rPr>
          <w:lang w:val="hy-AM"/>
        </w:rPr>
        <w:t>թյանը</w:t>
      </w:r>
      <w:r w:rsidRPr="009A7904">
        <w:rPr>
          <w:lang w:val="af-ZA"/>
        </w:rPr>
        <w:t xml:space="preserve">, </w:t>
      </w:r>
      <w:r w:rsidRPr="009A7904">
        <w:rPr>
          <w:lang w:val="hy-AM"/>
        </w:rPr>
        <w:t>համալր</w:t>
      </w:r>
      <w:r w:rsidRPr="009A7904">
        <w:rPr>
          <w:lang w:val="af-ZA"/>
        </w:rPr>
        <w:softHyphen/>
      </w:r>
      <w:r w:rsidRPr="009A7904">
        <w:rPr>
          <w:lang w:val="hy-AM"/>
        </w:rPr>
        <w:t>մանը</w:t>
      </w:r>
      <w:r w:rsidRPr="009A7904">
        <w:rPr>
          <w:lang w:val="af-ZA"/>
        </w:rPr>
        <w:t xml:space="preserve">, </w:t>
      </w:r>
      <w:r w:rsidRPr="009A7904">
        <w:rPr>
          <w:lang w:val="hy-AM"/>
        </w:rPr>
        <w:t>հանրահռչակմանը</w:t>
      </w:r>
      <w:r w:rsidRPr="009A7904">
        <w:rPr>
          <w:lang w:val="af-ZA"/>
        </w:rPr>
        <w:t xml:space="preserve">, </w:t>
      </w:r>
      <w:r w:rsidRPr="009A7904">
        <w:rPr>
          <w:lang w:val="hy-AM"/>
        </w:rPr>
        <w:t>թանգարանների</w:t>
      </w:r>
      <w:r w:rsidRPr="009A7904">
        <w:rPr>
          <w:lang w:val="af-ZA"/>
        </w:rPr>
        <w:t xml:space="preserve"> </w:t>
      </w:r>
      <w:r w:rsidRPr="009A7904">
        <w:rPr>
          <w:lang w:val="hy-AM"/>
        </w:rPr>
        <w:t>ցուցադրությունների</w:t>
      </w:r>
      <w:r w:rsidRPr="009A7904">
        <w:rPr>
          <w:lang w:val="af-ZA"/>
        </w:rPr>
        <w:t xml:space="preserve"> </w:t>
      </w:r>
      <w:r w:rsidRPr="009A7904">
        <w:rPr>
          <w:lang w:val="hy-AM"/>
        </w:rPr>
        <w:t>և</w:t>
      </w:r>
      <w:r w:rsidRPr="009A7904">
        <w:rPr>
          <w:lang w:val="af-ZA"/>
        </w:rPr>
        <w:t xml:space="preserve"> մշակութային արժեքների </w:t>
      </w:r>
      <w:r w:rsidRPr="009A7904">
        <w:rPr>
          <w:lang w:val="hy-AM"/>
        </w:rPr>
        <w:t>պահ</w:t>
      </w:r>
      <w:r w:rsidRPr="009A7904">
        <w:rPr>
          <w:lang w:val="af-ZA"/>
        </w:rPr>
        <w:softHyphen/>
      </w:r>
      <w:r w:rsidRPr="009A7904">
        <w:rPr>
          <w:lang w:val="hy-AM"/>
        </w:rPr>
        <w:t>պանու</w:t>
      </w:r>
      <w:r w:rsidRPr="009A7904">
        <w:rPr>
          <w:lang w:val="af-ZA"/>
        </w:rPr>
        <w:softHyphen/>
      </w:r>
      <w:r w:rsidRPr="009A7904">
        <w:rPr>
          <w:lang w:val="hy-AM"/>
        </w:rPr>
        <w:t>թյան</w:t>
      </w:r>
      <w:r w:rsidRPr="009A7904">
        <w:rPr>
          <w:lang w:val="af-ZA"/>
        </w:rPr>
        <w:t xml:space="preserve"> </w:t>
      </w:r>
      <w:r w:rsidRPr="009A7904">
        <w:rPr>
          <w:lang w:val="hy-AM"/>
        </w:rPr>
        <w:t>պայ</w:t>
      </w:r>
      <w:r w:rsidRPr="009A7904">
        <w:rPr>
          <w:lang w:val="af-ZA"/>
        </w:rPr>
        <w:softHyphen/>
      </w:r>
      <w:r w:rsidRPr="009A7904">
        <w:rPr>
          <w:lang w:val="hy-AM"/>
        </w:rPr>
        <w:t>ման</w:t>
      </w:r>
      <w:r w:rsidRPr="009A7904">
        <w:rPr>
          <w:lang w:val="af-ZA"/>
        </w:rPr>
        <w:softHyphen/>
      </w:r>
      <w:r w:rsidRPr="009A7904">
        <w:rPr>
          <w:lang w:val="hy-AM"/>
        </w:rPr>
        <w:t>ների</w:t>
      </w:r>
      <w:r w:rsidRPr="009A7904">
        <w:rPr>
          <w:lang w:val="af-ZA"/>
        </w:rPr>
        <w:t xml:space="preserve"> </w:t>
      </w:r>
      <w:r w:rsidRPr="009A7904">
        <w:rPr>
          <w:lang w:val="hy-AM"/>
        </w:rPr>
        <w:t>ժա</w:t>
      </w:r>
      <w:r w:rsidRPr="009A7904">
        <w:rPr>
          <w:lang w:val="af-ZA"/>
        </w:rPr>
        <w:softHyphen/>
      </w:r>
      <w:r w:rsidRPr="009A7904">
        <w:rPr>
          <w:lang w:val="hy-AM"/>
        </w:rPr>
        <w:t>մա</w:t>
      </w:r>
      <w:r w:rsidRPr="009A7904">
        <w:rPr>
          <w:lang w:val="af-ZA"/>
        </w:rPr>
        <w:softHyphen/>
      </w:r>
      <w:r w:rsidRPr="009A7904">
        <w:rPr>
          <w:lang w:val="hy-AM"/>
        </w:rPr>
        <w:t>նա</w:t>
      </w:r>
      <w:r w:rsidRPr="009A7904">
        <w:rPr>
          <w:lang w:val="af-ZA"/>
        </w:rPr>
        <w:softHyphen/>
      </w:r>
      <w:r w:rsidRPr="009A7904">
        <w:rPr>
          <w:lang w:val="hy-AM"/>
        </w:rPr>
        <w:t>կակից</w:t>
      </w:r>
      <w:r w:rsidRPr="009A7904">
        <w:rPr>
          <w:lang w:val="af-ZA"/>
        </w:rPr>
        <w:t xml:space="preserve"> </w:t>
      </w:r>
      <w:r w:rsidRPr="009A7904">
        <w:rPr>
          <w:lang w:val="hy-AM"/>
        </w:rPr>
        <w:t>տեխնիկական</w:t>
      </w:r>
      <w:r w:rsidRPr="009A7904">
        <w:rPr>
          <w:lang w:val="af-ZA"/>
        </w:rPr>
        <w:t xml:space="preserve"> </w:t>
      </w:r>
      <w:r w:rsidRPr="009A7904">
        <w:rPr>
          <w:lang w:val="hy-AM"/>
        </w:rPr>
        <w:t>պահանջներին</w:t>
      </w:r>
      <w:r w:rsidRPr="009A7904">
        <w:rPr>
          <w:lang w:val="af-ZA"/>
        </w:rPr>
        <w:t xml:space="preserve"> </w:t>
      </w:r>
      <w:r w:rsidRPr="009A7904">
        <w:rPr>
          <w:lang w:val="hy-AM"/>
        </w:rPr>
        <w:t>համապատաս</w:t>
      </w:r>
      <w:r w:rsidRPr="009A7904">
        <w:rPr>
          <w:lang w:val="af-ZA"/>
        </w:rPr>
        <w:softHyphen/>
      </w:r>
      <w:r w:rsidRPr="009A7904">
        <w:rPr>
          <w:lang w:val="hy-AM"/>
        </w:rPr>
        <w:t>խա</w:t>
      </w:r>
      <w:r w:rsidRPr="009A7904">
        <w:rPr>
          <w:lang w:val="af-ZA"/>
        </w:rPr>
        <w:softHyphen/>
      </w:r>
      <w:r w:rsidRPr="009A7904">
        <w:rPr>
          <w:lang w:val="hy-AM"/>
        </w:rPr>
        <w:t>նեց</w:t>
      </w:r>
      <w:r w:rsidRPr="009A7904">
        <w:rPr>
          <w:lang w:val="af-ZA"/>
        </w:rPr>
        <w:softHyphen/>
      </w:r>
      <w:r w:rsidRPr="009A7904">
        <w:rPr>
          <w:lang w:val="hy-AM"/>
        </w:rPr>
        <w:t>մանը, ինչպես նաև</w:t>
      </w:r>
      <w:r w:rsidRPr="009A7904">
        <w:rPr>
          <w:lang w:val="af-ZA"/>
        </w:rPr>
        <w:t xml:space="preserve"> մ</w:t>
      </w:r>
      <w:r w:rsidRPr="009A7904">
        <w:rPr>
          <w:lang w:val="hy-AM"/>
        </w:rPr>
        <w:t>շակութային</w:t>
      </w:r>
      <w:r w:rsidRPr="009A7904">
        <w:rPr>
          <w:lang w:val="af-ZA"/>
        </w:rPr>
        <w:t xml:space="preserve"> </w:t>
      </w:r>
      <w:r w:rsidRPr="009A7904">
        <w:rPr>
          <w:lang w:val="hy-AM"/>
        </w:rPr>
        <w:t>անշարժ</w:t>
      </w:r>
      <w:r w:rsidRPr="009A7904">
        <w:rPr>
          <w:lang w:val="af-ZA"/>
        </w:rPr>
        <w:t xml:space="preserve"> </w:t>
      </w:r>
      <w:r w:rsidRPr="009A7904">
        <w:rPr>
          <w:lang w:val="hy-AM"/>
        </w:rPr>
        <w:t>ժառանգության</w:t>
      </w:r>
      <w:r w:rsidRPr="009A7904">
        <w:rPr>
          <w:lang w:val="af-ZA"/>
        </w:rPr>
        <w:t xml:space="preserve"> </w:t>
      </w:r>
      <w:r w:rsidRPr="009A7904">
        <w:rPr>
          <w:lang w:val="hy-AM"/>
        </w:rPr>
        <w:t>պահպանությանը</w:t>
      </w:r>
      <w:r w:rsidRPr="009A7904">
        <w:rPr>
          <w:lang w:val="af-ZA"/>
        </w:rPr>
        <w:t xml:space="preserve">, </w:t>
      </w:r>
      <w:r w:rsidRPr="009A7904">
        <w:rPr>
          <w:lang w:val="hy-AM"/>
        </w:rPr>
        <w:t>ուսումնասիրությանը</w:t>
      </w:r>
      <w:r w:rsidRPr="009A7904">
        <w:rPr>
          <w:lang w:val="af-ZA"/>
        </w:rPr>
        <w:t xml:space="preserve">, </w:t>
      </w:r>
      <w:r w:rsidRPr="009A7904">
        <w:rPr>
          <w:lang w:val="hy-AM"/>
        </w:rPr>
        <w:t>հաշվառ</w:t>
      </w:r>
      <w:r w:rsidRPr="009A7904">
        <w:rPr>
          <w:lang w:val="af-ZA"/>
        </w:rPr>
        <w:softHyphen/>
      </w:r>
      <w:r w:rsidRPr="009A7904">
        <w:rPr>
          <w:lang w:val="hy-AM"/>
        </w:rPr>
        <w:t>մանը</w:t>
      </w:r>
      <w:r w:rsidRPr="009A7904">
        <w:rPr>
          <w:lang w:val="af-ZA"/>
        </w:rPr>
        <w:t xml:space="preserve">, </w:t>
      </w:r>
      <w:r w:rsidRPr="009A7904">
        <w:rPr>
          <w:lang w:val="hy-AM"/>
        </w:rPr>
        <w:t>վերականգնմանը</w:t>
      </w:r>
      <w:r w:rsidRPr="009A7904">
        <w:rPr>
          <w:lang w:val="af-ZA"/>
        </w:rPr>
        <w:t xml:space="preserve">, </w:t>
      </w:r>
      <w:r w:rsidRPr="009A7904">
        <w:rPr>
          <w:lang w:val="hy-AM"/>
        </w:rPr>
        <w:t>հանրահռչակմանը:</w:t>
      </w:r>
    </w:p>
    <w:p w14:paraId="211419E4" w14:textId="77777777" w:rsidR="009D2825" w:rsidRPr="009A7904" w:rsidRDefault="009D2825" w:rsidP="009A7904">
      <w:pPr>
        <w:spacing w:after="0" w:line="276" w:lineRule="auto"/>
        <w:ind w:firstLine="360"/>
        <w:rPr>
          <w:lang w:val="af-ZA"/>
        </w:rPr>
      </w:pPr>
      <w:r w:rsidRPr="009A7904">
        <w:rPr>
          <w:lang w:val="hy-AM"/>
        </w:rPr>
        <w:t xml:space="preserve">Ծրագրի գծով 2021-2023 թվականներին նախատեսվում է հատկացնել, ըստ տարիների՝ </w:t>
      </w:r>
      <w:r w:rsidRPr="009A7904">
        <w:rPr>
          <w:rFonts w:cs="Sylfaen"/>
          <w:lang w:val="hy-AM"/>
        </w:rPr>
        <w:t>համապատասխանաբար՝ 2,982</w:t>
      </w:r>
      <w:r w:rsidRPr="009A7904">
        <w:rPr>
          <w:rFonts w:cs="Sylfaen"/>
          <w:lang w:val="af-ZA"/>
        </w:rPr>
        <w:t>.</w:t>
      </w:r>
      <w:r w:rsidRPr="009A7904">
        <w:rPr>
          <w:rFonts w:cs="Sylfaen"/>
          <w:lang w:val="hy-AM"/>
        </w:rPr>
        <w:t>5; 3,173</w:t>
      </w:r>
      <w:r w:rsidRPr="009A7904">
        <w:rPr>
          <w:rFonts w:cs="Sylfaen"/>
          <w:lang w:val="af-ZA"/>
        </w:rPr>
        <w:t>.</w:t>
      </w:r>
      <w:r w:rsidRPr="009A7904">
        <w:rPr>
          <w:rFonts w:cs="Sylfaen"/>
          <w:lang w:val="hy-AM"/>
        </w:rPr>
        <w:t>5 և 3,173</w:t>
      </w:r>
      <w:r w:rsidRPr="009A7904">
        <w:rPr>
          <w:rFonts w:cs="Sylfaen"/>
          <w:lang w:val="af-ZA"/>
        </w:rPr>
        <w:t>.</w:t>
      </w:r>
      <w:r w:rsidRPr="009A7904">
        <w:rPr>
          <w:rFonts w:cs="Sylfaen"/>
          <w:lang w:val="hy-AM"/>
        </w:rPr>
        <w:t>5  մլն դրամ</w:t>
      </w:r>
      <w:r w:rsidRPr="009A7904">
        <w:rPr>
          <w:lang w:val="hy-AM"/>
        </w:rPr>
        <w:t>՝ 2020 թվականի 2</w:t>
      </w:r>
      <w:r w:rsidRPr="009A7904">
        <w:rPr>
          <w:rFonts w:cs="Sylfaen"/>
          <w:lang w:val="hy-AM"/>
        </w:rPr>
        <w:t>,951</w:t>
      </w:r>
      <w:r w:rsidRPr="009A7904">
        <w:rPr>
          <w:rFonts w:cs="Sylfaen"/>
          <w:lang w:val="af-ZA"/>
        </w:rPr>
        <w:t>.</w:t>
      </w:r>
      <w:r w:rsidRPr="009A7904">
        <w:rPr>
          <w:rFonts w:cs="Sylfaen"/>
          <w:lang w:val="hy-AM"/>
        </w:rPr>
        <w:t xml:space="preserve">7  </w:t>
      </w:r>
      <w:r w:rsidRPr="009A7904">
        <w:rPr>
          <w:lang w:val="hy-AM"/>
        </w:rPr>
        <w:t>մլն դրամի դիմաց</w:t>
      </w:r>
      <w:r w:rsidRPr="009A7904">
        <w:rPr>
          <w:lang w:val="af-ZA"/>
        </w:rPr>
        <w:t>:</w:t>
      </w:r>
    </w:p>
    <w:p w14:paraId="1B31F2B5" w14:textId="77777777" w:rsidR="009D2825" w:rsidRPr="009A7904" w:rsidRDefault="009D2825" w:rsidP="009A7904">
      <w:pPr>
        <w:spacing w:after="0" w:line="276" w:lineRule="auto"/>
        <w:ind w:firstLine="360"/>
        <w:rPr>
          <w:lang w:val="hy-AM" w:eastAsia="ru-RU"/>
        </w:rPr>
      </w:pPr>
      <w:r w:rsidRPr="009A7904">
        <w:rPr>
          <w:lang w:val="hy-AM"/>
        </w:rPr>
        <w:t xml:space="preserve">2021-2023 թվականների ծախսերի աճը 2020 թվականի պետական բյուջեի նկատմամբ՝ </w:t>
      </w:r>
      <w:r w:rsidRPr="009A7904">
        <w:rPr>
          <w:lang w:val="af-ZA"/>
        </w:rPr>
        <w:t>1</w:t>
      </w:r>
      <w:r w:rsidRPr="009A7904">
        <w:rPr>
          <w:rFonts w:cs="Sylfaen"/>
          <w:lang w:val="af-ZA"/>
        </w:rPr>
        <w:t>.</w:t>
      </w:r>
      <w:r w:rsidRPr="009A7904">
        <w:rPr>
          <w:rFonts w:cs="Sylfaen"/>
          <w:lang w:val="hy-AM"/>
        </w:rPr>
        <w:t>0; 7</w:t>
      </w:r>
      <w:r w:rsidRPr="009A7904">
        <w:rPr>
          <w:rFonts w:cs="Sylfaen"/>
          <w:lang w:val="af-ZA"/>
        </w:rPr>
        <w:t>.</w:t>
      </w:r>
      <w:r w:rsidRPr="009A7904">
        <w:rPr>
          <w:rFonts w:cs="Sylfaen"/>
          <w:lang w:val="hy-AM"/>
        </w:rPr>
        <w:t>5 և 7</w:t>
      </w:r>
      <w:r w:rsidRPr="009A7904">
        <w:rPr>
          <w:rFonts w:cs="Sylfaen"/>
          <w:lang w:val="af-ZA"/>
        </w:rPr>
        <w:t>.</w:t>
      </w:r>
      <w:r w:rsidRPr="009A7904">
        <w:rPr>
          <w:rFonts w:cs="Sylfaen"/>
          <w:lang w:val="hy-AM"/>
        </w:rPr>
        <w:t>5</w:t>
      </w:r>
      <w:r w:rsidRPr="009A7904">
        <w:rPr>
          <w:lang w:val="af-ZA"/>
        </w:rPr>
        <w:t>%</w:t>
      </w:r>
      <w:r w:rsidRPr="009A7904">
        <w:rPr>
          <w:lang w:val="hy-AM"/>
        </w:rPr>
        <w:t xml:space="preserve">-ով հիմնականում պայմանավորված է </w:t>
      </w:r>
      <w:r w:rsidRPr="009A7904">
        <w:rPr>
          <w:lang w:val="hy-AM" w:eastAsia="ru-RU"/>
        </w:rPr>
        <w:t xml:space="preserve">«Թանգարանային ծառայություններ և ցուցահանդեսներ» և «Հուշարձանների ամրակայում, նորոգում և վերականգնում» միջոցառումների ծախսերի աճով:  </w:t>
      </w:r>
    </w:p>
    <w:p w14:paraId="6638CA0A" w14:textId="77777777" w:rsidR="009D2825" w:rsidRPr="009A7904" w:rsidRDefault="009D2825" w:rsidP="009A7904">
      <w:pPr>
        <w:spacing w:line="276" w:lineRule="auto"/>
        <w:ind w:firstLine="360"/>
        <w:rPr>
          <w:b/>
          <w:i/>
          <w:spacing w:val="-2"/>
          <w:lang w:val="af-ZA"/>
        </w:rPr>
      </w:pPr>
      <w:r w:rsidRPr="009A7904">
        <w:rPr>
          <w:b/>
          <w:i/>
          <w:spacing w:val="-2"/>
          <w:lang w:val="hy-AM"/>
        </w:rPr>
        <w:t>3.</w:t>
      </w:r>
      <w:r w:rsidRPr="009A7904">
        <w:rPr>
          <w:b/>
          <w:i/>
          <w:spacing w:val="-2"/>
          <w:lang w:val="fr-FR"/>
        </w:rPr>
        <w:t>Գրահրատարակչության և գրադարանների ծրագիր</w:t>
      </w:r>
    </w:p>
    <w:p w14:paraId="2BABDBFE" w14:textId="77777777" w:rsidR="009D2825" w:rsidRPr="009A7904" w:rsidRDefault="009D2825" w:rsidP="009A7904">
      <w:pPr>
        <w:spacing w:after="0" w:line="276" w:lineRule="auto"/>
        <w:rPr>
          <w:lang w:val="hy-AM"/>
        </w:rPr>
      </w:pPr>
      <w:r w:rsidRPr="009A7904">
        <w:rPr>
          <w:lang w:val="hy-AM"/>
        </w:rPr>
        <w:t xml:space="preserve">      </w:t>
      </w:r>
      <w:r w:rsidRPr="009A7904">
        <w:rPr>
          <w:rFonts w:cs="Sylfaen"/>
          <w:lang w:val="hy-AM"/>
        </w:rPr>
        <w:t>Ծրագրի նպատակն է՝</w:t>
      </w:r>
      <w:r w:rsidRPr="009A7904">
        <w:rPr>
          <w:lang w:val="hy-AM"/>
        </w:rPr>
        <w:t xml:space="preserve"> նպաստել</w:t>
      </w:r>
      <w:r w:rsidRPr="009A7904">
        <w:rPr>
          <w:lang w:val="af-ZA"/>
        </w:rPr>
        <w:t xml:space="preserve"> </w:t>
      </w:r>
      <w:r w:rsidRPr="009A7904">
        <w:rPr>
          <w:lang w:val="hy-AM"/>
        </w:rPr>
        <w:t>գ</w:t>
      </w:r>
      <w:r w:rsidRPr="009A7904">
        <w:rPr>
          <w:lang w:val="af-ZA"/>
        </w:rPr>
        <w:t>րական դաշտի բոլոր օղակների հավասարաչափ զարգացման</w:t>
      </w:r>
      <w:r w:rsidRPr="009A7904">
        <w:rPr>
          <w:lang w:val="hy-AM"/>
        </w:rPr>
        <w:t>ը</w:t>
      </w:r>
      <w:r w:rsidRPr="009A7904">
        <w:rPr>
          <w:lang w:val="af-ZA"/>
        </w:rPr>
        <w:t xml:space="preserve">, գրական արտադրանքի միջոցով գրական-մշակութային ժառանգության </w:t>
      </w:r>
      <w:r w:rsidRPr="009A7904">
        <w:rPr>
          <w:lang w:val="af-ZA"/>
        </w:rPr>
        <w:lastRenderedPageBreak/>
        <w:t>պահպանման</w:t>
      </w:r>
      <w:r w:rsidRPr="009A7904">
        <w:rPr>
          <w:lang w:val="hy-AM"/>
        </w:rPr>
        <w:t>ը</w:t>
      </w:r>
      <w:r w:rsidRPr="009A7904">
        <w:rPr>
          <w:lang w:val="af-ZA"/>
        </w:rPr>
        <w:t>, զարգացման</w:t>
      </w:r>
      <w:r w:rsidRPr="009A7904">
        <w:rPr>
          <w:lang w:val="hy-AM"/>
        </w:rPr>
        <w:t>ը</w:t>
      </w:r>
      <w:r w:rsidRPr="009A7904">
        <w:rPr>
          <w:lang w:val="af-ZA"/>
        </w:rPr>
        <w:t>, տարածման</w:t>
      </w:r>
      <w:r w:rsidRPr="009A7904">
        <w:rPr>
          <w:lang w:val="hy-AM"/>
        </w:rPr>
        <w:t>ը</w:t>
      </w:r>
      <w:r w:rsidRPr="009A7904">
        <w:rPr>
          <w:lang w:val="af-ZA"/>
        </w:rPr>
        <w:t xml:space="preserve"> և հա</w:t>
      </w:r>
      <w:r w:rsidRPr="009A7904">
        <w:rPr>
          <w:lang w:val="hy-AM"/>
        </w:rPr>
        <w:t>նր</w:t>
      </w:r>
      <w:r w:rsidRPr="009A7904">
        <w:rPr>
          <w:lang w:val="af-ZA"/>
        </w:rPr>
        <w:t>ահռչակման</w:t>
      </w:r>
      <w:r w:rsidRPr="009A7904">
        <w:rPr>
          <w:lang w:val="hy-AM"/>
        </w:rPr>
        <w:t>ը</w:t>
      </w:r>
      <w:r w:rsidRPr="009A7904">
        <w:rPr>
          <w:lang w:val="af-ZA"/>
        </w:rPr>
        <w:t>, քաղաքացիական հասարակության ձևավորման</w:t>
      </w:r>
      <w:r w:rsidRPr="009A7904">
        <w:rPr>
          <w:lang w:val="hy-AM"/>
        </w:rPr>
        <w:t>ը</w:t>
      </w:r>
      <w:r w:rsidRPr="009A7904">
        <w:rPr>
          <w:lang w:val="af-ZA"/>
        </w:rPr>
        <w:t>, ստեղծագործական ներուժի վերարտադրման և զարգացման համար պայմանների ստեղծման</w:t>
      </w:r>
      <w:r w:rsidRPr="009A7904">
        <w:rPr>
          <w:lang w:val="hy-AM"/>
        </w:rPr>
        <w:t>ը</w:t>
      </w:r>
      <w:r w:rsidRPr="009A7904">
        <w:rPr>
          <w:lang w:val="af-ZA"/>
        </w:rPr>
        <w:t>, միջազգային համագործակցության համար նպաստավոր պայմանների ստեղծման</w:t>
      </w:r>
      <w:r w:rsidRPr="009A7904">
        <w:rPr>
          <w:lang w:val="hy-AM"/>
        </w:rPr>
        <w:t>ը:</w:t>
      </w:r>
      <w:r w:rsidRPr="009A7904">
        <w:rPr>
          <w:lang w:val="af-ZA"/>
        </w:rPr>
        <w:t xml:space="preserve"> </w:t>
      </w:r>
    </w:p>
    <w:p w14:paraId="7B236A80" w14:textId="77777777" w:rsidR="009D2825" w:rsidRPr="009A7904" w:rsidRDefault="009D2825" w:rsidP="009A7904">
      <w:pPr>
        <w:spacing w:after="0" w:line="276" w:lineRule="auto"/>
        <w:ind w:firstLine="360"/>
        <w:rPr>
          <w:lang w:val="af-ZA"/>
        </w:rPr>
      </w:pPr>
      <w:r w:rsidRPr="009A7904">
        <w:rPr>
          <w:rFonts w:cs="Sylfaen"/>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1,691</w:t>
      </w:r>
      <w:r w:rsidRPr="009A7904">
        <w:rPr>
          <w:rFonts w:cs="Sylfaen"/>
          <w:lang w:val="af-ZA"/>
        </w:rPr>
        <w:t>.1</w:t>
      </w:r>
      <w:r w:rsidRPr="009A7904">
        <w:rPr>
          <w:rFonts w:cs="Sylfaen"/>
          <w:lang w:val="hy-AM"/>
        </w:rPr>
        <w:t>; 1,775</w:t>
      </w:r>
      <w:r w:rsidRPr="009A7904">
        <w:rPr>
          <w:rFonts w:cs="Sylfaen"/>
          <w:lang w:val="af-ZA"/>
        </w:rPr>
        <w:t>.</w:t>
      </w:r>
      <w:r w:rsidRPr="009A7904">
        <w:rPr>
          <w:rFonts w:cs="Sylfaen"/>
          <w:lang w:val="hy-AM"/>
        </w:rPr>
        <w:t>7 և 1,775</w:t>
      </w:r>
      <w:r w:rsidRPr="009A7904">
        <w:rPr>
          <w:rFonts w:cs="Sylfaen"/>
          <w:lang w:val="af-ZA"/>
        </w:rPr>
        <w:t>.</w:t>
      </w:r>
      <w:r w:rsidRPr="009A7904">
        <w:rPr>
          <w:rFonts w:cs="Sylfaen"/>
          <w:lang w:val="hy-AM"/>
        </w:rPr>
        <w:t>7  մլն դրամ</w:t>
      </w:r>
      <w:r w:rsidRPr="009A7904">
        <w:rPr>
          <w:lang w:val="hy-AM"/>
        </w:rPr>
        <w:t xml:space="preserve">՝ 2020 թվականի </w:t>
      </w:r>
      <w:r w:rsidRPr="009A7904">
        <w:rPr>
          <w:rFonts w:cs="Sylfaen"/>
          <w:lang w:val="hy-AM"/>
        </w:rPr>
        <w:t>1,775</w:t>
      </w:r>
      <w:r w:rsidRPr="009A7904">
        <w:rPr>
          <w:rFonts w:cs="Sylfaen"/>
          <w:lang w:val="af-ZA"/>
        </w:rPr>
        <w:t>.</w:t>
      </w:r>
      <w:r w:rsidRPr="009A7904">
        <w:rPr>
          <w:rFonts w:cs="Sylfaen"/>
          <w:lang w:val="hy-AM"/>
        </w:rPr>
        <w:t xml:space="preserve">7  </w:t>
      </w:r>
      <w:r w:rsidRPr="009A7904">
        <w:rPr>
          <w:lang w:val="hy-AM"/>
        </w:rPr>
        <w:t>մլն դրամի դիմաց</w:t>
      </w:r>
      <w:r w:rsidRPr="009A7904">
        <w:rPr>
          <w:lang w:val="af-ZA"/>
        </w:rPr>
        <w:t>:</w:t>
      </w:r>
    </w:p>
    <w:p w14:paraId="18B9986E" w14:textId="77777777" w:rsidR="009D2825" w:rsidRPr="009A7904" w:rsidRDefault="009D2825" w:rsidP="009A7904">
      <w:pPr>
        <w:spacing w:after="0" w:line="276" w:lineRule="auto"/>
        <w:ind w:firstLine="360"/>
        <w:rPr>
          <w:lang w:val="hy-AM"/>
        </w:rPr>
      </w:pPr>
      <w:r w:rsidRPr="009A7904">
        <w:rPr>
          <w:lang w:val="hy-AM"/>
        </w:rPr>
        <w:t>2021 թվականի ծախսերի նվազումը 2020 թվականի պետական բյուջեի նկատմամբ՝</w:t>
      </w:r>
      <w:r w:rsidRPr="009A7904">
        <w:rPr>
          <w:lang w:val="af-ZA"/>
        </w:rPr>
        <w:t xml:space="preserve"> 4</w:t>
      </w:r>
      <w:r w:rsidRPr="009A7904">
        <w:rPr>
          <w:lang w:val="hy-AM"/>
        </w:rPr>
        <w:t>.</w:t>
      </w:r>
      <w:r w:rsidRPr="009A7904">
        <w:rPr>
          <w:lang w:val="af-ZA"/>
        </w:rPr>
        <w:t>8</w:t>
      </w:r>
      <w:r w:rsidRPr="009A7904">
        <w:rPr>
          <w:lang w:val="hy-AM"/>
        </w:rPr>
        <w:t xml:space="preserve"> </w:t>
      </w:r>
      <w:r w:rsidRPr="009A7904">
        <w:rPr>
          <w:lang w:val="af-ZA"/>
        </w:rPr>
        <w:t>%</w:t>
      </w:r>
      <w:r w:rsidRPr="009A7904">
        <w:rPr>
          <w:lang w:val="hy-AM"/>
        </w:rPr>
        <w:t>-ով պայմանավորված է ծախսերի գերակայություններով և առաջնահերթություններով:</w:t>
      </w:r>
    </w:p>
    <w:p w14:paraId="2319650B" w14:textId="77777777" w:rsidR="009D2825" w:rsidRPr="009A7904" w:rsidRDefault="009D2825" w:rsidP="009A7904">
      <w:pPr>
        <w:spacing w:line="276" w:lineRule="auto"/>
        <w:rPr>
          <w:rFonts w:cs="Sylfaen"/>
          <w:b/>
          <w:i/>
          <w:lang w:val="af-ZA"/>
        </w:rPr>
      </w:pPr>
      <w:r w:rsidRPr="009A7904">
        <w:rPr>
          <w:rFonts w:cs="Sylfaen"/>
          <w:b/>
          <w:i/>
          <w:lang w:val="af-ZA"/>
        </w:rPr>
        <w:t xml:space="preserve">  4.  Արվեստների ծրագիր</w:t>
      </w:r>
    </w:p>
    <w:p w14:paraId="20460980" w14:textId="77777777" w:rsidR="009D2825" w:rsidRPr="009A7904" w:rsidRDefault="009D2825" w:rsidP="009A7904">
      <w:pPr>
        <w:spacing w:after="0" w:line="276" w:lineRule="auto"/>
        <w:rPr>
          <w:lang w:val="af-ZA"/>
        </w:rPr>
      </w:pPr>
      <w:r w:rsidRPr="009A7904">
        <w:rPr>
          <w:lang w:val="hy-AM"/>
        </w:rPr>
        <w:t xml:space="preserve">        </w:t>
      </w:r>
      <w:r w:rsidRPr="009A7904">
        <w:rPr>
          <w:rFonts w:cs="Sylfaen"/>
          <w:lang w:val="hy-AM"/>
        </w:rPr>
        <w:t>Ծրագրի նպատակն է</w:t>
      </w:r>
      <w:r w:rsidRPr="009A7904">
        <w:rPr>
          <w:lang w:val="hy-AM"/>
        </w:rPr>
        <w:t xml:space="preserve"> նպաստել</w:t>
      </w:r>
      <w:r w:rsidRPr="009A7904">
        <w:rPr>
          <w:lang w:val="af-ZA"/>
        </w:rPr>
        <w:t xml:space="preserve"> </w:t>
      </w:r>
      <w:r w:rsidRPr="009A7904">
        <w:rPr>
          <w:lang w:val="hy-AM"/>
        </w:rPr>
        <w:t>մ</w:t>
      </w:r>
      <w:r w:rsidRPr="009A7904">
        <w:t>շակութային</w:t>
      </w:r>
      <w:r w:rsidRPr="009A7904">
        <w:rPr>
          <w:lang w:val="af-ZA"/>
        </w:rPr>
        <w:t xml:space="preserve"> </w:t>
      </w:r>
      <w:r w:rsidRPr="009A7904">
        <w:t>արտադրանքի</w:t>
      </w:r>
      <w:r w:rsidRPr="009A7904">
        <w:rPr>
          <w:lang w:val="af-ZA"/>
        </w:rPr>
        <w:t xml:space="preserve"> </w:t>
      </w:r>
      <w:r w:rsidRPr="009A7904">
        <w:t>ստեղծման</w:t>
      </w:r>
      <w:r w:rsidRPr="009A7904">
        <w:rPr>
          <w:lang w:val="hy-AM"/>
        </w:rPr>
        <w:t>ը</w:t>
      </w:r>
      <w:r w:rsidRPr="009A7904">
        <w:rPr>
          <w:lang w:val="af-ZA"/>
        </w:rPr>
        <w:t xml:space="preserve"> </w:t>
      </w:r>
      <w:r w:rsidRPr="009A7904">
        <w:t>և</w:t>
      </w:r>
      <w:r w:rsidRPr="009A7904">
        <w:rPr>
          <w:lang w:val="af-ZA"/>
        </w:rPr>
        <w:t xml:space="preserve"> ոլորտի </w:t>
      </w:r>
      <w:r w:rsidRPr="009A7904">
        <w:t>ծառա</w:t>
      </w:r>
      <w:r w:rsidRPr="009A7904">
        <w:rPr>
          <w:lang w:val="af-ZA"/>
        </w:rPr>
        <w:softHyphen/>
      </w:r>
      <w:r w:rsidRPr="009A7904">
        <w:t>յու</w:t>
      </w:r>
      <w:r w:rsidRPr="009A7904">
        <w:rPr>
          <w:lang w:val="af-ZA"/>
        </w:rPr>
        <w:softHyphen/>
      </w:r>
      <w:r w:rsidRPr="009A7904">
        <w:t>թյունների</w:t>
      </w:r>
      <w:r w:rsidRPr="009A7904">
        <w:rPr>
          <w:lang w:val="af-ZA"/>
        </w:rPr>
        <w:t xml:space="preserve"> </w:t>
      </w:r>
      <w:r w:rsidRPr="009A7904">
        <w:t>մատուցման</w:t>
      </w:r>
      <w:r w:rsidRPr="009A7904">
        <w:rPr>
          <w:lang w:val="af-ZA"/>
        </w:rPr>
        <w:t xml:space="preserve"> </w:t>
      </w:r>
      <w:r w:rsidRPr="009A7904">
        <w:t>մրցակ</w:t>
      </w:r>
      <w:r w:rsidRPr="009A7904">
        <w:rPr>
          <w:lang w:val="af-ZA"/>
        </w:rPr>
        <w:softHyphen/>
      </w:r>
      <w:r w:rsidRPr="009A7904">
        <w:t>ցային</w:t>
      </w:r>
      <w:r w:rsidRPr="009A7904">
        <w:rPr>
          <w:lang w:val="af-ZA"/>
        </w:rPr>
        <w:t xml:space="preserve"> </w:t>
      </w:r>
      <w:r w:rsidRPr="009A7904">
        <w:t>դաշտի</w:t>
      </w:r>
      <w:r w:rsidRPr="009A7904">
        <w:rPr>
          <w:lang w:val="af-ZA"/>
        </w:rPr>
        <w:t xml:space="preserve"> </w:t>
      </w:r>
      <w:r w:rsidRPr="009A7904">
        <w:t>ձևավորման</w:t>
      </w:r>
      <w:r w:rsidRPr="009A7904">
        <w:rPr>
          <w:lang w:val="hy-AM"/>
        </w:rPr>
        <w:t>ը</w:t>
      </w:r>
      <w:r w:rsidRPr="009A7904">
        <w:rPr>
          <w:lang w:val="af-ZA"/>
        </w:rPr>
        <w:t xml:space="preserve">, </w:t>
      </w:r>
      <w:r w:rsidRPr="009A7904">
        <w:t>դեբյուտային</w:t>
      </w:r>
      <w:r w:rsidRPr="009A7904">
        <w:rPr>
          <w:lang w:val="af-ZA"/>
        </w:rPr>
        <w:t xml:space="preserve"> </w:t>
      </w:r>
      <w:r w:rsidRPr="009A7904">
        <w:t>ստեղծագոր</w:t>
      </w:r>
      <w:r w:rsidRPr="009A7904">
        <w:rPr>
          <w:lang w:val="af-ZA"/>
        </w:rPr>
        <w:softHyphen/>
      </w:r>
      <w:r w:rsidRPr="009A7904">
        <w:t>ծական</w:t>
      </w:r>
      <w:r w:rsidRPr="009A7904">
        <w:rPr>
          <w:lang w:val="af-ZA"/>
        </w:rPr>
        <w:t xml:space="preserve"> </w:t>
      </w:r>
      <w:r w:rsidRPr="009A7904">
        <w:t>ծրա</w:t>
      </w:r>
      <w:r w:rsidRPr="009A7904">
        <w:rPr>
          <w:lang w:val="af-ZA"/>
        </w:rPr>
        <w:softHyphen/>
      </w:r>
      <w:r w:rsidRPr="009A7904">
        <w:t>գրերի</w:t>
      </w:r>
      <w:r w:rsidRPr="009A7904">
        <w:rPr>
          <w:lang w:val="af-ZA"/>
        </w:rPr>
        <w:t xml:space="preserve">, </w:t>
      </w:r>
      <w:r w:rsidRPr="009A7904">
        <w:t>արվեստի</w:t>
      </w:r>
      <w:r w:rsidRPr="009A7904">
        <w:rPr>
          <w:lang w:val="af-ZA"/>
        </w:rPr>
        <w:t xml:space="preserve"> </w:t>
      </w:r>
      <w:r w:rsidRPr="009A7904">
        <w:t>փորձարա</w:t>
      </w:r>
      <w:r w:rsidRPr="009A7904">
        <w:rPr>
          <w:lang w:val="af-ZA"/>
        </w:rPr>
        <w:softHyphen/>
      </w:r>
      <w:r w:rsidRPr="009A7904">
        <w:t>րա</w:t>
      </w:r>
      <w:r w:rsidRPr="009A7904">
        <w:rPr>
          <w:lang w:val="af-ZA"/>
        </w:rPr>
        <w:softHyphen/>
      </w:r>
      <w:r w:rsidRPr="009A7904">
        <w:t>կան</w:t>
      </w:r>
      <w:r w:rsidRPr="009A7904">
        <w:rPr>
          <w:lang w:val="af-ZA"/>
        </w:rPr>
        <w:t xml:space="preserve"> </w:t>
      </w:r>
      <w:r w:rsidRPr="009A7904">
        <w:t>և</w:t>
      </w:r>
      <w:r w:rsidRPr="009A7904">
        <w:rPr>
          <w:lang w:val="af-ZA"/>
        </w:rPr>
        <w:t xml:space="preserve"> </w:t>
      </w:r>
      <w:r w:rsidRPr="009A7904">
        <w:t>նորարարական</w:t>
      </w:r>
      <w:r w:rsidRPr="009A7904">
        <w:rPr>
          <w:lang w:val="af-ZA"/>
        </w:rPr>
        <w:t xml:space="preserve"> </w:t>
      </w:r>
      <w:r w:rsidRPr="009A7904">
        <w:t>ձևերի</w:t>
      </w:r>
      <w:r w:rsidRPr="009A7904">
        <w:rPr>
          <w:lang w:val="af-ZA"/>
        </w:rPr>
        <w:t xml:space="preserve"> </w:t>
      </w:r>
      <w:r w:rsidRPr="009A7904">
        <w:t>խրախուսման</w:t>
      </w:r>
      <w:r w:rsidRPr="009A7904">
        <w:rPr>
          <w:lang w:val="hy-AM"/>
        </w:rPr>
        <w:t>ը</w:t>
      </w:r>
      <w:r w:rsidRPr="009A7904">
        <w:rPr>
          <w:lang w:val="af-ZA"/>
        </w:rPr>
        <w:t xml:space="preserve">, </w:t>
      </w:r>
      <w:r w:rsidRPr="009A7904">
        <w:t>ան</w:t>
      </w:r>
      <w:r w:rsidRPr="009A7904">
        <w:rPr>
          <w:lang w:val="af-ZA"/>
        </w:rPr>
        <w:softHyphen/>
      </w:r>
      <w:r w:rsidRPr="009A7904">
        <w:t>հատ</w:t>
      </w:r>
      <w:r w:rsidRPr="009A7904">
        <w:rPr>
          <w:lang w:val="af-ZA"/>
        </w:rPr>
        <w:softHyphen/>
        <w:t xml:space="preserve"> ստեղծագործողների ու երևույթների արժևոր</w:t>
      </w:r>
      <w:r w:rsidRPr="009A7904">
        <w:rPr>
          <w:lang w:val="af-ZA"/>
        </w:rPr>
        <w:softHyphen/>
      </w:r>
      <w:r w:rsidRPr="009A7904">
        <w:rPr>
          <w:lang w:val="af-ZA"/>
        </w:rPr>
        <w:softHyphen/>
        <w:t>ման և միջազ</w:t>
      </w:r>
      <w:r w:rsidRPr="009A7904">
        <w:rPr>
          <w:lang w:val="af-ZA"/>
        </w:rPr>
        <w:softHyphen/>
        <w:t>գային ասպարեզում ժամանակակից մշակույթի ներկայացման</w:t>
      </w:r>
      <w:r w:rsidRPr="009A7904">
        <w:rPr>
          <w:lang w:val="hy-AM"/>
        </w:rPr>
        <w:t>ը:</w:t>
      </w:r>
      <w:r w:rsidRPr="009A7904">
        <w:rPr>
          <w:lang w:val="af-ZA"/>
        </w:rPr>
        <w:t xml:space="preserve"> </w:t>
      </w:r>
    </w:p>
    <w:p w14:paraId="39E73750" w14:textId="77777777" w:rsidR="009D2825" w:rsidRPr="009A7904" w:rsidRDefault="009D2825" w:rsidP="009A7904">
      <w:pPr>
        <w:spacing w:after="0" w:line="276" w:lineRule="auto"/>
        <w:ind w:firstLine="360"/>
        <w:rPr>
          <w:lang w:val="af-ZA"/>
        </w:rPr>
      </w:pPr>
      <w:r w:rsidRPr="009A7904">
        <w:rPr>
          <w:rFonts w:cs="Sylfaen"/>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af-ZA"/>
        </w:rPr>
        <w:t>8</w:t>
      </w:r>
      <w:r w:rsidRPr="009A7904">
        <w:rPr>
          <w:rFonts w:cs="Sylfaen"/>
          <w:lang w:val="hy-AM"/>
        </w:rPr>
        <w:t>,</w:t>
      </w:r>
      <w:r w:rsidRPr="009A7904">
        <w:rPr>
          <w:rFonts w:cs="Sylfaen"/>
          <w:lang w:val="af-ZA"/>
        </w:rPr>
        <w:t>741.1</w:t>
      </w:r>
      <w:r w:rsidRPr="009A7904">
        <w:rPr>
          <w:rFonts w:cs="Sylfaen"/>
          <w:lang w:val="hy-AM"/>
        </w:rPr>
        <w:t xml:space="preserve">; </w:t>
      </w:r>
      <w:r w:rsidRPr="009A7904">
        <w:rPr>
          <w:rFonts w:cs="Sylfaen"/>
          <w:lang w:val="af-ZA"/>
        </w:rPr>
        <w:t>9</w:t>
      </w:r>
      <w:r w:rsidRPr="009A7904">
        <w:rPr>
          <w:rFonts w:cs="Sylfaen"/>
          <w:lang w:val="hy-AM"/>
        </w:rPr>
        <w:t>,</w:t>
      </w:r>
      <w:r w:rsidRPr="009A7904">
        <w:rPr>
          <w:rFonts w:cs="Sylfaen"/>
          <w:lang w:val="af-ZA"/>
        </w:rPr>
        <w:t>3</w:t>
      </w:r>
      <w:r w:rsidRPr="009A7904">
        <w:rPr>
          <w:rFonts w:cs="Sylfaen"/>
          <w:lang w:val="hy-AM"/>
        </w:rPr>
        <w:t>78</w:t>
      </w:r>
      <w:r w:rsidRPr="009A7904">
        <w:rPr>
          <w:rFonts w:cs="Sylfaen"/>
          <w:lang w:val="af-ZA"/>
        </w:rPr>
        <w:t>.</w:t>
      </w:r>
      <w:r w:rsidRPr="009A7904">
        <w:rPr>
          <w:rFonts w:cs="Sylfaen"/>
          <w:lang w:val="hy-AM"/>
        </w:rPr>
        <w:t xml:space="preserve">3 և </w:t>
      </w:r>
      <w:r w:rsidRPr="009A7904">
        <w:rPr>
          <w:rFonts w:cs="Sylfaen"/>
          <w:lang w:val="af-ZA"/>
        </w:rPr>
        <w:t>9</w:t>
      </w:r>
      <w:r w:rsidRPr="009A7904">
        <w:rPr>
          <w:rFonts w:cs="Sylfaen"/>
          <w:lang w:val="hy-AM"/>
        </w:rPr>
        <w:t>,</w:t>
      </w:r>
      <w:r w:rsidRPr="009A7904">
        <w:rPr>
          <w:rFonts w:cs="Sylfaen"/>
          <w:lang w:val="af-ZA"/>
        </w:rPr>
        <w:t>3</w:t>
      </w:r>
      <w:r w:rsidRPr="009A7904">
        <w:rPr>
          <w:rFonts w:cs="Sylfaen"/>
          <w:lang w:val="hy-AM"/>
        </w:rPr>
        <w:t>78</w:t>
      </w:r>
      <w:r w:rsidRPr="009A7904">
        <w:rPr>
          <w:rFonts w:cs="Sylfaen"/>
          <w:lang w:val="af-ZA"/>
        </w:rPr>
        <w:t>.</w:t>
      </w:r>
      <w:r w:rsidRPr="009A7904">
        <w:rPr>
          <w:rFonts w:cs="Sylfaen"/>
          <w:lang w:val="hy-AM"/>
        </w:rPr>
        <w:t>3 մլն դրամ</w:t>
      </w:r>
      <w:r w:rsidRPr="009A7904">
        <w:rPr>
          <w:lang w:val="hy-AM"/>
        </w:rPr>
        <w:t>՝ 2020 թվականի 9</w:t>
      </w:r>
      <w:r w:rsidRPr="009A7904">
        <w:rPr>
          <w:rFonts w:cs="Sylfaen"/>
          <w:lang w:val="hy-AM"/>
        </w:rPr>
        <w:t>,114</w:t>
      </w:r>
      <w:r w:rsidRPr="009A7904">
        <w:rPr>
          <w:lang w:val="hy-AM"/>
        </w:rPr>
        <w:t>.9 մլն դրամի դիմաց</w:t>
      </w:r>
      <w:r w:rsidRPr="009A7904">
        <w:rPr>
          <w:lang w:val="af-ZA"/>
        </w:rPr>
        <w:t>:</w:t>
      </w:r>
    </w:p>
    <w:p w14:paraId="7641BA4C" w14:textId="2BA58124" w:rsidR="009D2825" w:rsidRPr="009A7904" w:rsidRDefault="009D2825" w:rsidP="009A7904">
      <w:pPr>
        <w:spacing w:after="0" w:line="276" w:lineRule="auto"/>
        <w:ind w:firstLine="720"/>
        <w:rPr>
          <w:lang w:val="af-ZA"/>
        </w:rPr>
      </w:pPr>
      <w:r w:rsidRPr="009A7904">
        <w:rPr>
          <w:lang w:val="hy-AM"/>
        </w:rPr>
        <w:t>2021 թվականի ծախսերի նվազումը 2020 թվականի պետական բյուջեի նկատմամբ՝</w:t>
      </w:r>
      <w:r w:rsidRPr="009A7904">
        <w:rPr>
          <w:lang w:val="af-ZA"/>
        </w:rPr>
        <w:t xml:space="preserve"> 4</w:t>
      </w:r>
      <w:r w:rsidRPr="009A7904">
        <w:rPr>
          <w:lang w:val="hy-AM"/>
        </w:rPr>
        <w:t xml:space="preserve">.1 </w:t>
      </w:r>
      <w:r w:rsidRPr="009A7904">
        <w:rPr>
          <w:lang w:val="af-ZA"/>
        </w:rPr>
        <w:t>%</w:t>
      </w:r>
      <w:r w:rsidRPr="009A7904">
        <w:rPr>
          <w:lang w:val="hy-AM"/>
        </w:rPr>
        <w:t>-ով, իսկ 2022-2023 թվականներին ծախսերի աճը, յուրաքանչ</w:t>
      </w:r>
      <w:r w:rsidR="007724F4">
        <w:rPr>
          <w:lang w:val="hy-AM"/>
        </w:rPr>
        <w:t>յ</w:t>
      </w:r>
      <w:r w:rsidRPr="009A7904">
        <w:rPr>
          <w:lang w:val="hy-AM"/>
        </w:rPr>
        <w:t>ուր տարի</w:t>
      </w:r>
      <w:r w:rsidRPr="009A7904">
        <w:t>՝</w:t>
      </w:r>
      <w:r w:rsidRPr="009A7904">
        <w:rPr>
          <w:lang w:val="hy-AM"/>
        </w:rPr>
        <w:t xml:space="preserve"> 2.9 </w:t>
      </w:r>
      <w:r w:rsidRPr="009A7904">
        <w:rPr>
          <w:lang w:val="af-ZA"/>
        </w:rPr>
        <w:t>%</w:t>
      </w:r>
      <w:r w:rsidRPr="009A7904">
        <w:rPr>
          <w:lang w:val="hy-AM"/>
        </w:rPr>
        <w:t>-ով հիմնականում պայմանավորված է ծախսերի գերակայություններով և առաջնահերթություններով և կապիտալ ծախսերի չնախատեսմամբ և,</w:t>
      </w:r>
      <w:r w:rsidRPr="009A7904">
        <w:rPr>
          <w:rFonts w:cs="Sylfaen"/>
          <w:lang w:val="hy-AM"/>
        </w:rPr>
        <w:t xml:space="preserve"> միաժամանակ,  «Երաժշտարվեստի և պարարվեստի համերգներ», «Ազգային ակադեմիական խմբերգային համերգներ» և ««Ժողովրդական» պատվավոր կոչման արժանացած անձանց պատվովճար» միջոցառումների ծախսերի աճով, կապված երաժշտական կոլեկտիվներին լրավճարների նախատեսման, ինչպես նաև «Ժողովրդական» պատվավոր կոչման արժանացած անձանց պատվովճարի չափի կրկնապատկման հետ </w:t>
      </w:r>
      <w:r w:rsidRPr="009A7904">
        <w:rPr>
          <w:rFonts w:cs="Sylfaen"/>
          <w:lang w:val="af-ZA"/>
        </w:rPr>
        <w:t>(2021</w:t>
      </w:r>
      <w:r w:rsidRPr="009A7904">
        <w:rPr>
          <w:rFonts w:cs="Sylfaen"/>
          <w:lang w:val="hy-AM"/>
        </w:rPr>
        <w:t xml:space="preserve"> թվականին պատվովճարի չափը նախատեսվել է ամսական 80</w:t>
      </w:r>
      <w:r w:rsidRPr="009A7904">
        <w:rPr>
          <w:lang w:val="hy-AM"/>
        </w:rPr>
        <w:t>.0 հազ. դրամ</w:t>
      </w:r>
      <w:r w:rsidRPr="009A7904">
        <w:rPr>
          <w:rFonts w:cs="Sylfaen"/>
          <w:lang w:val="af-ZA"/>
        </w:rPr>
        <w:t>)</w:t>
      </w:r>
      <w:r w:rsidRPr="009A7904">
        <w:rPr>
          <w:lang w:val="af-ZA"/>
        </w:rPr>
        <w:t>:</w:t>
      </w:r>
    </w:p>
    <w:p w14:paraId="5294E554" w14:textId="77777777" w:rsidR="009D2825" w:rsidRPr="009A7904" w:rsidRDefault="009D2825" w:rsidP="009A7904">
      <w:pPr>
        <w:spacing w:line="276" w:lineRule="auto"/>
        <w:contextualSpacing/>
        <w:rPr>
          <w:b/>
          <w:i/>
          <w:lang w:val="af-ZA"/>
        </w:rPr>
      </w:pPr>
      <w:r w:rsidRPr="009A7904">
        <w:rPr>
          <w:b/>
          <w:i/>
          <w:lang w:val="af-ZA"/>
        </w:rPr>
        <w:t>5. Մշակութային և գեղագիտական դաստիարակության ծրագիր</w:t>
      </w:r>
    </w:p>
    <w:p w14:paraId="352E9AC3" w14:textId="77777777" w:rsidR="009D2825" w:rsidRPr="009A7904" w:rsidRDefault="009D2825" w:rsidP="009A7904">
      <w:pPr>
        <w:spacing w:after="0" w:line="276" w:lineRule="auto"/>
        <w:rPr>
          <w:rFonts w:cs="GHEA Grapalat"/>
          <w:lang w:val="af-ZA"/>
        </w:rPr>
      </w:pPr>
      <w:r w:rsidRPr="009A7904">
        <w:rPr>
          <w:lang w:val="hy-AM"/>
        </w:rPr>
        <w:t xml:space="preserve">       </w:t>
      </w:r>
      <w:r w:rsidRPr="009A7904">
        <w:rPr>
          <w:rFonts w:cs="Sylfaen"/>
          <w:lang w:val="hy-AM"/>
        </w:rPr>
        <w:t>Ծրագրի նպատակն է</w:t>
      </w:r>
      <w:r w:rsidRPr="009A7904">
        <w:rPr>
          <w:lang w:val="hy-AM"/>
        </w:rPr>
        <w:t xml:space="preserve"> նպաստել</w:t>
      </w:r>
      <w:r w:rsidRPr="009A7904">
        <w:rPr>
          <w:rFonts w:cs="GHEA Grapalat"/>
          <w:lang w:val="hy-AM"/>
        </w:rPr>
        <w:t xml:space="preserve"> ե</w:t>
      </w:r>
      <w:r w:rsidRPr="009A7904">
        <w:rPr>
          <w:rFonts w:cs="GHEA Grapalat"/>
          <w:lang w:val="af-ZA"/>
        </w:rPr>
        <w:t>րեխաների հոգևոր և գեղագիտական ընդունակությունների բացահայտման</w:t>
      </w:r>
      <w:r w:rsidRPr="009A7904">
        <w:rPr>
          <w:rFonts w:cs="GHEA Grapalat"/>
          <w:lang w:val="hy-AM"/>
        </w:rPr>
        <w:t>ը</w:t>
      </w:r>
      <w:r w:rsidRPr="009A7904">
        <w:rPr>
          <w:rFonts w:cs="GHEA Grapalat"/>
          <w:lang w:val="af-ZA"/>
        </w:rPr>
        <w:t xml:space="preserve"> և զարգացման</w:t>
      </w:r>
      <w:r w:rsidRPr="009A7904">
        <w:rPr>
          <w:rFonts w:cs="GHEA Grapalat"/>
          <w:lang w:val="hy-AM"/>
        </w:rPr>
        <w:t>ը</w:t>
      </w:r>
      <w:r w:rsidRPr="009A7904">
        <w:rPr>
          <w:rFonts w:cs="GHEA Grapalat"/>
          <w:lang w:val="af-ZA"/>
        </w:rPr>
        <w:t xml:space="preserve">, </w:t>
      </w:r>
      <w:r w:rsidRPr="009A7904">
        <w:rPr>
          <w:rFonts w:cs="GHEA Grapalat"/>
          <w:lang w:val="hy-AM"/>
        </w:rPr>
        <w:t>գեղագիտական</w:t>
      </w:r>
      <w:r w:rsidRPr="009A7904">
        <w:rPr>
          <w:rFonts w:cs="GHEA Grapalat"/>
          <w:lang w:val="pt-BR"/>
        </w:rPr>
        <w:t xml:space="preserve"> </w:t>
      </w:r>
      <w:r w:rsidRPr="009A7904">
        <w:rPr>
          <w:rFonts w:cs="GHEA Grapalat"/>
          <w:lang w:val="hy-AM"/>
        </w:rPr>
        <w:t>դաստիարակության</w:t>
      </w:r>
      <w:r w:rsidRPr="009A7904">
        <w:rPr>
          <w:rFonts w:cs="GHEA Grapalat"/>
          <w:lang w:val="pt-BR"/>
        </w:rPr>
        <w:t xml:space="preserve"> </w:t>
      </w:r>
      <w:r w:rsidRPr="009A7904">
        <w:rPr>
          <w:rFonts w:cs="GHEA Grapalat"/>
          <w:lang w:val="hy-AM"/>
        </w:rPr>
        <w:t>մատչելիության</w:t>
      </w:r>
      <w:r w:rsidRPr="009A7904">
        <w:rPr>
          <w:rFonts w:cs="GHEA Grapalat"/>
          <w:lang w:val="pt-BR"/>
        </w:rPr>
        <w:t xml:space="preserve"> </w:t>
      </w:r>
      <w:r w:rsidRPr="009A7904">
        <w:rPr>
          <w:rFonts w:cs="GHEA Grapalat"/>
          <w:lang w:val="hy-AM"/>
        </w:rPr>
        <w:t>ապահովմանը</w:t>
      </w:r>
      <w:r w:rsidRPr="009A7904">
        <w:rPr>
          <w:rFonts w:cs="GHEA Grapalat"/>
          <w:lang w:val="pt-BR"/>
        </w:rPr>
        <w:t xml:space="preserve">, </w:t>
      </w:r>
      <w:r w:rsidRPr="009A7904">
        <w:rPr>
          <w:rFonts w:cs="GHEA Grapalat"/>
          <w:lang w:val="hy-AM"/>
        </w:rPr>
        <w:t>մշակութային</w:t>
      </w:r>
      <w:r w:rsidRPr="009A7904">
        <w:rPr>
          <w:rFonts w:cs="GHEA Grapalat"/>
          <w:lang w:val="pt-BR"/>
        </w:rPr>
        <w:t xml:space="preserve"> </w:t>
      </w:r>
      <w:r w:rsidRPr="009A7904">
        <w:rPr>
          <w:rFonts w:cs="GHEA Grapalat"/>
          <w:lang w:val="hy-AM"/>
        </w:rPr>
        <w:t>ծառայությունների</w:t>
      </w:r>
      <w:r w:rsidRPr="009A7904">
        <w:rPr>
          <w:rFonts w:cs="GHEA Grapalat"/>
          <w:lang w:val="pt-BR"/>
        </w:rPr>
        <w:t xml:space="preserve"> </w:t>
      </w:r>
      <w:r w:rsidRPr="009A7904">
        <w:rPr>
          <w:rFonts w:cs="GHEA Grapalat"/>
          <w:lang w:val="hy-AM"/>
        </w:rPr>
        <w:t>որակի</w:t>
      </w:r>
      <w:r w:rsidRPr="009A7904">
        <w:rPr>
          <w:rFonts w:cs="GHEA Grapalat"/>
          <w:lang w:val="pt-BR"/>
        </w:rPr>
        <w:t xml:space="preserve"> </w:t>
      </w:r>
      <w:r w:rsidRPr="009A7904">
        <w:rPr>
          <w:rFonts w:cs="GHEA Grapalat"/>
          <w:lang w:val="hy-AM"/>
        </w:rPr>
        <w:t>բարձրացմանը</w:t>
      </w:r>
      <w:r w:rsidRPr="009A7904">
        <w:rPr>
          <w:rFonts w:cs="GHEA Grapalat"/>
          <w:lang w:val="pt-BR"/>
        </w:rPr>
        <w:t xml:space="preserve">, </w:t>
      </w:r>
      <w:r w:rsidRPr="009A7904">
        <w:rPr>
          <w:rFonts w:cs="GHEA Grapalat"/>
          <w:lang w:val="hy-AM"/>
        </w:rPr>
        <w:t>ՀՀ</w:t>
      </w:r>
      <w:r w:rsidRPr="009A7904">
        <w:rPr>
          <w:rFonts w:cs="GHEA Grapalat"/>
          <w:lang w:val="pt-BR"/>
        </w:rPr>
        <w:t xml:space="preserve"> </w:t>
      </w:r>
      <w:r w:rsidRPr="009A7904">
        <w:rPr>
          <w:rFonts w:cs="GHEA Grapalat"/>
          <w:lang w:val="hy-AM"/>
        </w:rPr>
        <w:t>ապագա</w:t>
      </w:r>
      <w:r w:rsidRPr="009A7904">
        <w:rPr>
          <w:rFonts w:cs="GHEA Grapalat"/>
          <w:lang w:val="pt-BR"/>
        </w:rPr>
        <w:t xml:space="preserve"> </w:t>
      </w:r>
      <w:r w:rsidRPr="009A7904">
        <w:rPr>
          <w:rFonts w:cs="GHEA Grapalat"/>
          <w:lang w:val="hy-AM"/>
        </w:rPr>
        <w:t>քաղաքացիների</w:t>
      </w:r>
      <w:r w:rsidRPr="009A7904">
        <w:rPr>
          <w:rFonts w:cs="GHEA Grapalat"/>
          <w:lang w:val="pt-BR"/>
        </w:rPr>
        <w:t xml:space="preserve"> </w:t>
      </w:r>
      <w:r w:rsidRPr="009A7904">
        <w:rPr>
          <w:rFonts w:cs="GHEA Grapalat"/>
          <w:lang w:val="hy-AM"/>
        </w:rPr>
        <w:t>ձևավորմանը</w:t>
      </w:r>
      <w:r w:rsidRPr="009A7904">
        <w:rPr>
          <w:rFonts w:cs="GHEA Grapalat"/>
          <w:lang w:val="pt-BR"/>
        </w:rPr>
        <w:t xml:space="preserve"> </w:t>
      </w:r>
      <w:r w:rsidRPr="009A7904">
        <w:rPr>
          <w:rFonts w:cs="GHEA Grapalat"/>
          <w:lang w:val="hy-AM"/>
        </w:rPr>
        <w:t>նպաստող</w:t>
      </w:r>
      <w:r w:rsidRPr="009A7904">
        <w:rPr>
          <w:rFonts w:cs="GHEA Grapalat"/>
          <w:lang w:val="pt-BR"/>
        </w:rPr>
        <w:t xml:space="preserve"> </w:t>
      </w:r>
      <w:r w:rsidRPr="009A7904">
        <w:rPr>
          <w:rFonts w:cs="GHEA Grapalat"/>
          <w:lang w:val="hy-AM"/>
        </w:rPr>
        <w:t>գեղագիտական</w:t>
      </w:r>
      <w:r w:rsidRPr="009A7904">
        <w:rPr>
          <w:rFonts w:cs="GHEA Grapalat"/>
          <w:lang w:val="pt-BR"/>
        </w:rPr>
        <w:t xml:space="preserve"> </w:t>
      </w:r>
      <w:r w:rsidRPr="009A7904">
        <w:rPr>
          <w:rFonts w:cs="GHEA Grapalat"/>
          <w:lang w:val="hy-AM"/>
        </w:rPr>
        <w:t>դաստիարակության</w:t>
      </w:r>
      <w:r w:rsidRPr="009A7904">
        <w:rPr>
          <w:rFonts w:cs="GHEA Grapalat"/>
          <w:lang w:val="pt-BR"/>
        </w:rPr>
        <w:t xml:space="preserve"> </w:t>
      </w:r>
      <w:r w:rsidRPr="009A7904">
        <w:rPr>
          <w:rFonts w:cs="GHEA Grapalat"/>
          <w:lang w:val="hy-AM"/>
        </w:rPr>
        <w:t>ծրագրերի</w:t>
      </w:r>
      <w:r w:rsidRPr="009A7904">
        <w:rPr>
          <w:rFonts w:cs="GHEA Grapalat"/>
          <w:lang w:val="pt-BR"/>
        </w:rPr>
        <w:t xml:space="preserve"> </w:t>
      </w:r>
      <w:r w:rsidRPr="009A7904">
        <w:rPr>
          <w:rFonts w:cs="GHEA Grapalat"/>
          <w:lang w:val="hy-AM"/>
        </w:rPr>
        <w:t>իրականացմանը:</w:t>
      </w:r>
      <w:r w:rsidRPr="009A7904">
        <w:rPr>
          <w:rFonts w:cs="GHEA Grapalat"/>
          <w:lang w:val="af-ZA"/>
        </w:rPr>
        <w:t xml:space="preserve"> </w:t>
      </w:r>
    </w:p>
    <w:p w14:paraId="57F3FD1C" w14:textId="77777777" w:rsidR="009D2825" w:rsidRPr="009A7904" w:rsidRDefault="009D2825" w:rsidP="009A7904">
      <w:pPr>
        <w:spacing w:after="0" w:line="276" w:lineRule="auto"/>
        <w:ind w:firstLine="360"/>
        <w:rPr>
          <w:lang w:val="af-ZA"/>
        </w:rPr>
      </w:pPr>
      <w:r w:rsidRPr="009A7904">
        <w:rPr>
          <w:b/>
          <w:i/>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6</w:t>
      </w:r>
      <w:r w:rsidRPr="009A7904">
        <w:rPr>
          <w:rFonts w:cs="Sylfaen"/>
          <w:lang w:val="af-ZA"/>
        </w:rPr>
        <w:t>08.1</w:t>
      </w:r>
      <w:r w:rsidRPr="009A7904">
        <w:rPr>
          <w:rFonts w:cs="Sylfaen"/>
          <w:lang w:val="hy-AM"/>
        </w:rPr>
        <w:t>; 666</w:t>
      </w:r>
      <w:r w:rsidRPr="009A7904">
        <w:rPr>
          <w:rFonts w:cs="Sylfaen"/>
          <w:lang w:val="af-ZA"/>
        </w:rPr>
        <w:t>.</w:t>
      </w:r>
      <w:r w:rsidRPr="009A7904">
        <w:rPr>
          <w:rFonts w:cs="Sylfaen"/>
          <w:lang w:val="hy-AM"/>
        </w:rPr>
        <w:t>4 և 666</w:t>
      </w:r>
      <w:r w:rsidRPr="009A7904">
        <w:rPr>
          <w:rFonts w:cs="Sylfaen"/>
          <w:lang w:val="af-ZA"/>
        </w:rPr>
        <w:t>.</w:t>
      </w:r>
      <w:r w:rsidRPr="009A7904">
        <w:rPr>
          <w:rFonts w:cs="Sylfaen"/>
          <w:lang w:val="hy-AM"/>
        </w:rPr>
        <w:t>4 մլն դրամ</w:t>
      </w:r>
      <w:r w:rsidRPr="009A7904">
        <w:rPr>
          <w:rFonts w:cs="Sylfaen"/>
          <w:lang w:val="af-ZA"/>
        </w:rPr>
        <w:t xml:space="preserve"> </w:t>
      </w:r>
      <w:r w:rsidRPr="009A7904">
        <w:rPr>
          <w:lang w:val="hy-AM"/>
        </w:rPr>
        <w:t xml:space="preserve">՝ 2020 թվականի </w:t>
      </w:r>
      <w:r w:rsidRPr="009A7904">
        <w:rPr>
          <w:rFonts w:cs="Sylfaen"/>
          <w:lang w:val="hy-AM"/>
        </w:rPr>
        <w:t>666</w:t>
      </w:r>
      <w:r w:rsidRPr="009A7904">
        <w:rPr>
          <w:rFonts w:cs="Sylfaen"/>
          <w:lang w:val="af-ZA"/>
        </w:rPr>
        <w:t>.</w:t>
      </w:r>
      <w:r w:rsidRPr="009A7904">
        <w:rPr>
          <w:rFonts w:cs="Sylfaen"/>
          <w:lang w:val="hy-AM"/>
        </w:rPr>
        <w:t xml:space="preserve">4 </w:t>
      </w:r>
      <w:r w:rsidRPr="009A7904">
        <w:rPr>
          <w:lang w:val="hy-AM"/>
        </w:rPr>
        <w:t>մլն դրամի դիմաց</w:t>
      </w:r>
      <w:r w:rsidRPr="009A7904">
        <w:rPr>
          <w:lang w:val="af-ZA"/>
        </w:rPr>
        <w:t>:</w:t>
      </w:r>
    </w:p>
    <w:p w14:paraId="464205F2" w14:textId="77777777" w:rsidR="009D2825" w:rsidRPr="009A7904" w:rsidRDefault="009D2825" w:rsidP="009A7904">
      <w:pPr>
        <w:spacing w:after="0" w:line="276" w:lineRule="auto"/>
        <w:ind w:firstLine="360"/>
        <w:rPr>
          <w:lang w:val="hy-AM"/>
        </w:rPr>
      </w:pPr>
      <w:r w:rsidRPr="009A7904">
        <w:rPr>
          <w:lang w:val="hy-AM"/>
        </w:rPr>
        <w:t>2021 թվականի ծախսերի նվազումը 2020 թվականի պետական բյուջեի նկատմամբ՝ 8.</w:t>
      </w:r>
      <w:r w:rsidRPr="009A7904">
        <w:rPr>
          <w:lang w:val="af-ZA"/>
        </w:rPr>
        <w:t>7</w:t>
      </w:r>
      <w:r w:rsidRPr="009A7904">
        <w:rPr>
          <w:lang w:val="hy-AM"/>
        </w:rPr>
        <w:t xml:space="preserve"> </w:t>
      </w:r>
      <w:r w:rsidRPr="009A7904">
        <w:rPr>
          <w:lang w:val="af-ZA"/>
        </w:rPr>
        <w:t>%</w:t>
      </w:r>
      <w:r w:rsidRPr="009A7904">
        <w:rPr>
          <w:lang w:val="hy-AM"/>
        </w:rPr>
        <w:t>-ով պայմանավորված է ծախսերի գերակայություններով և առաջնահերթություններով:</w:t>
      </w:r>
    </w:p>
    <w:p w14:paraId="6DEAE888" w14:textId="77777777" w:rsidR="009D2825" w:rsidRPr="009A7904" w:rsidRDefault="009D2825" w:rsidP="009A7904">
      <w:pPr>
        <w:spacing w:line="276" w:lineRule="auto"/>
        <w:rPr>
          <w:rFonts w:cs="Sylfaen"/>
          <w:b/>
          <w:i/>
          <w:lang w:val="af-ZA"/>
        </w:rPr>
      </w:pPr>
      <w:r w:rsidRPr="009A7904">
        <w:rPr>
          <w:rFonts w:cs="Sylfaen"/>
          <w:b/>
          <w:i/>
          <w:lang w:val="hy-AM"/>
        </w:rPr>
        <w:t>6. Մարզերի</w:t>
      </w:r>
      <w:r w:rsidRPr="009A7904">
        <w:rPr>
          <w:rFonts w:cs="Sylfaen"/>
          <w:b/>
          <w:i/>
          <w:lang w:val="af-ZA"/>
        </w:rPr>
        <w:t xml:space="preserve"> </w:t>
      </w:r>
      <w:r w:rsidRPr="009A7904">
        <w:rPr>
          <w:rFonts w:cs="Sylfaen"/>
          <w:b/>
          <w:i/>
          <w:lang w:val="hy-AM"/>
        </w:rPr>
        <w:t>մշակութային</w:t>
      </w:r>
      <w:r w:rsidRPr="009A7904">
        <w:rPr>
          <w:rFonts w:cs="Sylfaen"/>
          <w:b/>
          <w:i/>
          <w:lang w:val="af-ZA"/>
        </w:rPr>
        <w:t xml:space="preserve"> զարգացման ծրագիր.</w:t>
      </w:r>
    </w:p>
    <w:p w14:paraId="67E79E84" w14:textId="77777777" w:rsidR="009D2825" w:rsidRPr="009A7904" w:rsidRDefault="009D2825" w:rsidP="009A7904">
      <w:pPr>
        <w:spacing w:after="0" w:line="276" w:lineRule="auto"/>
        <w:rPr>
          <w:lang w:val="af-ZA"/>
        </w:rPr>
      </w:pPr>
      <w:r w:rsidRPr="009A7904">
        <w:rPr>
          <w:lang w:val="hy-AM"/>
        </w:rPr>
        <w:t xml:space="preserve">       </w:t>
      </w:r>
      <w:r w:rsidRPr="009A7904">
        <w:rPr>
          <w:rFonts w:cs="Sylfaen"/>
          <w:lang w:val="hy-AM"/>
        </w:rPr>
        <w:t>Ծրագրի նպատակն է</w:t>
      </w:r>
      <w:r w:rsidRPr="009A7904">
        <w:rPr>
          <w:lang w:val="hy-AM"/>
        </w:rPr>
        <w:t xml:space="preserve"> նպաստել</w:t>
      </w:r>
      <w:r w:rsidRPr="009A7904">
        <w:rPr>
          <w:rFonts w:cs="GHEA Grapalat"/>
          <w:lang w:val="hy-AM"/>
        </w:rPr>
        <w:t xml:space="preserve"> մ</w:t>
      </w:r>
      <w:r w:rsidRPr="009A7904">
        <w:rPr>
          <w:lang w:val="hy-AM"/>
        </w:rPr>
        <w:t>շակույթի</w:t>
      </w:r>
      <w:r w:rsidRPr="009A7904">
        <w:rPr>
          <w:lang w:val="af-ZA"/>
        </w:rPr>
        <w:t xml:space="preserve"> </w:t>
      </w:r>
      <w:r w:rsidRPr="009A7904">
        <w:rPr>
          <w:lang w:val="hy-AM"/>
        </w:rPr>
        <w:t>ապակենտրոնացման</w:t>
      </w:r>
      <w:r w:rsidRPr="009A7904">
        <w:rPr>
          <w:lang w:val="af-ZA"/>
        </w:rPr>
        <w:t xml:space="preserve"> </w:t>
      </w:r>
      <w:r w:rsidRPr="009A7904">
        <w:rPr>
          <w:lang w:val="hy-AM"/>
        </w:rPr>
        <w:t>քա</w:t>
      </w:r>
      <w:r w:rsidRPr="009A7904">
        <w:rPr>
          <w:lang w:val="af-ZA"/>
        </w:rPr>
        <w:softHyphen/>
      </w:r>
      <w:r w:rsidRPr="009A7904">
        <w:rPr>
          <w:lang w:val="hy-AM"/>
        </w:rPr>
        <w:t>ղա</w:t>
      </w:r>
      <w:r w:rsidRPr="009A7904">
        <w:rPr>
          <w:lang w:val="af-ZA"/>
        </w:rPr>
        <w:softHyphen/>
      </w:r>
      <w:r w:rsidRPr="009A7904">
        <w:rPr>
          <w:lang w:val="hy-AM"/>
        </w:rPr>
        <w:t>քա</w:t>
      </w:r>
      <w:r w:rsidRPr="009A7904">
        <w:rPr>
          <w:lang w:val="af-ZA"/>
        </w:rPr>
        <w:softHyphen/>
      </w:r>
      <w:r w:rsidRPr="009A7904">
        <w:rPr>
          <w:lang w:val="hy-AM"/>
        </w:rPr>
        <w:t>կանության</w:t>
      </w:r>
      <w:r w:rsidRPr="009A7904">
        <w:rPr>
          <w:lang w:val="af-ZA"/>
        </w:rPr>
        <w:t xml:space="preserve"> </w:t>
      </w:r>
      <w:r w:rsidRPr="009A7904">
        <w:rPr>
          <w:lang w:val="hy-AM"/>
        </w:rPr>
        <w:t>շարունակականության</w:t>
      </w:r>
      <w:r w:rsidRPr="009A7904">
        <w:rPr>
          <w:lang w:val="af-ZA"/>
        </w:rPr>
        <w:t xml:space="preserve"> </w:t>
      </w:r>
      <w:r w:rsidRPr="009A7904">
        <w:rPr>
          <w:lang w:val="hy-AM"/>
        </w:rPr>
        <w:t>ապահովմանը</w:t>
      </w:r>
      <w:r w:rsidRPr="009A7904">
        <w:rPr>
          <w:lang w:val="af-ZA"/>
        </w:rPr>
        <w:t xml:space="preserve">, </w:t>
      </w:r>
      <w:r w:rsidRPr="009A7904">
        <w:rPr>
          <w:lang w:val="hy-AM"/>
        </w:rPr>
        <w:t>մարզերում</w:t>
      </w:r>
      <w:r w:rsidRPr="009A7904">
        <w:rPr>
          <w:lang w:val="af-ZA"/>
        </w:rPr>
        <w:t xml:space="preserve"> </w:t>
      </w:r>
      <w:r w:rsidRPr="009A7904">
        <w:rPr>
          <w:lang w:val="hy-AM"/>
        </w:rPr>
        <w:t>մշակութային</w:t>
      </w:r>
      <w:r w:rsidRPr="009A7904">
        <w:rPr>
          <w:lang w:val="af-ZA"/>
        </w:rPr>
        <w:t xml:space="preserve"> </w:t>
      </w:r>
      <w:r w:rsidRPr="009A7904">
        <w:rPr>
          <w:lang w:val="hy-AM"/>
        </w:rPr>
        <w:t>կյանքի</w:t>
      </w:r>
      <w:r w:rsidRPr="009A7904">
        <w:rPr>
          <w:lang w:val="af-ZA"/>
        </w:rPr>
        <w:t xml:space="preserve"> </w:t>
      </w:r>
      <w:r w:rsidRPr="009A7904">
        <w:rPr>
          <w:lang w:val="hy-AM"/>
        </w:rPr>
        <w:t>աշխու</w:t>
      </w:r>
      <w:r w:rsidRPr="009A7904">
        <w:rPr>
          <w:lang w:val="af-ZA"/>
        </w:rPr>
        <w:softHyphen/>
      </w:r>
      <w:r w:rsidRPr="009A7904">
        <w:rPr>
          <w:lang w:val="hy-AM"/>
        </w:rPr>
        <w:t>ժացմանը</w:t>
      </w:r>
      <w:r w:rsidRPr="009A7904">
        <w:rPr>
          <w:lang w:val="af-ZA"/>
        </w:rPr>
        <w:t xml:space="preserve">, </w:t>
      </w:r>
      <w:r w:rsidRPr="009A7904">
        <w:rPr>
          <w:lang w:val="hy-AM"/>
        </w:rPr>
        <w:t>միջմարզային</w:t>
      </w:r>
      <w:r w:rsidRPr="009A7904">
        <w:rPr>
          <w:lang w:val="af-ZA"/>
        </w:rPr>
        <w:t xml:space="preserve"> </w:t>
      </w:r>
      <w:r w:rsidRPr="009A7904">
        <w:rPr>
          <w:lang w:val="hy-AM"/>
        </w:rPr>
        <w:t>կապերի</w:t>
      </w:r>
      <w:r w:rsidRPr="009A7904">
        <w:rPr>
          <w:lang w:val="af-ZA"/>
        </w:rPr>
        <w:t xml:space="preserve"> զարգաց</w:t>
      </w:r>
      <w:r w:rsidRPr="009A7904">
        <w:rPr>
          <w:lang w:val="hy-AM"/>
        </w:rPr>
        <w:t>մանը</w:t>
      </w:r>
      <w:r w:rsidRPr="009A7904">
        <w:rPr>
          <w:lang w:val="af-ZA"/>
        </w:rPr>
        <w:t xml:space="preserve">, </w:t>
      </w:r>
      <w:r w:rsidRPr="009A7904">
        <w:rPr>
          <w:lang w:val="hy-AM"/>
        </w:rPr>
        <w:t>մշակու</w:t>
      </w:r>
      <w:r w:rsidRPr="009A7904">
        <w:rPr>
          <w:lang w:val="af-ZA"/>
        </w:rPr>
        <w:softHyphen/>
      </w:r>
      <w:r w:rsidRPr="009A7904">
        <w:rPr>
          <w:lang w:val="hy-AM"/>
        </w:rPr>
        <w:t>թային</w:t>
      </w:r>
      <w:r w:rsidRPr="009A7904">
        <w:rPr>
          <w:lang w:val="af-ZA"/>
        </w:rPr>
        <w:t xml:space="preserve"> </w:t>
      </w:r>
      <w:r w:rsidRPr="009A7904">
        <w:rPr>
          <w:lang w:val="hy-AM"/>
        </w:rPr>
        <w:t>գործունեության</w:t>
      </w:r>
      <w:r w:rsidRPr="009A7904">
        <w:rPr>
          <w:lang w:val="af-ZA"/>
        </w:rPr>
        <w:t xml:space="preserve"> </w:t>
      </w:r>
      <w:r w:rsidRPr="009A7904">
        <w:rPr>
          <w:lang w:val="hy-AM"/>
        </w:rPr>
        <w:t>իրա</w:t>
      </w:r>
      <w:r w:rsidRPr="009A7904">
        <w:rPr>
          <w:lang w:val="af-ZA"/>
        </w:rPr>
        <w:softHyphen/>
      </w:r>
      <w:r w:rsidRPr="009A7904">
        <w:rPr>
          <w:lang w:val="hy-AM"/>
        </w:rPr>
        <w:t>կա</w:t>
      </w:r>
      <w:r w:rsidRPr="009A7904">
        <w:rPr>
          <w:lang w:val="af-ZA"/>
        </w:rPr>
        <w:softHyphen/>
      </w:r>
      <w:r w:rsidRPr="009A7904">
        <w:rPr>
          <w:lang w:val="af-ZA"/>
        </w:rPr>
        <w:softHyphen/>
      </w:r>
      <w:r w:rsidRPr="009A7904">
        <w:rPr>
          <w:lang w:val="hy-AM"/>
        </w:rPr>
        <w:t>նացման</w:t>
      </w:r>
      <w:r w:rsidRPr="009A7904">
        <w:rPr>
          <w:lang w:val="af-ZA"/>
        </w:rPr>
        <w:t xml:space="preserve"> </w:t>
      </w:r>
      <w:r w:rsidRPr="009A7904">
        <w:rPr>
          <w:lang w:val="hy-AM"/>
        </w:rPr>
        <w:t>ապահովմանը:</w:t>
      </w:r>
    </w:p>
    <w:p w14:paraId="3BB92A8F" w14:textId="77777777" w:rsidR="009D2825" w:rsidRPr="009A7904" w:rsidRDefault="009D2825" w:rsidP="009A7904">
      <w:pPr>
        <w:spacing w:after="0" w:line="276" w:lineRule="auto"/>
        <w:ind w:firstLine="360"/>
        <w:rPr>
          <w:lang w:val="af-ZA"/>
        </w:rPr>
      </w:pPr>
      <w:r w:rsidRPr="009A7904">
        <w:rPr>
          <w:b/>
          <w:i/>
          <w:lang w:val="hy-AM"/>
        </w:rPr>
        <w:lastRenderedPageBreak/>
        <w:t xml:space="preserve">   </w:t>
      </w:r>
      <w:r w:rsidRPr="009A7904">
        <w:rPr>
          <w:lang w:val="hy-AM"/>
        </w:rPr>
        <w:t xml:space="preserve">Ծրագրի գծով 2021-2023 թվականներին նախատեսվում է հատկացնել, ըստ տարիների՝ </w:t>
      </w:r>
      <w:r w:rsidRPr="009A7904">
        <w:rPr>
          <w:rFonts w:cs="Sylfaen"/>
          <w:lang w:val="af-ZA"/>
        </w:rPr>
        <w:t>79.9</w:t>
      </w:r>
      <w:r w:rsidRPr="009A7904">
        <w:rPr>
          <w:rFonts w:cs="Sylfaen"/>
          <w:lang w:val="hy-AM"/>
        </w:rPr>
        <w:t xml:space="preserve">; </w:t>
      </w:r>
      <w:r w:rsidRPr="009A7904">
        <w:rPr>
          <w:rFonts w:cs="Sylfaen"/>
          <w:lang w:val="af-ZA"/>
        </w:rPr>
        <w:t>95.</w:t>
      </w:r>
      <w:r w:rsidRPr="009A7904">
        <w:rPr>
          <w:rFonts w:cs="Sylfaen"/>
          <w:lang w:val="hy-AM"/>
        </w:rPr>
        <w:t>8 և 95</w:t>
      </w:r>
      <w:r w:rsidRPr="009A7904">
        <w:rPr>
          <w:rFonts w:cs="Sylfaen"/>
          <w:lang w:val="af-ZA"/>
        </w:rPr>
        <w:t>.</w:t>
      </w:r>
      <w:r w:rsidRPr="009A7904">
        <w:rPr>
          <w:rFonts w:cs="Sylfaen"/>
          <w:lang w:val="hy-AM"/>
        </w:rPr>
        <w:t xml:space="preserve">8 մլն դրամ </w:t>
      </w:r>
      <w:r w:rsidRPr="009A7904">
        <w:rPr>
          <w:lang w:val="hy-AM"/>
        </w:rPr>
        <w:t xml:space="preserve">՝ 2020 թվականի </w:t>
      </w:r>
      <w:r w:rsidRPr="009A7904">
        <w:rPr>
          <w:rFonts w:cs="Sylfaen"/>
          <w:lang w:val="hy-AM"/>
        </w:rPr>
        <w:t>95</w:t>
      </w:r>
      <w:r w:rsidRPr="009A7904">
        <w:rPr>
          <w:rFonts w:cs="Sylfaen"/>
          <w:lang w:val="af-ZA"/>
        </w:rPr>
        <w:t>.</w:t>
      </w:r>
      <w:r w:rsidRPr="009A7904">
        <w:rPr>
          <w:rFonts w:cs="Sylfaen"/>
          <w:lang w:val="hy-AM"/>
        </w:rPr>
        <w:t xml:space="preserve">8 </w:t>
      </w:r>
      <w:r w:rsidRPr="009A7904">
        <w:rPr>
          <w:lang w:val="hy-AM"/>
        </w:rPr>
        <w:t>մլն դրամի դիմաց</w:t>
      </w:r>
      <w:r w:rsidRPr="009A7904">
        <w:rPr>
          <w:lang w:val="af-ZA"/>
        </w:rPr>
        <w:t>:</w:t>
      </w:r>
    </w:p>
    <w:p w14:paraId="49A28C69" w14:textId="77777777" w:rsidR="009D2825" w:rsidRPr="009A7904" w:rsidRDefault="009D2825" w:rsidP="009A7904">
      <w:pPr>
        <w:spacing w:after="0" w:line="276" w:lineRule="auto"/>
        <w:ind w:firstLine="360"/>
        <w:rPr>
          <w:lang w:val="hy-AM"/>
        </w:rPr>
      </w:pPr>
      <w:r w:rsidRPr="009A7904">
        <w:rPr>
          <w:lang w:val="hy-AM"/>
        </w:rPr>
        <w:t>2021 թվականի ծախսերի նվազումը 2020 թվականի պետական բյուջեի նկատմամբ՝</w:t>
      </w:r>
      <w:r w:rsidRPr="009A7904">
        <w:rPr>
          <w:lang w:val="af-ZA"/>
        </w:rPr>
        <w:t xml:space="preserve"> 16</w:t>
      </w:r>
      <w:r w:rsidRPr="009A7904">
        <w:rPr>
          <w:lang w:val="hy-AM"/>
        </w:rPr>
        <w:t>.</w:t>
      </w:r>
      <w:r w:rsidRPr="009A7904">
        <w:rPr>
          <w:lang w:val="af-ZA"/>
        </w:rPr>
        <w:t>5%</w:t>
      </w:r>
      <w:r w:rsidRPr="009A7904">
        <w:rPr>
          <w:lang w:val="hy-AM"/>
        </w:rPr>
        <w:t xml:space="preserve">-ով պայմանավորված է ծախսերի գերակայություններով և առաջնահերթություններով: </w:t>
      </w:r>
    </w:p>
    <w:p w14:paraId="7BF17786" w14:textId="77777777" w:rsidR="009D2825" w:rsidRPr="009A7904" w:rsidRDefault="009D2825" w:rsidP="009A7904">
      <w:pPr>
        <w:spacing w:line="276" w:lineRule="auto"/>
        <w:rPr>
          <w:b/>
          <w:i/>
          <w:lang w:val="pt-BR"/>
        </w:rPr>
      </w:pPr>
      <w:r w:rsidRPr="009A7904">
        <w:rPr>
          <w:rFonts w:cs="Sylfaen"/>
          <w:b/>
          <w:i/>
          <w:lang w:val="af-ZA"/>
        </w:rPr>
        <w:t>7. Ազգային արխիվի ծրագիր</w:t>
      </w:r>
    </w:p>
    <w:p w14:paraId="798358A5" w14:textId="77777777" w:rsidR="009D2825" w:rsidRPr="009A7904" w:rsidRDefault="009D2825" w:rsidP="009A7904">
      <w:pPr>
        <w:shd w:val="clear" w:color="auto" w:fill="FFFFFF"/>
        <w:spacing w:after="0" w:line="276" w:lineRule="auto"/>
        <w:rPr>
          <w:b/>
          <w:i/>
          <w:spacing w:val="-2"/>
          <w:lang w:val="fr-FR"/>
        </w:rPr>
      </w:pPr>
      <w:r w:rsidRPr="009A7904">
        <w:rPr>
          <w:lang w:val="hy-AM"/>
        </w:rPr>
        <w:t xml:space="preserve">      </w:t>
      </w:r>
      <w:r w:rsidRPr="009A7904">
        <w:rPr>
          <w:rFonts w:cs="Sylfaen"/>
          <w:lang w:val="hy-AM"/>
        </w:rPr>
        <w:t>Ծրագրի նպատակն է</w:t>
      </w:r>
      <w:r w:rsidRPr="009A7904">
        <w:rPr>
          <w:lang w:val="hy-AM"/>
        </w:rPr>
        <w:t xml:space="preserve"> նպաստել</w:t>
      </w:r>
      <w:r w:rsidRPr="009A7904">
        <w:rPr>
          <w:rFonts w:cs="GHEA Grapalat"/>
          <w:lang w:val="hy-AM"/>
        </w:rPr>
        <w:t xml:space="preserve"> արխիվային</w:t>
      </w:r>
      <w:r w:rsidRPr="009A7904">
        <w:rPr>
          <w:rFonts w:cs="GHEA Grapalat"/>
          <w:lang w:val="pt-BR"/>
        </w:rPr>
        <w:t xml:space="preserve"> </w:t>
      </w:r>
      <w:r w:rsidRPr="009A7904">
        <w:rPr>
          <w:rFonts w:cs="GHEA Grapalat"/>
          <w:lang w:val="hy-AM"/>
        </w:rPr>
        <w:t>փաս</w:t>
      </w:r>
      <w:r w:rsidRPr="009A7904">
        <w:rPr>
          <w:rFonts w:cs="GHEA Grapalat"/>
          <w:lang w:val="pt-BR"/>
        </w:rPr>
        <w:softHyphen/>
      </w:r>
      <w:r w:rsidRPr="009A7904">
        <w:rPr>
          <w:rFonts w:cs="GHEA Grapalat"/>
          <w:lang w:val="hy-AM"/>
        </w:rPr>
        <w:t>տաթղթերի</w:t>
      </w:r>
      <w:r w:rsidRPr="009A7904">
        <w:rPr>
          <w:rFonts w:cs="GHEA Grapalat"/>
          <w:lang w:val="pt-BR"/>
        </w:rPr>
        <w:t xml:space="preserve"> </w:t>
      </w:r>
      <w:r w:rsidRPr="009A7904">
        <w:rPr>
          <w:rFonts w:cs="GHEA Grapalat"/>
          <w:lang w:val="hy-AM"/>
        </w:rPr>
        <w:t>պահպա</w:t>
      </w:r>
      <w:r w:rsidRPr="009A7904">
        <w:rPr>
          <w:rFonts w:cs="GHEA Grapalat"/>
          <w:lang w:val="pt-BR"/>
        </w:rPr>
        <w:softHyphen/>
      </w:r>
      <w:r w:rsidRPr="009A7904">
        <w:rPr>
          <w:rFonts w:cs="GHEA Grapalat"/>
          <w:lang w:val="hy-AM"/>
        </w:rPr>
        <w:t>նության</w:t>
      </w:r>
      <w:r w:rsidRPr="009A7904">
        <w:rPr>
          <w:rFonts w:cs="GHEA Grapalat"/>
          <w:lang w:val="pt-BR"/>
        </w:rPr>
        <w:t xml:space="preserve"> </w:t>
      </w:r>
      <w:r w:rsidRPr="009A7904">
        <w:rPr>
          <w:rFonts w:cs="GHEA Grapalat"/>
          <w:lang w:val="hy-AM"/>
        </w:rPr>
        <w:t>ապահովմանը</w:t>
      </w:r>
      <w:r w:rsidRPr="009A7904">
        <w:rPr>
          <w:rFonts w:cs="GHEA Grapalat"/>
          <w:lang w:val="pt-BR"/>
        </w:rPr>
        <w:t xml:space="preserve">, </w:t>
      </w:r>
      <w:r w:rsidRPr="009A7904">
        <w:rPr>
          <w:rFonts w:cs="GHEA Grapalat"/>
          <w:lang w:val="hy-AM"/>
        </w:rPr>
        <w:t>համալրմանը</w:t>
      </w:r>
      <w:r w:rsidRPr="009A7904">
        <w:rPr>
          <w:rFonts w:cs="GHEA Grapalat"/>
          <w:lang w:val="pt-BR"/>
        </w:rPr>
        <w:t xml:space="preserve">, </w:t>
      </w:r>
      <w:r w:rsidRPr="009A7904">
        <w:rPr>
          <w:rFonts w:cs="GHEA Grapalat"/>
          <w:lang w:val="hy-AM"/>
        </w:rPr>
        <w:t>օգտագործման</w:t>
      </w:r>
      <w:r w:rsidRPr="009A7904">
        <w:rPr>
          <w:rFonts w:cs="GHEA Grapalat"/>
          <w:lang w:val="pt-BR"/>
        </w:rPr>
        <w:t xml:space="preserve"> </w:t>
      </w:r>
      <w:r w:rsidRPr="009A7904">
        <w:rPr>
          <w:rFonts w:cs="GHEA Grapalat"/>
          <w:lang w:val="hy-AM"/>
        </w:rPr>
        <w:t>և</w:t>
      </w:r>
      <w:r w:rsidRPr="009A7904">
        <w:rPr>
          <w:rFonts w:cs="GHEA Grapalat"/>
          <w:lang w:val="pt-BR"/>
        </w:rPr>
        <w:t xml:space="preserve"> </w:t>
      </w:r>
      <w:r w:rsidRPr="009A7904">
        <w:rPr>
          <w:rFonts w:cs="GHEA Grapalat"/>
          <w:lang w:val="hy-AM"/>
        </w:rPr>
        <w:t>տեղեկատու</w:t>
      </w:r>
      <w:r w:rsidRPr="009A7904">
        <w:rPr>
          <w:rFonts w:cs="GHEA Grapalat"/>
          <w:lang w:val="pt-BR"/>
        </w:rPr>
        <w:t>-</w:t>
      </w:r>
      <w:r w:rsidRPr="009A7904">
        <w:rPr>
          <w:rFonts w:cs="GHEA Grapalat"/>
          <w:lang w:val="hy-AM"/>
        </w:rPr>
        <w:t>որոնողական</w:t>
      </w:r>
      <w:r w:rsidRPr="009A7904">
        <w:rPr>
          <w:rFonts w:cs="GHEA Grapalat"/>
          <w:lang w:val="pt-BR"/>
        </w:rPr>
        <w:t xml:space="preserve"> </w:t>
      </w:r>
      <w:r w:rsidRPr="009A7904">
        <w:rPr>
          <w:rFonts w:cs="GHEA Grapalat"/>
          <w:lang w:val="hy-AM"/>
        </w:rPr>
        <w:t>ինքնաշխատ</w:t>
      </w:r>
      <w:r w:rsidRPr="009A7904">
        <w:rPr>
          <w:rFonts w:cs="GHEA Grapalat"/>
          <w:lang w:val="pt-BR"/>
        </w:rPr>
        <w:t xml:space="preserve"> </w:t>
      </w:r>
      <w:r w:rsidRPr="009A7904">
        <w:rPr>
          <w:rFonts w:cs="GHEA Grapalat"/>
          <w:lang w:val="hy-AM"/>
        </w:rPr>
        <w:t>համակարգի</w:t>
      </w:r>
      <w:r w:rsidRPr="009A7904">
        <w:rPr>
          <w:rFonts w:cs="GHEA Grapalat"/>
          <w:lang w:val="pt-BR"/>
        </w:rPr>
        <w:t xml:space="preserve"> </w:t>
      </w:r>
      <w:r w:rsidRPr="009A7904">
        <w:rPr>
          <w:rFonts w:cs="GHEA Grapalat"/>
          <w:lang w:val="hy-AM"/>
        </w:rPr>
        <w:t>ստեղծմանը:</w:t>
      </w:r>
      <w:r w:rsidRPr="009A7904">
        <w:rPr>
          <w:rFonts w:cs="GHEA Grapalat"/>
          <w:lang w:val="pt-BR"/>
        </w:rPr>
        <w:t xml:space="preserve"> </w:t>
      </w:r>
    </w:p>
    <w:p w14:paraId="3EECB3A5" w14:textId="77777777" w:rsidR="009D2825" w:rsidRPr="009A7904" w:rsidRDefault="009D2825" w:rsidP="009A7904">
      <w:pPr>
        <w:spacing w:after="0" w:line="276" w:lineRule="auto"/>
        <w:ind w:firstLine="360"/>
        <w:rPr>
          <w:lang w:val="af-ZA"/>
        </w:rPr>
      </w:pPr>
      <w:r w:rsidRPr="009A7904">
        <w:rPr>
          <w:lang w:val="hy-AM"/>
        </w:rPr>
        <w:t xml:space="preserve">Ծրագրի գծով 2021-2023 թվականներին նախատեսվում է հատկացնել, ըստ տարիների՝ </w:t>
      </w:r>
      <w:r w:rsidRPr="009A7904">
        <w:rPr>
          <w:rFonts w:cs="Sylfaen"/>
          <w:lang w:val="hy-AM"/>
        </w:rPr>
        <w:t xml:space="preserve"> 590.2; 596.1 և 596.1 մլն դրամ՝ </w:t>
      </w:r>
      <w:r w:rsidRPr="009A7904">
        <w:rPr>
          <w:lang w:val="hy-AM"/>
        </w:rPr>
        <w:t xml:space="preserve">2020 թվականի </w:t>
      </w:r>
      <w:r w:rsidRPr="009A7904">
        <w:rPr>
          <w:rFonts w:cs="Sylfaen"/>
          <w:lang w:val="hy-AM"/>
        </w:rPr>
        <w:t xml:space="preserve">596.1 </w:t>
      </w:r>
      <w:r w:rsidRPr="009A7904">
        <w:rPr>
          <w:lang w:val="hy-AM"/>
        </w:rPr>
        <w:t>մլն դրամի դիմաց</w:t>
      </w:r>
      <w:r w:rsidRPr="009A7904">
        <w:rPr>
          <w:lang w:val="af-ZA"/>
        </w:rPr>
        <w:t>:</w:t>
      </w:r>
    </w:p>
    <w:p w14:paraId="19B4849B" w14:textId="77777777" w:rsidR="009D2825" w:rsidRPr="009A7904" w:rsidRDefault="009D2825" w:rsidP="009A7904">
      <w:pPr>
        <w:spacing w:after="0" w:line="276" w:lineRule="auto"/>
        <w:ind w:firstLine="360"/>
        <w:rPr>
          <w:lang w:val="hy-AM"/>
        </w:rPr>
      </w:pPr>
      <w:r w:rsidRPr="009A7904">
        <w:rPr>
          <w:lang w:val="hy-AM"/>
        </w:rPr>
        <w:t>2021 թվականի ծախսերի նվազումը 2020 թվականի պետական բյուջեի նկատմամբ՝ 1</w:t>
      </w:r>
      <w:r w:rsidRPr="009A7904">
        <w:rPr>
          <w:lang w:val="af-ZA"/>
        </w:rPr>
        <w:t>.</w:t>
      </w:r>
      <w:r w:rsidRPr="009A7904">
        <w:rPr>
          <w:lang w:val="hy-AM"/>
        </w:rPr>
        <w:t>0</w:t>
      </w:r>
      <w:r w:rsidRPr="009A7904">
        <w:rPr>
          <w:lang w:val="af-ZA"/>
        </w:rPr>
        <w:t>%</w:t>
      </w:r>
      <w:r w:rsidRPr="009A7904">
        <w:rPr>
          <w:lang w:val="hy-AM"/>
        </w:rPr>
        <w:t>-ով պայմանավորված է ծախսերի գերակայություններով և առաջնահերթություններով:</w:t>
      </w:r>
    </w:p>
    <w:p w14:paraId="3D4FE29C" w14:textId="77777777" w:rsidR="006B2C4E" w:rsidRPr="009A7904" w:rsidRDefault="009D2825" w:rsidP="009A7904">
      <w:pPr>
        <w:tabs>
          <w:tab w:val="left" w:pos="851"/>
          <w:tab w:val="left" w:pos="993"/>
        </w:tabs>
        <w:spacing w:line="276" w:lineRule="auto"/>
        <w:rPr>
          <w:lang w:val="hy-AM"/>
        </w:rPr>
      </w:pPr>
      <w:r w:rsidRPr="009A7904">
        <w:rPr>
          <w:lang w:val="hy-AM"/>
        </w:rPr>
        <w:t xml:space="preserve"> </w:t>
      </w:r>
    </w:p>
    <w:p w14:paraId="3CB54C45" w14:textId="77777777" w:rsidR="009D2825" w:rsidRPr="009A7904" w:rsidRDefault="009D2825" w:rsidP="009A7904">
      <w:pPr>
        <w:tabs>
          <w:tab w:val="left" w:pos="851"/>
          <w:tab w:val="left" w:pos="993"/>
        </w:tabs>
        <w:spacing w:line="276" w:lineRule="auto"/>
        <w:rPr>
          <w:rFonts w:cs="GHEA Grapalat"/>
          <w:b/>
          <w:lang w:val="hy-AM"/>
        </w:rPr>
      </w:pPr>
      <w:r w:rsidRPr="009A7904">
        <w:rPr>
          <w:rFonts w:cs="GHEA Grapalat"/>
          <w:b/>
          <w:lang w:val="hy-AM"/>
        </w:rPr>
        <w:t xml:space="preserve">Սպորտի </w:t>
      </w:r>
      <w:r w:rsidR="006B2C4E" w:rsidRPr="009A7904">
        <w:rPr>
          <w:rFonts w:cs="GHEA Grapalat"/>
          <w:b/>
          <w:lang w:val="hy-AM"/>
        </w:rPr>
        <w:t>և</w:t>
      </w:r>
      <w:r w:rsidRPr="009A7904">
        <w:rPr>
          <w:rFonts w:cs="GHEA Grapalat"/>
          <w:b/>
          <w:lang w:val="hy-AM"/>
        </w:rPr>
        <w:t xml:space="preserve"> երիտասարդության ոլորտ</w:t>
      </w:r>
    </w:p>
    <w:p w14:paraId="123BC57E" w14:textId="77777777" w:rsidR="009D2825" w:rsidRPr="009A7904" w:rsidRDefault="009D2825" w:rsidP="009A7904">
      <w:pPr>
        <w:shd w:val="clear" w:color="auto" w:fill="FFFFFF"/>
        <w:spacing w:after="0" w:line="276" w:lineRule="auto"/>
        <w:ind w:firstLine="375"/>
        <w:rPr>
          <w:color w:val="000000"/>
          <w:shd w:val="clear" w:color="auto" w:fill="FFFFFF"/>
          <w:lang w:val="af-ZA"/>
        </w:rPr>
      </w:pPr>
      <w:r w:rsidRPr="009A7904">
        <w:rPr>
          <w:color w:val="000000"/>
          <w:shd w:val="clear" w:color="auto" w:fill="FFFFFF"/>
          <w:lang w:val="af-ZA"/>
        </w:rPr>
        <w:t xml:space="preserve">     Համաձայն ՀՀ կառավարության 2019 թվականի փետրվարի 8-ի N 65-Ա որոշման 4.6-րդ կետի՝ սպորտի ոլորտում Կառավարությունը նպատակ է հետապնդում ապահովել մանկապատանեկան սպորտի զարգացումը՝ Հայաստանի ազգային օլիմպիական կոմիտեի, մարզաձևերի ֆեդերացիաների, մարզական հասարակական կազմակերպությունների հետ համագործակցությամբ: Կառավարությունն Ազգային օլիմպիական կոմիտեի և մարզական ֆեդերացիաների հետ կհամագործակցի սպորտի բնագավառում հայաստանցի մարզիկների հաջողությունների համար անհրաժեշտ պայմաններ ստեղծելու ուղղությամբ՝ այն համարելով Հայաստանի միջազգային հեղինակությունը բարձրացնելու, ֆիզիկական կուլտուրայի և սպորտի հանրահռչակման արդյունավետ միջոց: Կառավարությունը մարզական ֆեդերացիաների և մասնավոր հատվածի հետ կհամագործակցի մարզական ենթակառուցվածքների շարունակական զարգացման ուղղությամբ:</w:t>
      </w:r>
    </w:p>
    <w:p w14:paraId="1A141EC2" w14:textId="77777777" w:rsidR="009D2825" w:rsidRPr="009A7904" w:rsidRDefault="009D2825" w:rsidP="009A7904">
      <w:pPr>
        <w:shd w:val="clear" w:color="auto" w:fill="FFFFFF"/>
        <w:spacing w:after="0" w:line="276" w:lineRule="auto"/>
        <w:ind w:firstLine="374"/>
        <w:rPr>
          <w:rFonts w:cs="Sylfaen"/>
          <w:kern w:val="16"/>
          <w:lang w:val="hy-AM"/>
        </w:rPr>
      </w:pPr>
      <w:r w:rsidRPr="009A7904">
        <w:rPr>
          <w:rFonts w:cs="Sylfaen"/>
          <w:kern w:val="16"/>
          <w:lang w:val="hy-AM"/>
        </w:rPr>
        <w:t>Երիտասարդության ոլորտում Կառավարության ծրագիրը նախատեսում է ներառական երիտասարդական քաղաքականության մշակման միջոցով ստեղծել այնպիսի միջավայր, որտեղ երիտասարդները կկարողանան լիարժեք ինքնադրսևորվել և կառուցել սեփական ապագան։</w:t>
      </w:r>
    </w:p>
    <w:p w14:paraId="10ECC3DC" w14:textId="77777777" w:rsidR="009D2825" w:rsidRPr="009A7904" w:rsidRDefault="009D2825" w:rsidP="009A7904">
      <w:pPr>
        <w:shd w:val="clear" w:color="auto" w:fill="FFFFFF"/>
        <w:spacing w:after="0" w:line="276" w:lineRule="auto"/>
        <w:ind w:firstLine="374"/>
        <w:rPr>
          <w:rFonts w:cs="Sylfaen"/>
          <w:kern w:val="16"/>
          <w:lang w:val="hy-AM"/>
        </w:rPr>
      </w:pPr>
      <w:r w:rsidRPr="009A7904">
        <w:rPr>
          <w:rFonts w:cs="Sylfaen"/>
          <w:kern w:val="16"/>
          <w:lang w:val="hy-AM"/>
        </w:rPr>
        <w:t>Կառավարության ծրագրային նպատակն է՝ բարձրացնել երիտասարդների հասարակական, քաղաքական, քաղաքացիական, սոցիալ-տնտեսական և մշակութային մասնակցության մակարդակը, ինչպես նաև մշակել երիտասարդության զբաղվածության և սոցիալ-տնտեսական հիմնախնդիրների լուծման համար անհրաժեշտ մեխանիզմներ։</w:t>
      </w:r>
    </w:p>
    <w:p w14:paraId="6622780E" w14:textId="77777777" w:rsidR="009D2825" w:rsidRPr="009A7904" w:rsidRDefault="009D2825" w:rsidP="009A7904">
      <w:pPr>
        <w:shd w:val="clear" w:color="auto" w:fill="FFFFFF"/>
        <w:spacing w:line="276" w:lineRule="auto"/>
        <w:ind w:firstLine="375"/>
        <w:rPr>
          <w:color w:val="000000"/>
          <w:shd w:val="clear" w:color="auto" w:fill="FFFFFF"/>
          <w:lang w:val="af-ZA"/>
        </w:rPr>
      </w:pPr>
      <w:r w:rsidRPr="009A7904">
        <w:rPr>
          <w:rFonts w:cs="Calibri"/>
          <w:kern w:val="16"/>
          <w:lang w:val="hy-AM"/>
        </w:rPr>
        <w:t>    </w:t>
      </w:r>
      <w:r w:rsidRPr="009A7904">
        <w:rPr>
          <w:color w:val="000000"/>
          <w:shd w:val="clear" w:color="auto" w:fill="FFFFFF"/>
          <w:lang w:val="hy-AM"/>
        </w:rPr>
        <w:t>Սպորտի</w:t>
      </w:r>
      <w:r w:rsidRPr="009A7904">
        <w:rPr>
          <w:color w:val="000000"/>
          <w:shd w:val="clear" w:color="auto" w:fill="FFFFFF"/>
          <w:lang w:val="af-ZA"/>
        </w:rPr>
        <w:t xml:space="preserve"> </w:t>
      </w:r>
      <w:r w:rsidRPr="009A7904">
        <w:rPr>
          <w:color w:val="000000"/>
          <w:shd w:val="clear" w:color="auto" w:fill="FFFFFF"/>
          <w:lang w:val="hy-AM"/>
        </w:rPr>
        <w:t>և երիտասարդության ոլորտի</w:t>
      </w:r>
      <w:r w:rsidRPr="009A7904">
        <w:rPr>
          <w:color w:val="000000"/>
          <w:shd w:val="clear" w:color="auto" w:fill="FFFFFF"/>
          <w:lang w:val="af-ZA"/>
        </w:rPr>
        <w:t xml:space="preserve"> </w:t>
      </w:r>
      <w:r w:rsidRPr="009A7904">
        <w:rPr>
          <w:color w:val="000000"/>
          <w:shd w:val="clear" w:color="auto" w:fill="FFFFFF"/>
          <w:lang w:val="hy-AM"/>
        </w:rPr>
        <w:t>հիմնական</w:t>
      </w:r>
      <w:r w:rsidRPr="009A7904">
        <w:rPr>
          <w:color w:val="000000"/>
          <w:shd w:val="clear" w:color="auto" w:fill="FFFFFF"/>
          <w:lang w:val="af-ZA"/>
        </w:rPr>
        <w:t xml:space="preserve"> </w:t>
      </w:r>
      <w:r w:rsidRPr="009A7904">
        <w:rPr>
          <w:color w:val="000000"/>
          <w:shd w:val="clear" w:color="auto" w:fill="FFFFFF"/>
          <w:lang w:val="hy-AM"/>
        </w:rPr>
        <w:t>թիրախներն են</w:t>
      </w:r>
      <w:r w:rsidRPr="009A7904">
        <w:rPr>
          <w:color w:val="000000"/>
          <w:shd w:val="clear" w:color="auto" w:fill="FFFFFF"/>
          <w:lang w:val="af-ZA"/>
        </w:rPr>
        <w:t xml:space="preserve">. </w:t>
      </w:r>
    </w:p>
    <w:p w14:paraId="5364A693" w14:textId="77777777" w:rsidR="009D2825" w:rsidRPr="009A7904" w:rsidRDefault="009D2825" w:rsidP="009A7904">
      <w:pPr>
        <w:numPr>
          <w:ilvl w:val="0"/>
          <w:numId w:val="12"/>
        </w:numPr>
        <w:spacing w:before="0" w:after="0" w:line="276" w:lineRule="auto"/>
        <w:rPr>
          <w:lang w:val="hy-AM"/>
        </w:rPr>
      </w:pPr>
      <w:r w:rsidRPr="009A7904">
        <w:rPr>
          <w:lang w:val="hy-AM"/>
        </w:rPr>
        <w:t>ՀՀ առաջնությունների ընդլայնում, միջազգային սպորտային միջոցառումներին մասնակցության և նվաճումների ապահովում</w:t>
      </w:r>
      <w:r w:rsidRPr="009A7904">
        <w:rPr>
          <w:lang w:val="af-ZA"/>
        </w:rPr>
        <w:t>.</w:t>
      </w:r>
    </w:p>
    <w:p w14:paraId="5757280C" w14:textId="77777777" w:rsidR="009D2825" w:rsidRPr="009A7904" w:rsidRDefault="009D2825" w:rsidP="009A7904">
      <w:pPr>
        <w:numPr>
          <w:ilvl w:val="0"/>
          <w:numId w:val="12"/>
        </w:numPr>
        <w:spacing w:before="0" w:after="0" w:line="276" w:lineRule="auto"/>
        <w:rPr>
          <w:lang w:val="hy-AM"/>
        </w:rPr>
      </w:pPr>
      <w:r w:rsidRPr="009A7904">
        <w:rPr>
          <w:lang w:val="hy-AM"/>
        </w:rPr>
        <w:t xml:space="preserve"> Սպորտի նկատմամբ հետաքրքրվածության և մասնակցության ընդլայնում.</w:t>
      </w:r>
    </w:p>
    <w:p w14:paraId="45A83B9C" w14:textId="77777777" w:rsidR="009D2825" w:rsidRPr="009A7904" w:rsidRDefault="009D2825" w:rsidP="009A7904">
      <w:pPr>
        <w:numPr>
          <w:ilvl w:val="0"/>
          <w:numId w:val="12"/>
        </w:numPr>
        <w:spacing w:before="0" w:after="0" w:line="276" w:lineRule="auto"/>
        <w:rPr>
          <w:lang w:val="hy-AM"/>
        </w:rPr>
      </w:pPr>
      <w:r w:rsidRPr="009A7904">
        <w:rPr>
          <w:lang w:val="hy-AM"/>
        </w:rPr>
        <w:t xml:space="preserve"> Հասարակական կյանքին երիտասարդների ակտիվ մասնակցության,  երիտասարդության շրջանում առողջ ապրելակերպի, հոգևոր-մշակութային, հայրենասիրական դաստիարակության խթանում, երիտասարդների զբաղվածության հնարավորությունների մեծացում.</w:t>
      </w:r>
    </w:p>
    <w:p w14:paraId="6203B50C" w14:textId="77777777" w:rsidR="009D2825" w:rsidRPr="009A7904" w:rsidRDefault="009D2825" w:rsidP="009A7904">
      <w:pPr>
        <w:numPr>
          <w:ilvl w:val="0"/>
          <w:numId w:val="12"/>
        </w:numPr>
        <w:spacing w:before="0" w:after="0" w:line="276" w:lineRule="auto"/>
        <w:rPr>
          <w:lang w:val="hy-AM"/>
        </w:rPr>
      </w:pPr>
      <w:r w:rsidRPr="009A7904">
        <w:rPr>
          <w:lang w:val="hy-AM"/>
        </w:rPr>
        <w:lastRenderedPageBreak/>
        <w:t xml:space="preserve"> Մարդկանց շահագործման (թրաֆիքինգի) կանխարգելմանն ուղղված քարոզչական միջոցառումների իրականացում.</w:t>
      </w:r>
    </w:p>
    <w:p w14:paraId="43458458" w14:textId="77777777" w:rsidR="009D2825" w:rsidRPr="009A7904" w:rsidRDefault="009D2825" w:rsidP="009A7904">
      <w:pPr>
        <w:numPr>
          <w:ilvl w:val="0"/>
          <w:numId w:val="12"/>
        </w:numPr>
        <w:spacing w:before="0" w:after="0" w:line="276" w:lineRule="auto"/>
        <w:rPr>
          <w:lang w:val="hy-AM"/>
        </w:rPr>
      </w:pPr>
      <w:r w:rsidRPr="009A7904">
        <w:rPr>
          <w:lang w:val="hy-AM"/>
        </w:rPr>
        <w:t>«Երիտասարդ ընտանիքին՝ մատչելի բնակարան» պետական նպատակային ծրագրի համաֆինանսավորում:</w:t>
      </w:r>
    </w:p>
    <w:p w14:paraId="5CF30EE4" w14:textId="77777777" w:rsidR="009D2825" w:rsidRPr="009A7904" w:rsidRDefault="009D2825" w:rsidP="009A7904">
      <w:pPr>
        <w:tabs>
          <w:tab w:val="left" w:pos="851"/>
          <w:tab w:val="left" w:pos="993"/>
        </w:tabs>
        <w:spacing w:line="276" w:lineRule="auto"/>
        <w:rPr>
          <w:rFonts w:cs="GHEA Grapalat"/>
          <w:b/>
          <w:lang w:val="hy-AM"/>
        </w:rPr>
      </w:pPr>
      <w:r w:rsidRPr="009A7904">
        <w:rPr>
          <w:rFonts w:cs="GHEA Grapalat"/>
          <w:b/>
          <w:lang w:val="hy-AM"/>
        </w:rPr>
        <w:t xml:space="preserve">ՈԼՈՐՏԱՅԻՆ ԾԱԽՍԱՅԻՆ ԾՐԱԳՐԵՐԸ </w:t>
      </w:r>
    </w:p>
    <w:p w14:paraId="738F2262" w14:textId="77777777" w:rsidR="009D2825" w:rsidRPr="009A7904" w:rsidRDefault="009D2825" w:rsidP="009A7904">
      <w:pPr>
        <w:spacing w:line="276" w:lineRule="auto"/>
        <w:ind w:firstLine="360"/>
        <w:rPr>
          <w:rFonts w:cs="Sylfaen"/>
          <w:b/>
          <w:i/>
          <w:lang w:val="hy-AM"/>
        </w:rPr>
      </w:pPr>
      <w:r w:rsidRPr="009A7904">
        <w:rPr>
          <w:rFonts w:cs="Sylfaen"/>
          <w:b/>
          <w:i/>
          <w:lang w:val="hy-AM"/>
        </w:rPr>
        <w:t>1.</w:t>
      </w:r>
      <w:r w:rsidRPr="009A7904">
        <w:rPr>
          <w:lang w:val="hy-AM"/>
        </w:rPr>
        <w:t xml:space="preserve"> </w:t>
      </w:r>
      <w:r w:rsidRPr="009A7904">
        <w:rPr>
          <w:rFonts w:cs="Sylfaen"/>
          <w:b/>
          <w:i/>
          <w:lang w:val="hy-AM"/>
        </w:rPr>
        <w:t xml:space="preserve">Մեծ նվաճումների սպորտ  </w:t>
      </w:r>
    </w:p>
    <w:p w14:paraId="5526F679" w14:textId="77777777" w:rsidR="009D2825" w:rsidRPr="009A7904" w:rsidRDefault="009D2825" w:rsidP="009A7904">
      <w:pPr>
        <w:spacing w:after="0" w:line="276" w:lineRule="auto"/>
        <w:rPr>
          <w:rFonts w:cs="Sylfaen"/>
          <w:kern w:val="16"/>
          <w:lang w:val="hy-AM"/>
        </w:rPr>
      </w:pPr>
      <w:r w:rsidRPr="009A7904">
        <w:rPr>
          <w:rFonts w:cs="Sylfaen"/>
          <w:i/>
          <w:lang w:val="hy-AM"/>
        </w:rPr>
        <w:t xml:space="preserve">      </w:t>
      </w:r>
      <w:r w:rsidRPr="009A7904">
        <w:rPr>
          <w:rFonts w:cs="Sylfaen"/>
          <w:lang w:val="hy-AM"/>
        </w:rPr>
        <w:t>Ծրագրի</w:t>
      </w:r>
      <w:r w:rsidRPr="009A7904">
        <w:rPr>
          <w:rFonts w:cs="Times Armenian"/>
          <w:lang w:val="hy-AM"/>
        </w:rPr>
        <w:t xml:space="preserve"> նպատակն է՝</w:t>
      </w:r>
      <w:r w:rsidRPr="009A7904">
        <w:rPr>
          <w:rFonts w:cs="Times Armenian"/>
          <w:b/>
          <w:lang w:val="hy-AM"/>
        </w:rPr>
        <w:t xml:space="preserve"> </w:t>
      </w:r>
      <w:r w:rsidRPr="009A7904">
        <w:rPr>
          <w:rFonts w:cs="Times Armenian"/>
          <w:lang w:val="hy-AM"/>
        </w:rPr>
        <w:t xml:space="preserve"> </w:t>
      </w:r>
      <w:r w:rsidRPr="009A7904">
        <w:rPr>
          <w:rFonts w:cs="Sylfaen"/>
          <w:kern w:val="16"/>
          <w:lang w:val="hy-AM"/>
        </w:rPr>
        <w:t>բնակչության շրջանում առողջ ապրելակերպի արմատավորումը, անհատի բազմակողմանի և ներդաշնակ զարգացման գործում ֆիզիկական կուլտուրայի և սպորտի դերի բարձրացումը:</w:t>
      </w:r>
    </w:p>
    <w:p w14:paraId="52CA56F3" w14:textId="77777777" w:rsidR="009D2825" w:rsidRPr="009A7904" w:rsidRDefault="009D2825" w:rsidP="009A7904">
      <w:pPr>
        <w:tabs>
          <w:tab w:val="left" w:pos="450"/>
        </w:tabs>
        <w:spacing w:after="0" w:line="276" w:lineRule="auto"/>
        <w:ind w:firstLine="360"/>
        <w:rPr>
          <w:lang w:val="af-ZA"/>
        </w:rPr>
      </w:pPr>
      <w:r w:rsidRPr="009A7904">
        <w:rPr>
          <w:rFonts w:cs="Sylfaen"/>
          <w:i/>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 xml:space="preserve"> 2,588.6; 2,522.5 և 2,542.5 մլն դրամ ՝ </w:t>
      </w:r>
      <w:r w:rsidRPr="009A7904">
        <w:rPr>
          <w:lang w:val="hy-AM"/>
        </w:rPr>
        <w:t xml:space="preserve">2020 թվականի </w:t>
      </w:r>
      <w:r w:rsidRPr="009A7904">
        <w:rPr>
          <w:rFonts w:cs="Sylfaen"/>
          <w:lang w:val="hy-AM"/>
        </w:rPr>
        <w:t xml:space="preserve">2,542.5 </w:t>
      </w:r>
      <w:r w:rsidRPr="009A7904">
        <w:rPr>
          <w:lang w:val="hy-AM"/>
        </w:rPr>
        <w:t>մլն դրամի դիմաց</w:t>
      </w:r>
      <w:r w:rsidRPr="009A7904">
        <w:rPr>
          <w:lang w:val="af-ZA"/>
        </w:rPr>
        <w:t>:</w:t>
      </w:r>
    </w:p>
    <w:p w14:paraId="37767DB2" w14:textId="77777777" w:rsidR="009D2825" w:rsidRPr="009A7904" w:rsidRDefault="009D2825" w:rsidP="009A7904">
      <w:pPr>
        <w:spacing w:after="0" w:line="276" w:lineRule="auto"/>
        <w:ind w:firstLine="360"/>
        <w:rPr>
          <w:lang w:val="hy-AM" w:eastAsia="ru-RU"/>
        </w:rPr>
      </w:pPr>
      <w:r w:rsidRPr="009A7904">
        <w:rPr>
          <w:lang w:val="hy-AM" w:eastAsia="ru-RU"/>
        </w:rPr>
        <w:t xml:space="preserve">  2021-2023 թվականների ծախսերի աճը 2020 թվականի պետական բյուջեի նկատմամբ՝ </w:t>
      </w:r>
      <w:r w:rsidRPr="009A7904">
        <w:rPr>
          <w:lang w:val="af-ZA" w:eastAsia="ru-RU"/>
        </w:rPr>
        <w:t>10</w:t>
      </w:r>
      <w:r w:rsidRPr="009A7904">
        <w:rPr>
          <w:lang w:val="hy-AM" w:eastAsia="ru-RU"/>
        </w:rPr>
        <w:t>.</w:t>
      </w:r>
      <w:r w:rsidRPr="009A7904">
        <w:rPr>
          <w:lang w:val="af-ZA" w:eastAsia="ru-RU"/>
        </w:rPr>
        <w:t>5</w:t>
      </w:r>
      <w:r w:rsidRPr="009A7904">
        <w:rPr>
          <w:rFonts w:cs="Sylfaen"/>
          <w:lang w:val="hy-AM"/>
        </w:rPr>
        <w:t>; 7</w:t>
      </w:r>
      <w:r w:rsidRPr="009A7904">
        <w:rPr>
          <w:lang w:val="hy-AM" w:eastAsia="ru-RU"/>
        </w:rPr>
        <w:t xml:space="preserve">.7 և 8.6 </w:t>
      </w:r>
      <w:r w:rsidRPr="009A7904">
        <w:rPr>
          <w:lang w:val="af-ZA" w:eastAsia="ru-RU"/>
        </w:rPr>
        <w:t>%</w:t>
      </w:r>
      <w:r w:rsidRPr="009A7904">
        <w:rPr>
          <w:lang w:val="hy-AM" w:eastAsia="ru-RU"/>
        </w:rPr>
        <w:t>-ով հիմնականում պայմանավորված է՝ «Ադապտիվ սպորտին առնչվող ծառայություններ, «Օլիմպիական խաղերում, աշխարհի և Եվրոպայի առաջնություններում բարձր արդյունքների հասած ՀՀ հավաքական թիմերի մարզիկներին և նրանց մարզիչներին  անվանական թոշակի հատկացում, նոր՝ «Տարվա լավագույն մարզիկներ» մրցույթի կազմակերպում, անցկացում և հաղթող ճանաչված մարզիկների պարգևատրում միջոցառումների ծախսերի աճով, ինչպես նաև սպորտային միջոցառումների իրականացման ժամանակացույցով:</w:t>
      </w:r>
    </w:p>
    <w:p w14:paraId="57C0F233" w14:textId="77777777" w:rsidR="009D2825" w:rsidRPr="009A7904" w:rsidRDefault="006B2C4E" w:rsidP="009A7904">
      <w:pPr>
        <w:spacing w:line="276" w:lineRule="auto"/>
        <w:ind w:firstLine="0"/>
        <w:rPr>
          <w:rFonts w:cs="Sylfaen"/>
          <w:b/>
          <w:i/>
          <w:lang w:val="hy-AM"/>
        </w:rPr>
      </w:pPr>
      <w:r w:rsidRPr="009A7904">
        <w:rPr>
          <w:rFonts w:cs="Sylfaen"/>
          <w:lang w:val="hy-AM"/>
        </w:rPr>
        <w:t xml:space="preserve"> </w:t>
      </w:r>
      <w:r w:rsidRPr="009A7904">
        <w:rPr>
          <w:rFonts w:cs="Sylfaen"/>
          <w:lang w:val="hy-AM"/>
        </w:rPr>
        <w:tab/>
      </w:r>
      <w:r w:rsidR="009D2825" w:rsidRPr="009A7904">
        <w:rPr>
          <w:rFonts w:cs="Sylfaen"/>
          <w:lang w:val="hy-AM"/>
        </w:rPr>
        <w:t xml:space="preserve"> </w:t>
      </w:r>
      <w:r w:rsidR="009D2825" w:rsidRPr="009A7904">
        <w:rPr>
          <w:rFonts w:cs="Sylfaen"/>
          <w:b/>
          <w:i/>
          <w:lang w:val="hy-AM"/>
        </w:rPr>
        <w:t>2. Մասսայական սպորտ</w:t>
      </w:r>
    </w:p>
    <w:p w14:paraId="201874E2" w14:textId="77777777" w:rsidR="009D2825" w:rsidRPr="009A7904" w:rsidRDefault="009D2825" w:rsidP="009A7904">
      <w:pPr>
        <w:spacing w:after="0" w:line="276" w:lineRule="auto"/>
        <w:contextualSpacing/>
        <w:rPr>
          <w:rFonts w:cs="Sylfaen"/>
          <w:kern w:val="16"/>
          <w:lang w:val="hy-AM"/>
        </w:rPr>
      </w:pPr>
      <w:r w:rsidRPr="009A7904">
        <w:rPr>
          <w:rFonts w:cs="Sylfaen"/>
          <w:b/>
          <w:i/>
          <w:lang w:val="hy-AM"/>
        </w:rPr>
        <w:t xml:space="preserve">        </w:t>
      </w:r>
      <w:r w:rsidRPr="009A7904">
        <w:rPr>
          <w:rFonts w:cs="Sylfaen"/>
          <w:kern w:val="16"/>
          <w:lang w:val="hy-AM"/>
        </w:rPr>
        <w:t xml:space="preserve">Մասսայական սպորտի ծրագրի նպատակն է՝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 </w:t>
      </w:r>
    </w:p>
    <w:p w14:paraId="6548BA39" w14:textId="77777777" w:rsidR="009D2825" w:rsidRPr="009A7904" w:rsidRDefault="009D2825" w:rsidP="009A7904">
      <w:pPr>
        <w:spacing w:after="0" w:line="276" w:lineRule="auto"/>
        <w:ind w:firstLine="360"/>
        <w:rPr>
          <w:lang w:val="af-ZA"/>
        </w:rPr>
      </w:pPr>
      <w:r w:rsidRPr="009A7904">
        <w:rPr>
          <w:rFonts w:cs="Sylfaen"/>
          <w:i/>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 xml:space="preserve"> 216.0; 218.5 և 240.0  մլն դրամ՝ </w:t>
      </w:r>
      <w:r w:rsidRPr="009A7904">
        <w:rPr>
          <w:lang w:val="hy-AM"/>
        </w:rPr>
        <w:t xml:space="preserve">2020 թվականի </w:t>
      </w:r>
      <w:r w:rsidRPr="009A7904">
        <w:rPr>
          <w:lang w:val="hy-AM" w:eastAsia="ru-RU"/>
        </w:rPr>
        <w:t xml:space="preserve">2,227.5 </w:t>
      </w:r>
      <w:r w:rsidRPr="009A7904">
        <w:rPr>
          <w:lang w:val="hy-AM"/>
        </w:rPr>
        <w:t>մլն դրամի դիմաց</w:t>
      </w:r>
      <w:r w:rsidRPr="009A7904">
        <w:rPr>
          <w:lang w:val="af-ZA"/>
        </w:rPr>
        <w:t>:</w:t>
      </w:r>
    </w:p>
    <w:p w14:paraId="321CF86C" w14:textId="77777777" w:rsidR="009D2825" w:rsidRPr="009A7904" w:rsidRDefault="009D2825" w:rsidP="009A7904">
      <w:pPr>
        <w:spacing w:after="0" w:line="276" w:lineRule="auto"/>
        <w:ind w:firstLine="360"/>
        <w:rPr>
          <w:lang w:val="hy-AM" w:eastAsia="ru-RU"/>
        </w:rPr>
      </w:pPr>
      <w:r w:rsidRPr="009A7904">
        <w:rPr>
          <w:lang w:val="hy-AM" w:eastAsia="ru-RU"/>
        </w:rPr>
        <w:t>2021-2023 թվականների ծախսերի նվազումը 2020 թվականի պետական բյուջեի նկատմամբ՝ 90.3</w:t>
      </w:r>
      <w:r w:rsidRPr="009A7904">
        <w:rPr>
          <w:rFonts w:cs="Sylfaen"/>
          <w:lang w:val="hy-AM"/>
        </w:rPr>
        <w:t xml:space="preserve">; </w:t>
      </w:r>
      <w:r w:rsidRPr="009A7904">
        <w:rPr>
          <w:lang w:val="hy-AM" w:eastAsia="ru-RU"/>
        </w:rPr>
        <w:t xml:space="preserve">90.2 և 89.2 </w:t>
      </w:r>
      <w:r w:rsidRPr="009A7904">
        <w:rPr>
          <w:lang w:val="af-ZA" w:eastAsia="ru-RU"/>
        </w:rPr>
        <w:t>%</w:t>
      </w:r>
      <w:r w:rsidRPr="009A7904">
        <w:rPr>
          <w:lang w:val="hy-AM" w:eastAsia="ru-RU"/>
        </w:rPr>
        <w:t>-ով</w:t>
      </w:r>
      <w:r w:rsidRPr="009A7904">
        <w:rPr>
          <w:lang w:val="af-ZA" w:eastAsia="ru-RU"/>
        </w:rPr>
        <w:t xml:space="preserve"> </w:t>
      </w:r>
      <w:r w:rsidRPr="009A7904">
        <w:rPr>
          <w:lang w:val="hy-AM" w:eastAsia="ru-RU"/>
        </w:rPr>
        <w:t>հիմնականում պայմանավորված է</w:t>
      </w:r>
      <w:r w:rsidRPr="009A7904">
        <w:rPr>
          <w:lang w:val="af-ZA" w:eastAsia="ru-RU"/>
        </w:rPr>
        <w:t xml:space="preserve">  </w:t>
      </w:r>
      <w:r w:rsidRPr="009A7904">
        <w:rPr>
          <w:lang w:val="hy-AM"/>
        </w:rPr>
        <w:t>«</w:t>
      </w:r>
      <w:r w:rsidRPr="009A7904">
        <w:rPr>
          <w:lang w:val="af-ZA" w:eastAsia="ru-RU"/>
        </w:rPr>
        <w:t>Աջակցություն համայնքներին մարզական հաստատությունների շենքային պայմանների բարելավման համար</w:t>
      </w:r>
      <w:r w:rsidRPr="009A7904">
        <w:rPr>
          <w:lang w:val="hy-AM"/>
        </w:rPr>
        <w:t>»</w:t>
      </w:r>
      <w:r w:rsidRPr="009A7904">
        <w:rPr>
          <w:lang w:val="af-ZA"/>
        </w:rPr>
        <w:t xml:space="preserve"> </w:t>
      </w:r>
      <w:r w:rsidRPr="009A7904">
        <w:rPr>
          <w:lang w:val="hy-AM"/>
        </w:rPr>
        <w:t>միջոցառման</w:t>
      </w:r>
      <w:r w:rsidRPr="009A7904">
        <w:rPr>
          <w:lang w:val="hy-AM" w:eastAsia="ru-RU"/>
        </w:rPr>
        <w:t xml:space="preserve"> չնախատեսմամբ:  </w:t>
      </w:r>
    </w:p>
    <w:p w14:paraId="1C73074D" w14:textId="77777777" w:rsidR="009D2825" w:rsidRPr="009A7904" w:rsidRDefault="009D2825" w:rsidP="009A7904">
      <w:pPr>
        <w:spacing w:line="276" w:lineRule="auto"/>
        <w:ind w:firstLine="360"/>
        <w:rPr>
          <w:b/>
          <w:i/>
          <w:spacing w:val="-2"/>
          <w:lang w:val="af-ZA"/>
        </w:rPr>
      </w:pPr>
      <w:r w:rsidRPr="009A7904">
        <w:rPr>
          <w:b/>
          <w:i/>
          <w:spacing w:val="-2"/>
          <w:lang w:val="hy-AM"/>
        </w:rPr>
        <w:t>3.</w:t>
      </w:r>
      <w:r w:rsidRPr="009A7904">
        <w:rPr>
          <w:lang w:val="hy-AM"/>
        </w:rPr>
        <w:t xml:space="preserve"> </w:t>
      </w:r>
      <w:r w:rsidRPr="009A7904">
        <w:rPr>
          <w:b/>
          <w:i/>
          <w:lang w:val="hy-AM"/>
        </w:rPr>
        <w:t xml:space="preserve">Երիտասարդության  </w:t>
      </w:r>
      <w:r w:rsidRPr="009A7904">
        <w:rPr>
          <w:b/>
          <w:i/>
          <w:spacing w:val="-2"/>
          <w:lang w:val="fr-FR"/>
        </w:rPr>
        <w:t>ծրագիր</w:t>
      </w:r>
    </w:p>
    <w:p w14:paraId="03EBD411" w14:textId="77777777" w:rsidR="009D2825" w:rsidRPr="009A7904" w:rsidRDefault="009D2825" w:rsidP="009A7904">
      <w:pPr>
        <w:spacing w:after="0" w:line="276" w:lineRule="auto"/>
        <w:rPr>
          <w:lang w:val="hy-AM"/>
        </w:rPr>
      </w:pPr>
      <w:r w:rsidRPr="009A7904">
        <w:rPr>
          <w:rFonts w:cs="Sylfaen"/>
          <w:lang w:val="hy-AM"/>
        </w:rPr>
        <w:t xml:space="preserve">       </w:t>
      </w:r>
      <w:r w:rsidRPr="009A7904">
        <w:rPr>
          <w:lang w:val="hy-AM"/>
        </w:rPr>
        <w:t>Երիտասարդության</w:t>
      </w:r>
      <w:r w:rsidRPr="009A7904">
        <w:rPr>
          <w:rFonts w:cs="Sylfaen"/>
          <w:b/>
          <w:lang w:val="hy-AM"/>
        </w:rPr>
        <w:t xml:space="preserve"> </w:t>
      </w:r>
      <w:r w:rsidRPr="009A7904">
        <w:rPr>
          <w:rFonts w:cs="Sylfaen"/>
          <w:lang w:val="hy-AM"/>
        </w:rPr>
        <w:t>ծ</w:t>
      </w:r>
      <w:r w:rsidRPr="009A7904">
        <w:rPr>
          <w:rFonts w:cs="Sylfaen"/>
          <w:lang w:val="af-ZA"/>
        </w:rPr>
        <w:t>րագրի նպատակն</w:t>
      </w:r>
      <w:r w:rsidRPr="009A7904">
        <w:rPr>
          <w:rFonts w:cs="Sylfaen"/>
          <w:kern w:val="16"/>
          <w:lang w:val="hy-AM"/>
        </w:rPr>
        <w:t xml:space="preserve"> է` նպաստել</w:t>
      </w:r>
      <w:r w:rsidRPr="009A7904">
        <w:rPr>
          <w:rFonts w:cs="Sylfaen"/>
          <w:kern w:val="16"/>
          <w:lang w:val="af-ZA"/>
        </w:rPr>
        <w:t xml:space="preserve"> </w:t>
      </w:r>
      <w:r w:rsidRPr="009A7904">
        <w:rPr>
          <w:rFonts w:cs="Sylfaen"/>
          <w:kern w:val="16"/>
          <w:lang w:val="hy-AM"/>
        </w:rPr>
        <w:t>սոցիալ</w:t>
      </w:r>
      <w:r w:rsidRPr="009A7904">
        <w:rPr>
          <w:rFonts w:cs="Sylfaen"/>
          <w:kern w:val="16"/>
          <w:lang w:val="af-ZA"/>
        </w:rPr>
        <w:t>-</w:t>
      </w:r>
      <w:r w:rsidRPr="009A7904">
        <w:rPr>
          <w:rFonts w:cs="Sylfaen"/>
          <w:kern w:val="16"/>
          <w:lang w:val="hy-AM"/>
        </w:rPr>
        <w:t>տնտեսական</w:t>
      </w:r>
      <w:r w:rsidRPr="009A7904">
        <w:rPr>
          <w:rFonts w:cs="Sylfaen"/>
          <w:kern w:val="16"/>
          <w:lang w:val="af-ZA"/>
        </w:rPr>
        <w:t xml:space="preserve">, </w:t>
      </w:r>
      <w:r w:rsidRPr="009A7904">
        <w:rPr>
          <w:rFonts w:cs="Sylfaen"/>
          <w:kern w:val="16"/>
          <w:lang w:val="hy-AM"/>
        </w:rPr>
        <w:t>քաղաքական</w:t>
      </w:r>
      <w:r w:rsidRPr="009A7904">
        <w:rPr>
          <w:rFonts w:cs="Sylfaen"/>
          <w:kern w:val="16"/>
          <w:lang w:val="af-ZA"/>
        </w:rPr>
        <w:t xml:space="preserve"> </w:t>
      </w:r>
      <w:r w:rsidRPr="009A7904">
        <w:rPr>
          <w:rFonts w:cs="Sylfaen"/>
          <w:kern w:val="16"/>
          <w:lang w:val="hy-AM"/>
        </w:rPr>
        <w:t>և</w:t>
      </w:r>
      <w:r w:rsidRPr="009A7904">
        <w:rPr>
          <w:rFonts w:cs="Sylfaen"/>
          <w:kern w:val="16"/>
          <w:lang w:val="af-ZA"/>
        </w:rPr>
        <w:t xml:space="preserve"> </w:t>
      </w:r>
      <w:r w:rsidRPr="009A7904">
        <w:rPr>
          <w:rFonts w:cs="Sylfaen"/>
          <w:kern w:val="16"/>
          <w:lang w:val="hy-AM"/>
        </w:rPr>
        <w:t>մշակութային</w:t>
      </w:r>
      <w:r w:rsidRPr="009A7904">
        <w:rPr>
          <w:rFonts w:cs="Sylfaen"/>
          <w:kern w:val="16"/>
          <w:lang w:val="af-ZA"/>
        </w:rPr>
        <w:t xml:space="preserve"> </w:t>
      </w:r>
      <w:r w:rsidRPr="009A7904">
        <w:rPr>
          <w:rFonts w:cs="Sylfaen"/>
          <w:kern w:val="16"/>
          <w:lang w:val="hy-AM"/>
        </w:rPr>
        <w:t>կյանքին</w:t>
      </w:r>
      <w:r w:rsidRPr="009A7904">
        <w:rPr>
          <w:rFonts w:cs="Sylfaen"/>
          <w:kern w:val="16"/>
          <w:lang w:val="af-ZA"/>
        </w:rPr>
        <w:t xml:space="preserve"> երիտասարդների լիարժեք ներգրավմանը և նրանց ստեղծագործական ներուժի ամբողջական դրսևորմանը</w:t>
      </w:r>
      <w:r w:rsidRPr="009A7904">
        <w:rPr>
          <w:rFonts w:cs="Sylfaen"/>
          <w:kern w:val="16"/>
          <w:lang w:val="hy-AM"/>
        </w:rPr>
        <w:t>:</w:t>
      </w:r>
      <w:r w:rsidRPr="009A7904">
        <w:rPr>
          <w:lang w:val="af-ZA"/>
        </w:rPr>
        <w:t xml:space="preserve"> </w:t>
      </w:r>
    </w:p>
    <w:p w14:paraId="09334168" w14:textId="77777777" w:rsidR="009D2825" w:rsidRPr="009A7904" w:rsidRDefault="009D2825" w:rsidP="009A7904">
      <w:pPr>
        <w:spacing w:after="0" w:line="276" w:lineRule="auto"/>
        <w:ind w:firstLine="360"/>
        <w:rPr>
          <w:lang w:val="af-ZA"/>
        </w:rPr>
      </w:pPr>
      <w:r w:rsidRPr="009A7904">
        <w:rPr>
          <w:rFonts w:cs="Sylfaen"/>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 xml:space="preserve"> 1,846</w:t>
      </w:r>
      <w:r w:rsidRPr="009A7904">
        <w:rPr>
          <w:rFonts w:cs="Sylfaen"/>
          <w:lang w:val="af-ZA"/>
        </w:rPr>
        <w:t>.5</w:t>
      </w:r>
      <w:r w:rsidRPr="009A7904">
        <w:rPr>
          <w:rFonts w:cs="Sylfaen"/>
          <w:lang w:val="hy-AM"/>
        </w:rPr>
        <w:t>; 2,303</w:t>
      </w:r>
      <w:r w:rsidRPr="009A7904">
        <w:rPr>
          <w:rFonts w:cs="Sylfaen"/>
          <w:lang w:val="af-ZA"/>
        </w:rPr>
        <w:t>.</w:t>
      </w:r>
      <w:r w:rsidRPr="009A7904">
        <w:rPr>
          <w:rFonts w:cs="Sylfaen"/>
          <w:lang w:val="hy-AM"/>
        </w:rPr>
        <w:t xml:space="preserve">8 և 2,718.0 մլն դրամ՝ </w:t>
      </w:r>
      <w:r w:rsidRPr="009A7904">
        <w:rPr>
          <w:lang w:val="hy-AM"/>
        </w:rPr>
        <w:t>2020 թվականի 1,533.3 մլն դրամի դիմաց</w:t>
      </w:r>
      <w:r w:rsidRPr="009A7904">
        <w:rPr>
          <w:lang w:val="af-ZA"/>
        </w:rPr>
        <w:t>:</w:t>
      </w:r>
    </w:p>
    <w:p w14:paraId="0E60F339" w14:textId="77777777" w:rsidR="009D2825" w:rsidRPr="009A7904" w:rsidRDefault="009D2825" w:rsidP="009A7904">
      <w:pPr>
        <w:spacing w:after="0" w:line="276" w:lineRule="auto"/>
        <w:rPr>
          <w:lang w:val="hy-AM"/>
        </w:rPr>
      </w:pPr>
      <w:r w:rsidRPr="009A7904">
        <w:rPr>
          <w:rFonts w:cs="Sylfaen"/>
          <w:lang w:val="hy-AM"/>
        </w:rPr>
        <w:t xml:space="preserve"> </w:t>
      </w:r>
      <w:r w:rsidRPr="009A7904">
        <w:rPr>
          <w:rFonts w:cs="Sylfaen"/>
          <w:lang w:val="hy-AM"/>
        </w:rPr>
        <w:tab/>
      </w:r>
      <w:r w:rsidRPr="009A7904">
        <w:rPr>
          <w:lang w:val="hy-AM"/>
        </w:rPr>
        <w:t xml:space="preserve"> 2021-2023 թվականների ծախսերի աճը 2020 թվականի պետական բյուջեի նկատմամբ՝ </w:t>
      </w:r>
      <w:r w:rsidRPr="009A7904">
        <w:rPr>
          <w:lang w:val="af-ZA"/>
        </w:rPr>
        <w:t>20</w:t>
      </w:r>
      <w:r w:rsidRPr="009A7904">
        <w:rPr>
          <w:lang w:val="hy-AM"/>
        </w:rPr>
        <w:t>.</w:t>
      </w:r>
      <w:r w:rsidRPr="009A7904">
        <w:rPr>
          <w:lang w:val="af-ZA"/>
        </w:rPr>
        <w:t>4</w:t>
      </w:r>
      <w:r w:rsidRPr="009A7904">
        <w:rPr>
          <w:rFonts w:cs="Sylfaen"/>
          <w:lang w:val="hy-AM"/>
        </w:rPr>
        <w:t>; 5</w:t>
      </w:r>
      <w:r w:rsidRPr="009A7904">
        <w:rPr>
          <w:lang w:val="af-ZA"/>
        </w:rPr>
        <w:t>0</w:t>
      </w:r>
      <w:r w:rsidRPr="009A7904">
        <w:rPr>
          <w:lang w:val="hy-AM"/>
        </w:rPr>
        <w:t xml:space="preserve">.3 և 77.3 </w:t>
      </w:r>
      <w:r w:rsidRPr="009A7904">
        <w:rPr>
          <w:lang w:val="af-ZA"/>
        </w:rPr>
        <w:t>%</w:t>
      </w:r>
      <w:r w:rsidRPr="009A7904">
        <w:rPr>
          <w:lang w:val="hy-AM"/>
        </w:rPr>
        <w:t>-ով հիմնականում</w:t>
      </w:r>
      <w:r w:rsidRPr="009A7904">
        <w:rPr>
          <w:lang w:val="af-ZA"/>
        </w:rPr>
        <w:t xml:space="preserve"> </w:t>
      </w:r>
      <w:r w:rsidRPr="009A7904">
        <w:rPr>
          <w:lang w:val="hy-AM"/>
        </w:rPr>
        <w:t>պայմանավորված է «Աջակցություն երիտասարդ ընտանիքներին»</w:t>
      </w:r>
      <w:r w:rsidRPr="009A7904">
        <w:rPr>
          <w:lang w:val="af-ZA"/>
        </w:rPr>
        <w:t xml:space="preserve"> միջոցառման ծախսերի աճով</w:t>
      </w:r>
      <w:r w:rsidRPr="009A7904">
        <w:rPr>
          <w:lang w:val="hy-AM"/>
        </w:rPr>
        <w:t>, կապված շահառուների թվի ավելացման հետ:</w:t>
      </w:r>
    </w:p>
    <w:p w14:paraId="385F8D47" w14:textId="77777777" w:rsidR="009D2825" w:rsidRPr="009A7904" w:rsidRDefault="009D2825" w:rsidP="009A7904">
      <w:pPr>
        <w:pStyle w:val="ListParagraph"/>
        <w:tabs>
          <w:tab w:val="left" w:pos="851"/>
          <w:tab w:val="left" w:pos="993"/>
        </w:tabs>
        <w:spacing w:line="276" w:lineRule="auto"/>
        <w:ind w:left="90" w:hanging="516"/>
        <w:rPr>
          <w:rFonts w:cs="Arial Armenian"/>
          <w:lang w:val="hy-AM"/>
        </w:rPr>
      </w:pPr>
      <w:r w:rsidRPr="009A7904">
        <w:rPr>
          <w:rFonts w:cs="Arial Armenian"/>
          <w:lang w:val="hy-AM"/>
        </w:rPr>
        <w:tab/>
        <w:t xml:space="preserve">        </w:t>
      </w:r>
      <w:r w:rsidR="00BE7F99">
        <w:rPr>
          <w:rFonts w:cs="Arial Armenian"/>
          <w:lang w:val="hy-AM"/>
        </w:rPr>
        <w:t>Կ</w:t>
      </w:r>
      <w:r w:rsidRPr="009A7904">
        <w:rPr>
          <w:rFonts w:cs="Arial Armenian"/>
          <w:lang w:val="hy-AM"/>
        </w:rPr>
        <w:t>րթության, գիտության, մշակույթի և սպորտի նախարարության գծով 2021-2023 թվականներին նախատեսված չափաքանակները.</w:t>
      </w:r>
    </w:p>
    <w:p w14:paraId="44BB9FC7" w14:textId="77777777" w:rsidR="009D2825" w:rsidRPr="009A7904" w:rsidRDefault="009D2825" w:rsidP="009A7904">
      <w:pPr>
        <w:pStyle w:val="ListParagraph"/>
        <w:tabs>
          <w:tab w:val="left" w:pos="851"/>
          <w:tab w:val="left" w:pos="993"/>
        </w:tabs>
        <w:spacing w:line="276" w:lineRule="auto"/>
        <w:ind w:left="90" w:hanging="516"/>
        <w:rPr>
          <w:rFonts w:cs="Arial Armenian"/>
          <w:lang w:val="hy-AM"/>
        </w:rPr>
      </w:pPr>
    </w:p>
    <w:p w14:paraId="6CED7DF7" w14:textId="77777777" w:rsidR="009D2825" w:rsidRPr="009A7904" w:rsidRDefault="009D2825" w:rsidP="009A7904">
      <w:pPr>
        <w:pStyle w:val="ListParagraph"/>
        <w:tabs>
          <w:tab w:val="left" w:pos="851"/>
          <w:tab w:val="left" w:pos="993"/>
        </w:tabs>
        <w:spacing w:line="276" w:lineRule="auto"/>
        <w:ind w:left="90" w:hanging="516"/>
        <w:rPr>
          <w:rFonts w:cs="Sylfaen"/>
          <w:lang w:val="hy-AM"/>
        </w:rPr>
      </w:pPr>
      <w:r w:rsidRPr="009A7904">
        <w:rPr>
          <w:rFonts w:cs="Arial Armenian"/>
          <w:lang w:val="hy-AM"/>
        </w:rPr>
        <w:lastRenderedPageBreak/>
        <w:tab/>
        <w:t xml:space="preserve">2021 թվականի համար՝ </w:t>
      </w:r>
      <w:r w:rsidRPr="009A7904">
        <w:rPr>
          <w:rFonts w:cs="Sylfaen"/>
          <w:lang w:val="hy-AM"/>
        </w:rPr>
        <w:t>177,589.8 մլն դրամ;</w:t>
      </w:r>
    </w:p>
    <w:p w14:paraId="6E06636A" w14:textId="77777777" w:rsidR="009D2825" w:rsidRPr="009A7904" w:rsidRDefault="009D2825" w:rsidP="009A7904">
      <w:pPr>
        <w:pStyle w:val="ListParagraph"/>
        <w:tabs>
          <w:tab w:val="left" w:pos="851"/>
          <w:tab w:val="left" w:pos="993"/>
        </w:tabs>
        <w:spacing w:line="276" w:lineRule="auto"/>
        <w:ind w:left="90" w:hanging="516"/>
        <w:rPr>
          <w:rFonts w:cs="Sylfaen"/>
          <w:lang w:val="hy-AM"/>
        </w:rPr>
      </w:pPr>
      <w:r w:rsidRPr="009A7904">
        <w:rPr>
          <w:rFonts w:cs="Sylfaen"/>
          <w:lang w:val="hy-AM"/>
        </w:rPr>
        <w:tab/>
        <w:t xml:space="preserve">2022 </w:t>
      </w:r>
      <w:r w:rsidRPr="009A7904">
        <w:rPr>
          <w:rFonts w:cs="Arial Armenian"/>
          <w:lang w:val="hy-AM"/>
        </w:rPr>
        <w:t>թվականի համար՝ 194</w:t>
      </w:r>
      <w:r w:rsidRPr="009A7904">
        <w:rPr>
          <w:rFonts w:cs="Sylfaen"/>
          <w:lang w:val="hy-AM"/>
        </w:rPr>
        <w:t>,878.3 մլն դրամ;</w:t>
      </w:r>
    </w:p>
    <w:p w14:paraId="0620CEED" w14:textId="77777777" w:rsidR="009D2825" w:rsidRPr="009A7904" w:rsidRDefault="009D2825" w:rsidP="009A7904">
      <w:pPr>
        <w:pStyle w:val="ListParagraph"/>
        <w:tabs>
          <w:tab w:val="left" w:pos="851"/>
          <w:tab w:val="left" w:pos="993"/>
        </w:tabs>
        <w:spacing w:line="276" w:lineRule="auto"/>
        <w:ind w:left="90" w:hanging="516"/>
        <w:rPr>
          <w:lang w:val="hy-AM"/>
        </w:rPr>
      </w:pPr>
      <w:r w:rsidRPr="009A7904">
        <w:rPr>
          <w:rFonts w:cs="Arial Armenian"/>
          <w:lang w:val="hy-AM"/>
        </w:rPr>
        <w:tab/>
        <w:t>2023 թվականի համար՝ 210</w:t>
      </w:r>
      <w:r w:rsidRPr="009A7904">
        <w:rPr>
          <w:rFonts w:cs="Sylfaen"/>
          <w:lang w:val="hy-AM"/>
        </w:rPr>
        <w:t>,023.0 մլն դրամ:</w:t>
      </w:r>
    </w:p>
    <w:p w14:paraId="33AEFF7D" w14:textId="77777777" w:rsidR="009D2825" w:rsidRPr="009A7904" w:rsidRDefault="009D2825" w:rsidP="009A7904">
      <w:pPr>
        <w:pStyle w:val="ListParagraph"/>
        <w:tabs>
          <w:tab w:val="left" w:pos="851"/>
          <w:tab w:val="left" w:pos="993"/>
        </w:tabs>
        <w:spacing w:after="0" w:line="276" w:lineRule="auto"/>
        <w:ind w:left="90" w:hanging="516"/>
        <w:rPr>
          <w:rFonts w:cs="Arial Armenian"/>
          <w:lang w:val="hy-AM"/>
        </w:rPr>
      </w:pPr>
      <w:r w:rsidRPr="009A7904">
        <w:rPr>
          <w:rFonts w:cs="Arial Armenian"/>
          <w:lang w:val="hy-AM"/>
        </w:rPr>
        <w:tab/>
      </w:r>
    </w:p>
    <w:p w14:paraId="5B8C2A63" w14:textId="77777777" w:rsidR="009A7904" w:rsidRDefault="009A7904"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303" w:name="_Toc45637518"/>
      <w:bookmarkStart w:id="304" w:name="_Toc45838542"/>
    </w:p>
    <w:p w14:paraId="2B42F8D9" w14:textId="77777777" w:rsidR="009A7904" w:rsidRDefault="009A7904">
      <w:pPr>
        <w:spacing w:before="0" w:after="200" w:line="276" w:lineRule="auto"/>
        <w:ind w:firstLine="0"/>
        <w:jc w:val="left"/>
        <w:rPr>
          <w:rFonts w:eastAsia="Times New Roman" w:cs="Times New Roman"/>
          <w:b/>
          <w:color w:val="1F497D" w:themeColor="text2"/>
          <w:sz w:val="28"/>
          <w:szCs w:val="28"/>
          <w:lang w:val="hy-AM"/>
        </w:rPr>
      </w:pPr>
      <w:r w:rsidRPr="00BE7F99">
        <w:rPr>
          <w:rFonts w:eastAsia="Times New Roman" w:cs="Times New Roman"/>
          <w:caps/>
          <w:color w:val="1F497D" w:themeColor="text2"/>
          <w:sz w:val="28"/>
          <w:szCs w:val="28"/>
          <w:lang w:val="hy-AM"/>
        </w:rPr>
        <w:br w:type="page"/>
      </w:r>
    </w:p>
    <w:p w14:paraId="4351715A" w14:textId="77777777" w:rsidR="009D2825" w:rsidRPr="009A7904" w:rsidRDefault="009D2825" w:rsidP="009A7904">
      <w:pPr>
        <w:pStyle w:val="Heading3"/>
        <w:numPr>
          <w:ilvl w:val="0"/>
          <w:numId w:val="0"/>
        </w:numPr>
        <w:spacing w:before="0" w:after="120" w:line="276" w:lineRule="auto"/>
        <w:jc w:val="both"/>
        <w:rPr>
          <w:sz w:val="28"/>
          <w:szCs w:val="28"/>
        </w:rPr>
      </w:pPr>
      <w:bookmarkStart w:id="305" w:name="_Toc46154370"/>
      <w:r w:rsidRPr="009A7904">
        <w:rPr>
          <w:rFonts w:eastAsia="Times New Roman" w:cs="Times New Roman"/>
          <w:caps w:val="0"/>
          <w:color w:val="1F497D" w:themeColor="text2"/>
          <w:sz w:val="28"/>
          <w:szCs w:val="28"/>
        </w:rPr>
        <w:lastRenderedPageBreak/>
        <w:t>3</w:t>
      </w:r>
      <w:r w:rsidR="009858E4" w:rsidRPr="009A7904">
        <w:rPr>
          <w:rFonts w:eastAsia="Times New Roman" w:cs="Times New Roman"/>
          <w:caps w:val="0"/>
          <w:color w:val="1F497D" w:themeColor="text2"/>
          <w:sz w:val="28"/>
          <w:szCs w:val="28"/>
        </w:rPr>
        <w:t>.</w:t>
      </w:r>
      <w:r w:rsidRPr="009A7904">
        <w:rPr>
          <w:rFonts w:eastAsia="Times New Roman" w:cs="Times New Roman"/>
          <w:caps w:val="0"/>
          <w:color w:val="1F497D" w:themeColor="text2"/>
          <w:sz w:val="28"/>
          <w:szCs w:val="28"/>
        </w:rPr>
        <w:t xml:space="preserve"> ԱՌՈՂՋԱՊԱՀՈՒԹՅՈՒՆ</w:t>
      </w:r>
      <w:bookmarkEnd w:id="300"/>
      <w:bookmarkEnd w:id="301"/>
      <w:bookmarkEnd w:id="302"/>
      <w:bookmarkEnd w:id="303"/>
      <w:bookmarkEnd w:id="304"/>
      <w:bookmarkEnd w:id="305"/>
    </w:p>
    <w:p w14:paraId="26765F57" w14:textId="77777777" w:rsidR="009D2825" w:rsidRPr="009A7904" w:rsidRDefault="009D2825" w:rsidP="009A7904">
      <w:pPr>
        <w:pStyle w:val="ListParagraph"/>
        <w:spacing w:line="276" w:lineRule="auto"/>
        <w:rPr>
          <w:b/>
          <w:lang w:val="it-IT"/>
        </w:rPr>
      </w:pPr>
    </w:p>
    <w:p w14:paraId="263457AF" w14:textId="77777777" w:rsidR="009D2825" w:rsidRPr="009A7904" w:rsidRDefault="009D2825" w:rsidP="009A7904">
      <w:pPr>
        <w:spacing w:after="0" w:line="276" w:lineRule="auto"/>
        <w:ind w:firstLine="475"/>
        <w:rPr>
          <w:rFonts w:eastAsia="Calibri" w:cs="GHEA Grapalat"/>
          <w:lang w:val="hy-AM"/>
        </w:rPr>
      </w:pPr>
      <w:r w:rsidRPr="009A7904">
        <w:rPr>
          <w:rFonts w:eastAsia="Calibri" w:cs="GHEA Grapalat"/>
          <w:lang w:val="hy-AM"/>
        </w:rPr>
        <w:t xml:space="preserve">Առողջապահության ոլորտի հետագա զարգացումը, մատուցվող ծառայությունների մատչելիության ու որակի, բնակչության առողջությունը բնութագրող ցուցանիշների բարելավումը մեծապես կախված են ոլորտի ֆինանսավորման մակարդակից: Ծրագրային ժամանակահատվածում առողջապահության ոլորտը պետք է լինի պետական ծախսային առաջնահերթություններից մեկը, և ոլորտին հատկացումներն աճեն ավելի արագ, քան բյուջեի ընդհանուր ծախսերը։ </w:t>
      </w:r>
    </w:p>
    <w:p w14:paraId="4114AE90" w14:textId="5551704C" w:rsidR="009D2825" w:rsidRPr="009A7904" w:rsidRDefault="009D2825" w:rsidP="009A7904">
      <w:pPr>
        <w:spacing w:after="0" w:line="276" w:lineRule="auto"/>
        <w:ind w:firstLine="475"/>
        <w:rPr>
          <w:rFonts w:eastAsia="Calibri" w:cs="GHEA Grapalat"/>
          <w:lang w:val="hy-AM"/>
        </w:rPr>
      </w:pPr>
      <w:r w:rsidRPr="009A7904">
        <w:rPr>
          <w:rFonts w:eastAsia="Calibri" w:cs="GHEA Grapalat"/>
          <w:lang w:val="hy-AM"/>
        </w:rPr>
        <w:t>Պետական առողջապահական ծախսերի նպատակայնության հետևողական բարձրացման, հատկացվող ֆինանսական միջոցների վերահսկման և մատուցվող ծառայությունների որակի կառավարման գործուն մեխանիզմների շարունակական բարելավման շնորհիվ առողջապահական համակարգի շահառուն ստիպված չի լինի հավելյալ վճարել պետության կողմից անվճար և արտոնյալ պայմաններով մատուցվող ծառայությունների համար և կստանա որակյալ բժշկական օգնություն և ծառայություններ: Անվճար բժշկական օգնությունը պետք է տրամադրվի միայն սոցիալական արդարության և գենդերային հավասարության սկզբունքի հիման վրա: Միաժամանակ պետությունը պետք է կանգնած լինի անհետաձգելի բժշկական օգնության կարիք ունեցող ցանկացած մարդու կողքին:</w:t>
      </w:r>
    </w:p>
    <w:p w14:paraId="5179A9EC" w14:textId="77777777" w:rsidR="009D2825" w:rsidRPr="009A7904" w:rsidRDefault="009D2825" w:rsidP="009A7904">
      <w:pPr>
        <w:spacing w:after="0" w:line="276" w:lineRule="auto"/>
        <w:ind w:firstLine="475"/>
        <w:rPr>
          <w:rFonts w:eastAsia="Calibri" w:cs="GHEA Grapalat"/>
          <w:lang w:val="hy-AM"/>
        </w:rPr>
      </w:pPr>
      <w:r w:rsidRPr="009A7904">
        <w:rPr>
          <w:rFonts w:eastAsia="Calibri" w:cs="GHEA Grapalat"/>
          <w:lang w:val="hy-AM"/>
        </w:rPr>
        <w:t>Բնակչության առողջության առաջնային պահպանումը միջնաժամկետ հեռանկարում շարունակելու է մնալ ռազմավարական կարևոր ուղղություն: Միջնաժամկետ հատվածում շարունակականորեն ապահովելով առաջնային օղակի դերի բարձրացումը և մատուցվող ծառայությունների որակի բարելավումը` ապահովվելու է որակյալ և հասանելի, մատչելի առաջնային բուժօգնություն, ինչպես նաև սոցիալական արդարության և հավասարության սկզբունքներ հանրապետության ողջ բնակչության համար` անկախ սեռից ու տարիքից:</w:t>
      </w:r>
    </w:p>
    <w:p w14:paraId="437893E2" w14:textId="77777777" w:rsidR="009D2825" w:rsidRPr="009A7904" w:rsidRDefault="009D2825" w:rsidP="009A7904">
      <w:pPr>
        <w:spacing w:after="0" w:line="276" w:lineRule="auto"/>
        <w:ind w:firstLine="475"/>
        <w:rPr>
          <w:rFonts w:eastAsia="Calibri" w:cs="GHEA Grapalat"/>
          <w:lang w:val="hy-AM"/>
        </w:rPr>
      </w:pPr>
      <w:r w:rsidRPr="009A7904">
        <w:rPr>
          <w:rFonts w:eastAsia="Calibri" w:cs="GHEA Grapalat"/>
          <w:lang w:val="hy-AM"/>
        </w:rPr>
        <w:t>Մոր և մանկան առողջությունը շարունակելու է առանցքային դեր խաղալ պետական ծախսային քաղաքականության մեջ: Հղիների նախածննդյան և ծննդյան որակյալ բուժօգնության տրամադրման, կանանց, հղիների և նորածինների լայնածավալ սքրինինգային ծրագրերի, կանանց համար մեծ ռիսկ ներկայացնող հիվանդությունների դեպքերի վաղ հայտնաբերման ու կանխարգելման, երեխաների պատվաստումներում ընդգրկվածության մեծացման արդյունքում ակնկալվում է զգալի կրճատել մանկական և մայրական մահացության ցուցանիշները:</w:t>
      </w:r>
    </w:p>
    <w:p w14:paraId="03CE1414" w14:textId="77777777" w:rsidR="009D2825" w:rsidRPr="009A7904" w:rsidRDefault="009D2825" w:rsidP="009A7904">
      <w:pPr>
        <w:spacing w:after="0" w:line="276" w:lineRule="auto"/>
        <w:ind w:firstLine="480"/>
        <w:rPr>
          <w:rFonts w:eastAsia="Calibri" w:cs="GHEA Grapalat"/>
          <w:lang w:val="hy-AM"/>
        </w:rPr>
      </w:pPr>
      <w:r w:rsidRPr="009A7904">
        <w:rPr>
          <w:rFonts w:eastAsia="Calibri" w:cs="GHEA Grapalat"/>
          <w:lang w:val="hy-AM"/>
        </w:rPr>
        <w:t>0-18 տարեկան երեխաների հիվանդանոցային բժշկական օգնությունն ու սպասարկումը ամբողջապես գտնվում է պետական հոգածության տակ և իրականացվում է պետական պատվերի շրջանակներում:</w:t>
      </w:r>
    </w:p>
    <w:p w14:paraId="13E507FA" w14:textId="77777777" w:rsidR="009D2825" w:rsidRPr="009A7904" w:rsidRDefault="009D2825" w:rsidP="009A7904">
      <w:pPr>
        <w:spacing w:after="0" w:line="276" w:lineRule="auto"/>
        <w:ind w:firstLine="480"/>
        <w:rPr>
          <w:rFonts w:eastAsia="Calibri" w:cs="GHEA Grapalat"/>
          <w:lang w:val="hy-AM"/>
        </w:rPr>
      </w:pPr>
      <w:r w:rsidRPr="009A7904">
        <w:rPr>
          <w:rFonts w:eastAsia="Calibri" w:cs="GHEA Grapalat"/>
          <w:lang w:val="hy-AM"/>
        </w:rPr>
        <w:t>Միջնաժամկետ ժամանակահատվածում շարունակվելու են լրացուցիչ միջոցներ ուղղվել պետության կողմից երաշխավորված անվճար բժշկական օգնության և սպասարկման շրջանակներում կյանք փրկող գլխուղեղի սուր և ենթասուր իշեմիկ կաթվածների թրոմբոլիտիկ բուժման և մեխանիկական թրոմբէկտոմիա ծառայության զարգացմանը:</w:t>
      </w:r>
    </w:p>
    <w:p w14:paraId="546FCAF3" w14:textId="77777777" w:rsidR="009D2825" w:rsidRPr="009A7904" w:rsidRDefault="009D2825" w:rsidP="009A7904">
      <w:pPr>
        <w:spacing w:after="0" w:line="276" w:lineRule="auto"/>
        <w:ind w:firstLine="480"/>
        <w:rPr>
          <w:rFonts w:eastAsia="Calibri" w:cs="GHEA Grapalat"/>
          <w:lang w:val="hy-AM"/>
        </w:rPr>
      </w:pPr>
      <w:r w:rsidRPr="009A7904">
        <w:rPr>
          <w:rFonts w:eastAsia="Calibri" w:cs="GHEA Grapalat"/>
          <w:lang w:val="hy-AM"/>
        </w:rPr>
        <w:t xml:space="preserve">Վարակիչ և ոչ վարակիչ հիվանդությունների կանխարգելումը ռազմավարական կարևոր նպատակ է, որի շրջանակներում ապահովվելու է առավել տարածված ոչ վարակիչ հիվանդությունների կանխարգելման,  ախտորոշման, վաղ հայտնաբերման ճանապարհով բնակչության առողջության հիմնական ցուցանիշների բարելավում և այդ հիվանդությունների </w:t>
      </w:r>
      <w:r w:rsidRPr="009A7904">
        <w:rPr>
          <w:rFonts w:eastAsia="Calibri" w:cs="GHEA Grapalat"/>
          <w:lang w:val="hy-AM"/>
        </w:rPr>
        <w:lastRenderedPageBreak/>
        <w:t>բարդությունների, հաշմանդամության և մահացության ցուցանիշների կրճատում, ինչպես նաև վարակիչ հիվանդությունների հիվանդացության նվազեցում, կառավարելի վարակիչ հիվանդություններից մահվան դեպքերի կանխում և վարակիչ հիվանդությունների նկատմամբ բնակչության անընկալության ապահովում:</w:t>
      </w:r>
    </w:p>
    <w:p w14:paraId="5FC9B0E8" w14:textId="77777777" w:rsidR="009D2825" w:rsidRPr="009A7904" w:rsidRDefault="009D2825" w:rsidP="009A7904">
      <w:pPr>
        <w:spacing w:after="0" w:line="276" w:lineRule="auto"/>
        <w:ind w:firstLine="475"/>
        <w:rPr>
          <w:rFonts w:eastAsia="Calibri" w:cs="GHEA Grapalat"/>
          <w:lang w:val="hy-AM"/>
        </w:rPr>
      </w:pPr>
      <w:r w:rsidRPr="009A7904">
        <w:rPr>
          <w:rFonts w:eastAsia="Calibri" w:cs="GHEA Grapalat"/>
          <w:lang w:val="hy-AM"/>
        </w:rPr>
        <w:t>Առողջապահության նախարարության հիմնական խնդիրներից է հանրապետությունում ուռուցքաբանական ծառայությունների շարունակական բարելավումը: Ուռուցքաբանական հիվանդություններով հիվանդ քաղաքացիներին մատուցվելու են որակյալ բժշկական օգնության և սպասարկման ծառայություններ, միաժամանակ վերջիններիս հնարավորինս «փրկելով» հիվանդության բուժման հետ կապված աղքատացնող  ծախսեր կատարելու ռիսկերից:</w:t>
      </w:r>
    </w:p>
    <w:p w14:paraId="57948BF2" w14:textId="77777777" w:rsidR="009D2825" w:rsidRPr="009A7904" w:rsidRDefault="009D2825" w:rsidP="007142A8">
      <w:pPr>
        <w:spacing w:afterLines="160" w:after="384" w:line="276" w:lineRule="auto"/>
        <w:ind w:firstLine="475"/>
        <w:rPr>
          <w:rFonts w:eastAsia="Calibri" w:cs="GHEA Grapalat"/>
          <w:lang w:val="hy-AM"/>
        </w:rPr>
      </w:pPr>
      <w:r w:rsidRPr="009A7904">
        <w:rPr>
          <w:rFonts w:eastAsia="Calibri" w:cs="GHEA Grapalat"/>
          <w:lang w:val="hy-AM"/>
        </w:rPr>
        <w:t>Նախատեսվում է նոր տեխնոլոգիաների կիրառմամբ իրականացնել մարդու օրգանների (երիկամ, լյարդ), և ոսկրածուծի/ցողունային բջիջների փոխպատվաստման ծառայություններ, որոնք կբարելավեն քրոնիկ երիկամային անբավարարությամբ և արյան չարորակ հիվանդություններով տառապող անձանց կյանքի որակը և ապրելիության ցուցանիշը:</w:t>
      </w:r>
    </w:p>
    <w:p w14:paraId="78C9B0AE" w14:textId="77777777" w:rsidR="00173FEB" w:rsidRPr="009A7904" w:rsidRDefault="009D2825" w:rsidP="007142A8">
      <w:pPr>
        <w:spacing w:afterLines="160" w:after="384" w:line="276" w:lineRule="auto"/>
        <w:ind w:firstLine="480"/>
        <w:rPr>
          <w:rFonts w:eastAsia="Calibri" w:cs="GHEA Grapalat"/>
          <w:b/>
          <w:lang w:val="hy-AM"/>
        </w:rPr>
      </w:pPr>
      <w:r w:rsidRPr="009A7904">
        <w:rPr>
          <w:rFonts w:eastAsia="Calibri" w:cs="GHEA Grapalat"/>
          <w:b/>
          <w:lang w:val="hy-AM"/>
        </w:rPr>
        <w:t>ՈԼՈՐՏԱՅԻՆ ԾԱԽՍԱՅԻՆ ԾՐԱԳՐԵՐԸ</w:t>
      </w:r>
    </w:p>
    <w:p w14:paraId="6C8C0762"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Հանրային առողջության պահպանում</w:t>
      </w:r>
      <w:r w:rsidRPr="009A7904">
        <w:rPr>
          <w:rFonts w:eastAsia="Calibri" w:cs="GHEA Grapalat"/>
          <w:lang w:val="hy-AM"/>
        </w:rPr>
        <w:t xml:space="preserve"> ծրագրի նպատակն է՝ մարդու օրգանիզմի վրա շրջակա միջավայրի վնասակար և վտանգավոր գործոնների ազդեցության բացառումը և նվազեցումը՝ կառավարելի վարակիչ հիվանդությունների դեմ պայքարը, որի ուղղությամբ 2021-2023թթ. նախատեսվում է հատկացնել համապատասխանաբար՝ 5,772.9 մլն դրամ, 6,991.2 մլն դրամ և 8,370.8 մլն դրամ: ՀՀ 2020թ. պետական բյուջեի նկատմամբ 2021թ. համար պահպանվել է ծախսերի նույն մակարդակը, իսկ 2022-2023թթ. աճը կազմել է համապատասխանաբար՝ 21.1% և 45%, որը հիմնականում պայմանավորված է անձնակազմի տարբեր կատեգորիաների միջին աշխատավարձերի բարձրացմամբ, ինչպես նաև դեղերի և բժշկական պարագաների, էներգերիկ և այլ ընթացիկ ծախսերի ֆինանսավորման ուղղվող գումարների աճով:</w:t>
      </w:r>
    </w:p>
    <w:p w14:paraId="53042453"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Առողջապահության համակարգի արդիականացման և արդյունավետության բարձրացման</w:t>
      </w:r>
      <w:r w:rsidRPr="009A7904">
        <w:rPr>
          <w:rFonts w:eastAsia="Calibri" w:cs="GHEA Grapalat"/>
          <w:lang w:val="hy-AM"/>
        </w:rPr>
        <w:t xml:space="preserve"> ծրագրի նպատակն է՝ ՀՀ առողջապահության համակարգի արդիականացումն ու զարգացումը, հիվանդությունների կանխարգելումն ու վերահսկումը: Այդ նպատակով միջազգային ֆինանսական կազմակերպությունների աջակցությամբ իրականացվող վարկային և դրամաշնորհային ծրագրերի շրջանակներում 2021-2022թթ. համար նախատեսվում է հատկացնել համապատասխանաբար՝ 2,289.0 մլն դրամ և 1,440.6 մլն դրամ: ՀՀ 2020թ. պետական բյուջեի նկատմամբ ծրագրի գծով 2021-2022թթ. համար համապատասխանաբար՝ 24.7% և 52.6%-ով ֆինանսական միջոցների պակաս նախատեսումը պայմանավորված է՝ վարկային և դրամաշնորհային ծրագրերի ավարտման ժամկետներով և ծրագրերի գումարների մնացորդով:</w:t>
      </w:r>
    </w:p>
    <w:p w14:paraId="60F26961"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Առողջության առաջնային պահպանում</w:t>
      </w:r>
      <w:r w:rsidRPr="009A7904">
        <w:rPr>
          <w:rFonts w:eastAsia="Calibri" w:cs="GHEA Grapalat"/>
          <w:lang w:val="hy-AM"/>
        </w:rPr>
        <w:t xml:space="preserve"> ծրագրի նպատակն է՝ բնակչությանը մատչելի և որակյալ առաջնային բժշկական օգնության և սպասարկման տրամադրումը՝ առողջության վատթարացման ռիսկի գործոնների վերհանումը և դրանց հնարավոր անբարենպաստ ազդեցության կանխարգելումը, որի ուղղությամբ 2021-2023թթ. նախատեսվում է հատկացնել 2021թ. համար 27,047.7 մլն դրամ՝ պահպանելով ՀՀ 2020թ. պետական բյուջեի մակարդակը, իսկ 2022-2023թթ. համար յուրաքանչյուր տարի՝ 29,152.1 մլն դրամ, որի աճը ՀՀ 2020թ. պետական </w:t>
      </w:r>
      <w:r w:rsidRPr="009A7904">
        <w:rPr>
          <w:rFonts w:eastAsia="Calibri" w:cs="GHEA Grapalat"/>
          <w:lang w:val="hy-AM"/>
        </w:rPr>
        <w:lastRenderedPageBreak/>
        <w:t>բյուջեի նկատմամբ համապատասխան տարիների համար կազմում է՝ 7.7%, որը պայմանավորված է՝ ոլորտի բարելավման և զարգացմանն ուղղված ծրագրերի իրականացմամբ:</w:t>
      </w:r>
    </w:p>
    <w:p w14:paraId="4EC1974A"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Առողջապահության ոլորտում պետական քաղաքականության մշակում</w:t>
      </w:r>
      <w:r w:rsidRPr="009A7904">
        <w:rPr>
          <w:rFonts w:eastAsia="Calibri" w:cs="GHEA Grapalat"/>
          <w:lang w:val="hy-AM"/>
        </w:rPr>
        <w:t xml:space="preserve">՝ </w:t>
      </w:r>
      <w:r w:rsidRPr="009A7904">
        <w:rPr>
          <w:rFonts w:eastAsia="Calibri" w:cs="GHEA Grapalat"/>
          <w:b/>
          <w:i/>
          <w:lang w:val="hy-AM"/>
        </w:rPr>
        <w:t>ծրագրերի համակարգում և մոնիտորինգ</w:t>
      </w:r>
      <w:r w:rsidRPr="009A7904">
        <w:rPr>
          <w:rFonts w:eastAsia="Calibri" w:cs="GHEA Grapalat"/>
          <w:lang w:val="hy-AM"/>
        </w:rPr>
        <w:t xml:space="preserve"> ծրագրի նպատակն է՝ մարդու և հանրության առողջության պահպանումը՝ բնակչության առողջության բարելավումը՝ հիվանդությունների կանխարգելումը՝ հաշմանդամության և մահացության ցուցանիշների նվազեցումը, որի ուղղությամբ 2021-2023թթ. նախատեսվում է հատկացնել համապատասխանաբար՝ 3,991.9 մլն դրամ, 5,414.9 մլն դրամ և 14,163.9 մլն դրամ: ՀՀ 2020թ. պետական բյուջեի նկատմամբ ծրագրի գծով համապատասխան տարիների համար 3.000.0 մլն դրամով, 4,423.0 մլն դրամով և 13,172.1 մլն դրամով ավելացումները հիմնականում պայմանավորված են ծրագրում կապիտալ ծախսերի նախատեսմամբ, որի շրջանակներում նախատեսվում է իրականացնել առողջապահական կազմակերպությունների վերազինման և վերակառուցման աշխատանքներ:</w:t>
      </w:r>
    </w:p>
    <w:p w14:paraId="73D5BEAE"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Դատաբժշկական և ախտաբանաանատոմիական ծառայություններ</w:t>
      </w:r>
      <w:r w:rsidRPr="009A7904">
        <w:rPr>
          <w:rFonts w:eastAsia="Calibri" w:cs="GHEA Grapalat"/>
          <w:lang w:val="hy-AM"/>
        </w:rPr>
        <w:t xml:space="preserve"> ծրագրի նպատակն է՝ պաթանատոմիական կանխորոշումների հիման վրա ախտորոշման և բուժման արդյունավետության բարձրացումը, որի ուղղությամբ 2021-2023թթ. նախատեսվում է հատկացնել 2021թ. համար 503.0 մլն դրամ՝ պահպանելով ՀՀ 2020թ. պետական բյուջեի մակարդակը, իսկ 2022-2023թթ. համար յուրաքանչյուր տարի՝ 650.0 մլն դրամ, որի աճը ՀՀ 2020թ. պետական բյուջեի նկատմամբ համապատասխան տարիների համար կազմում է՝ 29.2%, որը պայմանավորված է՝ ծրագրի միջոցառումների շրջանակներում մատուցվող ծառայությունների գների բարձրացմամբ և ծառայության արդիականացմամբ, ինչպես նաև ՀՀ բոլոր մարզերում համաչափ զարգացած ենթակառուցվածքի ապահովմամբ՝ որակյալ և չափանիշներին համապատասխան փորձաքննություն կատարելու համար:</w:t>
      </w:r>
    </w:p>
    <w:p w14:paraId="6A012061"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Դեղապահովում</w:t>
      </w:r>
      <w:r w:rsidRPr="009A7904">
        <w:rPr>
          <w:rFonts w:eastAsia="Calibri" w:cs="GHEA Grapalat"/>
          <w:lang w:val="hy-AM"/>
        </w:rPr>
        <w:t xml:space="preserve"> ծրագրի նպատակն է՝ դեղերի անվտանգության՝ արդյունավետության և որակի ապահովումը՝  ՀՀ հիմնական դեղերի ցանկում առկա կենսականորեն անհրաժեշտ դեղերի ֆիզիկական և տնտեսական մատչելիության բարձրացումը, որի ուղղությամբ 2021-2023թթ. նախատեսվում է հատկացնել` 2021թ. համար 3,265.2 մլն դրամ պահպանելով ՀՀ 2020թ. պետական բյուջեի մակարդակը, իսկ 2022-2023թթ. համար նախատեսվել է համապատասխանաբար՝ 4,294.0 մլն դրամ և 5,104.4 մլն դրամ, որոնց աճը ՀՀ 2020թ. պետական բյուջեի նկատմամբ կազմել է համապատասխանաբար՝ 31.5% և 56.3%, որը պայմանավորված է հիմնականում ծրագրի շրջանակներում իրականացվող «Դեղորայքի տրամադրում ամբուլատոր-պոլիկլինիկական, հիվանդանոցային բուժօգնություն ստացողներին և հատուկ խմբերում ընդգրկված ֆիզիկական անձանց» միջոցառման շրջանակներում պետության կողմից անվճար և արտոնյալ պայմաններով բնակչությանը դեղորայքի տրամադրման շրջանակի ընդլայնմամբ:</w:t>
      </w:r>
    </w:p>
    <w:p w14:paraId="48441D27"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Խորհրդատվական, մասնագիտական աջակցություն և հետազոտություններ</w:t>
      </w:r>
      <w:r w:rsidRPr="009A7904">
        <w:rPr>
          <w:rFonts w:eastAsia="Calibri" w:cs="GHEA Grapalat"/>
          <w:lang w:val="hy-AM"/>
        </w:rPr>
        <w:t xml:space="preserve"> ծրագրի նպատակն է՝ բժշկական օգնության կազմակերպման ու որակի բարձրացման կարգավորման մասնագիտական՝ խորհրդատվական՝ կազմակերպամեթոդական ապահովումը՝ համակարգի գործունեության արդյունքների գնահատումը, որի ուղղությամբ 2021-2023թթ. նախատեսվում է յուրաքանչյուր տարվա համար հատկացնել 271.3 մլն դրամ՝ պահպանելով ՀՀ 2020թ. պետական բյուջեով նախատեսված մակարդակը:</w:t>
      </w:r>
    </w:p>
    <w:p w14:paraId="781F3AEE"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Մոր և մանկան առողջության պահպանում</w:t>
      </w:r>
      <w:r w:rsidRPr="009A7904">
        <w:rPr>
          <w:rFonts w:eastAsia="Calibri" w:cs="GHEA Grapalat"/>
          <w:lang w:val="hy-AM"/>
        </w:rPr>
        <w:t xml:space="preserve"> ծրագրի նպատակն է՝ մոր և մանկան առողջության պահպանումը՝ կանանց և երեխաներին մատուցվող բժշկական ծառայությունների </w:t>
      </w:r>
      <w:r w:rsidRPr="009A7904">
        <w:rPr>
          <w:rFonts w:eastAsia="Calibri" w:cs="GHEA Grapalat"/>
          <w:lang w:val="hy-AM"/>
        </w:rPr>
        <w:lastRenderedPageBreak/>
        <w:t>մատչելիության և որակի բարելավումը, որի ուղղությամբ 2021-2023թթ. նախատեսվում է հատկացնել 2021թ. համար 20,330.4 մլն դրամ, որը ՀՀ 2020թ. պետական բյուջեի նկատմամբ պակաս է 0.3%-ով, պայմանավորված՝ ծնունդների քանակի կանխատեսվող նվազման հետ, իսկ 2022-2023թթ. համար նախատեսվում է յուրաքանչյուր տարի հատկացնել 22,200.3 մլն դրամ, որի աճը համապատասխան տարիների համար ՀՀ 2020թ. պետական բյուջեի նկատմամբ կազմում է 8.8%, որը պայմանավորված է՝ մայրության, մանկության բոլոր շրջանների   առողջապահական խնդիրների բարելավմամբ:</w:t>
      </w:r>
    </w:p>
    <w:p w14:paraId="6124AD87"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 xml:space="preserve"> Շտապ բժշկական օգնություն</w:t>
      </w:r>
      <w:r w:rsidRPr="009A7904">
        <w:rPr>
          <w:rFonts w:eastAsia="Calibri" w:cs="GHEA Grapalat"/>
          <w:lang w:val="hy-AM"/>
        </w:rPr>
        <w:t xml:space="preserve"> ծրագրի նպատակն է՝ մարդու կյանքին և առողջությանը վտանգ սպառնացող վիճակներում որակյալ շտապ բժշկական օգնության ծառայությունների տրամադրումը, որի ուղղությամբ 2021-2023թթ. համար նախատեսվում է հատկացնել 2021թ. համար 4,292.3 մլն դրամ՝ պահպանելով ՀՀ 2020թ. պետական բյուջեի մակարդակը, իսկ 2022-2023թթ. համար յուրաքանչյուր տարի՝ 5,500.0 մլն դրամ, որի աճը ՀՀ 2020թ. պետական բյուջեի նկատմամբ համապատասխան տարիների համար կազմում է՝ 28.1%, որը պայմանավորված է՝ ծառայության առավելագույն հասանելության բարելավմամբ և արդիականացմամբ:</w:t>
      </w:r>
    </w:p>
    <w:p w14:paraId="5721F1A1"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Ոչ վարակիչ հիվանդությունների բժշկական օգնության ապահովում</w:t>
      </w:r>
      <w:r w:rsidRPr="009A7904">
        <w:rPr>
          <w:rFonts w:eastAsia="Calibri" w:cs="GHEA Grapalat"/>
          <w:lang w:val="hy-AM"/>
        </w:rPr>
        <w:t xml:space="preserve"> ծրագրի նպատակն է՝ ոչ վարակիչ հիվանդությունների (մասնավորապես՛ սիրտանոթային՝ շաքարային դիաբետի և չարորակ նորագոյացությունների) բուժման արդյունավետության բարձրացումը, որի ուղղությամբ 2021-2023թթ. նախատեսվում է հատկացնել համապատասխանաբար՝ 14,207.8 մլն դրամ, 19,499.2 մլն դրամ և 22,263.3 մլն դրամ, որի աճը ՀՀ 2020թ. պետական բյուջեի նկատմամբ կազմում է համապատասխանաբար՝ 3.6%, 42.3% և 62.4%, որը պայմանավորված է՝ առավել տարածված ոչ վարակիչ հիվանդությունների՝ սիրտ-անոթային հիվանդությունների, չարորակ նորագոյացությունների, շաքարային դիաբետի հիվանդացության, մահացության, հաշմանդամության ցուցանիշների  բարելավմանը նպաստող ծրագրերի և միջոցառումների իրականացմամբ:</w:t>
      </w:r>
    </w:p>
    <w:p w14:paraId="4C3F824F" w14:textId="77777777" w:rsidR="009D2825" w:rsidRPr="009A7904" w:rsidRDefault="009D2825" w:rsidP="009A7904">
      <w:pPr>
        <w:spacing w:line="276" w:lineRule="auto"/>
        <w:ind w:firstLine="480"/>
        <w:rPr>
          <w:rFonts w:eastAsia="Calibri" w:cs="GHEA Grapalat"/>
          <w:lang w:val="hy-AM"/>
        </w:rPr>
      </w:pPr>
      <w:r w:rsidRPr="009A7904">
        <w:rPr>
          <w:rFonts w:eastAsia="Calibri" w:cs="GHEA Grapalat"/>
          <w:b/>
          <w:i/>
          <w:lang w:val="hy-AM"/>
        </w:rPr>
        <w:t>Սոցիալապես անապահով և առանձին խմբերի անձանց բժշկական օգնություն</w:t>
      </w:r>
      <w:r w:rsidRPr="009A7904">
        <w:rPr>
          <w:rFonts w:eastAsia="Calibri" w:cs="GHEA Grapalat"/>
          <w:lang w:val="hy-AM"/>
        </w:rPr>
        <w:t xml:space="preserve"> ծրագրի նպատակն է սոցիալապես անապահով և հատուկ խմբերում ընդգրկված անձանց բժշկական օգնության հասանելիության և մատչելիության մակարդակի բարձրացումը՝ հիվանդանոցային որակյալ բժշկական օգնության ապահովումը, որի ուղղությամբ 2021-2023թթ. նախատեսվում է հատկացնել 2021թ. համար 26,922.5 մլն դրամ, որը ՀՀ 2020թ. պետական բյուջեի նկատմամբ պակաս է 0.7%-ով, պայմանավորված՝ «Բժշկասոցիալական վերականգնման ծառայություններ» և «Հոգեկան առողջության վերականգնման ծառայություններ» միջոցառումների շրջանակներում մատուցվող ծառայությունների դադարեցմամբ, իսկ 2022-2023թթ. համար նախատեսվում է յուրաքանչյուր տարի հատկացնել 34,032.4 մլն դրամ, որի աճը համապատասխան տարիների համար ՀՀ 2020թ. պետական բյուջեի նկատմամբ կազմում է 25.6%, պայմանավորված՝ սոցիալապես անապահով և հատուկ խմբերի շահառուներին արդիական, նորագույն տեխնոլոգիաների կիրառմամբ իրականացվող,  բարձր որակի  առողջապահական ծառայությունների մատուցմամբ և նոր նախաձեռնությունների իրականացմամբ:</w:t>
      </w:r>
    </w:p>
    <w:p w14:paraId="3B76DBDA" w14:textId="304E08F3" w:rsidR="009D2825" w:rsidRPr="009A7904" w:rsidRDefault="009D2825" w:rsidP="009A7904">
      <w:pPr>
        <w:spacing w:line="276" w:lineRule="auto"/>
        <w:ind w:firstLine="480"/>
        <w:rPr>
          <w:rFonts w:eastAsia="Calibri" w:cs="GHEA Grapalat"/>
          <w:lang w:val="hy-AM"/>
        </w:rPr>
      </w:pPr>
      <w:r w:rsidRPr="009A7904">
        <w:rPr>
          <w:rFonts w:eastAsia="Calibri" w:cs="GHEA Grapalat"/>
          <w:lang w:val="hy-AM"/>
        </w:rPr>
        <w:t xml:space="preserve"> </w:t>
      </w:r>
      <w:r w:rsidRPr="009A7904">
        <w:rPr>
          <w:rFonts w:eastAsia="Calibri" w:cs="GHEA Grapalat"/>
          <w:b/>
          <w:i/>
          <w:lang w:val="hy-AM"/>
        </w:rPr>
        <w:t>Վարակիչ հիվանդությունների կանխարգելում</w:t>
      </w:r>
      <w:r w:rsidRPr="009A7904">
        <w:rPr>
          <w:rFonts w:eastAsia="Calibri" w:cs="GHEA Grapalat"/>
          <w:lang w:val="hy-AM"/>
        </w:rPr>
        <w:t xml:space="preserve"> ծրագրի նպատակն է՝ վարակիչ և բնակչության համար մեծ ռիսկ ներկայացնող հիվանդությունների (մալարիա՝ տուբերկուլյոզ՝ ՄԻԱՎ/ՁԻԱՀ և այլն) վաղ հայտնաբերումն՝ արդյուն</w:t>
      </w:r>
      <w:r w:rsidR="007724F4">
        <w:rPr>
          <w:rFonts w:eastAsia="Calibri" w:cs="GHEA Grapalat"/>
          <w:lang w:val="hy-AM"/>
        </w:rPr>
        <w:t>ա</w:t>
      </w:r>
      <w:r w:rsidRPr="009A7904">
        <w:rPr>
          <w:rFonts w:eastAsia="Calibri" w:cs="GHEA Grapalat"/>
          <w:lang w:val="hy-AM"/>
        </w:rPr>
        <w:t xml:space="preserve">վետ հակազդումը և բժշկական օգնության ապահովումը, որի ուղղությամբ 2021-2023թթ. նախատեսվում է հատկացնել 2021թ. համար 2,680.8 </w:t>
      </w:r>
      <w:r w:rsidRPr="009A7904">
        <w:rPr>
          <w:rFonts w:eastAsia="Calibri" w:cs="GHEA Grapalat"/>
          <w:lang w:val="hy-AM"/>
        </w:rPr>
        <w:lastRenderedPageBreak/>
        <w:t>մլն դրամ, իսկ 2022-2023թթ. համար յուրաքանչյուր տարի 2,697.8 մլն դրամ, ՀՀ 2020թ. պետական բյուջեի նկատմամբ պակաս համապատասխանաբար՝ 6.6% և 6.0%, որը պայմանավորված է հիմնականում «Տուբերկուլյոզի բժշկական օգնության ծառայություններ» միջոցառման շահառուների հիվանդացության ցուցանիշի բարելավման հետ:</w:t>
      </w:r>
    </w:p>
    <w:p w14:paraId="59DD1B27" w14:textId="77777777" w:rsidR="009D2825" w:rsidRPr="009A7904" w:rsidRDefault="009D2825" w:rsidP="009A7904">
      <w:pPr>
        <w:spacing w:after="0" w:line="276" w:lineRule="auto"/>
        <w:ind w:firstLine="475"/>
        <w:rPr>
          <w:rFonts w:eastAsia="Calibri" w:cs="GHEA Grapalat"/>
          <w:lang w:val="hy-AM"/>
        </w:rPr>
      </w:pPr>
      <w:r w:rsidRPr="009A7904">
        <w:rPr>
          <w:rFonts w:eastAsia="Calibri" w:cs="GHEA Grapalat"/>
          <w:lang w:val="hy-AM"/>
        </w:rPr>
        <w:t>Առողջապահության նախարարության գծով ծախսերը միջնաժամկետ հատվածում ըստ տարիների կազմում  են.</w:t>
      </w:r>
    </w:p>
    <w:p w14:paraId="126782A9" w14:textId="77777777" w:rsidR="009D2825" w:rsidRPr="009A7904" w:rsidRDefault="009D2825" w:rsidP="009A7904">
      <w:pPr>
        <w:spacing w:after="0" w:line="276" w:lineRule="auto"/>
        <w:ind w:firstLine="475"/>
        <w:rPr>
          <w:rFonts w:eastAsia="Calibri" w:cs="GHEA Grapalat"/>
          <w:lang w:val="hy-AM"/>
        </w:rPr>
      </w:pPr>
      <w:r w:rsidRPr="009A7904">
        <w:rPr>
          <w:rFonts w:eastAsia="Calibri" w:cs="GHEA Grapalat"/>
          <w:lang w:val="hy-AM"/>
        </w:rPr>
        <w:t>2021 թվականի համար՝ 111,574.7 մլն դրամ,</w:t>
      </w:r>
    </w:p>
    <w:p w14:paraId="280C388E" w14:textId="77777777" w:rsidR="009D2825" w:rsidRPr="009A7904" w:rsidRDefault="009D2825" w:rsidP="009A7904">
      <w:pPr>
        <w:spacing w:after="0" w:line="276" w:lineRule="auto"/>
        <w:ind w:firstLine="475"/>
        <w:rPr>
          <w:rFonts w:eastAsia="Calibri" w:cs="GHEA Grapalat"/>
          <w:lang w:val="hy-AM"/>
        </w:rPr>
      </w:pPr>
      <w:r w:rsidRPr="009A7904">
        <w:rPr>
          <w:rFonts w:eastAsia="Calibri" w:cs="GHEA Grapalat"/>
          <w:lang w:val="hy-AM"/>
        </w:rPr>
        <w:t>2022 թվականի համար՝ 132,143.7 մլն դրամ,</w:t>
      </w:r>
    </w:p>
    <w:p w14:paraId="77E26B09" w14:textId="77777777" w:rsidR="009D2825" w:rsidRPr="009A7904" w:rsidRDefault="009D2825" w:rsidP="009A7904">
      <w:pPr>
        <w:spacing w:after="0" w:line="276" w:lineRule="auto"/>
        <w:ind w:firstLine="475"/>
        <w:rPr>
          <w:rFonts w:eastAsia="Calibri" w:cs="GHEA Grapalat"/>
          <w:lang w:val="hy-AM"/>
        </w:rPr>
      </w:pPr>
      <w:r w:rsidRPr="009A7904">
        <w:rPr>
          <w:rFonts w:eastAsia="Calibri" w:cs="GHEA Grapalat"/>
          <w:lang w:val="hy-AM"/>
        </w:rPr>
        <w:t>2023 թվականի համար՝ 144,406.4 մլն դրամ:</w:t>
      </w:r>
    </w:p>
    <w:p w14:paraId="4431351A" w14:textId="77777777" w:rsidR="009D2825" w:rsidRPr="009A7904" w:rsidRDefault="009D2825" w:rsidP="009A7904">
      <w:pPr>
        <w:pStyle w:val="Heading2"/>
        <w:numPr>
          <w:ilvl w:val="0"/>
          <w:numId w:val="32"/>
        </w:numPr>
        <w:spacing w:line="276" w:lineRule="auto"/>
        <w:rPr>
          <w:color w:val="auto"/>
          <w:sz w:val="22"/>
          <w:szCs w:val="22"/>
          <w:lang w:val="hy-AM"/>
        </w:rPr>
        <w:sectPr w:rsidR="009D2825" w:rsidRPr="009A7904" w:rsidSect="00FF5FF7">
          <w:footerReference w:type="default" r:id="rId74"/>
          <w:pgSz w:w="11907" w:h="16840" w:code="9"/>
          <w:pgMar w:top="1134" w:right="837" w:bottom="567" w:left="1134" w:header="561" w:footer="130" w:gutter="0"/>
          <w:cols w:space="720"/>
          <w:docGrid w:linePitch="360"/>
        </w:sectPr>
      </w:pPr>
    </w:p>
    <w:p w14:paraId="2ECEF19A" w14:textId="77777777" w:rsidR="009D2825" w:rsidRPr="009A7904" w:rsidRDefault="009D2825"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306" w:name="_Toc13837343"/>
      <w:bookmarkStart w:id="307" w:name="_Toc45637519"/>
      <w:bookmarkStart w:id="308" w:name="_Toc45838543"/>
      <w:bookmarkStart w:id="309" w:name="_Toc46154371"/>
      <w:bookmarkStart w:id="310" w:name="_Toc393278786"/>
      <w:bookmarkStart w:id="311" w:name="_Toc107052565"/>
      <w:bookmarkStart w:id="312" w:name="_Toc170376012"/>
      <w:bookmarkStart w:id="313" w:name="_Toc170376094"/>
      <w:bookmarkStart w:id="314" w:name="_Toc137372564"/>
      <w:bookmarkStart w:id="315" w:name="_Toc137632979"/>
      <w:bookmarkStart w:id="316" w:name="_Toc137632970"/>
      <w:bookmarkStart w:id="317" w:name="_Toc170381656"/>
      <w:bookmarkStart w:id="318" w:name="_Toc47512281"/>
      <w:bookmarkStart w:id="319" w:name="_Toc47768572"/>
      <w:bookmarkStart w:id="320" w:name="_Toc266780821"/>
      <w:bookmarkEnd w:id="292"/>
      <w:bookmarkEnd w:id="293"/>
      <w:bookmarkEnd w:id="294"/>
      <w:bookmarkEnd w:id="295"/>
      <w:r w:rsidRPr="009A7904">
        <w:rPr>
          <w:rFonts w:eastAsia="Times New Roman" w:cs="Times New Roman"/>
          <w:caps w:val="0"/>
          <w:color w:val="1F497D" w:themeColor="text2"/>
          <w:sz w:val="28"/>
          <w:szCs w:val="28"/>
        </w:rPr>
        <w:lastRenderedPageBreak/>
        <w:t>4</w:t>
      </w:r>
      <w:r w:rsidR="009858E4" w:rsidRPr="009A7904">
        <w:rPr>
          <w:rFonts w:eastAsia="Times New Roman" w:cs="Times New Roman"/>
          <w:caps w:val="0"/>
          <w:color w:val="1F497D" w:themeColor="text2"/>
          <w:sz w:val="28"/>
          <w:szCs w:val="28"/>
          <w:lang w:val="en-US"/>
        </w:rPr>
        <w:t>.</w:t>
      </w:r>
      <w:r w:rsidRPr="009A7904">
        <w:rPr>
          <w:rFonts w:eastAsia="Times New Roman" w:cs="Times New Roman"/>
          <w:caps w:val="0"/>
          <w:color w:val="1F497D" w:themeColor="text2"/>
          <w:sz w:val="28"/>
          <w:szCs w:val="28"/>
        </w:rPr>
        <w:t xml:space="preserve"> ՍՈՑԻԱԼԱԿԱՆ ՊԱՇՏՊԱՆՈՒԹՅՈՒՆ</w:t>
      </w:r>
      <w:bookmarkEnd w:id="306"/>
      <w:bookmarkEnd w:id="307"/>
      <w:bookmarkEnd w:id="308"/>
      <w:bookmarkEnd w:id="309"/>
    </w:p>
    <w:p w14:paraId="54175B8A" w14:textId="77777777" w:rsidR="009D2825" w:rsidRPr="009A7904" w:rsidRDefault="009D2825" w:rsidP="009A7904">
      <w:pPr>
        <w:spacing w:after="0" w:line="276" w:lineRule="auto"/>
        <w:rPr>
          <w:rFonts w:cs="Sylfaen"/>
          <w:bCs/>
          <w:lang w:val="fr-FR"/>
        </w:rPr>
      </w:pPr>
      <w:bookmarkStart w:id="321" w:name="_Toc13837344"/>
      <w:r w:rsidRPr="009A7904">
        <w:rPr>
          <w:rFonts w:cs="Sylfaen"/>
          <w:bCs/>
          <w:lang w:val="fr-FR"/>
        </w:rPr>
        <w:t xml:space="preserve">ՀՀ կառավարության 2019 թվականի փետրվարի 8-ի N 65-Ա որոշման 4.2-րդ կետով նախանշվել են ոլորտի հետևյալ հիմնական թիրախները. </w:t>
      </w:r>
    </w:p>
    <w:p w14:paraId="1F1F989F" w14:textId="77777777" w:rsidR="009D2825" w:rsidRPr="009A7904" w:rsidRDefault="009D2825" w:rsidP="009A7904">
      <w:pPr>
        <w:spacing w:after="0" w:line="276" w:lineRule="auto"/>
        <w:rPr>
          <w:rFonts w:cs="Sylfaen"/>
          <w:bCs/>
          <w:lang w:val="fr-FR"/>
        </w:rPr>
      </w:pPr>
      <w:r w:rsidRPr="009A7904">
        <w:rPr>
          <w:rFonts w:cs="Sylfaen"/>
          <w:bCs/>
          <w:lang w:val="fr-FR"/>
        </w:rPr>
        <w:t xml:space="preserve">Մինչև 2023 թվականը վերացնել ծայրահեղ աղքատությունը, էապես նվազեցնել </w:t>
      </w:r>
      <w:proofErr w:type="gramStart"/>
      <w:r w:rsidRPr="009A7904">
        <w:rPr>
          <w:rFonts w:cs="Sylfaen"/>
          <w:bCs/>
          <w:lang w:val="fr-FR"/>
        </w:rPr>
        <w:t>աղքատությունը:</w:t>
      </w:r>
      <w:proofErr w:type="gramEnd"/>
      <w:r w:rsidRPr="009A7904">
        <w:rPr>
          <w:rFonts w:cs="Sylfaen"/>
          <w:bCs/>
          <w:lang w:val="fr-FR"/>
        </w:rPr>
        <w:t xml:space="preserve"> Այս նպատակի իրագործման համար առանցքային նշանակություն են ունենալու բնակչության աղքատ խավի շրջանում կրթության և աշխատանքի քաջալերումը, գործարարությունը խթանող ծրագրերի իրականացումը: </w:t>
      </w:r>
    </w:p>
    <w:p w14:paraId="1A2EDD49" w14:textId="77777777" w:rsidR="009D2825" w:rsidRPr="009A7904" w:rsidRDefault="009D2825" w:rsidP="009A7904">
      <w:pPr>
        <w:spacing w:after="0" w:line="276" w:lineRule="auto"/>
        <w:rPr>
          <w:rFonts w:cs="Sylfaen"/>
          <w:bCs/>
          <w:lang w:val="fr-FR"/>
        </w:rPr>
      </w:pPr>
      <w:r w:rsidRPr="009A7904">
        <w:rPr>
          <w:rFonts w:cs="Sylfaen"/>
          <w:bCs/>
          <w:lang w:val="fr-FR"/>
        </w:rPr>
        <w:t xml:space="preserve">Խրախուսելով մասնավոր կազմակերպությունների մուտքը սոցիալական ծառայությունների մատուցման ոլորտ՝ ձևավորել մրցակցային միջավայր, ներդնել ֆինանսավորման այլընտրանքային մոդելներ, խթանել սոցիալական ծառայությունների բազմազանությունը։ </w:t>
      </w:r>
    </w:p>
    <w:p w14:paraId="12EC04FA" w14:textId="4A10B10A" w:rsidR="009D2825" w:rsidRPr="009A7904" w:rsidRDefault="007724F4" w:rsidP="009A7904">
      <w:pPr>
        <w:spacing w:after="0" w:line="276" w:lineRule="auto"/>
        <w:rPr>
          <w:rFonts w:cs="Sylfaen"/>
          <w:bCs/>
          <w:lang w:val="fr-FR"/>
        </w:rPr>
      </w:pPr>
      <w:r>
        <w:rPr>
          <w:rFonts w:cs="Sylfaen"/>
          <w:bCs/>
          <w:lang w:val="hy-AM"/>
        </w:rPr>
        <w:t>Ժ</w:t>
      </w:r>
      <w:r w:rsidR="009D2825" w:rsidRPr="009A7904">
        <w:rPr>
          <w:rFonts w:cs="Sylfaen"/>
          <w:bCs/>
          <w:lang w:val="fr-FR"/>
        </w:rPr>
        <w:t>ողովրդագրական իրավիճակի բարելավումը խթանելու նպատակով կյանքի կոչել ծնելիության խրախուսման, երիտասարդ և երեխաներ ունեցող ընտանիքների աջակցության ծրագրեր, իրագործել միջոցառումներ, որոնց արդյունքում ակնկալվում է, որ կբարձրանա ծնելիության գումարային գործակիցը:</w:t>
      </w:r>
    </w:p>
    <w:p w14:paraId="03879AEE" w14:textId="77777777" w:rsidR="009D2825" w:rsidRPr="009A7904" w:rsidRDefault="009D2825" w:rsidP="009A7904">
      <w:pPr>
        <w:spacing w:after="0" w:line="276" w:lineRule="auto"/>
        <w:rPr>
          <w:rFonts w:cs="Sylfaen"/>
          <w:bCs/>
          <w:lang w:val="fr-FR"/>
        </w:rPr>
      </w:pPr>
      <w:r w:rsidRPr="009A7904">
        <w:rPr>
          <w:rFonts w:cs="Sylfaen"/>
          <w:bCs/>
          <w:lang w:val="fr-FR"/>
        </w:rPr>
        <w:t xml:space="preserve">Պարբերաբար բարձրացնել պետական կենսաթոշակների չափերը՝ ապահովելով գնաճի նկատմամբ միջին կենսաթոշակի չափի առաջանցիկ </w:t>
      </w:r>
      <w:proofErr w:type="gramStart"/>
      <w:r w:rsidRPr="009A7904">
        <w:rPr>
          <w:rFonts w:cs="Sylfaen"/>
          <w:bCs/>
          <w:lang w:val="fr-FR"/>
        </w:rPr>
        <w:t>աճ:</w:t>
      </w:r>
      <w:proofErr w:type="gramEnd"/>
    </w:p>
    <w:p w14:paraId="044F411B" w14:textId="77777777" w:rsidR="009D2825" w:rsidRPr="009A7904" w:rsidRDefault="009D2825" w:rsidP="009A7904">
      <w:pPr>
        <w:spacing w:after="0" w:line="276" w:lineRule="auto"/>
        <w:rPr>
          <w:rFonts w:cs="Sylfaen"/>
          <w:bCs/>
          <w:lang w:val="fr-FR"/>
        </w:rPr>
      </w:pPr>
      <w:r w:rsidRPr="009A7904">
        <w:rPr>
          <w:rFonts w:cs="Sylfaen"/>
          <w:bCs/>
          <w:lang w:val="fr-FR"/>
        </w:rPr>
        <w:t xml:space="preserve"> Բնակչության աղքատ խավի շրջանում կրթության և աշխատանքի քաջալերումը, գործարարությունը խթանող ծրագրերի իրականացումը, զբաղվածության կարգավորման ծրագրերի հասցեականության բարձրացումը, աշխատաշուկայում երիտասարդների, հաշմանդամություն ունեցող անձանց, կանանց մրցունակության բարձրացմանն ուղղված ծրագրերի իրականացումը, գործազրկության մակարդակի </w:t>
      </w:r>
      <w:proofErr w:type="gramStart"/>
      <w:r w:rsidRPr="009A7904">
        <w:rPr>
          <w:rFonts w:cs="Sylfaen"/>
          <w:bCs/>
          <w:lang w:val="fr-FR"/>
        </w:rPr>
        <w:t>նվազումը:</w:t>
      </w:r>
      <w:proofErr w:type="gramEnd"/>
    </w:p>
    <w:p w14:paraId="6F815577" w14:textId="77777777" w:rsidR="009D2825" w:rsidRPr="009A7904" w:rsidRDefault="009D2825" w:rsidP="009A7904">
      <w:pPr>
        <w:spacing w:after="0" w:line="276" w:lineRule="auto"/>
        <w:rPr>
          <w:rFonts w:cs="Sylfaen"/>
          <w:bCs/>
          <w:lang w:val="fr-FR"/>
        </w:rPr>
      </w:pPr>
      <w:r w:rsidRPr="009A7904">
        <w:rPr>
          <w:rFonts w:cs="Sylfaen"/>
          <w:bCs/>
          <w:lang w:val="fr-FR"/>
        </w:rPr>
        <w:t xml:space="preserve">Հաշմանդամություն ունեցող անձանց իրավունքների իրացում՝ հնարավորինս բացառելով խտրականության դրսևորումը նրանց </w:t>
      </w:r>
      <w:proofErr w:type="gramStart"/>
      <w:r w:rsidRPr="009A7904">
        <w:rPr>
          <w:rFonts w:cs="Sylfaen"/>
          <w:bCs/>
          <w:lang w:val="fr-FR"/>
        </w:rPr>
        <w:t>հանդեպ:</w:t>
      </w:r>
      <w:proofErr w:type="gramEnd"/>
      <w:r w:rsidRPr="009A7904">
        <w:rPr>
          <w:rFonts w:cs="Sylfaen"/>
          <w:bCs/>
          <w:lang w:val="fr-FR"/>
        </w:rPr>
        <w:t xml:space="preserve"> </w:t>
      </w:r>
    </w:p>
    <w:p w14:paraId="4FB899F6" w14:textId="77777777" w:rsidR="009D2825" w:rsidRPr="009A7904" w:rsidRDefault="009D2825" w:rsidP="009A7904">
      <w:pPr>
        <w:spacing w:after="0" w:line="276" w:lineRule="auto"/>
        <w:rPr>
          <w:rFonts w:cs="Sylfaen"/>
          <w:bCs/>
          <w:lang w:val="fr-FR"/>
        </w:rPr>
      </w:pPr>
      <w:r w:rsidRPr="009A7904">
        <w:rPr>
          <w:rFonts w:cs="Sylfaen"/>
          <w:bCs/>
          <w:lang w:val="fr-FR"/>
        </w:rPr>
        <w:t>Հետևողական լինել երեխաների մուտքը մանկատներ կանխարգելելու, նրանց ընտանիք վերադարձնելու, ինչպես նաև մանկատնից դուրս եկող երիտասարդների անկախ կյանքի կազմակերպման գործընթացը սահուն կազմակերպելու հարցում։</w:t>
      </w:r>
    </w:p>
    <w:p w14:paraId="77F74336" w14:textId="77777777" w:rsidR="009D2825" w:rsidRPr="009A7904" w:rsidRDefault="009D2825" w:rsidP="009A7904">
      <w:pPr>
        <w:spacing w:after="0" w:line="276" w:lineRule="auto"/>
        <w:rPr>
          <w:rFonts w:cs="Sylfaen"/>
          <w:bCs/>
          <w:lang w:val="fr-FR"/>
        </w:rPr>
      </w:pPr>
      <w:r w:rsidRPr="009A7904">
        <w:rPr>
          <w:rFonts w:cs="Sylfaen"/>
          <w:bCs/>
          <w:lang w:val="fr-FR"/>
        </w:rPr>
        <w:t>-Խնամքի ծառայությունների գծով հիմնական թիրախներն են.</w:t>
      </w:r>
    </w:p>
    <w:p w14:paraId="63DA6E71" w14:textId="77777777" w:rsidR="009D2825" w:rsidRPr="009A7904" w:rsidRDefault="009D2825" w:rsidP="009A7904">
      <w:pPr>
        <w:spacing w:after="0" w:line="276" w:lineRule="auto"/>
        <w:rPr>
          <w:rFonts w:cs="Sylfaen"/>
          <w:bCs/>
          <w:lang w:val="fr-FR"/>
        </w:rPr>
      </w:pPr>
      <w:r w:rsidRPr="009A7904">
        <w:rPr>
          <w:rFonts w:cs="Sylfaen"/>
          <w:bCs/>
          <w:lang w:val="fr-FR"/>
        </w:rPr>
        <w:t>- պետական միջոցների շրջանակում շահառուներին մատուցվող խնամքի ծառայությունների շարունակականության ապահովումը` խրախուսելով ծառայությունների պատվիրակումը մրցութային եղանակով ընտրված կազմակերպություններին,</w:t>
      </w:r>
    </w:p>
    <w:p w14:paraId="4DCBE0C2" w14:textId="77777777" w:rsidR="009D2825" w:rsidRPr="009A7904" w:rsidRDefault="009D2825" w:rsidP="009A7904">
      <w:pPr>
        <w:spacing w:after="0" w:line="276" w:lineRule="auto"/>
        <w:rPr>
          <w:rFonts w:cs="Sylfaen"/>
          <w:bCs/>
          <w:lang w:val="fr-FR"/>
        </w:rPr>
      </w:pPr>
      <w:r w:rsidRPr="009A7904">
        <w:rPr>
          <w:rFonts w:cs="Sylfaen"/>
          <w:bCs/>
          <w:lang w:val="fr-FR"/>
        </w:rPr>
        <w:t>- շահառուներին մատուցվող ծառայությունների որակի բարելավումը,</w:t>
      </w:r>
    </w:p>
    <w:p w14:paraId="217A480C" w14:textId="77777777" w:rsidR="009D2825" w:rsidRPr="009A7904" w:rsidRDefault="009D2825" w:rsidP="009A7904">
      <w:pPr>
        <w:spacing w:after="0" w:line="276" w:lineRule="auto"/>
        <w:rPr>
          <w:rFonts w:cs="Sylfaen"/>
          <w:bCs/>
          <w:lang w:val="fr-FR"/>
        </w:rPr>
      </w:pPr>
      <w:r w:rsidRPr="009A7904">
        <w:rPr>
          <w:rFonts w:cs="Sylfaen"/>
          <w:bCs/>
          <w:lang w:val="fr-FR"/>
        </w:rPr>
        <w:t>- խնամքի ծառայությունների ապաինստիտուցիոնալացման գործընթացի համատեքստում այլընտրանքային ծառայությունների ընդլայնումը` ներգրավելով համայնքի ներուժը,</w:t>
      </w:r>
    </w:p>
    <w:p w14:paraId="6B2AB878" w14:textId="77777777" w:rsidR="009D2825" w:rsidRPr="009A7904" w:rsidRDefault="009D2825" w:rsidP="009A7904">
      <w:pPr>
        <w:spacing w:after="0" w:line="276" w:lineRule="auto"/>
        <w:rPr>
          <w:rFonts w:cs="Sylfaen"/>
          <w:bCs/>
          <w:lang w:val="fr-FR"/>
        </w:rPr>
      </w:pPr>
      <w:r w:rsidRPr="009A7904">
        <w:rPr>
          <w:rFonts w:cs="Sylfaen"/>
          <w:bCs/>
          <w:lang w:val="fr-FR"/>
        </w:rPr>
        <w:t xml:space="preserve">- վերը նշված գործընթացների իրականացումն ապահովելու նպատակով օրենսդրական դաշտի </w:t>
      </w:r>
      <w:proofErr w:type="gramStart"/>
      <w:r w:rsidRPr="009A7904">
        <w:rPr>
          <w:rFonts w:cs="Sylfaen"/>
          <w:bCs/>
          <w:lang w:val="fr-FR"/>
        </w:rPr>
        <w:t>կատարելագործումը:</w:t>
      </w:r>
      <w:proofErr w:type="gramEnd"/>
    </w:p>
    <w:p w14:paraId="60F3B1B4" w14:textId="77777777" w:rsidR="009D2825" w:rsidRPr="009A7904" w:rsidRDefault="009D2825" w:rsidP="009A7904">
      <w:pPr>
        <w:spacing w:after="0" w:line="276" w:lineRule="auto"/>
        <w:rPr>
          <w:rFonts w:cs="Sylfaen"/>
          <w:b/>
          <w:bCs/>
          <w:lang w:val="fr-FR"/>
        </w:rPr>
      </w:pPr>
      <w:r w:rsidRPr="009A7904">
        <w:rPr>
          <w:rFonts w:cs="Sylfaen"/>
          <w:b/>
          <w:bCs/>
          <w:lang w:val="fr-FR"/>
        </w:rPr>
        <w:t xml:space="preserve">ՈԼՈՐՏԱՅԻՆ ԾԱԽՍԱՅԻՆ ԾՐԱԳՐԵՐԸ </w:t>
      </w:r>
    </w:p>
    <w:p w14:paraId="7FF5259F" w14:textId="77777777" w:rsidR="009D2825" w:rsidRPr="009A7904" w:rsidRDefault="009D2825" w:rsidP="009A7904">
      <w:pPr>
        <w:spacing w:after="0" w:line="276" w:lineRule="auto"/>
        <w:rPr>
          <w:rFonts w:cs="Sylfaen"/>
          <w:bCs/>
          <w:lang w:val="fr-FR"/>
        </w:rPr>
      </w:pPr>
      <w:r w:rsidRPr="009A7904">
        <w:rPr>
          <w:rFonts w:eastAsia="GHEA Grapalat" w:cs="GHEA Grapalat"/>
          <w:b/>
          <w:lang w:val="hy-AM"/>
        </w:rPr>
        <w:t xml:space="preserve">1. Անապահով սոցիալական խմբերին աջակցության ծրագրի </w:t>
      </w:r>
      <w:r w:rsidRPr="009A7904">
        <w:rPr>
          <w:rFonts w:cs="Sylfaen"/>
          <w:bCs/>
          <w:lang w:val="fr-FR"/>
        </w:rPr>
        <w:t>նպատակն է օժանդակել անապահով ընտանիքների կենսամակարդակի բարձրացմանը:</w:t>
      </w:r>
    </w:p>
    <w:p w14:paraId="7AB13FCA" w14:textId="77777777" w:rsidR="009D2825" w:rsidRPr="009A7904" w:rsidRDefault="009D2825" w:rsidP="009A7904">
      <w:pPr>
        <w:spacing w:after="0" w:line="276" w:lineRule="auto"/>
        <w:rPr>
          <w:rFonts w:cs="Sylfaen"/>
          <w:bCs/>
          <w:lang w:val="fr-FR"/>
        </w:rPr>
      </w:pPr>
      <w:r w:rsidRPr="009A7904">
        <w:rPr>
          <w:rFonts w:cs="Sylfaen"/>
          <w:bCs/>
          <w:lang w:val="fr-FR"/>
        </w:rPr>
        <w:lastRenderedPageBreak/>
        <w:t xml:space="preserve">Ծրագրի գծով միջնաժամկետ ժամանակահատվածում նախատեսվում է յուրաքանչյուր տարվա համար հատկացնել 38,244.8 մլն դրամ՝ պահպանելով 2020 թվականի </w:t>
      </w:r>
      <w:proofErr w:type="gramStart"/>
      <w:r w:rsidRPr="009A7904">
        <w:rPr>
          <w:rFonts w:cs="Sylfaen"/>
          <w:bCs/>
          <w:lang w:val="fr-FR"/>
        </w:rPr>
        <w:t>մակարդակը:</w:t>
      </w:r>
      <w:proofErr w:type="gramEnd"/>
    </w:p>
    <w:p w14:paraId="7CE93279" w14:textId="77777777" w:rsidR="009D2825" w:rsidRPr="009A7904" w:rsidRDefault="009D2825" w:rsidP="009A7904">
      <w:pPr>
        <w:spacing w:after="0" w:line="276" w:lineRule="auto"/>
        <w:rPr>
          <w:rFonts w:cs="Sylfaen"/>
          <w:bCs/>
          <w:lang w:val="fr-FR"/>
        </w:rPr>
      </w:pPr>
      <w:r w:rsidRPr="009A7904">
        <w:rPr>
          <w:rFonts w:eastAsia="GHEA Grapalat" w:cs="GHEA Grapalat"/>
          <w:b/>
          <w:lang w:val="fr-FR"/>
        </w:rPr>
        <w:t xml:space="preserve">2. </w:t>
      </w:r>
      <w:r w:rsidRPr="009A7904">
        <w:rPr>
          <w:rFonts w:eastAsia="GHEA Grapalat" w:cs="GHEA Grapalat"/>
          <w:b/>
          <w:lang w:val="hy-AM"/>
        </w:rPr>
        <w:t>Ժողովրդագրական վիճակի բարելավման ծրագրի</w:t>
      </w:r>
      <w:r w:rsidRPr="009A7904">
        <w:rPr>
          <w:rFonts w:ascii="Sylfaen" w:hAnsi="Sylfaen" w:cs="Sylfaen"/>
          <w:b/>
          <w:lang w:val="fr-FR"/>
        </w:rPr>
        <w:t xml:space="preserve"> </w:t>
      </w:r>
      <w:r w:rsidRPr="009A7904">
        <w:rPr>
          <w:rFonts w:cs="Sylfaen"/>
          <w:bCs/>
          <w:lang w:val="fr-FR"/>
        </w:rPr>
        <w:t xml:space="preserve">նպատակն է խթանել ժողովրդագրական վիճակի </w:t>
      </w:r>
      <w:proofErr w:type="gramStart"/>
      <w:r w:rsidRPr="009A7904">
        <w:rPr>
          <w:rFonts w:cs="Sylfaen"/>
          <w:bCs/>
          <w:lang w:val="fr-FR"/>
        </w:rPr>
        <w:t>բարելավումը:</w:t>
      </w:r>
      <w:proofErr w:type="gramEnd"/>
    </w:p>
    <w:p w14:paraId="1942432C" w14:textId="77777777" w:rsidR="009D2825" w:rsidRPr="009A7904" w:rsidRDefault="009D2825" w:rsidP="009A7904">
      <w:pPr>
        <w:spacing w:after="0" w:line="276" w:lineRule="auto"/>
        <w:rPr>
          <w:rFonts w:cs="Sylfaen"/>
          <w:bCs/>
          <w:lang w:val="fr-FR"/>
        </w:rPr>
      </w:pPr>
      <w:r w:rsidRPr="009A7904">
        <w:rPr>
          <w:rFonts w:cs="Sylfaen"/>
          <w:bCs/>
          <w:lang w:val="fr-FR"/>
        </w:rPr>
        <w:t>Ծրագրի գծով միջնաժամկետ ժամանակահատվածում համապատասխանաբար նախատեսվում է հատկացնել 25,249.7 մլն դրամ, 25,244.2 մլն դրամ և 25,242.8 մլն դրամ 2020 թվականի 18,003.1 մլն դրամի դիմաց կամ 2020 թվականի համեմատ 2021 թվականի աճը կազմում է 40 տոկոս: Ծախսերի ավելացումը պայմանավորված է 2020 թվականի հուլիսի 1-ից երեխայի ծննդյան միանվագ նպաստի և մինչև 2 տարեկան երեխայի խնամքի նպաստի չափերի վերանայման հետ (ինչպես նաև գյուղական բնակավայրում խնամքի նպաստի տրամադրմամբ՝ անկախ ծնողի աշխատելու հանգամանքից) հաշվարկի տարածմամբ տարվա կտրվածքով՝</w:t>
      </w:r>
      <w:r w:rsidRPr="009A7904">
        <w:rPr>
          <w:rFonts w:ascii="Sylfaen" w:hAnsi="Sylfaen" w:cs="Sylfaen"/>
          <w:bCs/>
          <w:lang w:val="hy-AM"/>
        </w:rPr>
        <w:t xml:space="preserve"> </w:t>
      </w:r>
      <w:r w:rsidRPr="009A7904">
        <w:rPr>
          <w:rFonts w:cs="Sylfaen"/>
          <w:bCs/>
          <w:lang w:val="fr-FR"/>
        </w:rPr>
        <w:t xml:space="preserve">կանխատեսվող շահառուների թվաքանակի փոփոխության պայմաններում: </w:t>
      </w:r>
    </w:p>
    <w:p w14:paraId="1E17A22A" w14:textId="77777777" w:rsidR="009D2825" w:rsidRPr="009A7904" w:rsidRDefault="009D2825" w:rsidP="009A7904">
      <w:pPr>
        <w:spacing w:after="0" w:line="276" w:lineRule="auto"/>
        <w:rPr>
          <w:rFonts w:cs="Sylfaen"/>
          <w:bCs/>
          <w:lang w:val="fr-FR"/>
        </w:rPr>
      </w:pPr>
      <w:r w:rsidRPr="009A7904">
        <w:rPr>
          <w:rFonts w:eastAsia="GHEA Grapalat" w:cs="GHEA Grapalat"/>
          <w:b/>
          <w:lang w:val="fr-FR"/>
        </w:rPr>
        <w:t xml:space="preserve">3. </w:t>
      </w:r>
      <w:r w:rsidRPr="009A7904">
        <w:rPr>
          <w:rFonts w:eastAsia="GHEA Grapalat" w:cs="GHEA Grapalat"/>
          <w:b/>
          <w:lang w:val="hy-AM"/>
        </w:rPr>
        <w:t>Կենսաթոշակային ապահովության ծրագրի</w:t>
      </w:r>
      <w:r w:rsidRPr="009A7904">
        <w:rPr>
          <w:rFonts w:ascii="Sylfaen" w:hAnsi="Sylfaen" w:cs="Sylfaen"/>
          <w:b/>
          <w:lang w:val="fr-FR"/>
        </w:rPr>
        <w:t xml:space="preserve"> </w:t>
      </w:r>
      <w:r w:rsidRPr="009A7904">
        <w:rPr>
          <w:rFonts w:cs="Sylfaen"/>
          <w:bCs/>
          <w:lang w:val="fr-FR"/>
        </w:rPr>
        <w:t xml:space="preserve">նպատակն է կենսաթոշակի իրավունքի </w:t>
      </w:r>
      <w:proofErr w:type="gramStart"/>
      <w:r w:rsidRPr="009A7904">
        <w:rPr>
          <w:rFonts w:cs="Sylfaen"/>
          <w:bCs/>
          <w:lang w:val="fr-FR"/>
        </w:rPr>
        <w:t>իրացումը:</w:t>
      </w:r>
      <w:proofErr w:type="gramEnd"/>
    </w:p>
    <w:p w14:paraId="0BB4DB0F" w14:textId="77777777" w:rsidR="009D2825" w:rsidRPr="009A7904" w:rsidRDefault="009D2825" w:rsidP="009A7904">
      <w:pPr>
        <w:spacing w:after="0" w:line="276" w:lineRule="auto"/>
        <w:rPr>
          <w:rFonts w:cs="Sylfaen"/>
          <w:bCs/>
          <w:lang w:val="fr-FR"/>
        </w:rPr>
      </w:pPr>
      <w:r w:rsidRPr="009A7904">
        <w:rPr>
          <w:rFonts w:cs="Sylfaen"/>
          <w:bCs/>
          <w:lang w:val="fr-FR"/>
        </w:rPr>
        <w:t xml:space="preserve">Ծրագրի գծով միջնաժամկետ ժամանակահատվածում համապատասխանաբար նախատեսվում է հատկացնել 352,682.7 մլն դրամ, 359,011.5 մլն դրամ և 365,461.2 մլն դրամ 2020 թվականի 351,652.5 մլն դրամի դիմաց կամ 2020 թվականի համեմատ 2021 թվականի աճը կազմում է 0.3 տոկոս, 2022 թվականի աճը 2021 թվականի համեմատ և 2023 թվականի աճը 2022 թվականի համեմատ՝ 1.8 տոկոս, որը հիմնականում պայմանավորված է կանխատեսվող շահառուների թվաքանակի </w:t>
      </w:r>
      <w:proofErr w:type="gramStart"/>
      <w:r w:rsidRPr="009A7904">
        <w:rPr>
          <w:rFonts w:cs="Sylfaen"/>
          <w:bCs/>
          <w:lang w:val="fr-FR"/>
        </w:rPr>
        <w:t>փոփոխությամբ:</w:t>
      </w:r>
      <w:proofErr w:type="gramEnd"/>
      <w:r w:rsidRPr="009A7904">
        <w:rPr>
          <w:rFonts w:cs="Sylfaen"/>
          <w:bCs/>
          <w:lang w:val="fr-FR"/>
        </w:rPr>
        <w:t xml:space="preserve"> </w:t>
      </w:r>
    </w:p>
    <w:p w14:paraId="344491F6" w14:textId="77777777" w:rsidR="009D2825" w:rsidRPr="009A7904" w:rsidRDefault="009D2825" w:rsidP="009A7904">
      <w:pPr>
        <w:overflowPunct w:val="0"/>
        <w:autoSpaceDE w:val="0"/>
        <w:autoSpaceDN w:val="0"/>
        <w:adjustRightInd w:val="0"/>
        <w:spacing w:after="0" w:line="276" w:lineRule="auto"/>
        <w:textAlignment w:val="baseline"/>
        <w:rPr>
          <w:rFonts w:cs="Sylfaen"/>
          <w:bCs/>
          <w:lang w:val="fr-FR"/>
        </w:rPr>
      </w:pPr>
      <w:r w:rsidRPr="009A7904">
        <w:rPr>
          <w:rFonts w:cs="Sylfaen"/>
          <w:bCs/>
          <w:lang w:val="fr-FR"/>
        </w:rPr>
        <w:tab/>
        <w:t xml:space="preserve">Միջնաժամկետ ժամանակահատվածում ակնկալվում է, որ կպահպանվեն բնագավառում միջին ամսական կենսաթոշակների </w:t>
      </w:r>
      <w:proofErr w:type="gramStart"/>
      <w:r w:rsidRPr="009A7904">
        <w:rPr>
          <w:rFonts w:cs="Sylfaen"/>
          <w:bCs/>
          <w:lang w:val="fr-FR"/>
        </w:rPr>
        <w:t>չափերը:</w:t>
      </w:r>
      <w:proofErr w:type="gramEnd"/>
      <w:r w:rsidRPr="009A7904">
        <w:rPr>
          <w:rFonts w:cs="Sylfaen"/>
          <w:bCs/>
          <w:lang w:val="fr-FR"/>
        </w:rPr>
        <w:t xml:space="preserve"> </w:t>
      </w:r>
    </w:p>
    <w:p w14:paraId="45A05718" w14:textId="77777777" w:rsidR="009D2825" w:rsidRPr="009A7904" w:rsidRDefault="009D2825" w:rsidP="009A7904">
      <w:pPr>
        <w:spacing w:after="0" w:line="276" w:lineRule="auto"/>
        <w:rPr>
          <w:rFonts w:eastAsia="GHEA Grapalat" w:cs="GHEA Grapalat"/>
          <w:lang w:val="fr-FR"/>
        </w:rPr>
      </w:pPr>
      <w:r w:rsidRPr="009A7904">
        <w:rPr>
          <w:rFonts w:eastAsia="GHEA Grapalat" w:cs="GHEA Grapalat"/>
          <w:b/>
          <w:lang w:val="fr-FR"/>
        </w:rPr>
        <w:t xml:space="preserve">4. </w:t>
      </w:r>
      <w:r w:rsidRPr="009A7904">
        <w:rPr>
          <w:rFonts w:eastAsia="GHEA Grapalat" w:cs="GHEA Grapalat"/>
          <w:b/>
          <w:lang w:val="hy-AM"/>
        </w:rPr>
        <w:t>Զբաղվածության ծրագրի</w:t>
      </w:r>
      <w:r w:rsidRPr="009A7904">
        <w:rPr>
          <w:rFonts w:ascii="Sylfaen" w:hAnsi="Sylfaen" w:cs="Sylfaen"/>
          <w:b/>
          <w:lang w:val="fr-FR"/>
        </w:rPr>
        <w:t xml:space="preserve"> </w:t>
      </w:r>
      <w:r w:rsidRPr="009A7904">
        <w:rPr>
          <w:rFonts w:cs="Sylfaen"/>
          <w:bCs/>
          <w:lang w:val="fr-FR"/>
        </w:rPr>
        <w:t xml:space="preserve">նպատակն է կայուն և ժամանակավոր զբաղվածության </w:t>
      </w:r>
      <w:proofErr w:type="gramStart"/>
      <w:r w:rsidRPr="009A7904">
        <w:rPr>
          <w:rFonts w:cs="Sylfaen"/>
          <w:bCs/>
          <w:lang w:val="fr-FR"/>
        </w:rPr>
        <w:t>ապահովումը:</w:t>
      </w:r>
      <w:proofErr w:type="gramEnd"/>
    </w:p>
    <w:p w14:paraId="333A0D8F" w14:textId="77777777" w:rsidR="009D2825" w:rsidRPr="009A7904" w:rsidRDefault="009D2825" w:rsidP="009A7904">
      <w:pPr>
        <w:spacing w:after="0" w:line="276" w:lineRule="auto"/>
        <w:rPr>
          <w:rFonts w:cs="Sylfaen"/>
          <w:bCs/>
          <w:lang w:val="fr-FR"/>
        </w:rPr>
      </w:pPr>
      <w:r w:rsidRPr="009A7904">
        <w:rPr>
          <w:rFonts w:cs="Sylfaen"/>
          <w:bCs/>
          <w:lang w:val="fr-FR"/>
        </w:rPr>
        <w:t xml:space="preserve">Ծրագրի գծով միջնաժամկետ ժամանակահատվածում նախատեսվում է յուրաքանչյուր տարվա համար հատկացնել 2,079.7 մլն դրամ 2020 թվականի 2,426.6 մլն դրամի դիմաց կամ 2020 թվականի համեմատ 2021 թվականի նվազումը կազմում է 14.3 տոկոս, որը հիմնականում պայմանավորված է 2019 թվականի փաստացի կատարողականով՝ կանխատեսվող շահառուների թվաքանակի փոփոխության </w:t>
      </w:r>
      <w:proofErr w:type="gramStart"/>
      <w:r w:rsidRPr="009A7904">
        <w:rPr>
          <w:rFonts w:cs="Sylfaen"/>
          <w:bCs/>
          <w:lang w:val="fr-FR"/>
        </w:rPr>
        <w:t>պայմաններում:</w:t>
      </w:r>
      <w:proofErr w:type="gramEnd"/>
      <w:r w:rsidRPr="009A7904">
        <w:rPr>
          <w:rFonts w:cs="Sylfaen"/>
          <w:bCs/>
          <w:lang w:val="fr-FR"/>
        </w:rPr>
        <w:t xml:space="preserve"> </w:t>
      </w:r>
    </w:p>
    <w:p w14:paraId="5526F89F" w14:textId="77777777" w:rsidR="009D2825" w:rsidRPr="009A7904" w:rsidRDefault="009D2825" w:rsidP="009A7904">
      <w:pPr>
        <w:spacing w:after="0" w:line="276" w:lineRule="auto"/>
        <w:rPr>
          <w:rFonts w:cs="Sylfaen"/>
          <w:bCs/>
          <w:lang w:val="fr-FR"/>
        </w:rPr>
      </w:pPr>
      <w:r w:rsidRPr="009A7904">
        <w:rPr>
          <w:rFonts w:eastAsia="GHEA Grapalat" w:cs="GHEA Grapalat"/>
          <w:b/>
          <w:lang w:val="fr-FR"/>
        </w:rPr>
        <w:t xml:space="preserve">5. </w:t>
      </w:r>
      <w:r w:rsidRPr="009A7904">
        <w:rPr>
          <w:rFonts w:eastAsia="GHEA Grapalat" w:cs="GHEA Grapalat"/>
          <w:b/>
          <w:lang w:val="hy-AM"/>
        </w:rPr>
        <w:t>Խնամքի ծառայություններ 18 տարեկանից բարձր տարիքի անձանց ծրագրի</w:t>
      </w:r>
      <w:r w:rsidRPr="009A7904">
        <w:rPr>
          <w:rFonts w:ascii="Sylfaen" w:hAnsi="Sylfaen" w:cs="Sylfaen"/>
          <w:b/>
          <w:lang w:val="fr-FR"/>
        </w:rPr>
        <w:t xml:space="preserve"> </w:t>
      </w:r>
      <w:r w:rsidRPr="009A7904">
        <w:rPr>
          <w:rFonts w:cs="Sylfaen"/>
          <w:bCs/>
          <w:lang w:val="fr-FR"/>
        </w:rPr>
        <w:t>նպատակն է խնամքի կարիք ունեցող 18 տարեկանից բարձր տարիքի անձանց բնականոն կենսագործունեության ապահովումը</w:t>
      </w:r>
      <w:r w:rsidRPr="009A7904">
        <w:rPr>
          <w:rFonts w:ascii="Courier New" w:hAnsi="Courier New" w:cs="Courier New"/>
          <w:bCs/>
          <w:lang w:val="fr-FR"/>
        </w:rPr>
        <w:t> </w:t>
      </w:r>
      <w:r w:rsidRPr="009A7904">
        <w:rPr>
          <w:rFonts w:cs="Sylfaen"/>
          <w:bCs/>
          <w:lang w:val="fr-FR"/>
        </w:rPr>
        <w:t>:</w:t>
      </w:r>
    </w:p>
    <w:p w14:paraId="531CC526" w14:textId="1AF12F02" w:rsidR="009D2825" w:rsidRPr="009A7904" w:rsidRDefault="009D2825" w:rsidP="009A7904">
      <w:pPr>
        <w:spacing w:after="0" w:line="276" w:lineRule="auto"/>
        <w:rPr>
          <w:rFonts w:cs="Sylfaen"/>
          <w:bCs/>
          <w:lang w:val="fr-FR"/>
        </w:rPr>
      </w:pPr>
      <w:r w:rsidRPr="009A7904">
        <w:rPr>
          <w:rFonts w:cs="Sylfaen"/>
          <w:bCs/>
          <w:lang w:val="fr-FR"/>
        </w:rPr>
        <w:t xml:space="preserve">Ծրագրի գծով միջնաժամկետ ժամանակահատվածում նախատեսվում է յուրաքանչյուր տարվա համար հատկացնել 3,182.5 մլն դրամ 2020 թվականի 3,171.7 մլն դրամի դիմաց կամ 2020 թվականի համեմատ 2021 թվականի աճը կազմում է 0.3 </w:t>
      </w:r>
      <w:proofErr w:type="gramStart"/>
      <w:r w:rsidRPr="009A7904">
        <w:rPr>
          <w:rFonts w:cs="Sylfaen"/>
          <w:bCs/>
          <w:lang w:val="fr-FR"/>
        </w:rPr>
        <w:t>տոկոս,  որը</w:t>
      </w:r>
      <w:proofErr w:type="gramEnd"/>
      <w:r w:rsidRPr="009A7904">
        <w:rPr>
          <w:rFonts w:cs="Sylfaen"/>
          <w:bCs/>
          <w:lang w:val="fr-FR"/>
        </w:rPr>
        <w:t xml:space="preserve">  պայմանավորված է նոր միջոցառման (10.8 մլն դրամի չափով) նախատեսմամբ՝ սոցիալական բնակարանային ֆոնդի կացարաններում բնակվող միայնակ կենսաթոշակառուներին կոմունալ ծախսերի դիմաց դրամական փոխհատուցման նպատակով:</w:t>
      </w:r>
    </w:p>
    <w:p w14:paraId="11C43765" w14:textId="77777777" w:rsidR="009D2825" w:rsidRPr="009A7904" w:rsidRDefault="009D2825" w:rsidP="009A7904">
      <w:pPr>
        <w:spacing w:after="0" w:line="276" w:lineRule="auto"/>
        <w:rPr>
          <w:rFonts w:cs="Sylfaen"/>
          <w:bCs/>
          <w:lang w:val="fr-FR"/>
        </w:rPr>
      </w:pPr>
      <w:r w:rsidRPr="009A7904">
        <w:rPr>
          <w:rFonts w:eastAsia="GHEA Grapalat" w:cs="GHEA Grapalat"/>
          <w:b/>
          <w:lang w:val="fr-FR"/>
        </w:rPr>
        <w:t xml:space="preserve">6. </w:t>
      </w:r>
      <w:r w:rsidRPr="009A7904">
        <w:rPr>
          <w:rFonts w:eastAsia="GHEA Grapalat" w:cs="GHEA Grapalat"/>
          <w:b/>
          <w:lang w:val="hy-AM"/>
        </w:rPr>
        <w:t>Հաշմանդամություն ունեցող անձանց աջակցության ծրագրի</w:t>
      </w:r>
      <w:r w:rsidRPr="009A7904">
        <w:rPr>
          <w:rFonts w:ascii="Sylfaen" w:hAnsi="Sylfaen" w:cs="Sylfaen"/>
          <w:b/>
          <w:lang w:val="fr-FR"/>
        </w:rPr>
        <w:t xml:space="preserve"> </w:t>
      </w:r>
      <w:r w:rsidRPr="009A7904">
        <w:rPr>
          <w:rFonts w:cs="Sylfaen"/>
          <w:bCs/>
          <w:lang w:val="fr-FR"/>
        </w:rPr>
        <w:t xml:space="preserve">նպատակն է աջակցել հաշմանդամություն ունեցող անձանց սոցիալական ներառմանը </w:t>
      </w:r>
      <w:proofErr w:type="gramStart"/>
      <w:r w:rsidRPr="009A7904">
        <w:rPr>
          <w:rFonts w:cs="Sylfaen"/>
          <w:bCs/>
          <w:lang w:val="fr-FR"/>
        </w:rPr>
        <w:t>հասարակություն:</w:t>
      </w:r>
      <w:proofErr w:type="gramEnd"/>
    </w:p>
    <w:p w14:paraId="2F8DE972" w14:textId="77777777" w:rsidR="009D2825" w:rsidRPr="009A7904" w:rsidRDefault="009D2825" w:rsidP="009A7904">
      <w:pPr>
        <w:spacing w:after="0" w:line="276" w:lineRule="auto"/>
        <w:rPr>
          <w:rFonts w:cs="Sylfaen"/>
          <w:bCs/>
          <w:lang w:val="fr-FR"/>
        </w:rPr>
      </w:pPr>
      <w:r w:rsidRPr="009A7904">
        <w:rPr>
          <w:rFonts w:cs="Sylfaen"/>
          <w:bCs/>
          <w:lang w:val="fr-FR"/>
        </w:rPr>
        <w:lastRenderedPageBreak/>
        <w:t xml:space="preserve"> Ծրագրի գծով միջնաժամկետ ժամանակահատվածում նախատեսվում է 2021 թվականին հատկացնել 1,103.4 մլն դրամ, 2022-2023 թվականներին 1,200.5 մլն դրամ 2020 թվականի 1,177.8 մլն դրամի դիմաց կամ 2020 թվականի համեմատ 2021 թվականի նվազումը կազմում է 6.3 տոկոս, 2022 թվականի աճը 2021 թվականի համեմատ՝ 8.8 տոկոս, որը հիմնականում պայմանավորված է կանխատեսվող շահառուների թվաքանակի </w:t>
      </w:r>
      <w:proofErr w:type="gramStart"/>
      <w:r w:rsidRPr="009A7904">
        <w:rPr>
          <w:rFonts w:cs="Sylfaen"/>
          <w:bCs/>
          <w:lang w:val="fr-FR"/>
        </w:rPr>
        <w:t>փոփոխությամբ:</w:t>
      </w:r>
      <w:proofErr w:type="gramEnd"/>
      <w:r w:rsidRPr="009A7904">
        <w:rPr>
          <w:rFonts w:cs="Sylfaen"/>
          <w:bCs/>
          <w:lang w:val="fr-FR"/>
        </w:rPr>
        <w:t xml:space="preserve"> </w:t>
      </w:r>
    </w:p>
    <w:p w14:paraId="72418663" w14:textId="31A52749" w:rsidR="009D2825" w:rsidRPr="009A7904" w:rsidRDefault="009D2825" w:rsidP="009A7904">
      <w:pPr>
        <w:spacing w:after="0" w:line="276" w:lineRule="auto"/>
        <w:rPr>
          <w:rFonts w:cs="Sylfaen"/>
          <w:bCs/>
          <w:lang w:val="fr-FR"/>
        </w:rPr>
      </w:pPr>
      <w:r w:rsidRPr="009A7904">
        <w:rPr>
          <w:rFonts w:eastAsia="GHEA Grapalat" w:cs="GHEA Grapalat"/>
          <w:b/>
          <w:lang w:val="fr-FR"/>
        </w:rPr>
        <w:t xml:space="preserve">7. </w:t>
      </w:r>
      <w:r w:rsidRPr="009A7904">
        <w:rPr>
          <w:rFonts w:eastAsia="GHEA Grapalat" w:cs="GHEA Grapalat"/>
          <w:b/>
          <w:lang w:val="hy-AM"/>
        </w:rPr>
        <w:t>Ընտանիքներին, կանանց և երեխաներին աջակցության ծրագրի</w:t>
      </w:r>
      <w:r w:rsidRPr="009A7904">
        <w:rPr>
          <w:rFonts w:ascii="Sylfaen" w:hAnsi="Sylfaen" w:cs="Sylfaen"/>
          <w:b/>
          <w:lang w:val="fr-FR"/>
        </w:rPr>
        <w:t xml:space="preserve"> </w:t>
      </w:r>
      <w:r w:rsidRPr="009A7904">
        <w:rPr>
          <w:rFonts w:cs="Sylfaen"/>
          <w:bCs/>
          <w:lang w:val="fr-FR"/>
        </w:rPr>
        <w:t>նպատակն է կյանքի դժվարին իրավիճակում հայտնված ը</w:t>
      </w:r>
      <w:r w:rsidR="007724F4">
        <w:rPr>
          <w:rFonts w:cs="Sylfaen"/>
          <w:bCs/>
          <w:lang w:val="hy-AM"/>
        </w:rPr>
        <w:t>ն</w:t>
      </w:r>
      <w:r w:rsidRPr="009A7904">
        <w:rPr>
          <w:rFonts w:cs="Sylfaen"/>
          <w:bCs/>
          <w:lang w:val="fr-FR"/>
        </w:rPr>
        <w:t xml:space="preserve">տանիքների՝ կանանց և երեխաների հիմնական պահանջմունքների, սոցիալական կարիքների բավարարումն և ինտեգրում </w:t>
      </w:r>
      <w:proofErr w:type="gramStart"/>
      <w:r w:rsidRPr="009A7904">
        <w:rPr>
          <w:rFonts w:cs="Sylfaen"/>
          <w:bCs/>
          <w:lang w:val="fr-FR"/>
        </w:rPr>
        <w:t>հասարակություն:</w:t>
      </w:r>
      <w:proofErr w:type="gramEnd"/>
    </w:p>
    <w:p w14:paraId="56CD8B36" w14:textId="77777777" w:rsidR="009D2825" w:rsidRPr="009A7904" w:rsidRDefault="009D2825" w:rsidP="009A7904">
      <w:pPr>
        <w:spacing w:after="0" w:line="276" w:lineRule="auto"/>
        <w:rPr>
          <w:rFonts w:cs="Sylfaen"/>
          <w:bCs/>
          <w:lang w:val="fr-FR"/>
        </w:rPr>
      </w:pPr>
      <w:r w:rsidRPr="009A7904">
        <w:rPr>
          <w:rFonts w:cs="Sylfaen"/>
          <w:bCs/>
          <w:lang w:val="fr-FR"/>
        </w:rPr>
        <w:t xml:space="preserve">Ծրագրի գծով միջնաժամկետ ժամանակահատվածում նախատեսվում է հատկացնել 3,051.3 մլն դրամ 2020 թվականի 3,441.2 մլն դրամի դիմաց կամ 2020 թվականի համեմատ 2021 թվականի նվազումը կազմում է 11.3 տոկոս, որը հիմնականում պայմանավորված է կանխատեսվող շահառուների թվաքանակի </w:t>
      </w:r>
      <w:proofErr w:type="gramStart"/>
      <w:r w:rsidRPr="009A7904">
        <w:rPr>
          <w:rFonts w:cs="Sylfaen"/>
          <w:bCs/>
          <w:lang w:val="fr-FR"/>
        </w:rPr>
        <w:t>փոփոխությամբ:</w:t>
      </w:r>
      <w:proofErr w:type="gramEnd"/>
      <w:r w:rsidRPr="009A7904">
        <w:rPr>
          <w:rFonts w:cs="Sylfaen"/>
          <w:bCs/>
          <w:lang w:val="fr-FR"/>
        </w:rPr>
        <w:t xml:space="preserve"> </w:t>
      </w:r>
    </w:p>
    <w:p w14:paraId="26626B37" w14:textId="77777777" w:rsidR="009D2825" w:rsidRPr="009A7904" w:rsidRDefault="009D2825" w:rsidP="009A7904">
      <w:pPr>
        <w:spacing w:after="0" w:line="276" w:lineRule="auto"/>
        <w:rPr>
          <w:rFonts w:cs="Sylfaen"/>
          <w:bCs/>
          <w:lang w:val="fr-FR"/>
        </w:rPr>
      </w:pPr>
      <w:r w:rsidRPr="009A7904">
        <w:rPr>
          <w:rFonts w:cs="Sylfaen"/>
          <w:b/>
          <w:bCs/>
          <w:lang w:val="hy-AM"/>
        </w:rPr>
        <w:t>8</w:t>
      </w:r>
      <w:r w:rsidRPr="009A7904">
        <w:rPr>
          <w:rFonts w:eastAsia="GHEA Grapalat" w:cs="GHEA Grapalat"/>
          <w:b/>
          <w:lang w:val="hy-AM"/>
        </w:rPr>
        <w:t>. Պարգևավճարներ և պատվովճարներ ծրագրի</w:t>
      </w:r>
      <w:r w:rsidRPr="009A7904">
        <w:rPr>
          <w:rFonts w:ascii="Sylfaen" w:hAnsi="Sylfaen" w:cs="Sylfaen"/>
          <w:b/>
          <w:lang w:val="fr-FR"/>
        </w:rPr>
        <w:t xml:space="preserve"> </w:t>
      </w:r>
      <w:r w:rsidRPr="009A7904">
        <w:rPr>
          <w:rFonts w:cs="Sylfaen"/>
          <w:bCs/>
          <w:lang w:val="fr-FR"/>
        </w:rPr>
        <w:t>նպատակն է պետական հոգածության դրսևորում՝ առանձին կատեգորիայի քաղաքացիներին և նրանց ընտանիքներին սոցիալական երաշխիքների տրամադրումը:</w:t>
      </w:r>
    </w:p>
    <w:p w14:paraId="28B7D33B" w14:textId="77777777" w:rsidR="009D2825" w:rsidRPr="009A7904" w:rsidRDefault="009D2825" w:rsidP="009A7904">
      <w:pPr>
        <w:spacing w:after="0" w:line="276" w:lineRule="auto"/>
        <w:rPr>
          <w:rFonts w:cs="Sylfaen"/>
          <w:bCs/>
          <w:lang w:val="fr-FR"/>
        </w:rPr>
      </w:pPr>
      <w:r w:rsidRPr="009A7904">
        <w:rPr>
          <w:rFonts w:cs="Sylfaen"/>
          <w:bCs/>
          <w:lang w:val="fr-FR"/>
        </w:rPr>
        <w:t xml:space="preserve">Ծրագրի գծով միջնաժամկետ ժամանակահատվածում նախատեսվում է 2021 թվականին հատկացնել 11,261.3 մլն դրամ, 2022 թվականին` 11,147.3 մլն դրամ, 2023 թվականին՝ 11,099.3 մլն դրամ 2020 թվականի 11,563.6 մլն դրամի դիմաց կամ 2020 թվականի համեմատ 2021 թվականի նվազումը կազմում է 2.6 տոկոս, 2022 թվականի նվազումը 2021 թվականի համեմատ՝   1 տոկոս և 2023 թվականի նվազումը 2022 թվականի համեմատ՝ 0.4 տոկոս, որը հիմնականում պայմանավորված է կանխատեսվող շահառուների թվաքանակի </w:t>
      </w:r>
      <w:proofErr w:type="gramStart"/>
      <w:r w:rsidRPr="009A7904">
        <w:rPr>
          <w:rFonts w:cs="Sylfaen"/>
          <w:bCs/>
          <w:lang w:val="fr-FR"/>
        </w:rPr>
        <w:t>փոփոխությամբ:</w:t>
      </w:r>
      <w:proofErr w:type="gramEnd"/>
      <w:r w:rsidRPr="009A7904">
        <w:rPr>
          <w:rFonts w:cs="Sylfaen"/>
          <w:bCs/>
          <w:lang w:val="fr-FR"/>
        </w:rPr>
        <w:t xml:space="preserve"> </w:t>
      </w:r>
    </w:p>
    <w:p w14:paraId="2F2F4564" w14:textId="77777777" w:rsidR="009D2825" w:rsidRPr="009A7904" w:rsidRDefault="009D2825" w:rsidP="009A7904">
      <w:pPr>
        <w:spacing w:after="0" w:line="276" w:lineRule="auto"/>
        <w:rPr>
          <w:rFonts w:cs="Sylfaen"/>
          <w:bCs/>
          <w:lang w:val="fr-FR"/>
        </w:rPr>
      </w:pPr>
      <w:r w:rsidRPr="009A7904">
        <w:rPr>
          <w:rFonts w:eastAsia="GHEA Grapalat" w:cs="GHEA Grapalat"/>
          <w:b/>
          <w:lang w:val="hy-AM"/>
        </w:rPr>
        <w:t>9. Պետական հիմնարկների և կազմակերպությունների աշխատողների սոցիալական փաթեթով ապահովման ծրագրի</w:t>
      </w:r>
      <w:r w:rsidRPr="009A7904">
        <w:rPr>
          <w:rFonts w:ascii="Sylfaen" w:hAnsi="Sylfaen" w:cs="Sylfaen"/>
          <w:b/>
          <w:lang w:val="fr-FR"/>
        </w:rPr>
        <w:t xml:space="preserve"> </w:t>
      </w:r>
      <w:r w:rsidRPr="009A7904">
        <w:rPr>
          <w:rFonts w:cs="Sylfaen"/>
          <w:bCs/>
          <w:lang w:val="fr-FR"/>
        </w:rPr>
        <w:t>նպատակն է պետական հիմնարկների և կազմակերպությունների աշխատողների՝ հիպոթեքային վարկի ամսական վճարի, ուսման վճարի և հանգստի ապահովման գծով ծախսերի փոխհատուցումը:</w:t>
      </w:r>
    </w:p>
    <w:p w14:paraId="4385E7B1" w14:textId="77777777" w:rsidR="009D2825" w:rsidRPr="009A7904" w:rsidRDefault="009D2825" w:rsidP="009A7904">
      <w:pPr>
        <w:spacing w:after="0" w:line="276" w:lineRule="auto"/>
        <w:rPr>
          <w:rFonts w:cs="Sylfaen"/>
          <w:bCs/>
          <w:lang w:val="fr-FR"/>
        </w:rPr>
      </w:pPr>
      <w:r w:rsidRPr="009A7904">
        <w:rPr>
          <w:rFonts w:cs="Sylfaen"/>
          <w:bCs/>
          <w:lang w:val="fr-FR"/>
        </w:rPr>
        <w:t xml:space="preserve">Ծրագրի գծով միջնաժամկետ ժամանակահատվածում նախատեսվում է հատկացնել 10,619.5 մլն դրամ՝ պահպանելով 2020 թվականի </w:t>
      </w:r>
      <w:proofErr w:type="gramStart"/>
      <w:r w:rsidRPr="009A7904">
        <w:rPr>
          <w:rFonts w:cs="Sylfaen"/>
          <w:bCs/>
          <w:lang w:val="fr-FR"/>
        </w:rPr>
        <w:t>մակարդակը:</w:t>
      </w:r>
      <w:proofErr w:type="gramEnd"/>
      <w:r w:rsidRPr="009A7904">
        <w:rPr>
          <w:rFonts w:cs="Sylfaen"/>
          <w:bCs/>
          <w:lang w:val="fr-FR"/>
        </w:rPr>
        <w:t xml:space="preserve"> </w:t>
      </w:r>
    </w:p>
    <w:p w14:paraId="03164D64" w14:textId="27E0E0E8" w:rsidR="009D2825" w:rsidRPr="009A7904" w:rsidRDefault="009D2825" w:rsidP="009A7904">
      <w:pPr>
        <w:spacing w:after="0" w:line="276" w:lineRule="auto"/>
        <w:rPr>
          <w:rFonts w:cs="Sylfaen"/>
          <w:bCs/>
          <w:lang w:val="fr-FR"/>
        </w:rPr>
      </w:pPr>
      <w:r w:rsidRPr="009A7904">
        <w:rPr>
          <w:rFonts w:cs="Sylfaen"/>
          <w:b/>
          <w:bCs/>
          <w:lang w:val="fr-FR"/>
        </w:rPr>
        <w:t>10. Սոցիալական աջակցություն անաշխատունակության դեպքում ծրագրի</w:t>
      </w:r>
      <w:r w:rsidRPr="009A7904">
        <w:rPr>
          <w:rFonts w:ascii="Sylfaen" w:hAnsi="Sylfaen" w:cs="Sylfaen"/>
          <w:b/>
          <w:lang w:val="fr-FR"/>
        </w:rPr>
        <w:t xml:space="preserve"> </w:t>
      </w:r>
      <w:r w:rsidRPr="009A7904">
        <w:rPr>
          <w:rFonts w:cs="Sylfaen"/>
          <w:bCs/>
          <w:lang w:val="fr-FR"/>
        </w:rPr>
        <w:t>նպատակն է կո</w:t>
      </w:r>
      <w:r w:rsidR="007724F4">
        <w:rPr>
          <w:rFonts w:cs="Sylfaen"/>
          <w:bCs/>
          <w:lang w:val="hy-AM"/>
        </w:rPr>
        <w:t>ր</w:t>
      </w:r>
      <w:r w:rsidRPr="009A7904">
        <w:rPr>
          <w:rFonts w:cs="Sylfaen"/>
          <w:bCs/>
          <w:lang w:val="fr-FR"/>
        </w:rPr>
        <w:t xml:space="preserve">ցրած եկամուտների մասնակի </w:t>
      </w:r>
      <w:proofErr w:type="gramStart"/>
      <w:r w:rsidRPr="009A7904">
        <w:rPr>
          <w:rFonts w:cs="Sylfaen"/>
          <w:bCs/>
          <w:lang w:val="fr-FR"/>
        </w:rPr>
        <w:t>փոխհատուցումը:</w:t>
      </w:r>
      <w:proofErr w:type="gramEnd"/>
    </w:p>
    <w:p w14:paraId="09A3B1E0" w14:textId="77777777" w:rsidR="009D2825" w:rsidRPr="009A7904" w:rsidRDefault="009D2825" w:rsidP="009A7904">
      <w:pPr>
        <w:spacing w:after="0" w:line="276" w:lineRule="auto"/>
        <w:rPr>
          <w:rFonts w:cs="Sylfaen"/>
          <w:bCs/>
          <w:lang w:val="fr-FR"/>
        </w:rPr>
      </w:pPr>
      <w:r w:rsidRPr="009A7904">
        <w:rPr>
          <w:rFonts w:cs="Sylfaen"/>
          <w:bCs/>
          <w:lang w:val="fr-FR"/>
        </w:rPr>
        <w:t xml:space="preserve">Ծրագրի գծով միջնաժամկետ ժամանակահատվածում նախատեսվում է 2021 թվականին հատկացնել 14,253.6 մլն դրամ, 2022-2023 թվականներին 14,351.9 մլն դրամ 2020 թվականի 9,997.0 մլն դրամի դիմաց կամ 2020 թվականի համեմատ 2021 թվականի աճը կազմում է 43.6 տոկոս, որը հիմնականում պայմանավորված է փաստացի կատարողականով և կանխատեսվող շահառուների թվաքանակի </w:t>
      </w:r>
      <w:proofErr w:type="gramStart"/>
      <w:r w:rsidRPr="009A7904">
        <w:rPr>
          <w:rFonts w:cs="Sylfaen"/>
          <w:bCs/>
          <w:lang w:val="fr-FR"/>
        </w:rPr>
        <w:t>փոփոխությամբ:</w:t>
      </w:r>
      <w:proofErr w:type="gramEnd"/>
      <w:r w:rsidRPr="009A7904">
        <w:rPr>
          <w:rFonts w:cs="Sylfaen"/>
          <w:bCs/>
          <w:lang w:val="fr-FR"/>
        </w:rPr>
        <w:t xml:space="preserve"> </w:t>
      </w:r>
    </w:p>
    <w:p w14:paraId="67EB88DC" w14:textId="77777777" w:rsidR="009D2825" w:rsidRPr="009A7904" w:rsidRDefault="009D2825" w:rsidP="009A7904">
      <w:pPr>
        <w:spacing w:after="0" w:line="276" w:lineRule="auto"/>
        <w:rPr>
          <w:rFonts w:cs="Sylfaen"/>
          <w:bCs/>
          <w:lang w:val="fr-FR"/>
        </w:rPr>
      </w:pPr>
      <w:r w:rsidRPr="009A7904">
        <w:rPr>
          <w:rFonts w:cs="Sylfaen"/>
          <w:b/>
          <w:bCs/>
          <w:lang w:val="fr-FR"/>
        </w:rPr>
        <w:t>11. Սոցիալական պաշտպանության ոլորտի զարգացման ծրագրի</w:t>
      </w:r>
      <w:r w:rsidRPr="009A7904">
        <w:rPr>
          <w:rFonts w:eastAsia="GHEA Grapalat" w:cs="GHEA Grapalat"/>
          <w:b/>
          <w:lang w:val="hy-AM"/>
        </w:rPr>
        <w:t xml:space="preserve"> </w:t>
      </w:r>
      <w:r w:rsidRPr="009A7904">
        <w:rPr>
          <w:rFonts w:cs="Sylfaen"/>
          <w:bCs/>
          <w:lang w:val="fr-FR"/>
        </w:rPr>
        <w:t xml:space="preserve">նպատակն է սոցիալական պաշտպանության ոլորտի քաղաքականության՝ ծրագրերի գիտահետազոտական և մասնագիտական կապիտալի զարգացման </w:t>
      </w:r>
      <w:proofErr w:type="gramStart"/>
      <w:r w:rsidRPr="009A7904">
        <w:rPr>
          <w:rFonts w:cs="Sylfaen"/>
          <w:bCs/>
          <w:lang w:val="fr-FR"/>
        </w:rPr>
        <w:t>ապահովումը:</w:t>
      </w:r>
      <w:proofErr w:type="gramEnd"/>
      <w:r w:rsidRPr="009A7904">
        <w:rPr>
          <w:rFonts w:cs="Sylfaen"/>
          <w:bCs/>
          <w:lang w:val="fr-FR"/>
        </w:rPr>
        <w:t xml:space="preserve"> </w:t>
      </w:r>
    </w:p>
    <w:p w14:paraId="51EE5061" w14:textId="77777777" w:rsidR="009D2825" w:rsidRPr="009A7904" w:rsidRDefault="009D2825" w:rsidP="009A7904">
      <w:pPr>
        <w:spacing w:after="0" w:line="276" w:lineRule="auto"/>
        <w:rPr>
          <w:rFonts w:cs="Sylfaen"/>
          <w:bCs/>
          <w:lang w:val="fr-FR"/>
        </w:rPr>
      </w:pPr>
      <w:r w:rsidRPr="009A7904">
        <w:rPr>
          <w:rFonts w:cs="Sylfaen"/>
          <w:bCs/>
          <w:lang w:val="fr-FR"/>
        </w:rPr>
        <w:t xml:space="preserve">Ծրագրի գծով միջնաժամկետ ժամանակահատվածում նախատեսվում է հատկացնել 128.3 մլն դրամ՝ պահպանելով 2020 թվականի </w:t>
      </w:r>
      <w:proofErr w:type="gramStart"/>
      <w:r w:rsidRPr="009A7904">
        <w:rPr>
          <w:rFonts w:cs="Sylfaen"/>
          <w:bCs/>
          <w:lang w:val="fr-FR"/>
        </w:rPr>
        <w:t>մակարդակը:</w:t>
      </w:r>
      <w:proofErr w:type="gramEnd"/>
      <w:r w:rsidRPr="009A7904">
        <w:rPr>
          <w:rFonts w:cs="Sylfaen"/>
          <w:bCs/>
          <w:lang w:val="fr-FR"/>
        </w:rPr>
        <w:t xml:space="preserve"> </w:t>
      </w:r>
    </w:p>
    <w:p w14:paraId="3E8E7C72" w14:textId="77777777" w:rsidR="009D2825" w:rsidRPr="009A7904" w:rsidRDefault="009D2825" w:rsidP="009A7904">
      <w:pPr>
        <w:spacing w:after="0" w:line="276" w:lineRule="auto"/>
        <w:rPr>
          <w:rFonts w:cs="Sylfaen"/>
          <w:bCs/>
          <w:lang w:val="fr-FR"/>
        </w:rPr>
      </w:pPr>
      <w:r w:rsidRPr="009A7904">
        <w:rPr>
          <w:rFonts w:cs="Sylfaen"/>
          <w:b/>
          <w:bCs/>
          <w:lang w:val="fr-FR"/>
        </w:rPr>
        <w:lastRenderedPageBreak/>
        <w:t>12. Ավանդների և այլ փոխհատուցումների ծրագրի</w:t>
      </w:r>
      <w:r w:rsidRPr="009A7904">
        <w:rPr>
          <w:rFonts w:ascii="Sylfaen" w:hAnsi="Sylfaen" w:cs="Sylfaen"/>
          <w:b/>
          <w:lang w:val="fr-FR"/>
        </w:rPr>
        <w:t xml:space="preserve"> </w:t>
      </w:r>
      <w:r w:rsidRPr="009A7904">
        <w:rPr>
          <w:rFonts w:cs="Sylfaen"/>
          <w:bCs/>
          <w:lang w:val="fr-FR"/>
        </w:rPr>
        <w:t>նպատակն է</w:t>
      </w:r>
      <w:proofErr w:type="gramStart"/>
      <w:r w:rsidRPr="009A7904">
        <w:rPr>
          <w:rFonts w:cs="Sylfaen"/>
          <w:bCs/>
          <w:lang w:val="fr-FR"/>
        </w:rPr>
        <w:t xml:space="preserve"> «ՎՏԲ</w:t>
      </w:r>
      <w:proofErr w:type="gramEnd"/>
      <w:r w:rsidRPr="009A7904">
        <w:rPr>
          <w:rFonts w:cs="Sylfaen"/>
          <w:bCs/>
          <w:lang w:val="fr-FR"/>
        </w:rPr>
        <w:t>-Հայաստան» ՓԲԸ-ում ավանդատու հանդիսացող քաղաքացիների, որպես նախկին ԽՍՀՄ Խնայբանկի ՀԽՍՀ հանրապետական բանկում մինչև 1993 թվականի հունիսի 10-ը ներդրված դրամական ավանդների դիմաց փոխհատուցումը:</w:t>
      </w:r>
    </w:p>
    <w:p w14:paraId="7B48E7C5" w14:textId="77777777" w:rsidR="009D2825" w:rsidRPr="009A7904" w:rsidRDefault="009D2825" w:rsidP="009A7904">
      <w:pPr>
        <w:spacing w:after="0" w:line="276" w:lineRule="auto"/>
        <w:rPr>
          <w:rFonts w:cs="Sylfaen"/>
          <w:bCs/>
          <w:lang w:val="fr-FR"/>
        </w:rPr>
      </w:pPr>
      <w:r w:rsidRPr="009A7904">
        <w:rPr>
          <w:rFonts w:cs="Sylfaen"/>
          <w:bCs/>
          <w:lang w:val="fr-FR"/>
        </w:rPr>
        <w:t>Ծրագրի գծով միջնաժամկետ ժամանակահատվածում նախատեսվում է հատկացնել 1,212.0 մլն դրամ 2020 թվականի 1,942.9 մլն դրամի դիմաց կամ 2020 թվականի համեմատ 2021 թվականի նվազումը կազմում է 37.6 տոկոս, որը պայմանավորված է</w:t>
      </w:r>
      <w:proofErr w:type="gramStart"/>
      <w:r w:rsidRPr="009A7904">
        <w:rPr>
          <w:rFonts w:cs="Sylfaen"/>
          <w:bCs/>
          <w:lang w:val="fr-FR"/>
        </w:rPr>
        <w:t xml:space="preserve"> «Անավարտ</w:t>
      </w:r>
      <w:proofErr w:type="gramEnd"/>
      <w:r w:rsidRPr="009A7904">
        <w:rPr>
          <w:rFonts w:cs="Sylfaen"/>
          <w:bCs/>
          <w:lang w:val="fr-FR"/>
        </w:rPr>
        <w:t xml:space="preserve"> շինարարության բնակարանաշինարարական կոոպերատիվների փայատերերի կողմից Խորհրդային Միության ռուբլով վճարված գումարի արժեզրկումից փայատերերի կրած կորուստների դիմաց դրամական օգնության տրամադրում» միջոցառման չնախատեսմամբ:</w:t>
      </w:r>
    </w:p>
    <w:p w14:paraId="36F05FE9" w14:textId="77777777" w:rsidR="009D2825" w:rsidRPr="009A7904" w:rsidRDefault="009D2825" w:rsidP="009A7904">
      <w:pPr>
        <w:spacing w:after="0" w:line="276" w:lineRule="auto"/>
        <w:rPr>
          <w:rFonts w:cs="Sylfaen"/>
          <w:bCs/>
          <w:lang w:val="fr-FR"/>
        </w:rPr>
      </w:pPr>
      <w:r w:rsidRPr="009A7904">
        <w:rPr>
          <w:rFonts w:cs="Sylfaen"/>
          <w:b/>
          <w:bCs/>
          <w:lang w:val="fr-FR"/>
        </w:rPr>
        <w:t>13. Սոցիալական ապահովության ծրագրի</w:t>
      </w:r>
      <w:r w:rsidRPr="009A7904">
        <w:rPr>
          <w:rFonts w:ascii="Sylfaen" w:hAnsi="Sylfaen" w:cs="Sylfaen"/>
          <w:b/>
          <w:lang w:val="fr-FR"/>
        </w:rPr>
        <w:t xml:space="preserve"> </w:t>
      </w:r>
      <w:r w:rsidRPr="009A7904">
        <w:rPr>
          <w:rFonts w:cs="Sylfaen"/>
          <w:bCs/>
          <w:lang w:val="fr-FR"/>
        </w:rPr>
        <w:t xml:space="preserve">նպատակն է սոցիալական ապահովության իրավունքի իրականացման </w:t>
      </w:r>
      <w:proofErr w:type="gramStart"/>
      <w:r w:rsidRPr="009A7904">
        <w:rPr>
          <w:rFonts w:cs="Sylfaen"/>
          <w:bCs/>
          <w:lang w:val="fr-FR"/>
        </w:rPr>
        <w:t>ապահովումը:</w:t>
      </w:r>
      <w:proofErr w:type="gramEnd"/>
    </w:p>
    <w:p w14:paraId="3E9C447D" w14:textId="77777777" w:rsidR="009D2825" w:rsidRPr="009A7904" w:rsidRDefault="009D2825" w:rsidP="009A7904">
      <w:pPr>
        <w:spacing w:after="0" w:line="276" w:lineRule="auto"/>
        <w:rPr>
          <w:rFonts w:cs="Sylfaen"/>
          <w:bCs/>
          <w:lang w:val="fr-FR"/>
        </w:rPr>
      </w:pPr>
      <w:r w:rsidRPr="009A7904">
        <w:rPr>
          <w:rFonts w:cs="Sylfaen"/>
          <w:bCs/>
          <w:lang w:val="fr-FR"/>
        </w:rPr>
        <w:t xml:space="preserve">Ծրագրի գծով միջնաժամկետ ժամանակահատվածում նախատեսվում է 2021 թվականին հատկացնել 30.862.6 մլն դրամ, 2022-2023 թվականներին 30,861.4 մլն դրամ 2020 թվականի 26,060.6 մլն դրամի դիմաց կամ 2020 թվականի համեմատ 2021 թվականի աճը կազմում է 18 տոկոս, որը հիմնականում պայմանավորված է կանխատեսվող շահառուների թվաքանակի </w:t>
      </w:r>
      <w:proofErr w:type="gramStart"/>
      <w:r w:rsidRPr="009A7904">
        <w:rPr>
          <w:rFonts w:cs="Sylfaen"/>
          <w:bCs/>
          <w:lang w:val="fr-FR"/>
        </w:rPr>
        <w:t>փոփոխությամբ:</w:t>
      </w:r>
      <w:proofErr w:type="gramEnd"/>
      <w:r w:rsidRPr="009A7904">
        <w:rPr>
          <w:rFonts w:cs="Sylfaen"/>
          <w:bCs/>
          <w:lang w:val="fr-FR"/>
        </w:rPr>
        <w:t xml:space="preserve"> </w:t>
      </w:r>
    </w:p>
    <w:p w14:paraId="0BFC36E5" w14:textId="77777777" w:rsidR="009D2825" w:rsidRPr="009A7904" w:rsidRDefault="009D2825" w:rsidP="009A7904">
      <w:pPr>
        <w:spacing w:after="0" w:line="276" w:lineRule="auto"/>
        <w:rPr>
          <w:rFonts w:cs="Sylfaen"/>
          <w:bCs/>
          <w:lang w:val="fr-FR"/>
        </w:rPr>
      </w:pPr>
      <w:r w:rsidRPr="009A7904">
        <w:rPr>
          <w:rFonts w:cs="Sylfaen"/>
          <w:b/>
          <w:bCs/>
          <w:lang w:val="fr-FR"/>
        </w:rPr>
        <w:t>14. Բնակարանային ապահովման ծրագրի</w:t>
      </w:r>
      <w:r w:rsidRPr="009A7904">
        <w:rPr>
          <w:rFonts w:ascii="Sylfaen" w:hAnsi="Sylfaen"/>
          <w:lang w:val="hy-AM"/>
        </w:rPr>
        <w:t xml:space="preserve"> </w:t>
      </w:r>
      <w:r w:rsidRPr="009A7904">
        <w:rPr>
          <w:rFonts w:cs="Sylfaen"/>
          <w:bCs/>
          <w:lang w:val="fr-FR"/>
        </w:rPr>
        <w:t>նպատակն է ոչ անվտանգ բնակության պայմաններում (վթարային շենքերում, ժամանակավոր կացարաններում, ոչ հիմնական շինություններում և այլն) բնակվող ընտանիքներին անվտանգ, պատշաճ, սանիտարահիգիենիկ պահանջներին բավարարող բնակարաններով ապահովումը, ինչպես նաև զոհված (մահացած), զին</w:t>
      </w:r>
      <w:r w:rsidRPr="009A7904">
        <w:rPr>
          <w:rFonts w:cs="Sylfaen"/>
          <w:bCs/>
          <w:lang w:val="fr-FR"/>
        </w:rPr>
        <w:softHyphen/>
        <w:t>վո</w:t>
      </w:r>
      <w:r w:rsidRPr="009A7904">
        <w:rPr>
          <w:rFonts w:cs="Sylfaen"/>
          <w:bCs/>
          <w:lang w:val="fr-FR"/>
        </w:rPr>
        <w:softHyphen/>
        <w:t>րա</w:t>
      </w:r>
      <w:r w:rsidRPr="009A7904">
        <w:rPr>
          <w:rFonts w:cs="Sylfaen"/>
          <w:bCs/>
          <w:lang w:val="fr-FR"/>
        </w:rPr>
        <w:softHyphen/>
        <w:t>կան որևէ պատ</w:t>
      </w:r>
      <w:r w:rsidRPr="009A7904">
        <w:rPr>
          <w:rFonts w:cs="Sylfaen"/>
          <w:bCs/>
          <w:lang w:val="fr-FR"/>
        </w:rPr>
        <w:softHyphen/>
        <w:t>ճառական կապով հաշ</w:t>
      </w:r>
      <w:r w:rsidRPr="009A7904">
        <w:rPr>
          <w:rFonts w:cs="Sylfaen"/>
          <w:bCs/>
          <w:lang w:val="fr-FR"/>
        </w:rPr>
        <w:softHyphen/>
        <w:t>ման</w:t>
      </w:r>
      <w:r w:rsidRPr="009A7904">
        <w:rPr>
          <w:rFonts w:cs="Sylfaen"/>
          <w:bCs/>
          <w:lang w:val="fr-FR"/>
        </w:rPr>
        <w:softHyphen/>
        <w:t>դամ դարձած զին</w:t>
      </w:r>
      <w:r w:rsidRPr="009A7904">
        <w:rPr>
          <w:rFonts w:cs="Sylfaen"/>
          <w:bCs/>
          <w:lang w:val="fr-FR"/>
        </w:rPr>
        <w:softHyphen/>
        <w:t>ծա</w:t>
      </w:r>
      <w:r w:rsidRPr="009A7904">
        <w:rPr>
          <w:rFonts w:cs="Sylfaen"/>
          <w:bCs/>
          <w:lang w:val="fr-FR"/>
        </w:rPr>
        <w:softHyphen/>
        <w:t>ռա</w:t>
      </w:r>
      <w:r w:rsidRPr="009A7904">
        <w:rPr>
          <w:rFonts w:cs="Sylfaen"/>
          <w:bCs/>
          <w:lang w:val="fr-FR"/>
        </w:rPr>
        <w:softHyphen/>
        <w:t>յող</w:t>
      </w:r>
      <w:r w:rsidRPr="009A7904">
        <w:rPr>
          <w:rFonts w:cs="Sylfaen"/>
          <w:bCs/>
          <w:lang w:val="fr-FR"/>
        </w:rPr>
        <w:softHyphen/>
      </w:r>
      <w:r w:rsidRPr="009A7904">
        <w:rPr>
          <w:rFonts w:cs="Sylfaen"/>
          <w:bCs/>
          <w:lang w:val="fr-FR"/>
        </w:rPr>
        <w:softHyphen/>
        <w:t>նե</w:t>
      </w:r>
      <w:r w:rsidRPr="009A7904">
        <w:rPr>
          <w:rFonts w:cs="Sylfaen"/>
          <w:bCs/>
          <w:lang w:val="fr-FR"/>
        </w:rPr>
        <w:softHyphen/>
        <w:t>րի բնա</w:t>
      </w:r>
      <w:r w:rsidRPr="009A7904">
        <w:rPr>
          <w:rFonts w:cs="Sylfaen"/>
          <w:bCs/>
          <w:lang w:val="fr-FR"/>
        </w:rPr>
        <w:softHyphen/>
      </w:r>
      <w:r w:rsidRPr="009A7904">
        <w:rPr>
          <w:rFonts w:cs="Sylfaen"/>
          <w:bCs/>
          <w:lang w:val="fr-FR"/>
        </w:rPr>
        <w:softHyphen/>
        <w:t>կա</w:t>
      </w:r>
      <w:r w:rsidRPr="009A7904">
        <w:rPr>
          <w:rFonts w:cs="Sylfaen"/>
          <w:bCs/>
          <w:lang w:val="fr-FR"/>
        </w:rPr>
        <w:softHyphen/>
        <w:t>րա</w:t>
      </w:r>
      <w:r w:rsidRPr="009A7904">
        <w:rPr>
          <w:rFonts w:cs="Sylfaen"/>
          <w:bCs/>
          <w:lang w:val="fr-FR"/>
        </w:rPr>
        <w:softHyphen/>
        <w:t>նի կարիքավոր ընտա</w:t>
      </w:r>
      <w:r w:rsidRPr="009A7904">
        <w:rPr>
          <w:rFonts w:cs="Sylfaen"/>
          <w:bCs/>
          <w:lang w:val="fr-FR"/>
        </w:rPr>
        <w:softHyphen/>
        <w:t>նիք</w:t>
      </w:r>
      <w:r w:rsidRPr="009A7904">
        <w:rPr>
          <w:rFonts w:cs="Sylfaen"/>
          <w:bCs/>
          <w:lang w:val="fr-FR"/>
        </w:rPr>
        <w:softHyphen/>
        <w:t>նե</w:t>
      </w:r>
      <w:r w:rsidRPr="009A7904">
        <w:rPr>
          <w:rFonts w:cs="Sylfaen"/>
          <w:bCs/>
          <w:lang w:val="fr-FR"/>
        </w:rPr>
        <w:softHyphen/>
        <w:t xml:space="preserve">րի բնակարանային պայմանների </w:t>
      </w:r>
      <w:proofErr w:type="gramStart"/>
      <w:r w:rsidRPr="009A7904">
        <w:rPr>
          <w:rFonts w:cs="Sylfaen"/>
          <w:bCs/>
          <w:lang w:val="fr-FR"/>
        </w:rPr>
        <w:t>բարելավումը:</w:t>
      </w:r>
      <w:proofErr w:type="gramEnd"/>
    </w:p>
    <w:p w14:paraId="65D2AD9B" w14:textId="77777777" w:rsidR="009D2825" w:rsidRPr="009A7904" w:rsidRDefault="009D2825" w:rsidP="009A7904">
      <w:pPr>
        <w:spacing w:after="0" w:line="276" w:lineRule="auto"/>
        <w:rPr>
          <w:rFonts w:cs="Sylfaen"/>
          <w:bCs/>
          <w:lang w:val="fr-FR"/>
        </w:rPr>
      </w:pPr>
      <w:r w:rsidRPr="009A7904">
        <w:rPr>
          <w:rFonts w:cs="Sylfaen"/>
          <w:bCs/>
          <w:lang w:val="fr-FR"/>
        </w:rPr>
        <w:t xml:space="preserve">Ծրագրի գծով միջնաժամկետ ժամանակահատվածում նախատեսվում է 2021 թվականին հատկացնել 1,790.6 մլն դրամ, 2022-20233 թվականներին՝ 1,620.2 մլն </w:t>
      </w:r>
      <w:proofErr w:type="gramStart"/>
      <w:r w:rsidRPr="009A7904">
        <w:rPr>
          <w:rFonts w:cs="Sylfaen"/>
          <w:bCs/>
          <w:lang w:val="fr-FR"/>
        </w:rPr>
        <w:t>դրամ:</w:t>
      </w:r>
      <w:proofErr w:type="gramEnd"/>
      <w:r w:rsidRPr="009A7904">
        <w:rPr>
          <w:rFonts w:cs="Sylfaen"/>
          <w:bCs/>
          <w:lang w:val="fr-FR"/>
        </w:rPr>
        <w:t xml:space="preserve"> Եռամյա ցուցանիշները 2020 թվականի համեմատ պակաս են նախատեսվել 2021 թվականին՝ 55.5 տոկոսով, 2022-2023 թվականներին՝ 59.7 տոկոսով, ինչը պայմանավորված է աղետի գոտու բնակարաններում երկրաշարժի հետևանքով անօթևան մնացած ընտանիքների բնակարանային պայմանների բարելավման ուղղությամբ պետության ստանձնած պարտավորությունների 2020 թվականին կատարմամբ և ավարտմամբ: </w:t>
      </w:r>
    </w:p>
    <w:p w14:paraId="5E5AF8E9" w14:textId="77777777" w:rsidR="009D2825" w:rsidRPr="009A7904" w:rsidRDefault="009D2825" w:rsidP="009A7904">
      <w:pPr>
        <w:spacing w:after="0" w:line="276" w:lineRule="auto"/>
        <w:rPr>
          <w:rFonts w:cs="Sylfaen"/>
          <w:bCs/>
          <w:lang w:val="fr-FR"/>
        </w:rPr>
      </w:pPr>
      <w:r w:rsidRPr="009A7904">
        <w:rPr>
          <w:rFonts w:cs="Sylfaen"/>
          <w:bCs/>
          <w:lang w:val="fr-FR"/>
        </w:rPr>
        <w:t>Միաժամանակ շարունակվում է աղետի գոտու բնակավայրերում ոչ անվտանգ բնակության պայմաններում բնակվող ընտանիքներին անվտանգ, պատշաճ, սանիտարահիգիենիկ պահանջներին բավարարող բնակարաններով ապահովում: Մասնավորապես՝ ծրագրի իրականացումը հնարավորություն կտա լուծել ոչ միայն նշված խնդիրը, այլ ազատել և բարեկարգել այդ բնակավայրերի տարածքները՝ անհրաժեշտ նախադրյալներ ստեղծելով դրանց հետագա քաղաքաշինական փաստաթղթերին համապատասխան կառուցապատման համար, ինչը կնպաստի այդ տարածքների ըստ նպատակային նշանակության օգտագործմանը:</w:t>
      </w:r>
    </w:p>
    <w:p w14:paraId="630BE82C" w14:textId="77777777" w:rsidR="009D2825" w:rsidRPr="009A7904" w:rsidRDefault="009D2825" w:rsidP="009A7904">
      <w:pPr>
        <w:widowControl w:val="0"/>
        <w:spacing w:after="0" w:line="276" w:lineRule="auto"/>
        <w:ind w:firstLine="360"/>
        <w:contextualSpacing/>
        <w:rPr>
          <w:rFonts w:cs="Sylfaen"/>
          <w:bCs/>
          <w:lang w:val="fr-FR"/>
        </w:rPr>
      </w:pPr>
      <w:r w:rsidRPr="009A7904">
        <w:rPr>
          <w:rFonts w:cs="Sylfaen"/>
          <w:b/>
          <w:bCs/>
          <w:lang w:val="fr-FR"/>
        </w:rPr>
        <w:t>15. Համաշխարհային բանկի աջակցությամբ իրականացվող Սոցիալական պաշտպանության վարչարարության երկրորդ վարկային ծրագրի</w:t>
      </w:r>
      <w:r w:rsidRPr="009A7904">
        <w:rPr>
          <w:rFonts w:cs="Sylfaen"/>
          <w:bCs/>
          <w:lang w:val="fr-FR"/>
        </w:rPr>
        <w:t xml:space="preserve"> նպատակն է մատուցվող սոցիալական պաշտպանության ծառայությունների բարելավում՝ ինչպես նաև ծառայություններ մատուցող գերատեսչություններում վերլուծական՝ մոնիթորինգի և գնահատման </w:t>
      </w:r>
      <w:r w:rsidRPr="009A7904">
        <w:rPr>
          <w:rFonts w:cs="Sylfaen"/>
          <w:bCs/>
          <w:lang w:val="fr-FR"/>
        </w:rPr>
        <w:lastRenderedPageBreak/>
        <w:t xml:space="preserve">գործառույթների </w:t>
      </w:r>
      <w:proofErr w:type="gramStart"/>
      <w:r w:rsidRPr="009A7904">
        <w:rPr>
          <w:rFonts w:cs="Sylfaen"/>
          <w:bCs/>
          <w:lang w:val="fr-FR"/>
        </w:rPr>
        <w:t>ուժեղացումը:</w:t>
      </w:r>
      <w:proofErr w:type="gramEnd"/>
    </w:p>
    <w:p w14:paraId="5AD6BE8B" w14:textId="7920DF66" w:rsidR="009D2825" w:rsidRPr="009A7904" w:rsidRDefault="009D2825" w:rsidP="009A7904">
      <w:pPr>
        <w:spacing w:after="0" w:line="276" w:lineRule="auto"/>
        <w:rPr>
          <w:rFonts w:cs="Sylfaen"/>
          <w:bCs/>
          <w:lang w:val="fr-FR"/>
        </w:rPr>
      </w:pPr>
      <w:r w:rsidRPr="009A7904">
        <w:rPr>
          <w:rFonts w:cs="Sylfaen"/>
          <w:bCs/>
          <w:lang w:val="fr-FR"/>
        </w:rPr>
        <w:t>Ծրագրի գծով միջնաժամկետ ժամանակահատվածում նախատեսվում է հատկացնել համապատասխանաբար 2,053.4 մլն դրամ, 410.7 մլն դրամ և 273.8 մլն դրամ կամ 2020 թվականի համեմատ 2021 թվականին 57.9 տոկոսով, 2021 թվականի համեմատ 2022 թվականին 80 տոկոսով և 2022 թվականի համեմատ 2023 թվականին 33.3 տոկոսով պակաս, որը պայմանավորված է վարկային ծրագրի ավա</w:t>
      </w:r>
      <w:r w:rsidR="007724F4">
        <w:rPr>
          <w:rFonts w:cs="Sylfaen"/>
          <w:bCs/>
          <w:lang w:val="hy-AM"/>
        </w:rPr>
        <w:t>ր</w:t>
      </w:r>
      <w:r w:rsidRPr="009A7904">
        <w:rPr>
          <w:rFonts w:cs="Sylfaen"/>
          <w:bCs/>
          <w:lang w:val="fr-FR"/>
        </w:rPr>
        <w:t>տման ժամկետով /28.02.2023</w:t>
      </w:r>
      <w:proofErr w:type="gramStart"/>
      <w:r w:rsidRPr="009A7904">
        <w:rPr>
          <w:rFonts w:cs="Sylfaen"/>
          <w:bCs/>
          <w:lang w:val="fr-FR"/>
        </w:rPr>
        <w:t>թ./</w:t>
      </w:r>
      <w:proofErr w:type="gramEnd"/>
      <w:r w:rsidRPr="009A7904">
        <w:rPr>
          <w:rFonts w:cs="Sylfaen"/>
          <w:bCs/>
          <w:lang w:val="fr-FR"/>
        </w:rPr>
        <w:t>:</w:t>
      </w:r>
    </w:p>
    <w:p w14:paraId="7B58BD2C" w14:textId="77777777" w:rsidR="009D2825" w:rsidRPr="009A7904" w:rsidRDefault="009D2825" w:rsidP="009A7904">
      <w:pPr>
        <w:widowControl w:val="0"/>
        <w:spacing w:after="0" w:line="276" w:lineRule="auto"/>
        <w:ind w:firstLine="360"/>
        <w:contextualSpacing/>
        <w:rPr>
          <w:rFonts w:cs="Sylfaen"/>
          <w:bCs/>
          <w:lang w:val="fr-FR"/>
        </w:rPr>
      </w:pPr>
      <w:r w:rsidRPr="009A7904">
        <w:rPr>
          <w:rFonts w:cs="Sylfaen"/>
          <w:b/>
          <w:bCs/>
          <w:lang w:val="fr-FR"/>
        </w:rPr>
        <w:t>16. Սոցիալական պաշտպանության բնագավառում պետական քաղաքականության մշակման, ծրագրերի համակարգման և մոնիթորինգի ծրագրի</w:t>
      </w:r>
      <w:r w:rsidRPr="009A7904">
        <w:rPr>
          <w:rFonts w:ascii="Arial" w:hAnsi="Arial" w:cs="Arial"/>
          <w:bCs/>
          <w:lang w:val="fr-FR"/>
        </w:rPr>
        <w:t xml:space="preserve"> </w:t>
      </w:r>
      <w:r w:rsidRPr="009A7904">
        <w:rPr>
          <w:rFonts w:cs="Sylfaen"/>
          <w:bCs/>
          <w:lang w:val="fr-FR"/>
        </w:rPr>
        <w:t xml:space="preserve">գծով միջնաժամկետ ժամանակահատվածում նախատեսվում է հատկացնել </w:t>
      </w:r>
      <w:proofErr w:type="gramStart"/>
      <w:r w:rsidRPr="009A7904">
        <w:rPr>
          <w:rFonts w:cs="Sylfaen"/>
          <w:bCs/>
          <w:lang w:val="fr-FR"/>
        </w:rPr>
        <w:t>համապատասխանաբար  5,736.4</w:t>
      </w:r>
      <w:proofErr w:type="gramEnd"/>
      <w:r w:rsidRPr="009A7904">
        <w:rPr>
          <w:rFonts w:cs="Sylfaen"/>
          <w:bCs/>
          <w:lang w:val="fr-FR"/>
        </w:rPr>
        <w:t xml:space="preserve"> մլն դրամ,  5,808.6 մլն դրամ և 5,882.1 մլն դրամ 2020 թվականի 5,546.1 մլն դրամի դիմաց: Ծախսային փոփոխությունները պայմանավորված են իրավական կարգավորումներով:</w:t>
      </w:r>
    </w:p>
    <w:bookmarkEnd w:id="321"/>
    <w:p w14:paraId="165E49A8" w14:textId="77777777" w:rsidR="009D2825" w:rsidRPr="009A7904" w:rsidRDefault="009D2825" w:rsidP="009A7904">
      <w:pPr>
        <w:pStyle w:val="ListParagraph"/>
        <w:spacing w:after="0" w:line="276" w:lineRule="auto"/>
        <w:contextualSpacing w:val="0"/>
        <w:rPr>
          <w:bCs/>
          <w:lang w:val="hy-AM"/>
        </w:rPr>
      </w:pPr>
    </w:p>
    <w:p w14:paraId="3A3C717F" w14:textId="77777777" w:rsidR="009D2825" w:rsidRPr="009A7904" w:rsidRDefault="00A27550" w:rsidP="009A7904">
      <w:pPr>
        <w:spacing w:after="0" w:line="276" w:lineRule="auto"/>
        <w:rPr>
          <w:rFonts w:cs="Sylfaen"/>
          <w:bCs/>
          <w:lang w:val="fr-FR"/>
        </w:rPr>
      </w:pPr>
      <w:r>
        <w:rPr>
          <w:rFonts w:cs="Sylfaen"/>
          <w:bCs/>
          <w:lang w:val="hy-AM"/>
        </w:rPr>
        <w:t>Աշխատանքի և ս</w:t>
      </w:r>
      <w:r w:rsidR="009D2825" w:rsidRPr="009A7904">
        <w:rPr>
          <w:rFonts w:cs="Sylfaen"/>
          <w:bCs/>
          <w:lang w:val="fr-FR"/>
        </w:rPr>
        <w:t xml:space="preserve">ոցիալական </w:t>
      </w:r>
      <w:r>
        <w:rPr>
          <w:rFonts w:cs="Sylfaen"/>
          <w:bCs/>
          <w:lang w:val="hy-AM"/>
        </w:rPr>
        <w:t>հարցերի նախարարության</w:t>
      </w:r>
      <w:r w:rsidR="009D2825" w:rsidRPr="009A7904">
        <w:rPr>
          <w:rFonts w:cs="Sylfaen"/>
          <w:bCs/>
          <w:lang w:val="fr-FR"/>
        </w:rPr>
        <w:t xml:space="preserve"> գծով 2021-2023 թվականների ՄԺԾԾ-ում ընդգրկված ծախսային ծրագրերի գումարները կազմում են.     </w:t>
      </w:r>
    </w:p>
    <w:p w14:paraId="3BDAE935" w14:textId="77777777" w:rsidR="009D2825" w:rsidRPr="009A7904" w:rsidRDefault="009D2825" w:rsidP="009A7904">
      <w:pPr>
        <w:spacing w:after="0" w:line="276" w:lineRule="auto"/>
        <w:rPr>
          <w:rFonts w:cs="Sylfaen"/>
          <w:bCs/>
          <w:lang w:val="fr-FR"/>
        </w:rPr>
      </w:pPr>
      <w:r w:rsidRPr="009A7904">
        <w:rPr>
          <w:rFonts w:cs="Sylfaen"/>
          <w:bCs/>
          <w:lang w:val="fr-FR"/>
        </w:rPr>
        <w:t>2021 թվականի համար՝                   503,611</w:t>
      </w:r>
      <w:r w:rsidRPr="009A7904">
        <w:rPr>
          <w:rFonts w:ascii="Cambria Math" w:hAnsi="Cambria Math" w:cs="Cambria Math"/>
          <w:bCs/>
          <w:lang w:val="hy-AM"/>
        </w:rPr>
        <w:t>․</w:t>
      </w:r>
      <w:r w:rsidRPr="009A7904">
        <w:rPr>
          <w:rFonts w:cs="Sylfaen"/>
          <w:bCs/>
          <w:lang w:val="fr-FR"/>
        </w:rPr>
        <w:t xml:space="preserve">7 </w:t>
      </w:r>
      <w:r w:rsidRPr="009A7904">
        <w:rPr>
          <w:rFonts w:cs="Sylfaen"/>
          <w:bCs/>
          <w:lang w:val="hy-AM"/>
        </w:rPr>
        <w:t>մլն</w:t>
      </w:r>
      <w:r w:rsidRPr="009A7904">
        <w:rPr>
          <w:rFonts w:cs="Sylfaen"/>
          <w:bCs/>
          <w:lang w:val="fr-FR"/>
        </w:rPr>
        <w:t xml:space="preserve">. </w:t>
      </w:r>
      <w:proofErr w:type="gramStart"/>
      <w:r w:rsidRPr="009A7904">
        <w:rPr>
          <w:rFonts w:cs="Sylfaen"/>
          <w:bCs/>
          <w:lang w:val="fr-FR"/>
        </w:rPr>
        <w:t>դրամ</w:t>
      </w:r>
      <w:proofErr w:type="gramEnd"/>
      <w:r w:rsidRPr="009A7904">
        <w:rPr>
          <w:rFonts w:cs="Sylfaen"/>
          <w:bCs/>
          <w:lang w:val="fr-FR"/>
        </w:rPr>
        <w:t>,</w:t>
      </w:r>
    </w:p>
    <w:p w14:paraId="58316873" w14:textId="77777777" w:rsidR="009D2825" w:rsidRPr="009A7904" w:rsidRDefault="009D2825" w:rsidP="009A7904">
      <w:pPr>
        <w:spacing w:after="0" w:line="276" w:lineRule="auto"/>
        <w:rPr>
          <w:rFonts w:cs="Sylfaen"/>
          <w:bCs/>
          <w:lang w:val="fr-FR"/>
        </w:rPr>
      </w:pPr>
      <w:r w:rsidRPr="009A7904">
        <w:rPr>
          <w:rFonts w:cs="Sylfaen"/>
          <w:bCs/>
          <w:lang w:val="fr-FR"/>
        </w:rPr>
        <w:t>2022 թվականի համար՝                   508,174</w:t>
      </w:r>
      <w:r w:rsidRPr="009A7904">
        <w:rPr>
          <w:rFonts w:ascii="Cambria Math" w:hAnsi="Cambria Math" w:cs="Cambria Math"/>
          <w:bCs/>
          <w:lang w:val="hy-AM"/>
        </w:rPr>
        <w:t>․</w:t>
      </w:r>
      <w:r w:rsidRPr="009A7904">
        <w:rPr>
          <w:rFonts w:cs="Sylfaen"/>
          <w:bCs/>
          <w:lang w:val="fr-FR"/>
        </w:rPr>
        <w:t xml:space="preserve">2 </w:t>
      </w:r>
      <w:r w:rsidRPr="009A7904">
        <w:rPr>
          <w:rFonts w:cs="Sylfaen"/>
          <w:bCs/>
          <w:lang w:val="hy-AM"/>
        </w:rPr>
        <w:t>մլն</w:t>
      </w:r>
      <w:r w:rsidRPr="009A7904">
        <w:rPr>
          <w:rFonts w:cs="Sylfaen"/>
          <w:bCs/>
          <w:lang w:val="fr-FR"/>
        </w:rPr>
        <w:t xml:space="preserve">. </w:t>
      </w:r>
      <w:proofErr w:type="gramStart"/>
      <w:r w:rsidRPr="009A7904">
        <w:rPr>
          <w:rFonts w:cs="Sylfaen"/>
          <w:bCs/>
          <w:lang w:val="fr-FR"/>
        </w:rPr>
        <w:t>դրամ</w:t>
      </w:r>
      <w:proofErr w:type="gramEnd"/>
      <w:r w:rsidRPr="009A7904">
        <w:rPr>
          <w:rFonts w:cs="Sylfaen"/>
          <w:bCs/>
          <w:lang w:val="fr-FR"/>
        </w:rPr>
        <w:t>,</w:t>
      </w:r>
    </w:p>
    <w:p w14:paraId="7A80E794" w14:textId="77777777" w:rsidR="009D2825" w:rsidRPr="009A7904" w:rsidRDefault="009D2825" w:rsidP="009A7904">
      <w:pPr>
        <w:spacing w:after="0" w:line="276" w:lineRule="auto"/>
        <w:rPr>
          <w:rFonts w:cs="Sylfaen"/>
          <w:bCs/>
          <w:lang w:val="fr-FR"/>
        </w:rPr>
      </w:pPr>
      <w:r w:rsidRPr="009A7904">
        <w:rPr>
          <w:rFonts w:cs="Sylfaen"/>
          <w:bCs/>
          <w:lang w:val="fr-FR"/>
        </w:rPr>
        <w:t>2023 թվականի համար՝</w:t>
      </w:r>
      <w:r w:rsidRPr="009A7904">
        <w:rPr>
          <w:rFonts w:cs="Arial"/>
          <w:bCs/>
          <w:lang w:val="fr-FR"/>
        </w:rPr>
        <w:t xml:space="preserve">                   </w:t>
      </w:r>
      <w:r w:rsidRPr="009A7904">
        <w:rPr>
          <w:rFonts w:cs="Sylfaen"/>
          <w:bCs/>
          <w:lang w:val="fr-FR"/>
        </w:rPr>
        <w:t>514,511</w:t>
      </w:r>
      <w:r w:rsidRPr="009A7904">
        <w:rPr>
          <w:rFonts w:ascii="Cambria Math" w:hAnsi="Cambria Math" w:cs="Cambria Math"/>
          <w:bCs/>
          <w:lang w:val="fr-FR"/>
        </w:rPr>
        <w:t>․</w:t>
      </w:r>
      <w:r w:rsidRPr="009A7904">
        <w:rPr>
          <w:rFonts w:cs="Sylfaen"/>
          <w:bCs/>
          <w:lang w:val="fr-FR"/>
        </w:rPr>
        <w:t xml:space="preserve">2 </w:t>
      </w:r>
      <w:r w:rsidRPr="009A7904">
        <w:rPr>
          <w:rFonts w:cs="Sylfaen"/>
          <w:bCs/>
          <w:lang w:val="hy-AM"/>
        </w:rPr>
        <w:t>մլն</w:t>
      </w:r>
      <w:r w:rsidRPr="009A7904">
        <w:rPr>
          <w:rFonts w:cs="Sylfaen"/>
          <w:bCs/>
          <w:lang w:val="fr-FR"/>
        </w:rPr>
        <w:t xml:space="preserve">. </w:t>
      </w:r>
      <w:proofErr w:type="gramStart"/>
      <w:r w:rsidRPr="009A7904">
        <w:rPr>
          <w:rFonts w:cs="Sylfaen"/>
          <w:bCs/>
          <w:lang w:val="fr-FR"/>
        </w:rPr>
        <w:t>դրամ:</w:t>
      </w:r>
      <w:proofErr w:type="gramEnd"/>
    </w:p>
    <w:p w14:paraId="3E4116DF" w14:textId="77777777" w:rsidR="009D2825" w:rsidRPr="009A7904" w:rsidRDefault="009D2825" w:rsidP="009A7904">
      <w:pPr>
        <w:spacing w:line="276" w:lineRule="auto"/>
        <w:ind w:left="3600" w:firstLine="720"/>
        <w:jc w:val="center"/>
        <w:rPr>
          <w:lang w:val="hy-AM"/>
        </w:rPr>
        <w:sectPr w:rsidR="009D2825" w:rsidRPr="009A7904" w:rsidSect="00657A02">
          <w:footerReference w:type="even" r:id="rId75"/>
          <w:pgSz w:w="11907" w:h="16840" w:code="9"/>
          <w:pgMar w:top="1138" w:right="1138" w:bottom="1138" w:left="1080" w:header="562" w:footer="130" w:gutter="0"/>
          <w:cols w:space="720"/>
          <w:docGrid w:linePitch="360"/>
        </w:sectPr>
      </w:pPr>
    </w:p>
    <w:p w14:paraId="62173776" w14:textId="77777777" w:rsidR="009D2825" w:rsidRPr="009A7904" w:rsidRDefault="009D2825"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322" w:name="_Toc13837348"/>
      <w:bookmarkStart w:id="323" w:name="_Toc45637520"/>
      <w:bookmarkStart w:id="324" w:name="_Toc45838544"/>
      <w:bookmarkStart w:id="325" w:name="_Toc46154372"/>
      <w:bookmarkEnd w:id="310"/>
      <w:r w:rsidRPr="009A7904">
        <w:rPr>
          <w:rFonts w:eastAsia="Times New Roman" w:cs="Times New Roman"/>
          <w:caps w:val="0"/>
          <w:color w:val="1F497D" w:themeColor="text2"/>
          <w:sz w:val="28"/>
          <w:szCs w:val="28"/>
        </w:rPr>
        <w:lastRenderedPageBreak/>
        <w:t>5. ՇՐՋԱԿԱ ՄԻՋԱՎԱՅՐ</w:t>
      </w:r>
      <w:bookmarkEnd w:id="322"/>
      <w:bookmarkEnd w:id="323"/>
      <w:bookmarkEnd w:id="324"/>
      <w:bookmarkEnd w:id="325"/>
    </w:p>
    <w:p w14:paraId="2FB78A87" w14:textId="77777777" w:rsidR="009D2825" w:rsidRPr="009A7904" w:rsidRDefault="009D2825" w:rsidP="009A7904">
      <w:pPr>
        <w:spacing w:after="0" w:line="276" w:lineRule="auto"/>
        <w:rPr>
          <w:bCs/>
          <w:lang w:val="pt-BR"/>
        </w:rPr>
      </w:pPr>
      <w:r w:rsidRPr="009A7904">
        <w:rPr>
          <w:rFonts w:cs="Sylfaen"/>
          <w:bCs/>
          <w:lang w:val="pt-BR"/>
        </w:rPr>
        <w:t>Շրջակա</w:t>
      </w:r>
      <w:r w:rsidRPr="009A7904">
        <w:rPr>
          <w:bCs/>
          <w:lang w:val="pt-BR"/>
        </w:rPr>
        <w:t xml:space="preserve"> </w:t>
      </w:r>
      <w:r w:rsidRPr="009A7904">
        <w:rPr>
          <w:rFonts w:cs="Sylfaen"/>
          <w:bCs/>
          <w:lang w:val="pt-BR"/>
        </w:rPr>
        <w:t>միջավայրի</w:t>
      </w:r>
      <w:r w:rsidRPr="009A7904">
        <w:rPr>
          <w:bCs/>
          <w:lang w:val="pt-BR"/>
        </w:rPr>
        <w:t xml:space="preserve"> </w:t>
      </w:r>
      <w:r w:rsidRPr="009A7904">
        <w:rPr>
          <w:rFonts w:cs="Sylfaen"/>
          <w:bCs/>
          <w:lang w:val="pt-BR"/>
        </w:rPr>
        <w:t>կառավարման</w:t>
      </w:r>
      <w:r w:rsidRPr="009A7904">
        <w:rPr>
          <w:bCs/>
          <w:lang w:val="pt-BR"/>
        </w:rPr>
        <w:t xml:space="preserve"> </w:t>
      </w:r>
      <w:r w:rsidRPr="009A7904">
        <w:rPr>
          <w:rFonts w:cs="Sylfaen"/>
          <w:bCs/>
          <w:lang w:val="pt-BR"/>
        </w:rPr>
        <w:t>քաղաքականությունն</w:t>
      </w:r>
      <w:r w:rsidRPr="009A7904">
        <w:rPr>
          <w:bCs/>
          <w:lang w:val="pt-BR"/>
        </w:rPr>
        <w:t xml:space="preserve"> </w:t>
      </w:r>
      <w:r w:rsidRPr="009A7904">
        <w:rPr>
          <w:rFonts w:cs="Sylfaen"/>
          <w:bCs/>
          <w:lang w:val="pt-BR"/>
        </w:rPr>
        <w:t>ուղղված</w:t>
      </w:r>
      <w:r w:rsidRPr="009A7904">
        <w:rPr>
          <w:bCs/>
          <w:lang w:val="pt-BR"/>
        </w:rPr>
        <w:t xml:space="preserve"> </w:t>
      </w:r>
      <w:r w:rsidRPr="009A7904">
        <w:rPr>
          <w:rFonts w:cs="Sylfaen"/>
          <w:bCs/>
          <w:lang w:val="pt-BR"/>
        </w:rPr>
        <w:t>է</w:t>
      </w:r>
      <w:r w:rsidRPr="009A7904">
        <w:rPr>
          <w:bCs/>
          <w:lang w:val="pt-BR"/>
        </w:rPr>
        <w:t xml:space="preserve"> </w:t>
      </w:r>
      <w:r w:rsidRPr="009A7904">
        <w:rPr>
          <w:rFonts w:cs="Sylfaen"/>
          <w:bCs/>
          <w:lang w:val="pt-BR"/>
        </w:rPr>
        <w:t>շրջակա</w:t>
      </w:r>
      <w:r w:rsidRPr="009A7904">
        <w:rPr>
          <w:bCs/>
          <w:lang w:val="pt-BR"/>
        </w:rPr>
        <w:t xml:space="preserve"> </w:t>
      </w:r>
      <w:r w:rsidRPr="009A7904">
        <w:rPr>
          <w:rFonts w:cs="Sylfaen"/>
          <w:bCs/>
          <w:lang w:val="pt-BR"/>
        </w:rPr>
        <w:t>միջավայրի</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բնական</w:t>
      </w:r>
      <w:r w:rsidRPr="009A7904">
        <w:rPr>
          <w:bCs/>
          <w:lang w:val="pt-BR"/>
        </w:rPr>
        <w:t xml:space="preserve"> </w:t>
      </w:r>
      <w:r w:rsidRPr="009A7904">
        <w:rPr>
          <w:rFonts w:cs="Sylfaen"/>
          <w:bCs/>
          <w:lang w:val="pt-BR"/>
        </w:rPr>
        <w:t>ռեսուրսների</w:t>
      </w:r>
      <w:r w:rsidRPr="009A7904">
        <w:rPr>
          <w:bCs/>
          <w:lang w:val="pt-BR"/>
        </w:rPr>
        <w:t xml:space="preserve"> </w:t>
      </w:r>
      <w:r w:rsidRPr="009A7904">
        <w:rPr>
          <w:rFonts w:cs="Sylfaen"/>
          <w:bCs/>
          <w:lang w:val="pt-BR"/>
        </w:rPr>
        <w:t>համալիր</w:t>
      </w:r>
      <w:r w:rsidRPr="009A7904">
        <w:rPr>
          <w:bCs/>
          <w:lang w:val="pt-BR"/>
        </w:rPr>
        <w:t xml:space="preserve"> </w:t>
      </w:r>
      <w:r w:rsidRPr="009A7904">
        <w:rPr>
          <w:rFonts w:cs="Sylfaen"/>
          <w:bCs/>
          <w:lang w:val="pt-BR"/>
        </w:rPr>
        <w:t>պահպանությանը</w:t>
      </w:r>
      <w:r w:rsidRPr="009A7904">
        <w:rPr>
          <w:bCs/>
          <w:lang w:val="pt-BR"/>
        </w:rPr>
        <w:t xml:space="preserve">, </w:t>
      </w:r>
      <w:r w:rsidRPr="009A7904">
        <w:rPr>
          <w:rFonts w:cs="Sylfaen"/>
          <w:bCs/>
          <w:lang w:val="pt-BR"/>
        </w:rPr>
        <w:t>բարելավմանը</w:t>
      </w:r>
      <w:r w:rsidRPr="009A7904">
        <w:rPr>
          <w:bCs/>
          <w:lang w:val="pt-BR"/>
        </w:rPr>
        <w:t xml:space="preserve">, </w:t>
      </w:r>
      <w:r w:rsidRPr="009A7904">
        <w:rPr>
          <w:rFonts w:cs="Sylfaen"/>
          <w:bCs/>
          <w:lang w:val="pt-BR"/>
        </w:rPr>
        <w:t>վերականգնմանը</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ողջամիտ</w:t>
      </w:r>
      <w:r w:rsidRPr="009A7904">
        <w:rPr>
          <w:bCs/>
          <w:lang w:val="pt-BR"/>
        </w:rPr>
        <w:t xml:space="preserve"> </w:t>
      </w:r>
      <w:r w:rsidRPr="009A7904">
        <w:rPr>
          <w:rFonts w:cs="Sylfaen"/>
          <w:bCs/>
          <w:lang w:val="pt-BR"/>
        </w:rPr>
        <w:t>օգտագործմանը՝</w:t>
      </w:r>
      <w:r w:rsidRPr="009A7904">
        <w:rPr>
          <w:bCs/>
          <w:lang w:val="pt-BR"/>
        </w:rPr>
        <w:t xml:space="preserve"> </w:t>
      </w:r>
      <w:r w:rsidRPr="009A7904">
        <w:rPr>
          <w:rFonts w:cs="Sylfaen"/>
          <w:bCs/>
          <w:lang w:val="pt-BR"/>
        </w:rPr>
        <w:t>հավասարակշռելով</w:t>
      </w:r>
      <w:r w:rsidRPr="009A7904">
        <w:rPr>
          <w:bCs/>
          <w:lang w:val="pt-BR"/>
        </w:rPr>
        <w:t xml:space="preserve"> </w:t>
      </w:r>
      <w:r w:rsidRPr="009A7904">
        <w:rPr>
          <w:rFonts w:cs="Sylfaen"/>
          <w:bCs/>
          <w:lang w:val="pt-BR"/>
        </w:rPr>
        <w:t>այն</w:t>
      </w:r>
      <w:r w:rsidRPr="009A7904">
        <w:rPr>
          <w:bCs/>
          <w:lang w:val="pt-BR"/>
        </w:rPr>
        <w:t xml:space="preserve"> </w:t>
      </w:r>
      <w:r w:rsidRPr="009A7904">
        <w:rPr>
          <w:rFonts w:cs="Sylfaen"/>
          <w:bCs/>
          <w:lang w:val="pt-BR"/>
        </w:rPr>
        <w:t>սոցիալական</w:t>
      </w:r>
      <w:r w:rsidRPr="009A7904">
        <w:rPr>
          <w:bCs/>
          <w:lang w:val="pt-BR"/>
        </w:rPr>
        <w:t xml:space="preserve"> </w:t>
      </w:r>
      <w:r w:rsidRPr="009A7904">
        <w:rPr>
          <w:rFonts w:cs="Sylfaen"/>
          <w:bCs/>
          <w:lang w:val="pt-BR"/>
        </w:rPr>
        <w:t>արդարության</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տնտեսական</w:t>
      </w:r>
      <w:r w:rsidRPr="009A7904">
        <w:rPr>
          <w:bCs/>
          <w:lang w:val="pt-BR"/>
        </w:rPr>
        <w:t xml:space="preserve"> </w:t>
      </w:r>
      <w:r w:rsidRPr="009A7904">
        <w:rPr>
          <w:rFonts w:cs="Sylfaen"/>
          <w:bCs/>
          <w:lang w:val="pt-BR"/>
        </w:rPr>
        <w:t>արդյունավետության</w:t>
      </w:r>
      <w:r w:rsidRPr="009A7904">
        <w:rPr>
          <w:bCs/>
          <w:lang w:val="pt-BR"/>
        </w:rPr>
        <w:t xml:space="preserve"> </w:t>
      </w:r>
      <w:r w:rsidRPr="009A7904">
        <w:rPr>
          <w:rFonts w:cs="Sylfaen"/>
          <w:bCs/>
          <w:lang w:val="pt-BR"/>
        </w:rPr>
        <w:t>հետ</w:t>
      </w:r>
      <w:r w:rsidRPr="009A7904">
        <w:rPr>
          <w:bCs/>
          <w:lang w:val="pt-BR"/>
        </w:rPr>
        <w:t xml:space="preserve">: </w:t>
      </w:r>
    </w:p>
    <w:p w14:paraId="2F4A1CA9" w14:textId="77777777" w:rsidR="009D2825" w:rsidRPr="009A7904" w:rsidRDefault="009D2825" w:rsidP="009A7904">
      <w:pPr>
        <w:spacing w:after="0" w:line="276" w:lineRule="auto"/>
        <w:rPr>
          <w:bCs/>
          <w:lang w:val="pt-BR"/>
        </w:rPr>
      </w:pPr>
      <w:r w:rsidRPr="009A7904">
        <w:rPr>
          <w:rFonts w:cs="Sylfaen"/>
          <w:bCs/>
          <w:lang w:val="pt-BR"/>
        </w:rPr>
        <w:t>Շրջակա</w:t>
      </w:r>
      <w:r w:rsidRPr="009A7904">
        <w:rPr>
          <w:bCs/>
          <w:lang w:val="pt-BR"/>
        </w:rPr>
        <w:t xml:space="preserve"> </w:t>
      </w:r>
      <w:r w:rsidRPr="009A7904">
        <w:rPr>
          <w:rFonts w:cs="Sylfaen"/>
          <w:bCs/>
          <w:lang w:val="pt-BR"/>
        </w:rPr>
        <w:t>միջավայրի</w:t>
      </w:r>
      <w:r w:rsidRPr="009A7904">
        <w:rPr>
          <w:bCs/>
          <w:lang w:val="pt-BR"/>
        </w:rPr>
        <w:t xml:space="preserve"> </w:t>
      </w:r>
      <w:r w:rsidRPr="009A7904">
        <w:rPr>
          <w:rFonts w:cs="Sylfaen"/>
          <w:bCs/>
          <w:lang w:val="pt-BR"/>
        </w:rPr>
        <w:t>կառավարման</w:t>
      </w:r>
      <w:r w:rsidRPr="009A7904">
        <w:rPr>
          <w:bCs/>
          <w:lang w:val="pt-BR"/>
        </w:rPr>
        <w:t xml:space="preserve"> </w:t>
      </w:r>
      <w:r w:rsidRPr="009A7904">
        <w:rPr>
          <w:rFonts w:cs="Sylfaen"/>
          <w:bCs/>
          <w:lang w:val="pt-BR"/>
        </w:rPr>
        <w:t>հիմնական</w:t>
      </w:r>
      <w:r w:rsidRPr="009A7904">
        <w:rPr>
          <w:bCs/>
          <w:lang w:val="pt-BR"/>
        </w:rPr>
        <w:t xml:space="preserve"> </w:t>
      </w:r>
      <w:r w:rsidRPr="009A7904">
        <w:rPr>
          <w:rFonts w:cs="Sylfaen"/>
          <w:bCs/>
          <w:lang w:val="pt-BR"/>
        </w:rPr>
        <w:t>խնդիրն</w:t>
      </w:r>
      <w:r w:rsidRPr="009A7904">
        <w:rPr>
          <w:bCs/>
          <w:lang w:val="pt-BR"/>
        </w:rPr>
        <w:t xml:space="preserve"> </w:t>
      </w:r>
      <w:r w:rsidRPr="009A7904">
        <w:rPr>
          <w:rFonts w:cs="Sylfaen"/>
          <w:bCs/>
          <w:lang w:val="pt-BR"/>
        </w:rPr>
        <w:t>է</w:t>
      </w:r>
      <w:r w:rsidRPr="009A7904">
        <w:rPr>
          <w:bCs/>
          <w:lang w:val="pt-BR"/>
        </w:rPr>
        <w:t xml:space="preserve"> </w:t>
      </w:r>
      <w:r w:rsidRPr="009A7904">
        <w:rPr>
          <w:rFonts w:cs="Sylfaen"/>
          <w:bCs/>
          <w:lang w:val="pt-BR"/>
        </w:rPr>
        <w:t>նվազագույնի</w:t>
      </w:r>
      <w:r w:rsidRPr="009A7904">
        <w:rPr>
          <w:bCs/>
          <w:lang w:val="pt-BR"/>
        </w:rPr>
        <w:t xml:space="preserve"> </w:t>
      </w:r>
      <w:r w:rsidRPr="009A7904">
        <w:rPr>
          <w:rFonts w:cs="Sylfaen"/>
          <w:bCs/>
          <w:lang w:val="pt-BR"/>
        </w:rPr>
        <w:t>հասցնել</w:t>
      </w:r>
      <w:r w:rsidRPr="009A7904">
        <w:rPr>
          <w:bCs/>
          <w:lang w:val="pt-BR"/>
        </w:rPr>
        <w:t xml:space="preserve"> </w:t>
      </w:r>
      <w:r w:rsidRPr="009A7904">
        <w:rPr>
          <w:rFonts w:cs="Sylfaen"/>
          <w:bCs/>
          <w:lang w:val="pt-BR"/>
        </w:rPr>
        <w:t>շրջակա</w:t>
      </w:r>
      <w:r w:rsidRPr="009A7904">
        <w:rPr>
          <w:bCs/>
          <w:lang w:val="pt-BR"/>
        </w:rPr>
        <w:t xml:space="preserve"> </w:t>
      </w:r>
      <w:r w:rsidRPr="009A7904">
        <w:rPr>
          <w:rFonts w:cs="Sylfaen"/>
          <w:bCs/>
          <w:lang w:val="pt-BR"/>
        </w:rPr>
        <w:t>միջավայրի՝</w:t>
      </w:r>
      <w:r w:rsidRPr="009A7904">
        <w:rPr>
          <w:bCs/>
          <w:lang w:val="pt-BR"/>
        </w:rPr>
        <w:t xml:space="preserve"> </w:t>
      </w:r>
      <w:r w:rsidRPr="009A7904">
        <w:rPr>
          <w:rFonts w:cs="Sylfaen"/>
          <w:bCs/>
          <w:lang w:val="pt-BR"/>
        </w:rPr>
        <w:t>օդի</w:t>
      </w:r>
      <w:r w:rsidRPr="009A7904">
        <w:rPr>
          <w:bCs/>
          <w:lang w:val="pt-BR"/>
        </w:rPr>
        <w:t xml:space="preserve">, </w:t>
      </w:r>
      <w:r w:rsidRPr="009A7904">
        <w:rPr>
          <w:rFonts w:cs="Sylfaen"/>
          <w:bCs/>
          <w:lang w:val="pt-BR"/>
        </w:rPr>
        <w:t>կլիմայի</w:t>
      </w:r>
      <w:r w:rsidRPr="009A7904">
        <w:rPr>
          <w:bCs/>
          <w:lang w:val="pt-BR"/>
        </w:rPr>
        <w:t xml:space="preserve">, </w:t>
      </w:r>
      <w:r w:rsidRPr="009A7904">
        <w:rPr>
          <w:rFonts w:cs="Sylfaen"/>
          <w:bCs/>
          <w:lang w:val="pt-BR"/>
        </w:rPr>
        <w:t>ջրի</w:t>
      </w:r>
      <w:r w:rsidRPr="009A7904">
        <w:rPr>
          <w:bCs/>
          <w:lang w:val="pt-BR"/>
        </w:rPr>
        <w:t xml:space="preserve">, </w:t>
      </w:r>
      <w:r w:rsidRPr="009A7904">
        <w:rPr>
          <w:rFonts w:cs="Sylfaen"/>
          <w:bCs/>
          <w:lang w:val="pt-BR"/>
        </w:rPr>
        <w:t>հողերի</w:t>
      </w:r>
      <w:r w:rsidRPr="009A7904">
        <w:rPr>
          <w:bCs/>
          <w:lang w:val="pt-BR"/>
        </w:rPr>
        <w:t xml:space="preserve">, </w:t>
      </w:r>
      <w:r w:rsidRPr="009A7904">
        <w:rPr>
          <w:rFonts w:cs="Sylfaen"/>
          <w:bCs/>
          <w:lang w:val="pt-BR"/>
        </w:rPr>
        <w:t>բուսական</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կենդանական</w:t>
      </w:r>
      <w:r w:rsidRPr="009A7904">
        <w:rPr>
          <w:bCs/>
          <w:lang w:val="pt-BR"/>
        </w:rPr>
        <w:t xml:space="preserve"> </w:t>
      </w:r>
      <w:r w:rsidRPr="009A7904">
        <w:rPr>
          <w:rFonts w:cs="Sylfaen"/>
          <w:bCs/>
          <w:lang w:val="pt-BR"/>
        </w:rPr>
        <w:t>աշխարհի</w:t>
      </w:r>
      <w:r w:rsidRPr="009A7904">
        <w:rPr>
          <w:bCs/>
          <w:lang w:val="pt-BR"/>
        </w:rPr>
        <w:t xml:space="preserve"> </w:t>
      </w:r>
      <w:r w:rsidRPr="009A7904">
        <w:rPr>
          <w:rFonts w:cs="Sylfaen"/>
          <w:bCs/>
          <w:lang w:val="pt-BR"/>
        </w:rPr>
        <w:t>վրա</w:t>
      </w:r>
      <w:r w:rsidRPr="009A7904">
        <w:rPr>
          <w:bCs/>
          <w:lang w:val="pt-BR"/>
        </w:rPr>
        <w:t xml:space="preserve"> </w:t>
      </w:r>
      <w:r w:rsidRPr="009A7904">
        <w:rPr>
          <w:rFonts w:cs="Sylfaen"/>
          <w:bCs/>
          <w:lang w:val="pt-BR"/>
        </w:rPr>
        <w:t>վնասակար</w:t>
      </w:r>
      <w:r w:rsidRPr="009A7904">
        <w:rPr>
          <w:bCs/>
          <w:lang w:val="pt-BR"/>
        </w:rPr>
        <w:t xml:space="preserve"> </w:t>
      </w:r>
      <w:r w:rsidRPr="009A7904">
        <w:rPr>
          <w:rFonts w:cs="Sylfaen"/>
          <w:bCs/>
          <w:lang w:val="pt-BR"/>
        </w:rPr>
        <w:t>ազդեցությունները</w:t>
      </w:r>
      <w:r w:rsidRPr="009A7904">
        <w:rPr>
          <w:bCs/>
          <w:lang w:val="pt-BR"/>
        </w:rPr>
        <w:t xml:space="preserve">, </w:t>
      </w:r>
      <w:r w:rsidRPr="009A7904">
        <w:rPr>
          <w:rFonts w:cs="Sylfaen"/>
          <w:bCs/>
          <w:lang w:val="pt-BR"/>
        </w:rPr>
        <w:t>բացառել</w:t>
      </w:r>
      <w:r w:rsidRPr="009A7904">
        <w:rPr>
          <w:bCs/>
          <w:lang w:val="pt-BR"/>
        </w:rPr>
        <w:t xml:space="preserve"> </w:t>
      </w:r>
      <w:r w:rsidRPr="009A7904">
        <w:rPr>
          <w:rFonts w:cs="Sylfaen"/>
          <w:bCs/>
          <w:lang w:val="pt-BR"/>
        </w:rPr>
        <w:t>բնական</w:t>
      </w:r>
      <w:r w:rsidRPr="009A7904">
        <w:rPr>
          <w:bCs/>
          <w:lang w:val="pt-BR"/>
        </w:rPr>
        <w:t xml:space="preserve"> </w:t>
      </w:r>
      <w:r w:rsidRPr="009A7904">
        <w:rPr>
          <w:rFonts w:cs="Sylfaen"/>
          <w:bCs/>
          <w:lang w:val="pt-BR"/>
        </w:rPr>
        <w:t>ռեսուրսների</w:t>
      </w:r>
      <w:r w:rsidRPr="009A7904">
        <w:rPr>
          <w:bCs/>
          <w:lang w:val="pt-BR"/>
        </w:rPr>
        <w:t xml:space="preserve"> </w:t>
      </w:r>
      <w:r w:rsidRPr="009A7904">
        <w:rPr>
          <w:rFonts w:cs="Sylfaen"/>
          <w:bCs/>
          <w:lang w:val="pt-BR"/>
        </w:rPr>
        <w:t>գերշահագործումը</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ապօրինի</w:t>
      </w:r>
      <w:r w:rsidRPr="009A7904">
        <w:rPr>
          <w:bCs/>
          <w:lang w:val="pt-BR"/>
        </w:rPr>
        <w:t xml:space="preserve"> </w:t>
      </w:r>
      <w:r w:rsidRPr="009A7904">
        <w:rPr>
          <w:rFonts w:cs="Sylfaen"/>
          <w:bCs/>
          <w:lang w:val="pt-BR"/>
        </w:rPr>
        <w:t>օգտագործումը</w:t>
      </w:r>
      <w:r w:rsidRPr="009A7904">
        <w:rPr>
          <w:bCs/>
          <w:lang w:val="pt-BR"/>
        </w:rPr>
        <w:t xml:space="preserve">, </w:t>
      </w:r>
      <w:r w:rsidRPr="009A7904">
        <w:rPr>
          <w:rFonts w:cs="Sylfaen"/>
          <w:bCs/>
          <w:lang w:val="pt-BR"/>
        </w:rPr>
        <w:t>ապահովել</w:t>
      </w:r>
      <w:r w:rsidRPr="009A7904">
        <w:rPr>
          <w:bCs/>
          <w:lang w:val="pt-BR"/>
        </w:rPr>
        <w:t xml:space="preserve"> </w:t>
      </w:r>
      <w:r w:rsidRPr="009A7904">
        <w:rPr>
          <w:rFonts w:cs="Sylfaen"/>
          <w:bCs/>
          <w:lang w:val="pt-BR"/>
        </w:rPr>
        <w:t>կանխարգելման</w:t>
      </w:r>
      <w:r w:rsidRPr="009A7904">
        <w:rPr>
          <w:bCs/>
          <w:lang w:val="pt-BR"/>
        </w:rPr>
        <w:t xml:space="preserve"> </w:t>
      </w:r>
      <w:r w:rsidRPr="009A7904">
        <w:rPr>
          <w:rFonts w:cs="Sylfaen"/>
          <w:bCs/>
          <w:lang w:val="pt-BR"/>
        </w:rPr>
        <w:t>միջոցառումների</w:t>
      </w:r>
      <w:r w:rsidRPr="009A7904">
        <w:rPr>
          <w:bCs/>
          <w:lang w:val="pt-BR"/>
        </w:rPr>
        <w:t xml:space="preserve"> </w:t>
      </w:r>
      <w:r w:rsidRPr="009A7904">
        <w:rPr>
          <w:rFonts w:cs="Sylfaen"/>
          <w:bCs/>
          <w:lang w:val="pt-BR"/>
        </w:rPr>
        <w:t>իրականացումը։</w:t>
      </w:r>
      <w:r w:rsidRPr="009A7904">
        <w:rPr>
          <w:bCs/>
          <w:lang w:val="pt-BR"/>
        </w:rPr>
        <w:t xml:space="preserve"> </w:t>
      </w:r>
      <w:r w:rsidRPr="009A7904">
        <w:rPr>
          <w:rFonts w:cs="Sylfaen"/>
          <w:bCs/>
          <w:lang w:val="pt-BR"/>
        </w:rPr>
        <w:t>Ելնելով</w:t>
      </w:r>
      <w:r w:rsidRPr="009A7904">
        <w:rPr>
          <w:bCs/>
          <w:lang w:val="pt-BR"/>
        </w:rPr>
        <w:t xml:space="preserve"> </w:t>
      </w:r>
      <w:r w:rsidRPr="009A7904">
        <w:rPr>
          <w:rFonts w:cs="Sylfaen"/>
          <w:bCs/>
          <w:lang w:val="pt-BR"/>
        </w:rPr>
        <w:t>նշվածից՝</w:t>
      </w:r>
      <w:r w:rsidRPr="009A7904">
        <w:rPr>
          <w:bCs/>
          <w:lang w:val="pt-BR"/>
        </w:rPr>
        <w:t xml:space="preserve"> </w:t>
      </w:r>
      <w:r w:rsidRPr="009A7904">
        <w:rPr>
          <w:rFonts w:cs="Sylfaen"/>
          <w:bCs/>
          <w:lang w:val="pt-BR"/>
        </w:rPr>
        <w:t>շրջակա</w:t>
      </w:r>
      <w:r w:rsidRPr="009A7904">
        <w:rPr>
          <w:bCs/>
          <w:lang w:val="pt-BR"/>
        </w:rPr>
        <w:t xml:space="preserve"> </w:t>
      </w:r>
      <w:r w:rsidRPr="009A7904">
        <w:rPr>
          <w:rFonts w:cs="Sylfaen"/>
          <w:bCs/>
          <w:lang w:val="pt-BR"/>
        </w:rPr>
        <w:t>միջավայրի</w:t>
      </w:r>
      <w:r w:rsidRPr="009A7904">
        <w:rPr>
          <w:bCs/>
          <w:lang w:val="pt-BR"/>
        </w:rPr>
        <w:t xml:space="preserve"> </w:t>
      </w:r>
      <w:r w:rsidRPr="009A7904">
        <w:rPr>
          <w:rFonts w:cs="Sylfaen"/>
          <w:bCs/>
          <w:lang w:val="pt-BR"/>
        </w:rPr>
        <w:t>կառավարման</w:t>
      </w:r>
      <w:r w:rsidRPr="009A7904">
        <w:rPr>
          <w:bCs/>
          <w:lang w:val="pt-BR"/>
        </w:rPr>
        <w:t xml:space="preserve"> </w:t>
      </w:r>
      <w:r w:rsidRPr="009A7904">
        <w:rPr>
          <w:rFonts w:cs="Sylfaen"/>
          <w:bCs/>
          <w:lang w:val="pt-BR"/>
        </w:rPr>
        <w:t>առաջնահերթ</w:t>
      </w:r>
      <w:r w:rsidRPr="009A7904">
        <w:rPr>
          <w:bCs/>
          <w:lang w:val="pt-BR"/>
        </w:rPr>
        <w:t xml:space="preserve"> </w:t>
      </w:r>
      <w:r w:rsidRPr="009A7904">
        <w:rPr>
          <w:rFonts w:cs="Sylfaen"/>
          <w:bCs/>
          <w:lang w:val="pt-BR"/>
        </w:rPr>
        <w:t>ուղղություններն</w:t>
      </w:r>
      <w:r w:rsidRPr="009A7904">
        <w:rPr>
          <w:bCs/>
          <w:lang w:val="pt-BR"/>
        </w:rPr>
        <w:t xml:space="preserve"> </w:t>
      </w:r>
      <w:r w:rsidRPr="009A7904">
        <w:rPr>
          <w:rFonts w:cs="Sylfaen"/>
          <w:bCs/>
          <w:lang w:val="pt-BR"/>
        </w:rPr>
        <w:t>են՝</w:t>
      </w:r>
    </w:p>
    <w:p w14:paraId="493A3B0A" w14:textId="77777777" w:rsidR="009D2825" w:rsidRPr="009A7904" w:rsidRDefault="009D2825" w:rsidP="009A7904">
      <w:pPr>
        <w:spacing w:after="0" w:line="276" w:lineRule="auto"/>
        <w:rPr>
          <w:bCs/>
          <w:lang w:val="pt-BR"/>
        </w:rPr>
      </w:pPr>
      <w:r w:rsidRPr="009A7904">
        <w:rPr>
          <w:bCs/>
          <w:lang w:val="pt-BR"/>
        </w:rPr>
        <w:t xml:space="preserve">- </w:t>
      </w:r>
      <w:r w:rsidRPr="009A7904">
        <w:rPr>
          <w:rFonts w:cs="Sylfaen"/>
          <w:bCs/>
          <w:lang w:val="pt-BR"/>
        </w:rPr>
        <w:t>Սևանա</w:t>
      </w:r>
      <w:r w:rsidRPr="009A7904">
        <w:rPr>
          <w:bCs/>
          <w:lang w:val="pt-BR"/>
        </w:rPr>
        <w:t xml:space="preserve"> </w:t>
      </w:r>
      <w:r w:rsidRPr="009A7904">
        <w:rPr>
          <w:rFonts w:cs="Sylfaen"/>
          <w:bCs/>
          <w:lang w:val="pt-BR"/>
        </w:rPr>
        <w:t>լճի</w:t>
      </w:r>
      <w:r w:rsidRPr="009A7904">
        <w:rPr>
          <w:bCs/>
          <w:lang w:val="pt-BR"/>
        </w:rPr>
        <w:t xml:space="preserve"> </w:t>
      </w:r>
      <w:r w:rsidRPr="009A7904">
        <w:rPr>
          <w:rFonts w:cs="Sylfaen"/>
          <w:bCs/>
          <w:lang w:val="pt-BR"/>
        </w:rPr>
        <w:t>էկոլոգիական</w:t>
      </w:r>
      <w:r w:rsidRPr="009A7904">
        <w:rPr>
          <w:bCs/>
          <w:lang w:val="pt-BR"/>
        </w:rPr>
        <w:t xml:space="preserve"> </w:t>
      </w:r>
      <w:r w:rsidRPr="009A7904">
        <w:rPr>
          <w:rFonts w:cs="Sylfaen"/>
          <w:bCs/>
          <w:lang w:val="pt-BR"/>
        </w:rPr>
        <w:t>հավասարակշռության</w:t>
      </w:r>
      <w:r w:rsidRPr="009A7904">
        <w:rPr>
          <w:bCs/>
          <w:lang w:val="pt-BR"/>
        </w:rPr>
        <w:t xml:space="preserve"> </w:t>
      </w:r>
      <w:r w:rsidRPr="009A7904">
        <w:rPr>
          <w:rFonts w:cs="Sylfaen"/>
          <w:bCs/>
          <w:lang w:val="pt-BR"/>
        </w:rPr>
        <w:t>վերականգնումը</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պահպանությունը</w:t>
      </w:r>
      <w:r w:rsidRPr="009A7904">
        <w:rPr>
          <w:bCs/>
          <w:lang w:val="pt-BR"/>
        </w:rPr>
        <w:t xml:space="preserve">, </w:t>
      </w:r>
      <w:r w:rsidRPr="009A7904">
        <w:rPr>
          <w:rFonts w:cs="Sylfaen"/>
          <w:bCs/>
          <w:lang w:val="pt-BR"/>
        </w:rPr>
        <w:t>Արարատյան</w:t>
      </w:r>
      <w:r w:rsidRPr="009A7904">
        <w:rPr>
          <w:bCs/>
          <w:lang w:val="pt-BR"/>
        </w:rPr>
        <w:t xml:space="preserve"> </w:t>
      </w:r>
      <w:r w:rsidRPr="009A7904">
        <w:rPr>
          <w:rFonts w:cs="Sylfaen"/>
          <w:bCs/>
          <w:lang w:val="pt-BR"/>
        </w:rPr>
        <w:t>արտեզյան</w:t>
      </w:r>
      <w:r w:rsidRPr="009A7904">
        <w:rPr>
          <w:bCs/>
          <w:lang w:val="pt-BR"/>
        </w:rPr>
        <w:t xml:space="preserve"> </w:t>
      </w:r>
      <w:r w:rsidRPr="009A7904">
        <w:rPr>
          <w:rFonts w:cs="Sylfaen"/>
          <w:bCs/>
          <w:lang w:val="pt-BR"/>
        </w:rPr>
        <w:t>ավազանի</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գետային</w:t>
      </w:r>
      <w:r w:rsidRPr="009A7904">
        <w:rPr>
          <w:bCs/>
          <w:lang w:val="pt-BR"/>
        </w:rPr>
        <w:t xml:space="preserve"> </w:t>
      </w:r>
      <w:r w:rsidRPr="009A7904">
        <w:rPr>
          <w:rFonts w:cs="Sylfaen"/>
          <w:bCs/>
          <w:lang w:val="pt-BR"/>
        </w:rPr>
        <w:t>էկոհամակարգերի</w:t>
      </w:r>
      <w:r w:rsidRPr="009A7904">
        <w:rPr>
          <w:bCs/>
          <w:lang w:val="pt-BR"/>
        </w:rPr>
        <w:t xml:space="preserve"> </w:t>
      </w:r>
      <w:r w:rsidRPr="009A7904">
        <w:rPr>
          <w:rFonts w:cs="Sylfaen"/>
          <w:bCs/>
          <w:lang w:val="pt-BR"/>
        </w:rPr>
        <w:t>պահպանությունը</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կառավարումը</w:t>
      </w:r>
      <w:r w:rsidRPr="009A7904">
        <w:rPr>
          <w:bCs/>
          <w:lang w:val="pt-BR"/>
        </w:rPr>
        <w:t>,</w:t>
      </w:r>
    </w:p>
    <w:p w14:paraId="59F7B896" w14:textId="77777777" w:rsidR="009D2825" w:rsidRPr="009A7904" w:rsidRDefault="009D2825" w:rsidP="009A7904">
      <w:pPr>
        <w:spacing w:after="0" w:line="276" w:lineRule="auto"/>
        <w:rPr>
          <w:bCs/>
          <w:lang w:val="pt-BR"/>
        </w:rPr>
      </w:pPr>
      <w:r w:rsidRPr="009A7904">
        <w:rPr>
          <w:bCs/>
          <w:lang w:val="pt-BR"/>
        </w:rPr>
        <w:t xml:space="preserve">- </w:t>
      </w:r>
      <w:r w:rsidRPr="009A7904">
        <w:rPr>
          <w:rFonts w:cs="Sylfaen"/>
          <w:bCs/>
          <w:lang w:val="pt-BR"/>
        </w:rPr>
        <w:t>անտառների</w:t>
      </w:r>
      <w:r w:rsidRPr="009A7904">
        <w:rPr>
          <w:bCs/>
          <w:lang w:val="pt-BR"/>
        </w:rPr>
        <w:t xml:space="preserve"> </w:t>
      </w:r>
      <w:r w:rsidRPr="009A7904">
        <w:rPr>
          <w:rFonts w:cs="Sylfaen"/>
          <w:bCs/>
          <w:lang w:val="pt-BR"/>
        </w:rPr>
        <w:t>կայուն</w:t>
      </w:r>
      <w:r w:rsidRPr="009A7904">
        <w:rPr>
          <w:bCs/>
          <w:lang w:val="pt-BR"/>
        </w:rPr>
        <w:t xml:space="preserve"> </w:t>
      </w:r>
      <w:r w:rsidRPr="009A7904">
        <w:rPr>
          <w:rFonts w:cs="Sylfaen"/>
          <w:bCs/>
          <w:lang w:val="pt-BR"/>
        </w:rPr>
        <w:t>կառավարումը</w:t>
      </w:r>
      <w:r w:rsidRPr="009A7904">
        <w:rPr>
          <w:bCs/>
          <w:lang w:val="pt-BR"/>
        </w:rPr>
        <w:t xml:space="preserve">, </w:t>
      </w:r>
      <w:r w:rsidRPr="009A7904">
        <w:rPr>
          <w:rFonts w:cs="Sylfaen"/>
          <w:bCs/>
          <w:lang w:val="pt-BR"/>
        </w:rPr>
        <w:t>անտառածածկ</w:t>
      </w:r>
      <w:r w:rsidRPr="009A7904">
        <w:rPr>
          <w:bCs/>
          <w:lang w:val="pt-BR"/>
        </w:rPr>
        <w:t xml:space="preserve"> </w:t>
      </w:r>
      <w:r w:rsidRPr="009A7904">
        <w:rPr>
          <w:rFonts w:cs="Sylfaen"/>
          <w:bCs/>
          <w:lang w:val="pt-BR"/>
        </w:rPr>
        <w:t>տարածքների</w:t>
      </w:r>
      <w:r w:rsidRPr="009A7904">
        <w:rPr>
          <w:bCs/>
          <w:lang w:val="pt-BR"/>
        </w:rPr>
        <w:t xml:space="preserve"> </w:t>
      </w:r>
      <w:r w:rsidRPr="009A7904">
        <w:rPr>
          <w:rFonts w:cs="Sylfaen"/>
          <w:bCs/>
          <w:lang w:val="pt-BR"/>
        </w:rPr>
        <w:t>ընդլայնումը</w:t>
      </w:r>
      <w:r w:rsidRPr="009A7904">
        <w:rPr>
          <w:bCs/>
          <w:lang w:val="pt-BR"/>
        </w:rPr>
        <w:t xml:space="preserve">, </w:t>
      </w:r>
      <w:r w:rsidRPr="009A7904">
        <w:rPr>
          <w:rFonts w:cs="Sylfaen"/>
          <w:bCs/>
          <w:lang w:val="pt-BR"/>
        </w:rPr>
        <w:t>անտառվերականգնումը</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անատառապատումը</w:t>
      </w:r>
      <w:r w:rsidRPr="009A7904">
        <w:rPr>
          <w:bCs/>
          <w:lang w:val="pt-BR"/>
        </w:rPr>
        <w:t xml:space="preserve">, </w:t>
      </w:r>
      <w:r w:rsidRPr="009A7904">
        <w:rPr>
          <w:rFonts w:cs="Sylfaen"/>
          <w:bCs/>
          <w:lang w:val="pt-BR"/>
        </w:rPr>
        <w:t>դրանց</w:t>
      </w:r>
      <w:r w:rsidRPr="009A7904">
        <w:rPr>
          <w:bCs/>
          <w:lang w:val="pt-BR"/>
        </w:rPr>
        <w:t xml:space="preserve"> </w:t>
      </w:r>
      <w:r w:rsidRPr="009A7904">
        <w:rPr>
          <w:rFonts w:cs="Sylfaen"/>
          <w:bCs/>
          <w:lang w:val="pt-BR"/>
        </w:rPr>
        <w:t>իրականացմանն</w:t>
      </w:r>
      <w:r w:rsidRPr="009A7904">
        <w:rPr>
          <w:bCs/>
          <w:lang w:val="pt-BR"/>
        </w:rPr>
        <w:t xml:space="preserve"> </w:t>
      </w:r>
      <w:r w:rsidRPr="009A7904">
        <w:rPr>
          <w:rFonts w:cs="Sylfaen"/>
          <w:bCs/>
          <w:lang w:val="pt-BR"/>
        </w:rPr>
        <w:t>ուղղված</w:t>
      </w:r>
      <w:r w:rsidRPr="009A7904">
        <w:rPr>
          <w:bCs/>
          <w:lang w:val="pt-BR"/>
        </w:rPr>
        <w:t xml:space="preserve"> </w:t>
      </w:r>
      <w:r w:rsidRPr="009A7904">
        <w:rPr>
          <w:rFonts w:cs="Sylfaen"/>
          <w:bCs/>
          <w:lang w:val="pt-BR"/>
        </w:rPr>
        <w:t>կարողությունների</w:t>
      </w:r>
      <w:r w:rsidRPr="009A7904">
        <w:rPr>
          <w:bCs/>
          <w:lang w:val="pt-BR"/>
        </w:rPr>
        <w:t xml:space="preserve"> </w:t>
      </w:r>
      <w:r w:rsidRPr="009A7904">
        <w:rPr>
          <w:rFonts w:cs="Sylfaen"/>
          <w:bCs/>
          <w:lang w:val="pt-BR"/>
        </w:rPr>
        <w:t>շարունակական</w:t>
      </w:r>
      <w:r w:rsidRPr="009A7904">
        <w:rPr>
          <w:bCs/>
          <w:lang w:val="pt-BR"/>
        </w:rPr>
        <w:t xml:space="preserve"> </w:t>
      </w:r>
      <w:r w:rsidRPr="009A7904">
        <w:rPr>
          <w:rFonts w:cs="Sylfaen"/>
          <w:bCs/>
          <w:lang w:val="pt-BR"/>
        </w:rPr>
        <w:t>զարգացումը</w:t>
      </w:r>
      <w:r w:rsidRPr="009A7904">
        <w:rPr>
          <w:bCs/>
          <w:lang w:val="pt-BR"/>
        </w:rPr>
        <w:t xml:space="preserve">, </w:t>
      </w:r>
    </w:p>
    <w:p w14:paraId="0F71370D" w14:textId="77777777" w:rsidR="009D2825" w:rsidRPr="009A7904" w:rsidRDefault="009D2825" w:rsidP="009A7904">
      <w:pPr>
        <w:spacing w:after="0" w:line="276" w:lineRule="auto"/>
        <w:rPr>
          <w:bCs/>
          <w:lang w:val="pt-BR"/>
        </w:rPr>
      </w:pPr>
      <w:r w:rsidRPr="009A7904">
        <w:rPr>
          <w:bCs/>
          <w:lang w:val="pt-BR"/>
        </w:rPr>
        <w:t xml:space="preserve">- </w:t>
      </w:r>
      <w:r w:rsidRPr="009A7904">
        <w:rPr>
          <w:rFonts w:cs="Sylfaen"/>
          <w:bCs/>
          <w:lang w:val="pt-BR"/>
        </w:rPr>
        <w:t>բնության</w:t>
      </w:r>
      <w:r w:rsidRPr="009A7904">
        <w:rPr>
          <w:bCs/>
          <w:lang w:val="pt-BR"/>
        </w:rPr>
        <w:t xml:space="preserve"> </w:t>
      </w:r>
      <w:r w:rsidRPr="009A7904">
        <w:rPr>
          <w:rFonts w:cs="Sylfaen"/>
          <w:bCs/>
          <w:lang w:val="pt-BR"/>
        </w:rPr>
        <w:t>հատուկ</w:t>
      </w:r>
      <w:r w:rsidRPr="009A7904">
        <w:rPr>
          <w:bCs/>
          <w:lang w:val="pt-BR"/>
        </w:rPr>
        <w:t xml:space="preserve"> </w:t>
      </w:r>
      <w:r w:rsidRPr="009A7904">
        <w:rPr>
          <w:rFonts w:cs="Sylfaen"/>
          <w:bCs/>
          <w:lang w:val="pt-BR"/>
        </w:rPr>
        <w:t>պահպանվող</w:t>
      </w:r>
      <w:r w:rsidRPr="009A7904">
        <w:rPr>
          <w:bCs/>
          <w:lang w:val="pt-BR"/>
        </w:rPr>
        <w:t xml:space="preserve"> </w:t>
      </w:r>
      <w:r w:rsidRPr="009A7904">
        <w:rPr>
          <w:rFonts w:cs="Sylfaen"/>
          <w:bCs/>
          <w:lang w:val="pt-BR"/>
        </w:rPr>
        <w:t>տարածքների</w:t>
      </w:r>
      <w:r w:rsidRPr="009A7904">
        <w:rPr>
          <w:bCs/>
          <w:lang w:val="pt-BR"/>
        </w:rPr>
        <w:t xml:space="preserve"> </w:t>
      </w:r>
      <w:r w:rsidRPr="009A7904">
        <w:rPr>
          <w:rFonts w:cs="Sylfaen"/>
          <w:bCs/>
          <w:lang w:val="pt-BR"/>
        </w:rPr>
        <w:t>հզորացումը</w:t>
      </w:r>
      <w:r w:rsidRPr="009A7904">
        <w:rPr>
          <w:bCs/>
          <w:lang w:val="pt-BR"/>
        </w:rPr>
        <w:t xml:space="preserve">, </w:t>
      </w:r>
      <w:r w:rsidRPr="009A7904">
        <w:rPr>
          <w:rFonts w:cs="Sylfaen"/>
          <w:bCs/>
          <w:lang w:val="pt-BR"/>
        </w:rPr>
        <w:t>հարակից</w:t>
      </w:r>
      <w:r w:rsidRPr="009A7904">
        <w:rPr>
          <w:bCs/>
          <w:lang w:val="pt-BR"/>
        </w:rPr>
        <w:t xml:space="preserve"> </w:t>
      </w:r>
      <w:r w:rsidRPr="009A7904">
        <w:rPr>
          <w:rFonts w:cs="Sylfaen"/>
          <w:bCs/>
          <w:lang w:val="pt-BR"/>
        </w:rPr>
        <w:t>բնակավայրերի</w:t>
      </w:r>
      <w:r w:rsidRPr="009A7904">
        <w:rPr>
          <w:bCs/>
          <w:lang w:val="pt-BR"/>
        </w:rPr>
        <w:t xml:space="preserve"> </w:t>
      </w:r>
      <w:r w:rsidRPr="009A7904">
        <w:rPr>
          <w:rFonts w:cs="Sylfaen"/>
          <w:bCs/>
          <w:lang w:val="pt-BR"/>
        </w:rPr>
        <w:t>կարողությունների</w:t>
      </w:r>
      <w:r w:rsidRPr="009A7904">
        <w:rPr>
          <w:bCs/>
          <w:lang w:val="pt-BR"/>
        </w:rPr>
        <w:t xml:space="preserve"> </w:t>
      </w:r>
      <w:r w:rsidRPr="009A7904">
        <w:rPr>
          <w:rFonts w:cs="Sylfaen"/>
          <w:bCs/>
          <w:lang w:val="pt-BR"/>
        </w:rPr>
        <w:t>զարգացումը</w:t>
      </w:r>
      <w:r w:rsidRPr="009A7904">
        <w:rPr>
          <w:bCs/>
          <w:lang w:val="pt-BR"/>
        </w:rPr>
        <w:t>,</w:t>
      </w:r>
    </w:p>
    <w:p w14:paraId="05599810" w14:textId="77777777" w:rsidR="009D2825" w:rsidRPr="009A7904" w:rsidRDefault="009D2825" w:rsidP="009A7904">
      <w:pPr>
        <w:spacing w:after="0" w:line="276" w:lineRule="auto"/>
        <w:rPr>
          <w:rFonts w:cs="Sylfaen"/>
          <w:bCs/>
          <w:lang w:val="pt-BR"/>
        </w:rPr>
      </w:pPr>
      <w:r w:rsidRPr="009A7904">
        <w:rPr>
          <w:bCs/>
          <w:lang w:val="pt-BR"/>
        </w:rPr>
        <w:t xml:space="preserve">- </w:t>
      </w:r>
      <w:r w:rsidRPr="009A7904">
        <w:rPr>
          <w:rFonts w:cs="Sylfaen"/>
          <w:bCs/>
          <w:lang w:val="pt-BR"/>
        </w:rPr>
        <w:t>կենսաբազմազանության</w:t>
      </w:r>
      <w:r w:rsidRPr="009A7904">
        <w:rPr>
          <w:bCs/>
          <w:lang w:val="pt-BR"/>
        </w:rPr>
        <w:t xml:space="preserve"> </w:t>
      </w:r>
      <w:r w:rsidRPr="009A7904">
        <w:rPr>
          <w:rFonts w:cs="Sylfaen"/>
          <w:bCs/>
          <w:lang w:val="pt-BR"/>
        </w:rPr>
        <w:t>պահպանությունը</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կենսաանվտանգության</w:t>
      </w:r>
      <w:r w:rsidRPr="009A7904">
        <w:rPr>
          <w:bCs/>
          <w:lang w:val="pt-BR"/>
        </w:rPr>
        <w:t xml:space="preserve"> </w:t>
      </w:r>
      <w:r w:rsidRPr="009A7904">
        <w:rPr>
          <w:rFonts w:cs="Sylfaen"/>
          <w:bCs/>
          <w:lang w:val="pt-BR"/>
        </w:rPr>
        <w:t>ապահովումը</w:t>
      </w:r>
      <w:r w:rsidRPr="009A7904">
        <w:rPr>
          <w:bCs/>
          <w:lang w:val="pt-BR"/>
        </w:rPr>
        <w:t xml:space="preserve">, </w:t>
      </w:r>
    </w:p>
    <w:p w14:paraId="592B42FA" w14:textId="77777777" w:rsidR="009D2825" w:rsidRPr="009A7904" w:rsidRDefault="009D2825" w:rsidP="009A7904">
      <w:pPr>
        <w:spacing w:after="0" w:line="276" w:lineRule="auto"/>
        <w:rPr>
          <w:bCs/>
          <w:lang w:val="pt-BR"/>
        </w:rPr>
      </w:pPr>
      <w:r w:rsidRPr="009A7904">
        <w:rPr>
          <w:bCs/>
          <w:lang w:val="pt-BR"/>
        </w:rPr>
        <w:t xml:space="preserve">- </w:t>
      </w:r>
      <w:r w:rsidRPr="009A7904">
        <w:rPr>
          <w:rFonts w:cs="Sylfaen"/>
          <w:bCs/>
          <w:lang w:val="pt-BR"/>
        </w:rPr>
        <w:t>շրջակա</w:t>
      </w:r>
      <w:r w:rsidRPr="009A7904">
        <w:rPr>
          <w:bCs/>
          <w:lang w:val="pt-BR"/>
        </w:rPr>
        <w:t xml:space="preserve"> </w:t>
      </w:r>
      <w:r w:rsidRPr="009A7904">
        <w:rPr>
          <w:rFonts w:cs="Sylfaen"/>
          <w:bCs/>
          <w:lang w:val="pt-BR"/>
        </w:rPr>
        <w:t>միջավայրի</w:t>
      </w:r>
      <w:r w:rsidRPr="009A7904">
        <w:rPr>
          <w:bCs/>
          <w:lang w:val="pt-BR"/>
        </w:rPr>
        <w:t xml:space="preserve"> </w:t>
      </w:r>
      <w:r w:rsidRPr="009A7904">
        <w:rPr>
          <w:rFonts w:cs="Sylfaen"/>
          <w:bCs/>
          <w:lang w:val="pt-BR"/>
        </w:rPr>
        <w:t>վրա</w:t>
      </w:r>
      <w:r w:rsidRPr="009A7904">
        <w:rPr>
          <w:bCs/>
          <w:lang w:val="pt-BR"/>
        </w:rPr>
        <w:t xml:space="preserve"> </w:t>
      </w:r>
      <w:r w:rsidRPr="009A7904">
        <w:rPr>
          <w:rFonts w:cs="Sylfaen"/>
          <w:bCs/>
          <w:lang w:val="pt-BR"/>
        </w:rPr>
        <w:t>ազդեցության</w:t>
      </w:r>
      <w:r w:rsidRPr="009A7904">
        <w:rPr>
          <w:bCs/>
          <w:lang w:val="pt-BR"/>
        </w:rPr>
        <w:t xml:space="preserve"> </w:t>
      </w:r>
      <w:r w:rsidRPr="009A7904">
        <w:rPr>
          <w:rFonts w:cs="Sylfaen"/>
          <w:bCs/>
          <w:lang w:val="pt-BR"/>
        </w:rPr>
        <w:t>փորձաքննական</w:t>
      </w:r>
      <w:r w:rsidRPr="009A7904">
        <w:rPr>
          <w:bCs/>
          <w:lang w:val="pt-BR"/>
        </w:rPr>
        <w:t xml:space="preserve"> </w:t>
      </w:r>
      <w:r w:rsidRPr="009A7904">
        <w:rPr>
          <w:rFonts w:cs="Sylfaen"/>
          <w:bCs/>
          <w:lang w:val="pt-BR"/>
        </w:rPr>
        <w:t>գործընթացի</w:t>
      </w:r>
      <w:r w:rsidRPr="009A7904">
        <w:rPr>
          <w:bCs/>
          <w:lang w:val="pt-BR"/>
        </w:rPr>
        <w:t xml:space="preserve"> </w:t>
      </w:r>
      <w:r w:rsidRPr="009A7904">
        <w:rPr>
          <w:rFonts w:cs="Sylfaen"/>
          <w:bCs/>
          <w:lang w:val="pt-BR"/>
        </w:rPr>
        <w:t>արդյունավետ</w:t>
      </w:r>
      <w:r w:rsidRPr="009A7904">
        <w:rPr>
          <w:bCs/>
          <w:lang w:val="pt-BR"/>
        </w:rPr>
        <w:t xml:space="preserve"> </w:t>
      </w:r>
      <w:r w:rsidRPr="009A7904">
        <w:rPr>
          <w:rFonts w:cs="Sylfaen"/>
          <w:bCs/>
          <w:lang w:val="pt-BR"/>
        </w:rPr>
        <w:t>իրականացումը</w:t>
      </w:r>
      <w:r w:rsidRPr="009A7904">
        <w:rPr>
          <w:bCs/>
          <w:lang w:val="pt-BR"/>
        </w:rPr>
        <w:t>,</w:t>
      </w:r>
    </w:p>
    <w:p w14:paraId="6BB54E41" w14:textId="77777777" w:rsidR="009D2825" w:rsidRPr="009A7904" w:rsidRDefault="009D2825" w:rsidP="009A7904">
      <w:pPr>
        <w:spacing w:after="0" w:line="276" w:lineRule="auto"/>
        <w:rPr>
          <w:bCs/>
          <w:lang w:val="pt-BR"/>
        </w:rPr>
      </w:pPr>
      <w:r w:rsidRPr="009A7904">
        <w:rPr>
          <w:bCs/>
          <w:lang w:val="pt-BR"/>
        </w:rPr>
        <w:t xml:space="preserve">- </w:t>
      </w:r>
      <w:r w:rsidRPr="009A7904">
        <w:rPr>
          <w:rFonts w:cs="Sylfaen"/>
          <w:bCs/>
          <w:lang w:val="pt-BR"/>
        </w:rPr>
        <w:t xml:space="preserve">Հիդրոօդերևութաբանության </w:t>
      </w:r>
      <w:r w:rsidRPr="009A7904">
        <w:rPr>
          <w:bCs/>
          <w:lang w:val="pt-BR"/>
        </w:rPr>
        <w:t xml:space="preserve">և </w:t>
      </w:r>
      <w:r w:rsidRPr="009A7904">
        <w:rPr>
          <w:rFonts w:cs="Sylfaen"/>
          <w:bCs/>
          <w:lang w:val="pt-BR"/>
        </w:rPr>
        <w:t>շրջակա</w:t>
      </w:r>
      <w:r w:rsidRPr="009A7904">
        <w:rPr>
          <w:bCs/>
          <w:lang w:val="pt-BR"/>
        </w:rPr>
        <w:t xml:space="preserve">  </w:t>
      </w:r>
      <w:r w:rsidRPr="009A7904">
        <w:rPr>
          <w:rFonts w:cs="Sylfaen"/>
          <w:bCs/>
          <w:lang w:val="pt-BR"/>
        </w:rPr>
        <w:t>միջավայրի</w:t>
      </w:r>
      <w:r w:rsidRPr="009A7904">
        <w:rPr>
          <w:bCs/>
          <w:lang w:val="pt-BR"/>
        </w:rPr>
        <w:t xml:space="preserve"> </w:t>
      </w:r>
      <w:r w:rsidRPr="009A7904">
        <w:rPr>
          <w:rFonts w:cs="Sylfaen"/>
          <w:bCs/>
          <w:lang w:val="pt-BR"/>
        </w:rPr>
        <w:t>մոնիթորինգի</w:t>
      </w:r>
      <w:r w:rsidRPr="009A7904">
        <w:rPr>
          <w:bCs/>
          <w:lang w:val="pt-BR"/>
        </w:rPr>
        <w:t xml:space="preserve">, </w:t>
      </w:r>
      <w:r w:rsidRPr="009A7904">
        <w:rPr>
          <w:rFonts w:cs="Sylfaen"/>
          <w:bCs/>
          <w:lang w:val="pt-BR"/>
        </w:rPr>
        <w:t>թույլտվությունների</w:t>
      </w:r>
      <w:r w:rsidRPr="009A7904">
        <w:rPr>
          <w:bCs/>
          <w:lang w:val="pt-BR"/>
        </w:rPr>
        <w:t xml:space="preserve">, </w:t>
      </w:r>
      <w:r w:rsidRPr="009A7904">
        <w:rPr>
          <w:rFonts w:cs="Sylfaen"/>
          <w:bCs/>
          <w:lang w:val="pt-BR"/>
        </w:rPr>
        <w:t>լիցենզիաների</w:t>
      </w:r>
      <w:r w:rsidRPr="009A7904">
        <w:rPr>
          <w:bCs/>
          <w:lang w:val="pt-BR"/>
        </w:rPr>
        <w:t xml:space="preserve"> </w:t>
      </w:r>
      <w:r w:rsidRPr="009A7904">
        <w:rPr>
          <w:rFonts w:cs="Sylfaen"/>
          <w:bCs/>
          <w:lang w:val="pt-BR"/>
        </w:rPr>
        <w:t>միասնական</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ժամանակակից</w:t>
      </w:r>
      <w:r w:rsidRPr="009A7904">
        <w:rPr>
          <w:bCs/>
          <w:lang w:val="pt-BR"/>
        </w:rPr>
        <w:t xml:space="preserve"> </w:t>
      </w:r>
      <w:r w:rsidRPr="009A7904">
        <w:rPr>
          <w:rFonts w:cs="Sylfaen"/>
          <w:bCs/>
          <w:lang w:val="pt-BR"/>
        </w:rPr>
        <w:t>համակարգերի</w:t>
      </w:r>
      <w:r w:rsidRPr="009A7904">
        <w:rPr>
          <w:bCs/>
          <w:lang w:val="pt-BR"/>
        </w:rPr>
        <w:t xml:space="preserve"> </w:t>
      </w:r>
      <w:r w:rsidRPr="009A7904">
        <w:rPr>
          <w:rFonts w:cs="Sylfaen"/>
          <w:bCs/>
          <w:lang w:val="pt-BR"/>
        </w:rPr>
        <w:t>ներդրումը</w:t>
      </w:r>
      <w:r w:rsidRPr="009A7904">
        <w:rPr>
          <w:bCs/>
          <w:lang w:val="pt-BR"/>
        </w:rPr>
        <w:t xml:space="preserve">, </w:t>
      </w:r>
      <w:r w:rsidRPr="009A7904">
        <w:rPr>
          <w:rFonts w:cs="Sylfaen"/>
          <w:bCs/>
          <w:lang w:val="pt-BR"/>
        </w:rPr>
        <w:t>առաջնային</w:t>
      </w:r>
      <w:r w:rsidRPr="009A7904">
        <w:rPr>
          <w:bCs/>
          <w:lang w:val="pt-BR"/>
        </w:rPr>
        <w:t xml:space="preserve"> </w:t>
      </w:r>
      <w:r w:rsidRPr="009A7904">
        <w:rPr>
          <w:rFonts w:cs="Sylfaen"/>
          <w:bCs/>
          <w:lang w:val="pt-BR"/>
        </w:rPr>
        <w:t>տեղեկատվության</w:t>
      </w:r>
      <w:r w:rsidRPr="009A7904">
        <w:rPr>
          <w:bCs/>
          <w:lang w:val="pt-BR"/>
        </w:rPr>
        <w:t xml:space="preserve"> </w:t>
      </w:r>
      <w:r w:rsidRPr="009A7904">
        <w:rPr>
          <w:rFonts w:cs="Sylfaen"/>
          <w:bCs/>
          <w:lang w:val="pt-BR"/>
        </w:rPr>
        <w:t>համակարգված</w:t>
      </w:r>
      <w:r w:rsidRPr="009A7904">
        <w:rPr>
          <w:bCs/>
          <w:lang w:val="pt-BR"/>
        </w:rPr>
        <w:t xml:space="preserve"> </w:t>
      </w:r>
      <w:r w:rsidRPr="009A7904">
        <w:rPr>
          <w:rFonts w:cs="Sylfaen"/>
          <w:bCs/>
          <w:lang w:val="pt-BR"/>
        </w:rPr>
        <w:t>կառավարումը</w:t>
      </w:r>
      <w:r w:rsidRPr="009A7904">
        <w:rPr>
          <w:bCs/>
          <w:lang w:val="pt-BR"/>
        </w:rPr>
        <w:t>,</w:t>
      </w:r>
    </w:p>
    <w:p w14:paraId="258800DC" w14:textId="77777777" w:rsidR="009D2825" w:rsidRPr="009A7904" w:rsidRDefault="009D2825" w:rsidP="009A7904">
      <w:pPr>
        <w:spacing w:after="0" w:line="276" w:lineRule="auto"/>
        <w:rPr>
          <w:bCs/>
          <w:lang w:val="pt-BR"/>
        </w:rPr>
      </w:pPr>
      <w:r w:rsidRPr="009A7904">
        <w:rPr>
          <w:bCs/>
          <w:lang w:val="pt-BR"/>
        </w:rPr>
        <w:t xml:space="preserve"> - </w:t>
      </w:r>
      <w:r w:rsidRPr="009A7904">
        <w:rPr>
          <w:rFonts w:cs="Sylfaen"/>
          <w:bCs/>
          <w:lang w:val="pt-BR"/>
        </w:rPr>
        <w:t>կանաչ</w:t>
      </w:r>
      <w:r w:rsidRPr="009A7904">
        <w:rPr>
          <w:bCs/>
          <w:lang w:val="pt-BR"/>
        </w:rPr>
        <w:t xml:space="preserve"> </w:t>
      </w:r>
      <w:r w:rsidRPr="009A7904">
        <w:rPr>
          <w:rFonts w:cs="Sylfaen"/>
          <w:bCs/>
          <w:lang w:val="pt-BR"/>
        </w:rPr>
        <w:t>տնտեսության</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կայուն</w:t>
      </w:r>
      <w:r w:rsidRPr="009A7904">
        <w:rPr>
          <w:bCs/>
          <w:lang w:val="pt-BR"/>
        </w:rPr>
        <w:t xml:space="preserve"> </w:t>
      </w:r>
      <w:r w:rsidRPr="009A7904">
        <w:rPr>
          <w:rFonts w:cs="Sylfaen"/>
          <w:bCs/>
          <w:lang w:val="pt-BR"/>
        </w:rPr>
        <w:t>զարգացման</w:t>
      </w:r>
      <w:r w:rsidRPr="009A7904">
        <w:rPr>
          <w:bCs/>
          <w:lang w:val="pt-BR"/>
        </w:rPr>
        <w:t xml:space="preserve"> </w:t>
      </w:r>
      <w:r w:rsidRPr="009A7904">
        <w:rPr>
          <w:rFonts w:cs="Sylfaen"/>
          <w:bCs/>
          <w:lang w:val="pt-BR"/>
        </w:rPr>
        <w:t>երկարաժամկետ</w:t>
      </w:r>
      <w:r w:rsidRPr="009A7904">
        <w:rPr>
          <w:bCs/>
          <w:lang w:val="pt-BR"/>
        </w:rPr>
        <w:t xml:space="preserve"> </w:t>
      </w:r>
      <w:r w:rsidRPr="009A7904">
        <w:rPr>
          <w:rFonts w:cs="Sylfaen"/>
          <w:bCs/>
          <w:lang w:val="pt-BR"/>
        </w:rPr>
        <w:t>նպատակի</w:t>
      </w:r>
      <w:r w:rsidRPr="009A7904">
        <w:rPr>
          <w:bCs/>
          <w:lang w:val="pt-BR"/>
        </w:rPr>
        <w:t xml:space="preserve"> </w:t>
      </w:r>
      <w:r w:rsidRPr="009A7904">
        <w:rPr>
          <w:rFonts w:cs="Sylfaen"/>
          <w:bCs/>
          <w:lang w:val="pt-BR"/>
        </w:rPr>
        <w:t>խթանմանն</w:t>
      </w:r>
      <w:r w:rsidRPr="009A7904">
        <w:rPr>
          <w:bCs/>
          <w:lang w:val="pt-BR"/>
        </w:rPr>
        <w:t xml:space="preserve"> </w:t>
      </w:r>
      <w:r w:rsidRPr="009A7904">
        <w:rPr>
          <w:rFonts w:cs="Sylfaen"/>
          <w:bCs/>
          <w:lang w:val="pt-BR"/>
        </w:rPr>
        <w:t>ուղղված</w:t>
      </w:r>
      <w:r w:rsidRPr="009A7904">
        <w:rPr>
          <w:bCs/>
          <w:lang w:val="pt-BR"/>
        </w:rPr>
        <w:t xml:space="preserve"> </w:t>
      </w:r>
      <w:r w:rsidRPr="009A7904">
        <w:rPr>
          <w:rFonts w:cs="Sylfaen"/>
          <w:bCs/>
          <w:lang w:val="pt-BR"/>
        </w:rPr>
        <w:t>քաղաքականության</w:t>
      </w:r>
      <w:r w:rsidRPr="009A7904">
        <w:rPr>
          <w:bCs/>
          <w:lang w:val="pt-BR"/>
        </w:rPr>
        <w:t xml:space="preserve"> </w:t>
      </w:r>
      <w:r w:rsidRPr="009A7904">
        <w:rPr>
          <w:rFonts w:cs="Sylfaen"/>
          <w:bCs/>
          <w:lang w:val="pt-BR"/>
        </w:rPr>
        <w:t>մշակումն</w:t>
      </w:r>
      <w:r w:rsidRPr="009A7904">
        <w:rPr>
          <w:bCs/>
          <w:lang w:val="pt-BR"/>
        </w:rPr>
        <w:t xml:space="preserve"> </w:t>
      </w:r>
      <w:r w:rsidRPr="009A7904">
        <w:rPr>
          <w:rFonts w:cs="Sylfaen"/>
          <w:bCs/>
          <w:lang w:val="pt-BR"/>
        </w:rPr>
        <w:t>ու</w:t>
      </w:r>
      <w:r w:rsidRPr="009A7904">
        <w:rPr>
          <w:bCs/>
          <w:lang w:val="pt-BR"/>
        </w:rPr>
        <w:t xml:space="preserve"> </w:t>
      </w:r>
      <w:r w:rsidRPr="009A7904">
        <w:rPr>
          <w:rFonts w:cs="Sylfaen"/>
          <w:bCs/>
          <w:lang w:val="pt-BR"/>
        </w:rPr>
        <w:t>իրականացումը</w:t>
      </w:r>
      <w:r w:rsidRPr="009A7904">
        <w:rPr>
          <w:bCs/>
          <w:lang w:val="pt-BR"/>
        </w:rPr>
        <w:t xml:space="preserve">, </w:t>
      </w:r>
    </w:p>
    <w:p w14:paraId="6D95CB77" w14:textId="77777777" w:rsidR="009D2825" w:rsidRPr="009A7904" w:rsidRDefault="009D2825" w:rsidP="009A7904">
      <w:pPr>
        <w:spacing w:line="276" w:lineRule="auto"/>
        <w:rPr>
          <w:bCs/>
          <w:lang w:val="pt-BR"/>
        </w:rPr>
      </w:pPr>
      <w:r w:rsidRPr="009A7904">
        <w:rPr>
          <w:bCs/>
          <w:lang w:val="pt-BR"/>
        </w:rPr>
        <w:t xml:space="preserve">- </w:t>
      </w:r>
      <w:r w:rsidRPr="009A7904">
        <w:rPr>
          <w:rFonts w:cs="Sylfaen"/>
          <w:bCs/>
          <w:lang w:val="pt-BR"/>
        </w:rPr>
        <w:t>շրջակա</w:t>
      </w:r>
      <w:r w:rsidRPr="009A7904">
        <w:rPr>
          <w:bCs/>
          <w:lang w:val="pt-BR"/>
        </w:rPr>
        <w:t xml:space="preserve"> </w:t>
      </w:r>
      <w:r w:rsidRPr="009A7904">
        <w:rPr>
          <w:rFonts w:cs="Sylfaen"/>
          <w:bCs/>
          <w:lang w:val="pt-BR"/>
        </w:rPr>
        <w:t>միջավայրի</w:t>
      </w:r>
      <w:r w:rsidRPr="009A7904">
        <w:rPr>
          <w:bCs/>
          <w:lang w:val="pt-BR"/>
        </w:rPr>
        <w:t xml:space="preserve"> </w:t>
      </w:r>
      <w:r w:rsidRPr="009A7904">
        <w:rPr>
          <w:rFonts w:cs="Sylfaen"/>
          <w:bCs/>
          <w:lang w:val="pt-BR"/>
        </w:rPr>
        <w:t>կառավարման</w:t>
      </w:r>
      <w:r w:rsidRPr="009A7904">
        <w:rPr>
          <w:bCs/>
          <w:lang w:val="pt-BR"/>
        </w:rPr>
        <w:t xml:space="preserve"> </w:t>
      </w:r>
      <w:r w:rsidRPr="009A7904">
        <w:rPr>
          <w:rFonts w:cs="Sylfaen"/>
          <w:bCs/>
          <w:lang w:val="pt-BR"/>
        </w:rPr>
        <w:t>ոլորտում</w:t>
      </w:r>
      <w:r w:rsidRPr="009A7904">
        <w:rPr>
          <w:bCs/>
          <w:lang w:val="pt-BR"/>
        </w:rPr>
        <w:t xml:space="preserve"> </w:t>
      </w:r>
      <w:r w:rsidRPr="009A7904">
        <w:rPr>
          <w:rFonts w:cs="Sylfaen"/>
          <w:bCs/>
          <w:lang w:val="pt-BR"/>
        </w:rPr>
        <w:t>գործող</w:t>
      </w:r>
      <w:r w:rsidRPr="009A7904">
        <w:rPr>
          <w:bCs/>
          <w:lang w:val="pt-BR"/>
        </w:rPr>
        <w:t xml:space="preserve"> </w:t>
      </w:r>
      <w:r w:rsidRPr="009A7904">
        <w:rPr>
          <w:rFonts w:cs="Sylfaen"/>
          <w:bCs/>
          <w:lang w:val="pt-BR"/>
        </w:rPr>
        <w:t>միջազգային</w:t>
      </w:r>
      <w:r w:rsidRPr="009A7904">
        <w:rPr>
          <w:bCs/>
          <w:lang w:val="pt-BR"/>
        </w:rPr>
        <w:t xml:space="preserve"> </w:t>
      </w:r>
      <w:r w:rsidRPr="009A7904">
        <w:rPr>
          <w:rFonts w:cs="Sylfaen"/>
          <w:bCs/>
          <w:lang w:val="pt-BR"/>
        </w:rPr>
        <w:t>կառույցների</w:t>
      </w:r>
      <w:r w:rsidRPr="009A7904">
        <w:rPr>
          <w:bCs/>
          <w:lang w:val="pt-BR"/>
        </w:rPr>
        <w:t xml:space="preserve"> </w:t>
      </w:r>
      <w:r w:rsidRPr="009A7904">
        <w:rPr>
          <w:rFonts w:cs="Sylfaen"/>
          <w:bCs/>
          <w:lang w:val="pt-BR"/>
        </w:rPr>
        <w:t>հետ</w:t>
      </w:r>
      <w:r w:rsidRPr="009A7904">
        <w:rPr>
          <w:bCs/>
          <w:lang w:val="pt-BR"/>
        </w:rPr>
        <w:t xml:space="preserve"> </w:t>
      </w:r>
      <w:r w:rsidRPr="009A7904">
        <w:rPr>
          <w:rFonts w:cs="Sylfaen"/>
          <w:bCs/>
          <w:lang w:val="pt-BR"/>
        </w:rPr>
        <w:t>շարունակական</w:t>
      </w:r>
      <w:r w:rsidRPr="009A7904">
        <w:rPr>
          <w:bCs/>
          <w:lang w:val="pt-BR"/>
        </w:rPr>
        <w:t xml:space="preserve"> </w:t>
      </w:r>
      <w:r w:rsidRPr="009A7904">
        <w:rPr>
          <w:rFonts w:cs="Sylfaen"/>
          <w:bCs/>
          <w:lang w:val="pt-BR"/>
        </w:rPr>
        <w:t>համագործակցության</w:t>
      </w:r>
      <w:r w:rsidRPr="009A7904">
        <w:rPr>
          <w:bCs/>
          <w:lang w:val="pt-BR"/>
        </w:rPr>
        <w:t xml:space="preserve"> </w:t>
      </w:r>
      <w:r w:rsidRPr="009A7904">
        <w:rPr>
          <w:rFonts w:cs="Sylfaen"/>
          <w:bCs/>
          <w:lang w:val="pt-BR"/>
        </w:rPr>
        <w:t>ապահովումը</w:t>
      </w:r>
      <w:r w:rsidRPr="009A7904">
        <w:rPr>
          <w:bCs/>
          <w:lang w:val="pt-BR"/>
        </w:rPr>
        <w:t>,</w:t>
      </w:r>
    </w:p>
    <w:p w14:paraId="26AB8260" w14:textId="77777777" w:rsidR="009D2825" w:rsidRPr="009A7904" w:rsidRDefault="009D2825" w:rsidP="009A7904">
      <w:pPr>
        <w:spacing w:after="0" w:line="276" w:lineRule="auto"/>
        <w:rPr>
          <w:bCs/>
          <w:lang w:val="pt-BR"/>
        </w:rPr>
      </w:pPr>
      <w:r w:rsidRPr="009A7904">
        <w:rPr>
          <w:bCs/>
          <w:lang w:val="pt-BR"/>
        </w:rPr>
        <w:t xml:space="preserve">- </w:t>
      </w:r>
      <w:r w:rsidRPr="009A7904">
        <w:rPr>
          <w:rFonts w:cs="Sylfaen"/>
          <w:bCs/>
          <w:lang w:val="pt-BR"/>
        </w:rPr>
        <w:t>բնապահպանական</w:t>
      </w:r>
      <w:r w:rsidRPr="009A7904">
        <w:rPr>
          <w:bCs/>
          <w:lang w:val="pt-BR"/>
        </w:rPr>
        <w:t xml:space="preserve"> </w:t>
      </w:r>
      <w:r w:rsidRPr="009A7904">
        <w:rPr>
          <w:rFonts w:cs="Sylfaen"/>
          <w:bCs/>
          <w:lang w:val="pt-BR"/>
        </w:rPr>
        <w:t>օրենսդրության</w:t>
      </w:r>
      <w:r w:rsidRPr="009A7904">
        <w:rPr>
          <w:bCs/>
          <w:lang w:val="pt-BR"/>
        </w:rPr>
        <w:t xml:space="preserve"> </w:t>
      </w:r>
      <w:r w:rsidRPr="009A7904">
        <w:rPr>
          <w:rFonts w:cs="Sylfaen"/>
          <w:bCs/>
          <w:lang w:val="pt-BR"/>
        </w:rPr>
        <w:t>ներդաշնակեցումը</w:t>
      </w:r>
      <w:r w:rsidRPr="009A7904">
        <w:rPr>
          <w:bCs/>
          <w:lang w:val="pt-BR"/>
        </w:rPr>
        <w:t xml:space="preserve"> </w:t>
      </w:r>
      <w:r w:rsidRPr="009A7904">
        <w:rPr>
          <w:rFonts w:cs="Sylfaen"/>
          <w:bCs/>
          <w:lang w:val="pt-BR"/>
        </w:rPr>
        <w:t>ՀՀ</w:t>
      </w:r>
      <w:r w:rsidRPr="009A7904">
        <w:rPr>
          <w:bCs/>
          <w:lang w:val="pt-BR"/>
        </w:rPr>
        <w:t>-</w:t>
      </w:r>
      <w:r w:rsidRPr="009A7904">
        <w:rPr>
          <w:rFonts w:cs="Sylfaen"/>
          <w:bCs/>
          <w:lang w:val="pt-BR"/>
        </w:rPr>
        <w:t>ԵՄ</w:t>
      </w:r>
      <w:r w:rsidRPr="009A7904">
        <w:rPr>
          <w:bCs/>
          <w:lang w:val="pt-BR"/>
        </w:rPr>
        <w:t xml:space="preserve"> </w:t>
      </w:r>
      <w:r w:rsidRPr="009A7904">
        <w:rPr>
          <w:rFonts w:cs="Sylfaen"/>
          <w:bCs/>
          <w:lang w:val="pt-BR"/>
        </w:rPr>
        <w:t>համապարփակ</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ընդլայնված</w:t>
      </w:r>
      <w:r w:rsidRPr="009A7904">
        <w:rPr>
          <w:bCs/>
          <w:lang w:val="pt-BR"/>
        </w:rPr>
        <w:t xml:space="preserve"> </w:t>
      </w:r>
      <w:r w:rsidRPr="009A7904">
        <w:rPr>
          <w:rFonts w:cs="Sylfaen"/>
          <w:bCs/>
          <w:lang w:val="pt-BR"/>
        </w:rPr>
        <w:t>գործընկերության</w:t>
      </w:r>
      <w:r w:rsidRPr="009A7904">
        <w:rPr>
          <w:bCs/>
          <w:lang w:val="pt-BR"/>
        </w:rPr>
        <w:t xml:space="preserve"> </w:t>
      </w:r>
      <w:r w:rsidRPr="009A7904">
        <w:rPr>
          <w:rFonts w:cs="Sylfaen"/>
          <w:bCs/>
          <w:lang w:val="pt-BR"/>
        </w:rPr>
        <w:t>համաձայնագրի</w:t>
      </w:r>
      <w:r w:rsidRPr="009A7904">
        <w:rPr>
          <w:bCs/>
          <w:lang w:val="pt-BR"/>
        </w:rPr>
        <w:t xml:space="preserve"> </w:t>
      </w:r>
      <w:r w:rsidRPr="009A7904">
        <w:rPr>
          <w:rFonts w:cs="Sylfaen"/>
          <w:bCs/>
          <w:lang w:val="pt-BR"/>
        </w:rPr>
        <w:t>դիրեկտիվներին</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այդ</w:t>
      </w:r>
      <w:r w:rsidRPr="009A7904">
        <w:rPr>
          <w:bCs/>
          <w:lang w:val="pt-BR"/>
        </w:rPr>
        <w:t xml:space="preserve"> </w:t>
      </w:r>
      <w:r w:rsidRPr="009A7904">
        <w:rPr>
          <w:rFonts w:cs="Sylfaen"/>
          <w:bCs/>
          <w:lang w:val="pt-BR"/>
        </w:rPr>
        <w:t>համատեքստում</w:t>
      </w:r>
      <w:r w:rsidRPr="009A7904">
        <w:rPr>
          <w:bCs/>
          <w:lang w:val="pt-BR"/>
        </w:rPr>
        <w:t xml:space="preserve"> </w:t>
      </w:r>
      <w:r w:rsidRPr="009A7904">
        <w:rPr>
          <w:rFonts w:cs="Sylfaen"/>
          <w:bCs/>
          <w:lang w:val="pt-BR"/>
        </w:rPr>
        <w:t>միջազգային</w:t>
      </w:r>
      <w:r w:rsidRPr="009A7904">
        <w:rPr>
          <w:bCs/>
          <w:lang w:val="pt-BR"/>
        </w:rPr>
        <w:t xml:space="preserve"> </w:t>
      </w:r>
      <w:r w:rsidRPr="009A7904">
        <w:rPr>
          <w:rFonts w:cs="Sylfaen"/>
          <w:bCs/>
          <w:lang w:val="pt-BR"/>
        </w:rPr>
        <w:t>համագործակցության</w:t>
      </w:r>
      <w:r w:rsidRPr="009A7904">
        <w:rPr>
          <w:bCs/>
          <w:lang w:val="pt-BR"/>
        </w:rPr>
        <w:t xml:space="preserve"> </w:t>
      </w:r>
      <w:r w:rsidRPr="009A7904">
        <w:rPr>
          <w:rFonts w:cs="Sylfaen"/>
          <w:bCs/>
          <w:lang w:val="pt-BR"/>
        </w:rPr>
        <w:t>ընդլայնումը՝</w:t>
      </w:r>
      <w:r w:rsidRPr="009A7904">
        <w:rPr>
          <w:bCs/>
          <w:lang w:val="pt-BR"/>
        </w:rPr>
        <w:t xml:space="preserve"> </w:t>
      </w:r>
      <w:r w:rsidRPr="009A7904">
        <w:rPr>
          <w:rFonts w:cs="Sylfaen"/>
          <w:bCs/>
          <w:lang w:val="pt-BR"/>
        </w:rPr>
        <w:t>ճանապարհային</w:t>
      </w:r>
      <w:r w:rsidRPr="009A7904">
        <w:rPr>
          <w:bCs/>
          <w:lang w:val="pt-BR"/>
        </w:rPr>
        <w:t xml:space="preserve"> </w:t>
      </w:r>
      <w:r w:rsidRPr="009A7904">
        <w:rPr>
          <w:rFonts w:cs="Sylfaen"/>
          <w:bCs/>
          <w:lang w:val="pt-BR"/>
        </w:rPr>
        <w:t>քարտեզով</w:t>
      </w:r>
      <w:r w:rsidRPr="009A7904">
        <w:rPr>
          <w:bCs/>
          <w:lang w:val="pt-BR"/>
        </w:rPr>
        <w:t xml:space="preserve"> </w:t>
      </w:r>
      <w:r w:rsidRPr="009A7904">
        <w:rPr>
          <w:rFonts w:cs="Sylfaen"/>
          <w:bCs/>
          <w:lang w:val="pt-BR"/>
        </w:rPr>
        <w:t>նախանշված</w:t>
      </w:r>
      <w:r w:rsidRPr="009A7904">
        <w:rPr>
          <w:bCs/>
          <w:lang w:val="pt-BR"/>
        </w:rPr>
        <w:t xml:space="preserve"> </w:t>
      </w:r>
      <w:r w:rsidRPr="009A7904">
        <w:rPr>
          <w:rFonts w:cs="Sylfaen"/>
          <w:bCs/>
          <w:lang w:val="pt-BR"/>
        </w:rPr>
        <w:t>գործողությունների</w:t>
      </w:r>
      <w:r w:rsidRPr="009A7904">
        <w:rPr>
          <w:bCs/>
          <w:lang w:val="pt-BR"/>
        </w:rPr>
        <w:t xml:space="preserve"> </w:t>
      </w:r>
      <w:r w:rsidRPr="009A7904">
        <w:rPr>
          <w:rFonts w:cs="Sylfaen"/>
          <w:bCs/>
          <w:lang w:val="pt-BR"/>
        </w:rPr>
        <w:t>իրականացման</w:t>
      </w:r>
      <w:r w:rsidRPr="009A7904">
        <w:rPr>
          <w:bCs/>
          <w:lang w:val="pt-BR"/>
        </w:rPr>
        <w:t xml:space="preserve"> </w:t>
      </w:r>
      <w:r w:rsidRPr="009A7904">
        <w:rPr>
          <w:rFonts w:cs="Sylfaen"/>
          <w:bCs/>
          <w:lang w:val="pt-BR"/>
        </w:rPr>
        <w:t>արդյունավետության</w:t>
      </w:r>
      <w:r w:rsidRPr="009A7904">
        <w:rPr>
          <w:bCs/>
          <w:lang w:val="pt-BR"/>
        </w:rPr>
        <w:t xml:space="preserve"> </w:t>
      </w:r>
      <w:r w:rsidRPr="009A7904">
        <w:rPr>
          <w:rFonts w:cs="Sylfaen"/>
          <w:bCs/>
          <w:lang w:val="pt-BR"/>
        </w:rPr>
        <w:t>բարձրացման</w:t>
      </w:r>
      <w:r w:rsidRPr="009A7904">
        <w:rPr>
          <w:bCs/>
          <w:lang w:val="pt-BR"/>
        </w:rPr>
        <w:t xml:space="preserve"> </w:t>
      </w:r>
      <w:r w:rsidRPr="009A7904">
        <w:rPr>
          <w:rFonts w:cs="Sylfaen"/>
          <w:bCs/>
          <w:lang w:val="pt-BR"/>
        </w:rPr>
        <w:t>նպատակով</w:t>
      </w:r>
      <w:r w:rsidRPr="009A7904">
        <w:rPr>
          <w:bCs/>
          <w:lang w:val="pt-BR"/>
        </w:rPr>
        <w:t xml:space="preserve">, </w:t>
      </w:r>
    </w:p>
    <w:p w14:paraId="1CB57751" w14:textId="77777777" w:rsidR="009D2825" w:rsidRPr="009A7904" w:rsidRDefault="009D2825" w:rsidP="009A7904">
      <w:pPr>
        <w:spacing w:after="0" w:line="276" w:lineRule="auto"/>
        <w:rPr>
          <w:bCs/>
          <w:lang w:val="pt-BR"/>
        </w:rPr>
      </w:pPr>
      <w:r w:rsidRPr="009A7904">
        <w:rPr>
          <w:bCs/>
          <w:lang w:val="pt-BR"/>
        </w:rPr>
        <w:t>-</w:t>
      </w:r>
      <w:r w:rsidRPr="009A7904">
        <w:rPr>
          <w:rFonts w:cs="Sylfaen"/>
          <w:bCs/>
          <w:lang w:val="pt-BR"/>
        </w:rPr>
        <w:t>անտառներում</w:t>
      </w:r>
      <w:r w:rsidRPr="009A7904">
        <w:rPr>
          <w:bCs/>
          <w:lang w:val="pt-BR"/>
        </w:rPr>
        <w:t xml:space="preserve"> </w:t>
      </w:r>
      <w:r w:rsidRPr="009A7904">
        <w:rPr>
          <w:rFonts w:cs="Sylfaen"/>
          <w:bCs/>
          <w:lang w:val="pt-BR"/>
        </w:rPr>
        <w:t>և</w:t>
      </w:r>
      <w:r w:rsidRPr="009A7904">
        <w:rPr>
          <w:bCs/>
          <w:lang w:val="pt-BR"/>
        </w:rPr>
        <w:t xml:space="preserve"> </w:t>
      </w:r>
      <w:r w:rsidRPr="009A7904">
        <w:rPr>
          <w:rFonts w:cs="Sylfaen"/>
          <w:bCs/>
          <w:lang w:val="pt-BR"/>
        </w:rPr>
        <w:t>բնության</w:t>
      </w:r>
      <w:r w:rsidRPr="009A7904">
        <w:rPr>
          <w:bCs/>
          <w:lang w:val="pt-BR"/>
        </w:rPr>
        <w:t xml:space="preserve"> </w:t>
      </w:r>
      <w:r w:rsidRPr="009A7904">
        <w:rPr>
          <w:rFonts w:cs="Sylfaen"/>
          <w:bCs/>
          <w:lang w:val="pt-BR"/>
        </w:rPr>
        <w:t>հատուկ</w:t>
      </w:r>
      <w:r w:rsidRPr="009A7904">
        <w:rPr>
          <w:bCs/>
          <w:lang w:val="pt-BR"/>
        </w:rPr>
        <w:t xml:space="preserve"> </w:t>
      </w:r>
      <w:r w:rsidRPr="009A7904">
        <w:rPr>
          <w:rFonts w:cs="Sylfaen"/>
          <w:bCs/>
          <w:lang w:val="pt-BR"/>
        </w:rPr>
        <w:t>պահպանվող</w:t>
      </w:r>
      <w:r w:rsidRPr="009A7904">
        <w:rPr>
          <w:bCs/>
          <w:lang w:val="pt-BR"/>
        </w:rPr>
        <w:t xml:space="preserve"> </w:t>
      </w:r>
      <w:r w:rsidRPr="009A7904">
        <w:rPr>
          <w:rFonts w:cs="Sylfaen"/>
          <w:bCs/>
          <w:lang w:val="pt-BR"/>
        </w:rPr>
        <w:t>տարածքներում</w:t>
      </w:r>
      <w:r w:rsidRPr="009A7904">
        <w:rPr>
          <w:bCs/>
          <w:lang w:val="pt-BR"/>
        </w:rPr>
        <w:t xml:space="preserve"> </w:t>
      </w:r>
      <w:r w:rsidRPr="009A7904">
        <w:rPr>
          <w:rFonts w:cs="Sylfaen"/>
          <w:bCs/>
          <w:lang w:val="pt-BR"/>
        </w:rPr>
        <w:t>էկոտուրիզմի</w:t>
      </w:r>
      <w:r w:rsidRPr="009A7904">
        <w:rPr>
          <w:bCs/>
          <w:lang w:val="pt-BR"/>
        </w:rPr>
        <w:t xml:space="preserve"> </w:t>
      </w:r>
      <w:r w:rsidRPr="009A7904">
        <w:rPr>
          <w:rFonts w:cs="Sylfaen"/>
          <w:bCs/>
          <w:lang w:val="pt-BR"/>
        </w:rPr>
        <w:t>զարգացումը</w:t>
      </w:r>
      <w:r w:rsidRPr="009A7904">
        <w:rPr>
          <w:bCs/>
          <w:lang w:val="pt-BR"/>
        </w:rPr>
        <w:t xml:space="preserve">, </w:t>
      </w:r>
    </w:p>
    <w:p w14:paraId="78AF1B1D" w14:textId="77777777" w:rsidR="009D2825" w:rsidRPr="009A7904" w:rsidRDefault="009D2825" w:rsidP="009A7904">
      <w:pPr>
        <w:spacing w:after="0" w:line="276" w:lineRule="auto"/>
        <w:rPr>
          <w:bCs/>
          <w:lang w:val="pt-BR"/>
        </w:rPr>
      </w:pPr>
      <w:r w:rsidRPr="009A7904">
        <w:rPr>
          <w:bCs/>
          <w:lang w:val="pt-BR"/>
        </w:rPr>
        <w:t xml:space="preserve">- </w:t>
      </w:r>
      <w:r w:rsidRPr="009A7904">
        <w:rPr>
          <w:rFonts w:cs="Sylfaen"/>
          <w:bCs/>
          <w:lang w:val="pt-BR"/>
        </w:rPr>
        <w:t>էկոլոգիական</w:t>
      </w:r>
      <w:r w:rsidRPr="009A7904">
        <w:rPr>
          <w:bCs/>
          <w:lang w:val="pt-BR"/>
        </w:rPr>
        <w:t xml:space="preserve"> </w:t>
      </w:r>
      <w:r w:rsidRPr="009A7904">
        <w:rPr>
          <w:rFonts w:cs="Sylfaen"/>
          <w:bCs/>
          <w:lang w:val="pt-BR"/>
        </w:rPr>
        <w:t>իրազեկման</w:t>
      </w:r>
      <w:r w:rsidRPr="009A7904">
        <w:rPr>
          <w:bCs/>
          <w:lang w:val="pt-BR"/>
        </w:rPr>
        <w:t xml:space="preserve">, </w:t>
      </w:r>
      <w:r w:rsidRPr="009A7904">
        <w:rPr>
          <w:rFonts w:cs="Sylfaen"/>
          <w:bCs/>
          <w:lang w:val="pt-BR"/>
        </w:rPr>
        <w:t>էկոկրթության</w:t>
      </w:r>
      <w:r w:rsidRPr="009A7904">
        <w:rPr>
          <w:bCs/>
          <w:lang w:val="pt-BR"/>
        </w:rPr>
        <w:t xml:space="preserve">, </w:t>
      </w:r>
      <w:r w:rsidRPr="009A7904">
        <w:rPr>
          <w:rFonts w:cs="Sylfaen"/>
          <w:bCs/>
          <w:lang w:val="pt-BR"/>
        </w:rPr>
        <w:t>մշակույթի</w:t>
      </w:r>
      <w:r w:rsidRPr="009A7904">
        <w:rPr>
          <w:bCs/>
          <w:lang w:val="pt-BR"/>
        </w:rPr>
        <w:t xml:space="preserve">, </w:t>
      </w:r>
      <w:r w:rsidRPr="009A7904">
        <w:rPr>
          <w:rFonts w:cs="Sylfaen"/>
          <w:bCs/>
          <w:lang w:val="pt-BR"/>
        </w:rPr>
        <w:t>դաստիարակության</w:t>
      </w:r>
      <w:r w:rsidRPr="009A7904">
        <w:rPr>
          <w:bCs/>
          <w:lang w:val="pt-BR"/>
        </w:rPr>
        <w:t xml:space="preserve"> </w:t>
      </w:r>
      <w:r w:rsidRPr="009A7904">
        <w:rPr>
          <w:rFonts w:cs="Sylfaen"/>
          <w:bCs/>
          <w:lang w:val="pt-BR"/>
        </w:rPr>
        <w:t>լայնածավալ</w:t>
      </w:r>
      <w:r w:rsidRPr="009A7904">
        <w:rPr>
          <w:bCs/>
          <w:lang w:val="pt-BR"/>
        </w:rPr>
        <w:t xml:space="preserve"> </w:t>
      </w:r>
      <w:r w:rsidRPr="009A7904">
        <w:rPr>
          <w:rFonts w:cs="Sylfaen"/>
          <w:bCs/>
          <w:lang w:val="pt-BR"/>
        </w:rPr>
        <w:t>միջոցառումների</w:t>
      </w:r>
      <w:r w:rsidRPr="009A7904">
        <w:rPr>
          <w:bCs/>
          <w:lang w:val="pt-BR"/>
        </w:rPr>
        <w:t xml:space="preserve"> </w:t>
      </w:r>
      <w:r w:rsidRPr="009A7904">
        <w:rPr>
          <w:rFonts w:cs="Sylfaen"/>
          <w:bCs/>
          <w:lang w:val="pt-BR"/>
        </w:rPr>
        <w:t>իրականացումը</w:t>
      </w:r>
      <w:r w:rsidRPr="009A7904">
        <w:rPr>
          <w:bCs/>
          <w:lang w:val="pt-BR"/>
        </w:rPr>
        <w:t xml:space="preserve">, </w:t>
      </w:r>
      <w:r w:rsidRPr="009A7904">
        <w:rPr>
          <w:rFonts w:cs="Sylfaen"/>
          <w:bCs/>
          <w:lang w:val="pt-BR"/>
        </w:rPr>
        <w:t>էկոլոգիական</w:t>
      </w:r>
      <w:r w:rsidRPr="009A7904">
        <w:rPr>
          <w:bCs/>
          <w:lang w:val="pt-BR"/>
        </w:rPr>
        <w:t xml:space="preserve"> </w:t>
      </w:r>
      <w:r w:rsidRPr="009A7904">
        <w:rPr>
          <w:rFonts w:cs="Sylfaen"/>
          <w:bCs/>
          <w:lang w:val="pt-BR"/>
        </w:rPr>
        <w:t>գիտության</w:t>
      </w:r>
      <w:r w:rsidRPr="009A7904">
        <w:rPr>
          <w:bCs/>
          <w:lang w:val="pt-BR"/>
        </w:rPr>
        <w:t xml:space="preserve"> </w:t>
      </w:r>
      <w:r w:rsidRPr="009A7904">
        <w:rPr>
          <w:rFonts w:cs="Sylfaen"/>
          <w:bCs/>
          <w:lang w:val="pt-BR"/>
        </w:rPr>
        <w:t>դերի</w:t>
      </w:r>
      <w:r w:rsidRPr="009A7904">
        <w:rPr>
          <w:bCs/>
          <w:lang w:val="pt-BR"/>
        </w:rPr>
        <w:t xml:space="preserve"> </w:t>
      </w:r>
      <w:r w:rsidRPr="009A7904">
        <w:rPr>
          <w:rFonts w:cs="Sylfaen"/>
          <w:bCs/>
          <w:lang w:val="pt-BR"/>
        </w:rPr>
        <w:t>բարձրացումը։</w:t>
      </w:r>
    </w:p>
    <w:p w14:paraId="70B02CAE" w14:textId="77777777" w:rsidR="009D2825" w:rsidRPr="009A7904" w:rsidRDefault="009D2825" w:rsidP="009A7904">
      <w:pPr>
        <w:spacing w:line="276" w:lineRule="auto"/>
        <w:rPr>
          <w:bCs/>
          <w:lang w:val="pt-BR"/>
        </w:rPr>
      </w:pPr>
      <w:r w:rsidRPr="009A7904">
        <w:rPr>
          <w:rFonts w:cs="Sylfaen"/>
          <w:bCs/>
          <w:lang w:val="pt-BR"/>
        </w:rPr>
        <w:t>Վերոհիշյալ</w:t>
      </w:r>
      <w:r w:rsidRPr="009A7904">
        <w:rPr>
          <w:bCs/>
          <w:lang w:val="pt-BR"/>
        </w:rPr>
        <w:t xml:space="preserve"> </w:t>
      </w:r>
      <w:r w:rsidRPr="009A7904">
        <w:rPr>
          <w:rFonts w:cs="Sylfaen"/>
          <w:bCs/>
          <w:lang w:val="pt-BR"/>
        </w:rPr>
        <w:t>ուղղությունները</w:t>
      </w:r>
      <w:r w:rsidRPr="009A7904">
        <w:rPr>
          <w:bCs/>
          <w:lang w:val="pt-BR"/>
        </w:rPr>
        <w:t xml:space="preserve"> (</w:t>
      </w:r>
      <w:r w:rsidRPr="009A7904">
        <w:rPr>
          <w:rFonts w:cs="Sylfaen"/>
          <w:bCs/>
          <w:lang w:val="pt-BR"/>
        </w:rPr>
        <w:t>թիրախները</w:t>
      </w:r>
      <w:r w:rsidRPr="009A7904">
        <w:rPr>
          <w:bCs/>
          <w:lang w:val="pt-BR"/>
        </w:rPr>
        <w:t xml:space="preserve">) </w:t>
      </w:r>
      <w:r w:rsidRPr="009A7904">
        <w:rPr>
          <w:rFonts w:cs="Sylfaen"/>
          <w:bCs/>
          <w:lang w:val="pt-BR"/>
        </w:rPr>
        <w:t>բխում</w:t>
      </w:r>
      <w:r w:rsidRPr="009A7904">
        <w:rPr>
          <w:bCs/>
          <w:lang w:val="pt-BR"/>
        </w:rPr>
        <w:t xml:space="preserve"> </w:t>
      </w:r>
      <w:r w:rsidRPr="009A7904">
        <w:rPr>
          <w:rFonts w:cs="Sylfaen"/>
          <w:bCs/>
          <w:lang w:val="pt-BR"/>
        </w:rPr>
        <w:t>են</w:t>
      </w:r>
      <w:r w:rsidRPr="009A7904">
        <w:rPr>
          <w:bCs/>
          <w:lang w:val="pt-BR"/>
        </w:rPr>
        <w:t xml:space="preserve"> </w:t>
      </w:r>
      <w:r w:rsidRPr="009A7904">
        <w:rPr>
          <w:rFonts w:cs="Sylfaen"/>
          <w:bCs/>
          <w:lang w:val="pt-BR"/>
        </w:rPr>
        <w:t>ՀՀ</w:t>
      </w:r>
      <w:r w:rsidRPr="009A7904">
        <w:rPr>
          <w:bCs/>
          <w:lang w:val="pt-BR"/>
        </w:rPr>
        <w:t xml:space="preserve"> </w:t>
      </w:r>
      <w:r w:rsidRPr="009A7904">
        <w:rPr>
          <w:rFonts w:cs="Sylfaen"/>
          <w:bCs/>
          <w:lang w:val="pt-BR"/>
        </w:rPr>
        <w:t>կառավարության</w:t>
      </w:r>
      <w:r w:rsidRPr="009A7904">
        <w:rPr>
          <w:bCs/>
          <w:lang w:val="pt-BR"/>
        </w:rPr>
        <w:t xml:space="preserve"> 2019</w:t>
      </w:r>
      <w:r w:rsidRPr="009A7904">
        <w:rPr>
          <w:rFonts w:cs="Sylfaen"/>
          <w:bCs/>
          <w:lang w:val="pt-BR"/>
        </w:rPr>
        <w:t>թ</w:t>
      </w:r>
      <w:r w:rsidRPr="009A7904">
        <w:rPr>
          <w:bCs/>
          <w:lang w:val="pt-BR"/>
        </w:rPr>
        <w:t xml:space="preserve"> </w:t>
      </w:r>
      <w:r w:rsidRPr="009A7904">
        <w:rPr>
          <w:rFonts w:cs="Sylfaen"/>
          <w:bCs/>
          <w:lang w:val="pt-BR"/>
        </w:rPr>
        <w:t>փետրվարի</w:t>
      </w:r>
      <w:r w:rsidRPr="009A7904">
        <w:rPr>
          <w:bCs/>
          <w:lang w:val="pt-BR"/>
        </w:rPr>
        <w:t xml:space="preserve"> 8-</w:t>
      </w:r>
      <w:r w:rsidRPr="009A7904">
        <w:rPr>
          <w:rFonts w:cs="Sylfaen"/>
          <w:bCs/>
          <w:lang w:val="pt-BR"/>
        </w:rPr>
        <w:t>ի</w:t>
      </w:r>
      <w:r w:rsidRPr="009A7904">
        <w:rPr>
          <w:bCs/>
          <w:lang w:val="pt-BR"/>
        </w:rPr>
        <w:t xml:space="preserve"> N 65-</w:t>
      </w:r>
      <w:r w:rsidRPr="009A7904">
        <w:rPr>
          <w:rFonts w:cs="Sylfaen"/>
          <w:bCs/>
          <w:lang w:val="pt-BR"/>
        </w:rPr>
        <w:t>Ա</w:t>
      </w:r>
      <w:r w:rsidRPr="009A7904">
        <w:rPr>
          <w:bCs/>
          <w:lang w:val="pt-BR"/>
        </w:rPr>
        <w:t xml:space="preserve"> </w:t>
      </w:r>
      <w:r w:rsidRPr="009A7904">
        <w:rPr>
          <w:rFonts w:cs="Sylfaen"/>
          <w:bCs/>
          <w:lang w:val="pt-BR"/>
        </w:rPr>
        <w:t>որոշմամբ</w:t>
      </w:r>
      <w:r w:rsidRPr="009A7904">
        <w:rPr>
          <w:bCs/>
          <w:lang w:val="pt-BR"/>
        </w:rPr>
        <w:t xml:space="preserve"> </w:t>
      </w:r>
      <w:r w:rsidRPr="009A7904">
        <w:rPr>
          <w:rFonts w:cs="Sylfaen"/>
          <w:bCs/>
          <w:lang w:val="pt-BR"/>
        </w:rPr>
        <w:t>հավանության</w:t>
      </w:r>
      <w:r w:rsidRPr="009A7904">
        <w:rPr>
          <w:bCs/>
          <w:lang w:val="pt-BR"/>
        </w:rPr>
        <w:t xml:space="preserve"> </w:t>
      </w:r>
      <w:r w:rsidRPr="009A7904">
        <w:rPr>
          <w:rFonts w:cs="Sylfaen"/>
          <w:bCs/>
          <w:lang w:val="pt-BR"/>
        </w:rPr>
        <w:t>արժանացած</w:t>
      </w:r>
      <w:r w:rsidRPr="009A7904">
        <w:rPr>
          <w:bCs/>
          <w:lang w:val="pt-BR"/>
        </w:rPr>
        <w:t xml:space="preserve"> </w:t>
      </w:r>
      <w:r w:rsidRPr="009A7904">
        <w:rPr>
          <w:rFonts w:cs="Sylfaen"/>
          <w:bCs/>
          <w:lang w:val="pt-BR"/>
        </w:rPr>
        <w:t>ՀՀ</w:t>
      </w:r>
      <w:r w:rsidRPr="009A7904">
        <w:rPr>
          <w:bCs/>
          <w:lang w:val="pt-BR"/>
        </w:rPr>
        <w:t xml:space="preserve"> </w:t>
      </w:r>
      <w:r w:rsidRPr="009A7904">
        <w:rPr>
          <w:rFonts w:cs="Sylfaen"/>
          <w:bCs/>
          <w:lang w:val="pt-BR"/>
        </w:rPr>
        <w:t>կառավարության</w:t>
      </w:r>
      <w:r w:rsidRPr="009A7904">
        <w:rPr>
          <w:bCs/>
          <w:lang w:val="pt-BR"/>
        </w:rPr>
        <w:t xml:space="preserve"> </w:t>
      </w:r>
      <w:r w:rsidRPr="009A7904">
        <w:rPr>
          <w:rFonts w:cs="Sylfaen"/>
          <w:bCs/>
          <w:lang w:val="pt-BR"/>
        </w:rPr>
        <w:t>ծրագրի</w:t>
      </w:r>
      <w:r w:rsidRPr="009A7904">
        <w:rPr>
          <w:bCs/>
          <w:lang w:val="pt-BR"/>
        </w:rPr>
        <w:t xml:space="preserve"> 4.8 </w:t>
      </w:r>
      <w:r w:rsidRPr="009A7904">
        <w:rPr>
          <w:rFonts w:cs="Sylfaen"/>
          <w:bCs/>
          <w:lang w:val="pt-BR"/>
        </w:rPr>
        <w:t>կետում</w:t>
      </w:r>
      <w:r w:rsidRPr="009A7904">
        <w:rPr>
          <w:bCs/>
          <w:lang w:val="pt-BR"/>
        </w:rPr>
        <w:t xml:space="preserve"> (</w:t>
      </w:r>
      <w:r w:rsidRPr="009A7904">
        <w:rPr>
          <w:rFonts w:cs="Sylfaen"/>
          <w:bCs/>
          <w:lang w:val="pt-BR"/>
        </w:rPr>
        <w:t>Շրջակա</w:t>
      </w:r>
      <w:r w:rsidRPr="009A7904">
        <w:rPr>
          <w:bCs/>
          <w:lang w:val="pt-BR"/>
        </w:rPr>
        <w:t xml:space="preserve"> </w:t>
      </w:r>
      <w:r w:rsidRPr="009A7904">
        <w:rPr>
          <w:rFonts w:cs="Sylfaen"/>
          <w:bCs/>
          <w:lang w:val="pt-BR"/>
        </w:rPr>
        <w:t>միջավայրը</w:t>
      </w:r>
      <w:r w:rsidRPr="009A7904">
        <w:rPr>
          <w:bCs/>
          <w:lang w:val="pt-BR"/>
        </w:rPr>
        <w:t xml:space="preserve">) </w:t>
      </w:r>
      <w:r w:rsidRPr="009A7904">
        <w:rPr>
          <w:rFonts w:cs="Sylfaen"/>
          <w:bCs/>
          <w:lang w:val="pt-BR"/>
        </w:rPr>
        <w:t>ամրագրված</w:t>
      </w:r>
      <w:r w:rsidRPr="009A7904">
        <w:rPr>
          <w:bCs/>
          <w:lang w:val="pt-BR"/>
        </w:rPr>
        <w:t xml:space="preserve"> </w:t>
      </w:r>
      <w:r w:rsidRPr="009A7904">
        <w:rPr>
          <w:rFonts w:cs="Sylfaen"/>
          <w:bCs/>
          <w:lang w:val="pt-BR"/>
        </w:rPr>
        <w:t>առաջնահերթ</w:t>
      </w:r>
      <w:r w:rsidRPr="009A7904">
        <w:rPr>
          <w:bCs/>
          <w:lang w:val="pt-BR"/>
        </w:rPr>
        <w:t xml:space="preserve"> </w:t>
      </w:r>
      <w:r w:rsidRPr="009A7904">
        <w:rPr>
          <w:rFonts w:cs="Sylfaen"/>
          <w:bCs/>
          <w:lang w:val="pt-BR"/>
        </w:rPr>
        <w:t>ուղղություններից։</w:t>
      </w:r>
      <w:r w:rsidRPr="009A7904">
        <w:rPr>
          <w:bCs/>
          <w:lang w:val="pt-BR"/>
        </w:rPr>
        <w:t xml:space="preserve"> </w:t>
      </w:r>
    </w:p>
    <w:p w14:paraId="31AF06DF" w14:textId="77777777" w:rsidR="009D2825" w:rsidRPr="009A7904" w:rsidRDefault="009D2825" w:rsidP="009A7904">
      <w:pPr>
        <w:spacing w:after="0" w:line="276" w:lineRule="auto"/>
        <w:rPr>
          <w:b/>
          <w:bCs/>
          <w:lang w:val="pt-BR"/>
        </w:rPr>
      </w:pPr>
      <w:bookmarkStart w:id="326" w:name="_Toc13837351"/>
      <w:r w:rsidRPr="009A7904">
        <w:rPr>
          <w:b/>
          <w:bCs/>
          <w:lang w:val="pt-BR"/>
        </w:rPr>
        <w:lastRenderedPageBreak/>
        <w:t xml:space="preserve">ՈԼՈՐՏԱՅԻՆ ԾԱԽՍԱՅԻՆ ԾՐԱԳՐԵՐԸ </w:t>
      </w:r>
      <w:bookmarkEnd w:id="326"/>
    </w:p>
    <w:p w14:paraId="22A77600" w14:textId="77777777" w:rsidR="009D2825" w:rsidRPr="009A7904" w:rsidRDefault="009D2825" w:rsidP="009A7904">
      <w:pPr>
        <w:spacing w:line="276" w:lineRule="auto"/>
        <w:rPr>
          <w:b/>
          <w:lang w:val="pt-BR"/>
        </w:rPr>
      </w:pPr>
      <w:r w:rsidRPr="009A7904">
        <w:rPr>
          <w:b/>
          <w:lang w:val="pt-BR"/>
        </w:rPr>
        <w:t xml:space="preserve">1. </w:t>
      </w:r>
      <w:r w:rsidRPr="009A7904">
        <w:rPr>
          <w:b/>
        </w:rPr>
        <w:t></w:t>
      </w:r>
      <w:r w:rsidRPr="009A7904">
        <w:rPr>
          <w:b/>
          <w:lang w:val="hy-AM"/>
        </w:rPr>
        <w:t>Շրջակա միջավայրի վրա ազդեցության գնահատում և մոնիթորինգ</w:t>
      </w:r>
      <w:r w:rsidRPr="009A7904">
        <w:rPr>
          <w:b/>
        </w:rPr>
        <w:t></w:t>
      </w:r>
      <w:r w:rsidRPr="009A7904">
        <w:rPr>
          <w:b/>
          <w:lang w:val="pt-BR"/>
        </w:rPr>
        <w:t xml:space="preserve"> </w:t>
      </w:r>
      <w:r w:rsidRPr="009A7904">
        <w:rPr>
          <w:b/>
        </w:rPr>
        <w:t>ծրագիր</w:t>
      </w:r>
      <w:r w:rsidRPr="009A7904">
        <w:rPr>
          <w:b/>
          <w:lang w:val="pt-BR"/>
        </w:rPr>
        <w:t>.</w:t>
      </w:r>
    </w:p>
    <w:p w14:paraId="0D66A170" w14:textId="77777777" w:rsidR="009D2825" w:rsidRPr="009A7904" w:rsidRDefault="009D2825" w:rsidP="009A7904">
      <w:pPr>
        <w:spacing w:line="276" w:lineRule="auto"/>
        <w:rPr>
          <w:lang w:val="pt-BR"/>
        </w:rPr>
      </w:pPr>
      <w:r w:rsidRPr="009A7904">
        <w:t>Ծրագրի</w:t>
      </w:r>
      <w:r w:rsidRPr="009A7904">
        <w:rPr>
          <w:lang w:val="pt-BR"/>
        </w:rPr>
        <w:t xml:space="preserve"> </w:t>
      </w:r>
      <w:r w:rsidRPr="009A7904">
        <w:t>նպատակն</w:t>
      </w:r>
      <w:r w:rsidRPr="009A7904">
        <w:rPr>
          <w:lang w:val="pt-BR"/>
        </w:rPr>
        <w:t xml:space="preserve"> </w:t>
      </w:r>
      <w:r w:rsidRPr="009A7904">
        <w:t>է՝</w:t>
      </w:r>
      <w:r w:rsidRPr="009A7904">
        <w:rPr>
          <w:lang w:val="pt-BR"/>
        </w:rPr>
        <w:t xml:space="preserve"> </w:t>
      </w:r>
      <w:r w:rsidRPr="009A7904">
        <w:t>նպաստել</w:t>
      </w:r>
      <w:r w:rsidRPr="009A7904">
        <w:rPr>
          <w:lang w:val="pt-BR"/>
        </w:rPr>
        <w:t xml:space="preserve"> </w:t>
      </w:r>
      <w:r w:rsidRPr="009A7904">
        <w:t>շրջակա</w:t>
      </w:r>
      <w:r w:rsidRPr="009A7904">
        <w:rPr>
          <w:lang w:val="pt-BR"/>
        </w:rPr>
        <w:t xml:space="preserve"> </w:t>
      </w:r>
      <w:r w:rsidRPr="009A7904">
        <w:t>միջավայրի</w:t>
      </w:r>
      <w:r w:rsidRPr="009A7904">
        <w:rPr>
          <w:lang w:val="pt-BR"/>
        </w:rPr>
        <w:t xml:space="preserve"> </w:t>
      </w:r>
      <w:r w:rsidRPr="009A7904">
        <w:t>և</w:t>
      </w:r>
      <w:r w:rsidRPr="009A7904">
        <w:rPr>
          <w:lang w:val="pt-BR"/>
        </w:rPr>
        <w:t xml:space="preserve"> </w:t>
      </w:r>
      <w:r w:rsidRPr="009A7904">
        <w:t>բնական</w:t>
      </w:r>
      <w:r w:rsidRPr="009A7904">
        <w:rPr>
          <w:lang w:val="pt-BR"/>
        </w:rPr>
        <w:t xml:space="preserve"> </w:t>
      </w:r>
      <w:r w:rsidRPr="009A7904">
        <w:t>ռեսուրսների</w:t>
      </w:r>
      <w:r w:rsidRPr="009A7904">
        <w:rPr>
          <w:lang w:val="pt-BR"/>
        </w:rPr>
        <w:t xml:space="preserve"> (</w:t>
      </w:r>
      <w:r w:rsidRPr="009A7904">
        <w:t>բացառությամբ</w:t>
      </w:r>
      <w:r w:rsidRPr="009A7904">
        <w:rPr>
          <w:lang w:val="pt-BR"/>
        </w:rPr>
        <w:t xml:space="preserve"> </w:t>
      </w:r>
      <w:r w:rsidRPr="009A7904">
        <w:t>օգտակար</w:t>
      </w:r>
      <w:r w:rsidRPr="009A7904">
        <w:rPr>
          <w:lang w:val="pt-BR"/>
        </w:rPr>
        <w:t xml:space="preserve"> </w:t>
      </w:r>
      <w:r w:rsidRPr="009A7904">
        <w:t>հանածոների</w:t>
      </w:r>
      <w:r w:rsidRPr="009A7904">
        <w:rPr>
          <w:lang w:val="pt-BR"/>
        </w:rPr>
        <w:t xml:space="preserve">) </w:t>
      </w:r>
      <w:r w:rsidRPr="009A7904">
        <w:t>պահպանությանը</w:t>
      </w:r>
      <w:r w:rsidRPr="009A7904">
        <w:rPr>
          <w:lang w:val="pt-BR"/>
        </w:rPr>
        <w:t xml:space="preserve">: </w:t>
      </w:r>
      <w:r w:rsidRPr="009A7904">
        <w:t>Ծրագրի</w:t>
      </w:r>
      <w:r w:rsidRPr="009A7904">
        <w:rPr>
          <w:lang w:val="pt-BR"/>
        </w:rPr>
        <w:t xml:space="preserve"> </w:t>
      </w:r>
      <w:r w:rsidRPr="009A7904">
        <w:t>գծով</w:t>
      </w:r>
      <w:r w:rsidRPr="009A7904">
        <w:rPr>
          <w:lang w:val="pt-BR"/>
        </w:rPr>
        <w:t xml:space="preserve"> 2021-2023 </w:t>
      </w:r>
      <w:r w:rsidRPr="009A7904">
        <w:t>թվականների</w:t>
      </w:r>
      <w:r w:rsidRPr="009A7904">
        <w:rPr>
          <w:lang w:val="pt-BR"/>
        </w:rPr>
        <w:t xml:space="preserve"> </w:t>
      </w:r>
      <w:r w:rsidRPr="009A7904">
        <w:t>միջնաժամկետ</w:t>
      </w:r>
      <w:r w:rsidRPr="009A7904">
        <w:rPr>
          <w:lang w:val="pt-BR"/>
        </w:rPr>
        <w:t xml:space="preserve"> </w:t>
      </w:r>
      <w:r w:rsidRPr="009A7904">
        <w:t>շրջանում</w:t>
      </w:r>
      <w:r w:rsidRPr="009A7904">
        <w:rPr>
          <w:lang w:val="pt-BR"/>
        </w:rPr>
        <w:t xml:space="preserve"> </w:t>
      </w:r>
      <w:r w:rsidRPr="009A7904">
        <w:t>պահպանվել</w:t>
      </w:r>
      <w:r w:rsidRPr="009A7904">
        <w:rPr>
          <w:lang w:val="pt-BR"/>
        </w:rPr>
        <w:t xml:space="preserve"> </w:t>
      </w:r>
      <w:r w:rsidRPr="009A7904">
        <w:t>է</w:t>
      </w:r>
      <w:r w:rsidRPr="009A7904">
        <w:rPr>
          <w:lang w:val="pt-BR"/>
        </w:rPr>
        <w:t xml:space="preserve"> 2020 </w:t>
      </w:r>
      <w:r w:rsidRPr="009A7904">
        <w:t>թվականի</w:t>
      </w:r>
      <w:r w:rsidRPr="009A7904">
        <w:rPr>
          <w:lang w:val="pt-BR"/>
        </w:rPr>
        <w:t xml:space="preserve"> </w:t>
      </w:r>
      <w:r w:rsidRPr="009A7904">
        <w:t>պետական</w:t>
      </w:r>
      <w:r w:rsidRPr="009A7904">
        <w:rPr>
          <w:lang w:val="pt-BR"/>
        </w:rPr>
        <w:t xml:space="preserve"> </w:t>
      </w:r>
      <w:r w:rsidRPr="009A7904">
        <w:t>բյուջեով</w:t>
      </w:r>
      <w:r w:rsidRPr="009A7904">
        <w:rPr>
          <w:lang w:val="pt-BR"/>
        </w:rPr>
        <w:t xml:space="preserve"> </w:t>
      </w:r>
      <w:r w:rsidRPr="009A7904">
        <w:t>հաստատված</w:t>
      </w:r>
      <w:r w:rsidRPr="009A7904">
        <w:rPr>
          <w:lang w:val="pt-BR"/>
        </w:rPr>
        <w:t xml:space="preserve"> </w:t>
      </w:r>
      <w:r w:rsidRPr="009A7904">
        <w:t>չափաքանակը</w:t>
      </w:r>
      <w:r w:rsidRPr="009A7904">
        <w:rPr>
          <w:lang w:val="pt-BR"/>
        </w:rPr>
        <w:t xml:space="preserve"> (1,685.6 </w:t>
      </w:r>
      <w:r w:rsidRPr="009A7904">
        <w:t>մլն</w:t>
      </w:r>
      <w:r w:rsidRPr="009A7904">
        <w:rPr>
          <w:lang w:val="pt-BR"/>
        </w:rPr>
        <w:t xml:space="preserve"> </w:t>
      </w:r>
      <w:r w:rsidRPr="009A7904">
        <w:t>դրամ</w:t>
      </w:r>
      <w:r w:rsidRPr="009A7904">
        <w:rPr>
          <w:lang w:val="pt-BR"/>
        </w:rPr>
        <w:t>):</w:t>
      </w:r>
    </w:p>
    <w:p w14:paraId="354C0B72" w14:textId="77777777" w:rsidR="009D2825" w:rsidRPr="009A7904" w:rsidRDefault="009D2825" w:rsidP="009A7904">
      <w:pPr>
        <w:spacing w:line="276" w:lineRule="auto"/>
        <w:rPr>
          <w:lang w:val="pt-BR"/>
        </w:rPr>
      </w:pPr>
      <w:r w:rsidRPr="009A7904">
        <w:rPr>
          <w:b/>
          <w:lang w:val="pt-BR"/>
        </w:rPr>
        <w:t>2.</w:t>
      </w:r>
      <w:r w:rsidRPr="009A7904">
        <w:rPr>
          <w:lang w:val="pt-BR"/>
        </w:rPr>
        <w:t xml:space="preserve"> </w:t>
      </w:r>
      <w:r w:rsidRPr="009A7904">
        <w:rPr>
          <w:b/>
        </w:rPr>
        <w:t>Շրջակա</w:t>
      </w:r>
      <w:r w:rsidRPr="009A7904">
        <w:rPr>
          <w:b/>
          <w:lang w:val="pt-BR"/>
        </w:rPr>
        <w:t xml:space="preserve"> </w:t>
      </w:r>
      <w:r w:rsidRPr="009A7904">
        <w:rPr>
          <w:b/>
        </w:rPr>
        <w:t>միջավայրի</w:t>
      </w:r>
      <w:r w:rsidRPr="009A7904">
        <w:rPr>
          <w:b/>
          <w:lang w:val="pt-BR"/>
        </w:rPr>
        <w:t xml:space="preserve"> </w:t>
      </w:r>
      <w:r w:rsidRPr="009A7904">
        <w:rPr>
          <w:b/>
        </w:rPr>
        <w:t>ոլորտում</w:t>
      </w:r>
      <w:r w:rsidRPr="009A7904">
        <w:rPr>
          <w:b/>
          <w:lang w:val="pt-BR"/>
        </w:rPr>
        <w:t xml:space="preserve"> </w:t>
      </w:r>
      <w:r w:rsidRPr="009A7904">
        <w:rPr>
          <w:b/>
        </w:rPr>
        <w:t>պետական</w:t>
      </w:r>
      <w:r w:rsidRPr="009A7904">
        <w:rPr>
          <w:b/>
          <w:lang w:val="pt-BR"/>
        </w:rPr>
        <w:t xml:space="preserve"> </w:t>
      </w:r>
      <w:r w:rsidRPr="009A7904">
        <w:rPr>
          <w:b/>
        </w:rPr>
        <w:t>քաղաքականության</w:t>
      </w:r>
      <w:r w:rsidRPr="009A7904">
        <w:rPr>
          <w:b/>
          <w:lang w:val="pt-BR"/>
        </w:rPr>
        <w:t xml:space="preserve"> </w:t>
      </w:r>
      <w:r w:rsidRPr="009A7904">
        <w:rPr>
          <w:b/>
        </w:rPr>
        <w:t>մշակում</w:t>
      </w:r>
      <w:r w:rsidRPr="009A7904">
        <w:rPr>
          <w:b/>
          <w:lang w:val="pt-BR"/>
        </w:rPr>
        <w:t xml:space="preserve">, </w:t>
      </w:r>
      <w:r w:rsidRPr="009A7904">
        <w:rPr>
          <w:b/>
        </w:rPr>
        <w:t>ծրագրերի</w:t>
      </w:r>
      <w:r w:rsidRPr="009A7904">
        <w:rPr>
          <w:b/>
          <w:lang w:val="pt-BR"/>
        </w:rPr>
        <w:t xml:space="preserve"> </w:t>
      </w:r>
      <w:r w:rsidRPr="009A7904">
        <w:rPr>
          <w:b/>
        </w:rPr>
        <w:t>համակարգում</w:t>
      </w:r>
      <w:r w:rsidRPr="009A7904">
        <w:rPr>
          <w:b/>
          <w:lang w:val="pt-BR"/>
        </w:rPr>
        <w:t xml:space="preserve"> </w:t>
      </w:r>
      <w:r w:rsidRPr="009A7904">
        <w:rPr>
          <w:b/>
        </w:rPr>
        <w:t>և</w:t>
      </w:r>
      <w:r w:rsidRPr="009A7904">
        <w:rPr>
          <w:b/>
          <w:lang w:val="pt-BR"/>
        </w:rPr>
        <w:t xml:space="preserve"> </w:t>
      </w:r>
      <w:r w:rsidRPr="009A7904">
        <w:rPr>
          <w:b/>
        </w:rPr>
        <w:t>մոնիտորինգ</w:t>
      </w:r>
      <w:r w:rsidRPr="009A7904">
        <w:rPr>
          <w:b/>
          <w:lang w:val="pt-BR"/>
        </w:rPr>
        <w:t xml:space="preserve"> </w:t>
      </w:r>
      <w:r w:rsidRPr="009A7904">
        <w:rPr>
          <w:b/>
        </w:rPr>
        <w:t>ծրագիր</w:t>
      </w:r>
      <w:r w:rsidRPr="009A7904">
        <w:rPr>
          <w:b/>
          <w:lang w:val="pt-BR"/>
        </w:rPr>
        <w:t>.</w:t>
      </w:r>
    </w:p>
    <w:p w14:paraId="415FF260" w14:textId="77777777" w:rsidR="009D2825" w:rsidRPr="009A7904" w:rsidRDefault="009D2825" w:rsidP="009A7904">
      <w:pPr>
        <w:spacing w:line="276" w:lineRule="auto"/>
        <w:rPr>
          <w:lang w:val="pt-BR"/>
        </w:rPr>
      </w:pPr>
      <w:r w:rsidRPr="009A7904">
        <w:t>Ծրագրի</w:t>
      </w:r>
      <w:r w:rsidRPr="009A7904">
        <w:rPr>
          <w:lang w:val="pt-BR"/>
        </w:rPr>
        <w:t xml:space="preserve"> </w:t>
      </w:r>
      <w:r w:rsidRPr="009A7904">
        <w:t>նպատակն</w:t>
      </w:r>
      <w:r w:rsidRPr="009A7904">
        <w:rPr>
          <w:lang w:val="pt-BR"/>
        </w:rPr>
        <w:t xml:space="preserve"> </w:t>
      </w:r>
      <w:r w:rsidRPr="009A7904">
        <w:t>է՝</w:t>
      </w:r>
      <w:r w:rsidRPr="009A7904">
        <w:rPr>
          <w:lang w:val="pt-BR"/>
        </w:rPr>
        <w:t xml:space="preserve"> </w:t>
      </w:r>
      <w:r w:rsidRPr="009A7904">
        <w:t>շրջակա</w:t>
      </w:r>
      <w:r w:rsidRPr="009A7904">
        <w:rPr>
          <w:lang w:val="pt-BR"/>
        </w:rPr>
        <w:t xml:space="preserve"> </w:t>
      </w:r>
      <w:r w:rsidRPr="009A7904">
        <w:t>միջավայրի</w:t>
      </w:r>
      <w:r w:rsidRPr="009A7904">
        <w:rPr>
          <w:lang w:val="pt-BR"/>
        </w:rPr>
        <w:t xml:space="preserve"> </w:t>
      </w:r>
      <w:r w:rsidRPr="009A7904">
        <w:t>պահպանությանն</w:t>
      </w:r>
      <w:r w:rsidRPr="009A7904">
        <w:rPr>
          <w:lang w:val="pt-BR"/>
        </w:rPr>
        <w:t xml:space="preserve"> </w:t>
      </w:r>
      <w:r w:rsidRPr="009A7904">
        <w:t>ուղղված</w:t>
      </w:r>
      <w:r w:rsidRPr="009A7904">
        <w:rPr>
          <w:lang w:val="pt-BR"/>
        </w:rPr>
        <w:t xml:space="preserve"> </w:t>
      </w:r>
      <w:r w:rsidRPr="009A7904">
        <w:t>պետական</w:t>
      </w:r>
      <w:r w:rsidRPr="009A7904">
        <w:rPr>
          <w:lang w:val="pt-BR"/>
        </w:rPr>
        <w:t xml:space="preserve"> </w:t>
      </w:r>
      <w:r w:rsidRPr="009A7904">
        <w:t>քաղաքականության</w:t>
      </w:r>
      <w:r w:rsidRPr="009A7904">
        <w:rPr>
          <w:lang w:val="pt-BR"/>
        </w:rPr>
        <w:t xml:space="preserve"> </w:t>
      </w:r>
      <w:r w:rsidRPr="009A7904">
        <w:t>մշակումը</w:t>
      </w:r>
      <w:r w:rsidRPr="009A7904">
        <w:rPr>
          <w:lang w:val="pt-BR"/>
        </w:rPr>
        <w:t xml:space="preserve"> </w:t>
      </w:r>
      <w:r w:rsidRPr="009A7904">
        <w:t>և</w:t>
      </w:r>
      <w:r w:rsidRPr="009A7904">
        <w:rPr>
          <w:lang w:val="pt-BR"/>
        </w:rPr>
        <w:t xml:space="preserve"> </w:t>
      </w:r>
      <w:r w:rsidRPr="009A7904">
        <w:t>իրականացումը</w:t>
      </w:r>
      <w:r w:rsidRPr="009A7904">
        <w:rPr>
          <w:lang w:val="pt-BR"/>
        </w:rPr>
        <w:t xml:space="preserve">: </w:t>
      </w:r>
      <w:r w:rsidRPr="009A7904">
        <w:t>Ծրագրի</w:t>
      </w:r>
      <w:r w:rsidRPr="009A7904">
        <w:rPr>
          <w:lang w:val="pt-BR"/>
        </w:rPr>
        <w:t xml:space="preserve"> </w:t>
      </w:r>
      <w:r w:rsidRPr="009A7904">
        <w:t>գծով</w:t>
      </w:r>
      <w:r w:rsidRPr="009A7904">
        <w:rPr>
          <w:lang w:val="pt-BR"/>
        </w:rPr>
        <w:t xml:space="preserve"> 2021-2023 </w:t>
      </w:r>
      <w:r w:rsidRPr="009A7904">
        <w:t>թվականների</w:t>
      </w:r>
      <w:r w:rsidRPr="009A7904">
        <w:rPr>
          <w:lang w:val="pt-BR"/>
        </w:rPr>
        <w:t xml:space="preserve"> </w:t>
      </w:r>
      <w:r w:rsidRPr="009A7904">
        <w:t>համար</w:t>
      </w:r>
      <w:r w:rsidRPr="009A7904">
        <w:rPr>
          <w:lang w:val="pt-BR"/>
        </w:rPr>
        <w:t xml:space="preserve"> </w:t>
      </w:r>
      <w:r w:rsidRPr="009A7904">
        <w:t>համապատասխանաբար</w:t>
      </w:r>
      <w:r w:rsidRPr="009A7904">
        <w:rPr>
          <w:lang w:val="pt-BR"/>
        </w:rPr>
        <w:t xml:space="preserve"> </w:t>
      </w:r>
      <w:r w:rsidRPr="009A7904">
        <w:t>նախատե</w:t>
      </w:r>
      <w:r w:rsidRPr="009A7904">
        <w:rPr>
          <w:lang w:val="hy-AM"/>
        </w:rPr>
        <w:t>ս</w:t>
      </w:r>
      <w:r w:rsidRPr="009A7904">
        <w:t>ված</w:t>
      </w:r>
      <w:r w:rsidRPr="009A7904">
        <w:rPr>
          <w:lang w:val="pt-BR"/>
        </w:rPr>
        <w:t xml:space="preserve"> </w:t>
      </w:r>
      <w:r w:rsidRPr="009A7904">
        <w:t>է</w:t>
      </w:r>
      <w:r w:rsidRPr="009A7904">
        <w:rPr>
          <w:lang w:val="pt-BR"/>
        </w:rPr>
        <w:t xml:space="preserve"> 1,164.9, 1,174.4 </w:t>
      </w:r>
      <w:r w:rsidRPr="009A7904">
        <w:t>և</w:t>
      </w:r>
      <w:r w:rsidRPr="009A7904">
        <w:rPr>
          <w:lang w:val="pt-BR"/>
        </w:rPr>
        <w:t xml:space="preserve"> 1,187.1 </w:t>
      </w:r>
      <w:r w:rsidRPr="009A7904">
        <w:t>մլն</w:t>
      </w:r>
      <w:r w:rsidRPr="009A7904">
        <w:rPr>
          <w:lang w:val="pt-BR"/>
        </w:rPr>
        <w:t xml:space="preserve"> </w:t>
      </w:r>
      <w:r w:rsidRPr="009A7904">
        <w:t>դրամ՝</w:t>
      </w:r>
      <w:r w:rsidRPr="009A7904">
        <w:rPr>
          <w:lang w:val="pt-BR"/>
        </w:rPr>
        <w:t xml:space="preserve"> </w:t>
      </w:r>
      <w:r w:rsidRPr="009A7904">
        <w:t>գործող</w:t>
      </w:r>
      <w:r w:rsidRPr="009A7904">
        <w:rPr>
          <w:lang w:val="pt-BR"/>
        </w:rPr>
        <w:t xml:space="preserve"> </w:t>
      </w:r>
      <w:r w:rsidRPr="009A7904">
        <w:t>կարգավորումներին</w:t>
      </w:r>
      <w:r w:rsidRPr="009A7904">
        <w:rPr>
          <w:lang w:val="pt-BR"/>
        </w:rPr>
        <w:t xml:space="preserve"> </w:t>
      </w:r>
      <w:r w:rsidRPr="009A7904">
        <w:t>համապատասխան</w:t>
      </w:r>
      <w:r w:rsidRPr="009A7904">
        <w:rPr>
          <w:lang w:val="pt-BR"/>
        </w:rPr>
        <w:t xml:space="preserve">: </w:t>
      </w:r>
    </w:p>
    <w:p w14:paraId="18E21E2D" w14:textId="77777777" w:rsidR="009D2825" w:rsidRPr="009A7904" w:rsidRDefault="009D2825" w:rsidP="009A7904">
      <w:pPr>
        <w:spacing w:line="276" w:lineRule="auto"/>
        <w:rPr>
          <w:lang w:val="pt-BR"/>
        </w:rPr>
      </w:pPr>
      <w:r w:rsidRPr="009A7904">
        <w:rPr>
          <w:lang w:val="pt-BR"/>
        </w:rPr>
        <w:t xml:space="preserve">3. </w:t>
      </w:r>
      <w:r w:rsidRPr="009A7904">
        <w:rPr>
          <w:b/>
        </w:rPr>
        <w:t>Բնապահպանական</w:t>
      </w:r>
      <w:r w:rsidRPr="009A7904">
        <w:rPr>
          <w:b/>
          <w:lang w:val="pt-BR"/>
        </w:rPr>
        <w:t xml:space="preserve"> </w:t>
      </w:r>
      <w:r w:rsidRPr="009A7904">
        <w:rPr>
          <w:b/>
        </w:rPr>
        <w:t>ծրագրերի</w:t>
      </w:r>
      <w:r w:rsidRPr="009A7904">
        <w:rPr>
          <w:b/>
          <w:lang w:val="pt-BR"/>
        </w:rPr>
        <w:t xml:space="preserve"> </w:t>
      </w:r>
      <w:r w:rsidRPr="009A7904">
        <w:rPr>
          <w:b/>
        </w:rPr>
        <w:t>իրականացում</w:t>
      </w:r>
      <w:r w:rsidRPr="009A7904">
        <w:rPr>
          <w:b/>
          <w:lang w:val="pt-BR"/>
        </w:rPr>
        <w:t xml:space="preserve"> </w:t>
      </w:r>
      <w:r w:rsidRPr="009A7904">
        <w:rPr>
          <w:b/>
        </w:rPr>
        <w:t>համայնքներում</w:t>
      </w:r>
      <w:r w:rsidRPr="009A7904">
        <w:rPr>
          <w:b/>
          <w:lang w:val="pt-BR"/>
        </w:rPr>
        <w:t xml:space="preserve"> </w:t>
      </w:r>
      <w:r w:rsidRPr="009A7904">
        <w:rPr>
          <w:b/>
        </w:rPr>
        <w:t>ծրագիր</w:t>
      </w:r>
      <w:r w:rsidRPr="009A7904">
        <w:rPr>
          <w:b/>
          <w:lang w:val="pt-BR"/>
        </w:rPr>
        <w:t>.</w:t>
      </w:r>
    </w:p>
    <w:p w14:paraId="35AC5AE5" w14:textId="77777777" w:rsidR="009D2825" w:rsidRPr="009A7904" w:rsidRDefault="009D2825" w:rsidP="009A7904">
      <w:pPr>
        <w:spacing w:line="276" w:lineRule="auto"/>
        <w:rPr>
          <w:lang w:val="pt-BR"/>
        </w:rPr>
      </w:pPr>
      <w:r w:rsidRPr="009A7904">
        <w:t>Ծրագրի</w:t>
      </w:r>
      <w:r w:rsidRPr="009A7904">
        <w:rPr>
          <w:lang w:val="pt-BR"/>
        </w:rPr>
        <w:t xml:space="preserve"> </w:t>
      </w:r>
      <w:r w:rsidRPr="009A7904">
        <w:t>նպատակն</w:t>
      </w:r>
      <w:r w:rsidRPr="009A7904">
        <w:rPr>
          <w:lang w:val="pt-BR"/>
        </w:rPr>
        <w:t xml:space="preserve"> </w:t>
      </w:r>
      <w:r w:rsidRPr="009A7904">
        <w:t>է՝</w:t>
      </w:r>
      <w:r w:rsidRPr="009A7904">
        <w:rPr>
          <w:lang w:val="pt-BR"/>
        </w:rPr>
        <w:t xml:space="preserve"> </w:t>
      </w:r>
      <w:r w:rsidRPr="009A7904">
        <w:t>տնտեսական</w:t>
      </w:r>
      <w:r w:rsidRPr="009A7904">
        <w:rPr>
          <w:lang w:val="pt-BR"/>
        </w:rPr>
        <w:t xml:space="preserve"> </w:t>
      </w:r>
      <w:r w:rsidRPr="009A7904">
        <w:t>գործունեության</w:t>
      </w:r>
      <w:r w:rsidRPr="009A7904">
        <w:rPr>
          <w:lang w:val="pt-BR"/>
        </w:rPr>
        <w:t xml:space="preserve"> </w:t>
      </w:r>
      <w:r w:rsidRPr="009A7904">
        <w:t>հետևանքով</w:t>
      </w:r>
      <w:r w:rsidRPr="009A7904">
        <w:rPr>
          <w:lang w:val="pt-BR"/>
        </w:rPr>
        <w:t xml:space="preserve"> </w:t>
      </w:r>
      <w:r w:rsidRPr="009A7904">
        <w:t>շրջակա</w:t>
      </w:r>
      <w:r w:rsidRPr="009A7904">
        <w:rPr>
          <w:lang w:val="pt-BR"/>
        </w:rPr>
        <w:t xml:space="preserve"> </w:t>
      </w:r>
      <w:r w:rsidRPr="009A7904">
        <w:t>միջավայրին</w:t>
      </w:r>
      <w:r w:rsidRPr="009A7904">
        <w:rPr>
          <w:lang w:val="pt-BR"/>
        </w:rPr>
        <w:t xml:space="preserve"> </w:t>
      </w:r>
      <w:r w:rsidRPr="009A7904">
        <w:t>և</w:t>
      </w:r>
      <w:r w:rsidRPr="009A7904">
        <w:rPr>
          <w:lang w:val="pt-BR"/>
        </w:rPr>
        <w:t xml:space="preserve"> </w:t>
      </w:r>
      <w:r w:rsidRPr="009A7904">
        <w:t>բնակչության</w:t>
      </w:r>
      <w:r w:rsidRPr="009A7904">
        <w:rPr>
          <w:lang w:val="pt-BR"/>
        </w:rPr>
        <w:t xml:space="preserve"> </w:t>
      </w:r>
      <w:r w:rsidRPr="009A7904">
        <w:t>առողջությանը</w:t>
      </w:r>
      <w:r w:rsidRPr="009A7904">
        <w:rPr>
          <w:lang w:val="pt-BR"/>
        </w:rPr>
        <w:t xml:space="preserve"> </w:t>
      </w:r>
      <w:r w:rsidRPr="009A7904">
        <w:t>պատճառված</w:t>
      </w:r>
      <w:r w:rsidRPr="009A7904">
        <w:rPr>
          <w:lang w:val="pt-BR"/>
        </w:rPr>
        <w:t xml:space="preserve"> </w:t>
      </w:r>
      <w:r w:rsidRPr="009A7904">
        <w:t>վնասների</w:t>
      </w:r>
      <w:r w:rsidRPr="009A7904">
        <w:rPr>
          <w:lang w:val="pt-BR"/>
        </w:rPr>
        <w:t xml:space="preserve"> </w:t>
      </w:r>
      <w:r w:rsidRPr="009A7904">
        <w:t>մեղմմանն</w:t>
      </w:r>
      <w:r w:rsidRPr="009A7904">
        <w:rPr>
          <w:lang w:val="pt-BR"/>
        </w:rPr>
        <w:t xml:space="preserve"> </w:t>
      </w:r>
      <w:r w:rsidRPr="009A7904">
        <w:t>ուղղված</w:t>
      </w:r>
      <w:r w:rsidRPr="009A7904">
        <w:rPr>
          <w:lang w:val="pt-BR"/>
        </w:rPr>
        <w:t xml:space="preserve"> </w:t>
      </w:r>
      <w:r w:rsidRPr="009A7904">
        <w:t>ծրագրերի</w:t>
      </w:r>
      <w:r w:rsidRPr="009A7904">
        <w:rPr>
          <w:lang w:val="pt-BR"/>
        </w:rPr>
        <w:t xml:space="preserve"> </w:t>
      </w:r>
      <w:r w:rsidRPr="009A7904">
        <w:t>իրականացման</w:t>
      </w:r>
      <w:r w:rsidRPr="009A7904">
        <w:rPr>
          <w:lang w:val="pt-BR"/>
        </w:rPr>
        <w:t xml:space="preserve"> </w:t>
      </w:r>
      <w:r w:rsidRPr="009A7904">
        <w:t>համակարգումը</w:t>
      </w:r>
      <w:r w:rsidRPr="009A7904">
        <w:rPr>
          <w:lang w:val="pt-BR"/>
        </w:rPr>
        <w:t xml:space="preserve">: </w:t>
      </w:r>
      <w:r w:rsidRPr="009A7904">
        <w:t>Ծրագրի</w:t>
      </w:r>
      <w:r w:rsidRPr="009A7904">
        <w:rPr>
          <w:lang w:val="pt-BR"/>
        </w:rPr>
        <w:t xml:space="preserve"> </w:t>
      </w:r>
      <w:r w:rsidRPr="009A7904">
        <w:t>գծով</w:t>
      </w:r>
      <w:r w:rsidRPr="009A7904">
        <w:rPr>
          <w:lang w:val="pt-BR"/>
        </w:rPr>
        <w:t xml:space="preserve"> 2020 </w:t>
      </w:r>
      <w:r w:rsidRPr="009A7904">
        <w:t>թվականի</w:t>
      </w:r>
      <w:r w:rsidRPr="009A7904">
        <w:rPr>
          <w:lang w:val="pt-BR"/>
        </w:rPr>
        <w:t xml:space="preserve"> </w:t>
      </w:r>
      <w:r w:rsidRPr="009A7904">
        <w:t>պետական</w:t>
      </w:r>
      <w:r w:rsidRPr="009A7904">
        <w:rPr>
          <w:lang w:val="pt-BR"/>
        </w:rPr>
        <w:t xml:space="preserve"> </w:t>
      </w:r>
      <w:r w:rsidRPr="009A7904">
        <w:t>բյուջեով</w:t>
      </w:r>
      <w:r w:rsidRPr="009A7904">
        <w:rPr>
          <w:lang w:val="pt-BR"/>
        </w:rPr>
        <w:t xml:space="preserve"> </w:t>
      </w:r>
      <w:r w:rsidRPr="009A7904">
        <w:t>հաստատված</w:t>
      </w:r>
      <w:r w:rsidRPr="009A7904">
        <w:rPr>
          <w:lang w:val="pt-BR"/>
        </w:rPr>
        <w:t xml:space="preserve"> </w:t>
      </w:r>
      <w:r w:rsidRPr="009A7904">
        <w:t>չափաքանակից</w:t>
      </w:r>
      <w:r w:rsidRPr="009A7904">
        <w:rPr>
          <w:lang w:val="pt-BR"/>
        </w:rPr>
        <w:t xml:space="preserve"> 2021-2023 </w:t>
      </w:r>
      <w:r w:rsidRPr="009A7904">
        <w:t>թվականների</w:t>
      </w:r>
      <w:r w:rsidRPr="009A7904">
        <w:rPr>
          <w:lang w:val="pt-BR"/>
        </w:rPr>
        <w:t xml:space="preserve"> </w:t>
      </w:r>
      <w:r w:rsidRPr="009A7904">
        <w:t>միջնաժամկետ</w:t>
      </w:r>
      <w:r w:rsidRPr="009A7904">
        <w:rPr>
          <w:lang w:val="pt-BR"/>
        </w:rPr>
        <w:t xml:space="preserve"> </w:t>
      </w:r>
      <w:r w:rsidRPr="009A7904">
        <w:t>շրջանում</w:t>
      </w:r>
      <w:r w:rsidRPr="009A7904">
        <w:rPr>
          <w:lang w:val="pt-BR"/>
        </w:rPr>
        <w:t xml:space="preserve"> </w:t>
      </w:r>
      <w:r w:rsidRPr="009A7904">
        <w:t>միջոցների</w:t>
      </w:r>
      <w:r w:rsidRPr="009A7904">
        <w:rPr>
          <w:lang w:val="pt-BR"/>
        </w:rPr>
        <w:t xml:space="preserve"> </w:t>
      </w:r>
      <w:r w:rsidRPr="009A7904">
        <w:t>ավել</w:t>
      </w:r>
      <w:r w:rsidRPr="009A7904">
        <w:rPr>
          <w:lang w:val="pt-BR"/>
        </w:rPr>
        <w:t xml:space="preserve"> </w:t>
      </w:r>
      <w:r w:rsidRPr="009A7904">
        <w:t>նախատեսումը</w:t>
      </w:r>
      <w:r w:rsidRPr="009A7904">
        <w:rPr>
          <w:lang w:val="pt-BR"/>
        </w:rPr>
        <w:t xml:space="preserve"> (150.0 </w:t>
      </w:r>
      <w:r w:rsidRPr="009A7904">
        <w:t>մլն</w:t>
      </w:r>
      <w:r w:rsidRPr="009A7904">
        <w:rPr>
          <w:lang w:val="pt-BR"/>
        </w:rPr>
        <w:t xml:space="preserve"> </w:t>
      </w:r>
      <w:r w:rsidRPr="009A7904">
        <w:t>դրամ</w:t>
      </w:r>
      <w:r w:rsidRPr="009A7904">
        <w:rPr>
          <w:lang w:val="pt-BR"/>
        </w:rPr>
        <w:t xml:space="preserve">) </w:t>
      </w:r>
      <w:r w:rsidRPr="009A7904">
        <w:t>պայմանավորված</w:t>
      </w:r>
      <w:r w:rsidRPr="009A7904">
        <w:rPr>
          <w:lang w:val="pt-BR"/>
        </w:rPr>
        <w:t xml:space="preserve"> </w:t>
      </w:r>
      <w:r w:rsidRPr="009A7904">
        <w:t>է</w:t>
      </w:r>
      <w:r w:rsidRPr="009A7904">
        <w:rPr>
          <w:lang w:val="pt-BR"/>
        </w:rPr>
        <w:t xml:space="preserve"> </w:t>
      </w:r>
      <w:r w:rsidRPr="009A7904">
        <w:t>համայնքների</w:t>
      </w:r>
      <w:r w:rsidRPr="009A7904">
        <w:rPr>
          <w:lang w:val="pt-BR"/>
        </w:rPr>
        <w:t xml:space="preserve"> </w:t>
      </w:r>
      <w:r w:rsidRPr="009A7904">
        <w:t>կողմից</w:t>
      </w:r>
      <w:r w:rsidRPr="009A7904">
        <w:rPr>
          <w:lang w:val="pt-BR"/>
        </w:rPr>
        <w:t xml:space="preserve"> </w:t>
      </w:r>
      <w:r w:rsidRPr="009A7904">
        <w:t>ներկայացված</w:t>
      </w:r>
      <w:r w:rsidRPr="009A7904">
        <w:rPr>
          <w:lang w:val="pt-BR"/>
        </w:rPr>
        <w:t xml:space="preserve"> </w:t>
      </w:r>
      <w:r w:rsidRPr="009A7904">
        <w:t>հայտերով</w:t>
      </w:r>
      <w:r w:rsidRPr="009A7904">
        <w:rPr>
          <w:lang w:val="pt-BR"/>
        </w:rPr>
        <w:t>:</w:t>
      </w:r>
    </w:p>
    <w:p w14:paraId="3027E606" w14:textId="77777777" w:rsidR="009D2825" w:rsidRPr="009A7904" w:rsidRDefault="009D2825" w:rsidP="009A7904">
      <w:pPr>
        <w:spacing w:line="276" w:lineRule="auto"/>
        <w:rPr>
          <w:lang w:val="pt-BR"/>
        </w:rPr>
      </w:pPr>
      <w:r w:rsidRPr="009A7904">
        <w:rPr>
          <w:lang w:val="pt-BR"/>
        </w:rPr>
        <w:t xml:space="preserve">4. </w:t>
      </w:r>
      <w:r w:rsidRPr="009A7904">
        <w:rPr>
          <w:b/>
        </w:rPr>
        <w:t>Բնական</w:t>
      </w:r>
      <w:r w:rsidRPr="009A7904">
        <w:rPr>
          <w:b/>
          <w:lang w:val="pt-BR"/>
        </w:rPr>
        <w:t xml:space="preserve"> </w:t>
      </w:r>
      <w:r w:rsidRPr="009A7904">
        <w:rPr>
          <w:b/>
        </w:rPr>
        <w:t>պաշարների</w:t>
      </w:r>
      <w:r w:rsidRPr="009A7904">
        <w:rPr>
          <w:b/>
          <w:lang w:val="pt-BR"/>
        </w:rPr>
        <w:t xml:space="preserve"> </w:t>
      </w:r>
      <w:r w:rsidRPr="009A7904">
        <w:rPr>
          <w:b/>
        </w:rPr>
        <w:t>և</w:t>
      </w:r>
      <w:r w:rsidRPr="009A7904">
        <w:rPr>
          <w:b/>
          <w:lang w:val="pt-BR"/>
        </w:rPr>
        <w:t xml:space="preserve"> </w:t>
      </w:r>
      <w:r w:rsidRPr="009A7904">
        <w:rPr>
          <w:b/>
        </w:rPr>
        <w:t>բնության</w:t>
      </w:r>
      <w:r w:rsidRPr="009A7904">
        <w:rPr>
          <w:b/>
          <w:lang w:val="pt-BR"/>
        </w:rPr>
        <w:t xml:space="preserve"> </w:t>
      </w:r>
      <w:r w:rsidRPr="009A7904">
        <w:rPr>
          <w:b/>
        </w:rPr>
        <w:t>հատուկ</w:t>
      </w:r>
      <w:r w:rsidRPr="009A7904">
        <w:rPr>
          <w:b/>
          <w:lang w:val="pt-BR"/>
        </w:rPr>
        <w:t xml:space="preserve"> </w:t>
      </w:r>
      <w:r w:rsidRPr="009A7904">
        <w:rPr>
          <w:b/>
        </w:rPr>
        <w:t>պահպանվող</w:t>
      </w:r>
      <w:r w:rsidRPr="009A7904">
        <w:rPr>
          <w:b/>
          <w:lang w:val="pt-BR"/>
        </w:rPr>
        <w:t xml:space="preserve"> </w:t>
      </w:r>
      <w:r w:rsidRPr="009A7904">
        <w:rPr>
          <w:b/>
        </w:rPr>
        <w:t>տարածքների</w:t>
      </w:r>
      <w:r w:rsidRPr="009A7904">
        <w:rPr>
          <w:b/>
          <w:lang w:val="pt-BR"/>
        </w:rPr>
        <w:t xml:space="preserve"> </w:t>
      </w:r>
      <w:r w:rsidRPr="009A7904">
        <w:rPr>
          <w:b/>
        </w:rPr>
        <w:t>կառավարում</w:t>
      </w:r>
      <w:r w:rsidRPr="009A7904">
        <w:rPr>
          <w:b/>
          <w:lang w:val="pt-BR"/>
        </w:rPr>
        <w:t xml:space="preserve"> </w:t>
      </w:r>
      <w:r w:rsidRPr="009A7904">
        <w:rPr>
          <w:b/>
        </w:rPr>
        <w:t>և</w:t>
      </w:r>
      <w:r w:rsidRPr="009A7904">
        <w:rPr>
          <w:b/>
          <w:lang w:val="pt-BR"/>
        </w:rPr>
        <w:t xml:space="preserve"> </w:t>
      </w:r>
      <w:r w:rsidRPr="009A7904">
        <w:rPr>
          <w:b/>
        </w:rPr>
        <w:t>պահպանում</w:t>
      </w:r>
      <w:r w:rsidRPr="009A7904">
        <w:rPr>
          <w:lang w:val="pt-BR"/>
        </w:rPr>
        <w:t xml:space="preserve"> </w:t>
      </w:r>
      <w:r w:rsidRPr="009A7904">
        <w:rPr>
          <w:b/>
        </w:rPr>
        <w:t>ծրագիր</w:t>
      </w:r>
      <w:r w:rsidRPr="009A7904">
        <w:rPr>
          <w:b/>
          <w:lang w:val="pt-BR"/>
        </w:rPr>
        <w:t>.</w:t>
      </w:r>
    </w:p>
    <w:p w14:paraId="05B03E10" w14:textId="77777777" w:rsidR="009D2825" w:rsidRPr="009A7904" w:rsidRDefault="009D2825" w:rsidP="009A7904">
      <w:pPr>
        <w:spacing w:line="276" w:lineRule="auto"/>
        <w:rPr>
          <w:lang w:val="pt-BR"/>
        </w:rPr>
      </w:pPr>
      <w:r w:rsidRPr="009A7904">
        <w:t>Ծրագրի</w:t>
      </w:r>
      <w:r w:rsidRPr="009A7904">
        <w:rPr>
          <w:lang w:val="pt-BR"/>
        </w:rPr>
        <w:t xml:space="preserve"> </w:t>
      </w:r>
      <w:r w:rsidRPr="009A7904">
        <w:t>նպատակն</w:t>
      </w:r>
      <w:r w:rsidRPr="009A7904">
        <w:rPr>
          <w:lang w:val="pt-BR"/>
        </w:rPr>
        <w:t xml:space="preserve"> </w:t>
      </w:r>
      <w:r w:rsidRPr="009A7904">
        <w:t>է՝</w:t>
      </w:r>
      <w:r w:rsidRPr="009A7904">
        <w:rPr>
          <w:lang w:val="pt-BR"/>
        </w:rPr>
        <w:t xml:space="preserve"> </w:t>
      </w:r>
      <w:r w:rsidRPr="009A7904">
        <w:t>բնական</w:t>
      </w:r>
      <w:r w:rsidRPr="009A7904">
        <w:rPr>
          <w:lang w:val="pt-BR"/>
        </w:rPr>
        <w:t xml:space="preserve"> </w:t>
      </w:r>
      <w:r w:rsidRPr="009A7904">
        <w:t>պաշարների</w:t>
      </w:r>
      <w:r w:rsidRPr="009A7904">
        <w:rPr>
          <w:lang w:val="pt-BR"/>
        </w:rPr>
        <w:t xml:space="preserve"> </w:t>
      </w:r>
      <w:r w:rsidRPr="009A7904">
        <w:t>և</w:t>
      </w:r>
      <w:r w:rsidRPr="009A7904">
        <w:rPr>
          <w:lang w:val="pt-BR"/>
        </w:rPr>
        <w:t xml:space="preserve"> </w:t>
      </w:r>
      <w:r w:rsidRPr="009A7904">
        <w:t>կենսաբազմազանության</w:t>
      </w:r>
      <w:r w:rsidRPr="009A7904">
        <w:rPr>
          <w:lang w:val="pt-BR"/>
        </w:rPr>
        <w:t xml:space="preserve"> </w:t>
      </w:r>
      <w:r w:rsidRPr="009A7904">
        <w:t>արդյունավետ</w:t>
      </w:r>
      <w:r w:rsidRPr="009A7904">
        <w:rPr>
          <w:lang w:val="pt-BR"/>
        </w:rPr>
        <w:t xml:space="preserve"> </w:t>
      </w:r>
      <w:r w:rsidRPr="009A7904">
        <w:t>կառավարումն</w:t>
      </w:r>
      <w:r w:rsidRPr="009A7904">
        <w:rPr>
          <w:lang w:val="pt-BR"/>
        </w:rPr>
        <w:t xml:space="preserve"> </w:t>
      </w:r>
      <w:r w:rsidRPr="009A7904">
        <w:t>ու</w:t>
      </w:r>
      <w:r w:rsidRPr="009A7904">
        <w:rPr>
          <w:lang w:val="pt-BR"/>
        </w:rPr>
        <w:t xml:space="preserve"> </w:t>
      </w:r>
      <w:r w:rsidRPr="009A7904">
        <w:t>պահպանությունը</w:t>
      </w:r>
      <w:r w:rsidRPr="009A7904">
        <w:rPr>
          <w:lang w:val="pt-BR"/>
        </w:rPr>
        <w:t xml:space="preserve">: </w:t>
      </w:r>
      <w:r w:rsidRPr="009A7904">
        <w:t>Ծրագրի</w:t>
      </w:r>
      <w:r w:rsidRPr="009A7904">
        <w:rPr>
          <w:lang w:val="pt-BR"/>
        </w:rPr>
        <w:t xml:space="preserve"> </w:t>
      </w:r>
      <w:r w:rsidRPr="009A7904">
        <w:t>գծով</w:t>
      </w:r>
      <w:r w:rsidRPr="009A7904">
        <w:rPr>
          <w:lang w:val="pt-BR"/>
        </w:rPr>
        <w:t xml:space="preserve"> 2021-2023 </w:t>
      </w:r>
      <w:r w:rsidRPr="009A7904">
        <w:t>թվականների</w:t>
      </w:r>
      <w:r w:rsidRPr="009A7904">
        <w:rPr>
          <w:lang w:val="pt-BR"/>
        </w:rPr>
        <w:t xml:space="preserve"> </w:t>
      </w:r>
      <w:r w:rsidRPr="009A7904">
        <w:t>համար</w:t>
      </w:r>
      <w:r w:rsidRPr="009A7904">
        <w:rPr>
          <w:lang w:val="pt-BR"/>
        </w:rPr>
        <w:t xml:space="preserve"> </w:t>
      </w:r>
      <w:r w:rsidRPr="009A7904">
        <w:t>համապատասխանաբար</w:t>
      </w:r>
      <w:r w:rsidRPr="009A7904">
        <w:rPr>
          <w:lang w:val="pt-BR"/>
        </w:rPr>
        <w:t xml:space="preserve"> </w:t>
      </w:r>
      <w:r w:rsidRPr="009A7904">
        <w:t>նախատե</w:t>
      </w:r>
      <w:r w:rsidRPr="009A7904">
        <w:rPr>
          <w:lang w:val="hy-AM"/>
        </w:rPr>
        <w:t>ս</w:t>
      </w:r>
      <w:r w:rsidRPr="009A7904">
        <w:t>ված</w:t>
      </w:r>
      <w:r w:rsidRPr="009A7904">
        <w:rPr>
          <w:lang w:val="pt-BR"/>
        </w:rPr>
        <w:t xml:space="preserve"> </w:t>
      </w:r>
      <w:r w:rsidRPr="009A7904">
        <w:t>է</w:t>
      </w:r>
      <w:r w:rsidRPr="009A7904">
        <w:rPr>
          <w:lang w:val="pt-BR"/>
        </w:rPr>
        <w:t xml:space="preserve"> 3,317.8, 1,254.2 </w:t>
      </w:r>
      <w:r w:rsidRPr="009A7904">
        <w:t>և</w:t>
      </w:r>
      <w:r w:rsidRPr="009A7904">
        <w:rPr>
          <w:lang w:val="pt-BR"/>
        </w:rPr>
        <w:t xml:space="preserve"> 1,254.2 </w:t>
      </w:r>
      <w:r w:rsidRPr="009A7904">
        <w:t>մլն</w:t>
      </w:r>
      <w:r w:rsidRPr="009A7904">
        <w:rPr>
          <w:lang w:val="pt-BR"/>
        </w:rPr>
        <w:t xml:space="preserve"> </w:t>
      </w:r>
      <w:r w:rsidRPr="009A7904">
        <w:t>դրամ՝</w:t>
      </w:r>
      <w:r w:rsidRPr="009A7904">
        <w:rPr>
          <w:lang w:val="pt-BR"/>
        </w:rPr>
        <w:t xml:space="preserve"> </w:t>
      </w:r>
      <w:r w:rsidRPr="009A7904">
        <w:t>Գերմանիայի</w:t>
      </w:r>
      <w:r w:rsidRPr="009A7904">
        <w:rPr>
          <w:lang w:val="pt-BR"/>
        </w:rPr>
        <w:t xml:space="preserve"> </w:t>
      </w:r>
      <w:r w:rsidRPr="009A7904">
        <w:t>զարգացման</w:t>
      </w:r>
      <w:r w:rsidRPr="009A7904">
        <w:rPr>
          <w:lang w:val="pt-BR"/>
        </w:rPr>
        <w:t xml:space="preserve"> </w:t>
      </w:r>
      <w:r w:rsidRPr="009A7904">
        <w:t>վարկերի</w:t>
      </w:r>
      <w:r w:rsidRPr="009A7904">
        <w:rPr>
          <w:lang w:val="pt-BR"/>
        </w:rPr>
        <w:t xml:space="preserve"> </w:t>
      </w:r>
      <w:r w:rsidRPr="009A7904">
        <w:t>բանկի</w:t>
      </w:r>
      <w:r w:rsidRPr="009A7904">
        <w:rPr>
          <w:lang w:val="pt-BR"/>
        </w:rPr>
        <w:t xml:space="preserve"> (KFW) </w:t>
      </w:r>
      <w:r w:rsidRPr="009A7904">
        <w:t>կողմից</w:t>
      </w:r>
      <w:r w:rsidRPr="009A7904">
        <w:rPr>
          <w:lang w:val="pt-BR"/>
        </w:rPr>
        <w:t xml:space="preserve"> </w:t>
      </w:r>
      <w:r w:rsidRPr="009A7904">
        <w:t>տրամադրվող</w:t>
      </w:r>
      <w:r w:rsidRPr="009A7904">
        <w:rPr>
          <w:lang w:val="pt-BR"/>
        </w:rPr>
        <w:t xml:space="preserve"> </w:t>
      </w:r>
      <w:r w:rsidRPr="009A7904">
        <w:t>դրամաշնորհային</w:t>
      </w:r>
      <w:r w:rsidRPr="009A7904">
        <w:rPr>
          <w:lang w:val="pt-BR"/>
        </w:rPr>
        <w:t xml:space="preserve"> </w:t>
      </w:r>
      <w:r w:rsidRPr="009A7904">
        <w:t>ծրագրի</w:t>
      </w:r>
      <w:r w:rsidRPr="009A7904">
        <w:rPr>
          <w:lang w:val="pt-BR"/>
        </w:rPr>
        <w:t xml:space="preserve"> </w:t>
      </w:r>
      <w:r w:rsidRPr="009A7904">
        <w:t>համաձայնագրով</w:t>
      </w:r>
      <w:r w:rsidRPr="009A7904">
        <w:rPr>
          <w:lang w:val="pt-BR"/>
        </w:rPr>
        <w:t xml:space="preserve"> </w:t>
      </w:r>
      <w:r w:rsidRPr="009A7904">
        <w:t>նախատեսված</w:t>
      </w:r>
      <w:r w:rsidRPr="009A7904">
        <w:rPr>
          <w:lang w:val="pt-BR"/>
        </w:rPr>
        <w:t xml:space="preserve"> </w:t>
      </w:r>
      <w:r w:rsidRPr="009A7904">
        <w:t>ժամկետների</w:t>
      </w:r>
      <w:r w:rsidRPr="009A7904">
        <w:rPr>
          <w:lang w:val="pt-BR"/>
        </w:rPr>
        <w:t xml:space="preserve"> </w:t>
      </w:r>
      <w:r w:rsidRPr="009A7904">
        <w:t>պահպանմամբ</w:t>
      </w:r>
      <w:r w:rsidRPr="009A7904">
        <w:rPr>
          <w:lang w:val="pt-BR"/>
        </w:rPr>
        <w:t xml:space="preserve">: </w:t>
      </w:r>
    </w:p>
    <w:p w14:paraId="5549A309" w14:textId="77777777" w:rsidR="009D2825" w:rsidRPr="009A7904" w:rsidRDefault="009D2825" w:rsidP="009A7904">
      <w:pPr>
        <w:spacing w:line="276" w:lineRule="auto"/>
        <w:rPr>
          <w:b/>
          <w:lang w:val="pt-BR"/>
        </w:rPr>
      </w:pPr>
      <w:r w:rsidRPr="009A7904">
        <w:rPr>
          <w:b/>
          <w:lang w:val="pt-BR"/>
        </w:rPr>
        <w:t xml:space="preserve">5. </w:t>
      </w:r>
      <w:r w:rsidRPr="009A7904">
        <w:rPr>
          <w:b/>
        </w:rPr>
        <w:t>Անտառների</w:t>
      </w:r>
      <w:r w:rsidRPr="009A7904">
        <w:rPr>
          <w:b/>
          <w:lang w:val="pt-BR"/>
        </w:rPr>
        <w:t xml:space="preserve"> </w:t>
      </w:r>
      <w:r w:rsidRPr="009A7904">
        <w:rPr>
          <w:b/>
        </w:rPr>
        <w:t>կառավարում</w:t>
      </w:r>
      <w:r w:rsidRPr="009A7904">
        <w:rPr>
          <w:b/>
          <w:lang w:val="pt-BR"/>
        </w:rPr>
        <w:t xml:space="preserve"> </w:t>
      </w:r>
      <w:r w:rsidRPr="009A7904">
        <w:rPr>
          <w:b/>
        </w:rPr>
        <w:t>ծրագիր</w:t>
      </w:r>
      <w:r w:rsidRPr="009A7904">
        <w:rPr>
          <w:b/>
          <w:lang w:val="pt-BR"/>
        </w:rPr>
        <w:t>.</w:t>
      </w:r>
    </w:p>
    <w:p w14:paraId="05006518" w14:textId="77777777" w:rsidR="009D2825" w:rsidRPr="009A7904" w:rsidRDefault="009D2825" w:rsidP="009A7904">
      <w:pPr>
        <w:spacing w:line="276" w:lineRule="auto"/>
        <w:rPr>
          <w:lang w:val="pt-BR"/>
        </w:rPr>
      </w:pPr>
      <w:r w:rsidRPr="009A7904">
        <w:t>Ծրագրի</w:t>
      </w:r>
      <w:r w:rsidRPr="009A7904">
        <w:rPr>
          <w:lang w:val="pt-BR"/>
        </w:rPr>
        <w:t xml:space="preserve"> </w:t>
      </w:r>
      <w:r w:rsidRPr="009A7904">
        <w:t>նպատակն</w:t>
      </w:r>
      <w:r w:rsidRPr="009A7904">
        <w:rPr>
          <w:lang w:val="pt-BR"/>
        </w:rPr>
        <w:t xml:space="preserve"> </w:t>
      </w:r>
      <w:r w:rsidRPr="009A7904">
        <w:t>է՝</w:t>
      </w:r>
      <w:r w:rsidRPr="009A7904">
        <w:rPr>
          <w:lang w:val="pt-BR"/>
        </w:rPr>
        <w:t xml:space="preserve"> </w:t>
      </w:r>
      <w:r w:rsidRPr="009A7904">
        <w:t>անտառային</w:t>
      </w:r>
      <w:r w:rsidRPr="009A7904">
        <w:rPr>
          <w:lang w:val="pt-BR"/>
        </w:rPr>
        <w:t xml:space="preserve"> </w:t>
      </w:r>
      <w:r w:rsidRPr="009A7904">
        <w:t>տարածքների</w:t>
      </w:r>
      <w:r w:rsidRPr="009A7904">
        <w:rPr>
          <w:lang w:val="pt-BR"/>
        </w:rPr>
        <w:t xml:space="preserve"> </w:t>
      </w:r>
      <w:r w:rsidRPr="009A7904">
        <w:t>կայուն</w:t>
      </w:r>
      <w:r w:rsidRPr="009A7904">
        <w:rPr>
          <w:lang w:val="pt-BR"/>
        </w:rPr>
        <w:t xml:space="preserve"> </w:t>
      </w:r>
      <w:r w:rsidRPr="009A7904">
        <w:t>կառավարումը</w:t>
      </w:r>
      <w:r w:rsidRPr="009A7904">
        <w:rPr>
          <w:lang w:val="pt-BR"/>
        </w:rPr>
        <w:t xml:space="preserve">: </w:t>
      </w:r>
      <w:r w:rsidRPr="009A7904">
        <w:t>Ծրագրի</w:t>
      </w:r>
      <w:r w:rsidRPr="009A7904">
        <w:rPr>
          <w:lang w:val="pt-BR"/>
        </w:rPr>
        <w:t xml:space="preserve"> </w:t>
      </w:r>
      <w:r w:rsidRPr="009A7904">
        <w:t>գծով</w:t>
      </w:r>
      <w:r w:rsidRPr="009A7904">
        <w:rPr>
          <w:lang w:val="pt-BR"/>
        </w:rPr>
        <w:t xml:space="preserve"> 2021-2023 </w:t>
      </w:r>
      <w:r w:rsidRPr="009A7904">
        <w:t>թվականների</w:t>
      </w:r>
      <w:r w:rsidRPr="009A7904">
        <w:rPr>
          <w:lang w:val="pt-BR"/>
        </w:rPr>
        <w:t xml:space="preserve"> </w:t>
      </w:r>
      <w:r w:rsidRPr="009A7904">
        <w:t>համար</w:t>
      </w:r>
      <w:r w:rsidRPr="009A7904">
        <w:rPr>
          <w:lang w:val="pt-BR"/>
        </w:rPr>
        <w:t xml:space="preserve"> </w:t>
      </w:r>
      <w:r w:rsidRPr="009A7904">
        <w:t>համապատասխանաբար</w:t>
      </w:r>
      <w:r w:rsidRPr="009A7904">
        <w:rPr>
          <w:lang w:val="pt-BR"/>
        </w:rPr>
        <w:t xml:space="preserve"> </w:t>
      </w:r>
      <w:r w:rsidRPr="009A7904">
        <w:t>նախատե</w:t>
      </w:r>
      <w:r w:rsidRPr="009A7904">
        <w:rPr>
          <w:lang w:val="hy-AM"/>
        </w:rPr>
        <w:t>ս</w:t>
      </w:r>
      <w:r w:rsidRPr="009A7904">
        <w:t>ված</w:t>
      </w:r>
      <w:r w:rsidRPr="009A7904">
        <w:rPr>
          <w:lang w:val="pt-BR"/>
        </w:rPr>
        <w:t xml:space="preserve"> </w:t>
      </w:r>
      <w:r w:rsidRPr="009A7904">
        <w:t>է</w:t>
      </w:r>
      <w:r w:rsidRPr="009A7904">
        <w:rPr>
          <w:lang w:val="pt-BR"/>
        </w:rPr>
        <w:t xml:space="preserve"> 2,177.3, 2,179.6 </w:t>
      </w:r>
      <w:r w:rsidRPr="009A7904">
        <w:t>և</w:t>
      </w:r>
      <w:r w:rsidRPr="009A7904">
        <w:rPr>
          <w:lang w:val="pt-BR"/>
        </w:rPr>
        <w:t xml:space="preserve"> 2,181.9 </w:t>
      </w:r>
      <w:r w:rsidRPr="009A7904">
        <w:t>մլն</w:t>
      </w:r>
      <w:r w:rsidRPr="009A7904">
        <w:rPr>
          <w:lang w:val="pt-BR"/>
        </w:rPr>
        <w:t xml:space="preserve"> </w:t>
      </w:r>
      <w:r w:rsidRPr="009A7904">
        <w:t>դրամ՝</w:t>
      </w:r>
      <w:r w:rsidRPr="009A7904">
        <w:rPr>
          <w:lang w:val="pt-BR"/>
        </w:rPr>
        <w:t xml:space="preserve"> </w:t>
      </w:r>
      <w:r w:rsidRPr="009A7904">
        <w:t>գործող</w:t>
      </w:r>
      <w:r w:rsidRPr="009A7904">
        <w:rPr>
          <w:lang w:val="pt-BR"/>
        </w:rPr>
        <w:t xml:space="preserve"> </w:t>
      </w:r>
      <w:r w:rsidRPr="009A7904">
        <w:t>կարգավորումներին</w:t>
      </w:r>
      <w:r w:rsidRPr="009A7904">
        <w:rPr>
          <w:lang w:val="pt-BR"/>
        </w:rPr>
        <w:t xml:space="preserve"> </w:t>
      </w:r>
      <w:r w:rsidRPr="009A7904">
        <w:t>համապատասխան</w:t>
      </w:r>
      <w:r w:rsidRPr="009A7904">
        <w:rPr>
          <w:lang w:val="pt-BR"/>
        </w:rPr>
        <w:t xml:space="preserve">: </w:t>
      </w:r>
    </w:p>
    <w:p w14:paraId="7B32EE81" w14:textId="77777777" w:rsidR="009D2825" w:rsidRPr="009A7904" w:rsidRDefault="009D2825" w:rsidP="009A7904">
      <w:pPr>
        <w:spacing w:line="276" w:lineRule="auto"/>
        <w:rPr>
          <w:b/>
          <w:lang w:val="pt-BR"/>
        </w:rPr>
      </w:pPr>
      <w:r w:rsidRPr="009A7904">
        <w:rPr>
          <w:b/>
          <w:lang w:val="pt-BR"/>
        </w:rPr>
        <w:t xml:space="preserve">6. </w:t>
      </w:r>
      <w:r w:rsidRPr="009A7904">
        <w:rPr>
          <w:b/>
        </w:rPr>
        <w:t>Բնագիտական</w:t>
      </w:r>
      <w:r w:rsidRPr="009A7904">
        <w:rPr>
          <w:b/>
          <w:lang w:val="pt-BR"/>
        </w:rPr>
        <w:t xml:space="preserve"> </w:t>
      </w:r>
      <w:r w:rsidRPr="009A7904">
        <w:rPr>
          <w:b/>
        </w:rPr>
        <w:t>նմուշների</w:t>
      </w:r>
      <w:r w:rsidRPr="009A7904">
        <w:rPr>
          <w:b/>
          <w:lang w:val="pt-BR"/>
        </w:rPr>
        <w:t xml:space="preserve"> </w:t>
      </w:r>
      <w:r w:rsidRPr="009A7904">
        <w:rPr>
          <w:b/>
        </w:rPr>
        <w:t>պահպանություն</w:t>
      </w:r>
      <w:r w:rsidRPr="009A7904">
        <w:rPr>
          <w:b/>
          <w:lang w:val="pt-BR"/>
        </w:rPr>
        <w:t xml:space="preserve"> </w:t>
      </w:r>
      <w:r w:rsidRPr="009A7904">
        <w:rPr>
          <w:b/>
        </w:rPr>
        <w:t>և</w:t>
      </w:r>
      <w:r w:rsidRPr="009A7904">
        <w:rPr>
          <w:b/>
          <w:lang w:val="pt-BR"/>
        </w:rPr>
        <w:t xml:space="preserve"> </w:t>
      </w:r>
      <w:r w:rsidRPr="009A7904">
        <w:rPr>
          <w:b/>
        </w:rPr>
        <w:t>ցուցադրություն</w:t>
      </w:r>
      <w:r w:rsidRPr="009A7904">
        <w:rPr>
          <w:b/>
          <w:lang w:val="pt-BR"/>
        </w:rPr>
        <w:t xml:space="preserve"> </w:t>
      </w:r>
      <w:r w:rsidRPr="009A7904">
        <w:rPr>
          <w:b/>
        </w:rPr>
        <w:t>ծրագիր</w:t>
      </w:r>
      <w:r w:rsidRPr="009A7904">
        <w:rPr>
          <w:b/>
          <w:lang w:val="pt-BR"/>
        </w:rPr>
        <w:t>.</w:t>
      </w:r>
    </w:p>
    <w:p w14:paraId="6BF4D22E" w14:textId="77777777" w:rsidR="009D2825" w:rsidRPr="009A7904" w:rsidRDefault="009D2825" w:rsidP="009A7904">
      <w:pPr>
        <w:spacing w:line="276" w:lineRule="auto"/>
        <w:rPr>
          <w:lang w:val="pt-BR"/>
        </w:rPr>
      </w:pPr>
      <w:r w:rsidRPr="009A7904">
        <w:t>Ծրագրի</w:t>
      </w:r>
      <w:r w:rsidRPr="009A7904">
        <w:rPr>
          <w:lang w:val="pt-BR"/>
        </w:rPr>
        <w:t xml:space="preserve"> </w:t>
      </w:r>
      <w:r w:rsidRPr="009A7904">
        <w:t>նպատակն</w:t>
      </w:r>
      <w:r w:rsidRPr="009A7904">
        <w:rPr>
          <w:lang w:val="pt-BR"/>
        </w:rPr>
        <w:t xml:space="preserve"> </w:t>
      </w:r>
      <w:r w:rsidRPr="009A7904">
        <w:t>է՝</w:t>
      </w:r>
      <w:r w:rsidRPr="009A7904">
        <w:rPr>
          <w:lang w:val="pt-BR"/>
        </w:rPr>
        <w:t xml:space="preserve"> </w:t>
      </w:r>
      <w:r w:rsidRPr="009A7904">
        <w:t>նպաստել</w:t>
      </w:r>
      <w:r w:rsidRPr="009A7904">
        <w:rPr>
          <w:lang w:val="pt-BR"/>
        </w:rPr>
        <w:t xml:space="preserve"> </w:t>
      </w:r>
      <w:r w:rsidRPr="009A7904">
        <w:t>բնապահպանական</w:t>
      </w:r>
      <w:r w:rsidRPr="009A7904">
        <w:rPr>
          <w:lang w:val="pt-BR"/>
        </w:rPr>
        <w:t xml:space="preserve"> </w:t>
      </w:r>
      <w:r w:rsidRPr="009A7904">
        <w:t>աշխարհայացքի</w:t>
      </w:r>
      <w:r w:rsidRPr="009A7904">
        <w:rPr>
          <w:lang w:val="pt-BR"/>
        </w:rPr>
        <w:t xml:space="preserve"> </w:t>
      </w:r>
      <w:r w:rsidRPr="009A7904">
        <w:t>ձևավորմանը</w:t>
      </w:r>
      <w:r w:rsidRPr="009A7904">
        <w:rPr>
          <w:lang w:val="pt-BR"/>
        </w:rPr>
        <w:t xml:space="preserve">, </w:t>
      </w:r>
      <w:r w:rsidRPr="009A7904">
        <w:t>բնակչության</w:t>
      </w:r>
      <w:r w:rsidRPr="009A7904">
        <w:rPr>
          <w:lang w:val="pt-BR"/>
        </w:rPr>
        <w:t xml:space="preserve"> </w:t>
      </w:r>
      <w:r w:rsidRPr="009A7904">
        <w:t>էկոլոգիական</w:t>
      </w:r>
      <w:r w:rsidRPr="009A7904">
        <w:rPr>
          <w:lang w:val="pt-BR"/>
        </w:rPr>
        <w:t xml:space="preserve"> </w:t>
      </w:r>
      <w:r w:rsidRPr="009A7904">
        <w:t>դաստիարակությանը</w:t>
      </w:r>
      <w:r w:rsidRPr="009A7904">
        <w:rPr>
          <w:lang w:val="pt-BR"/>
        </w:rPr>
        <w:t xml:space="preserve">: </w:t>
      </w:r>
      <w:r w:rsidRPr="009A7904">
        <w:t>Ծրագրի</w:t>
      </w:r>
      <w:r w:rsidRPr="009A7904">
        <w:rPr>
          <w:lang w:val="pt-BR"/>
        </w:rPr>
        <w:t xml:space="preserve"> </w:t>
      </w:r>
      <w:r w:rsidRPr="009A7904">
        <w:t>գծով</w:t>
      </w:r>
      <w:r w:rsidRPr="009A7904">
        <w:rPr>
          <w:lang w:val="pt-BR"/>
        </w:rPr>
        <w:t xml:space="preserve"> 2021-2023 </w:t>
      </w:r>
      <w:r w:rsidRPr="009A7904">
        <w:t>թվականների</w:t>
      </w:r>
      <w:r w:rsidRPr="009A7904">
        <w:rPr>
          <w:lang w:val="pt-BR"/>
        </w:rPr>
        <w:t xml:space="preserve"> </w:t>
      </w:r>
      <w:r w:rsidRPr="009A7904">
        <w:t>համար</w:t>
      </w:r>
      <w:r w:rsidRPr="009A7904">
        <w:rPr>
          <w:lang w:val="pt-BR"/>
        </w:rPr>
        <w:t xml:space="preserve"> </w:t>
      </w:r>
      <w:r w:rsidRPr="009A7904">
        <w:t>համապատասխանաբար</w:t>
      </w:r>
      <w:r w:rsidRPr="009A7904">
        <w:rPr>
          <w:lang w:val="pt-BR"/>
        </w:rPr>
        <w:t xml:space="preserve"> </w:t>
      </w:r>
      <w:r w:rsidRPr="009A7904">
        <w:t>նախատե</w:t>
      </w:r>
      <w:r w:rsidRPr="009A7904">
        <w:rPr>
          <w:lang w:val="hy-AM"/>
        </w:rPr>
        <w:t>ս</w:t>
      </w:r>
      <w:r w:rsidRPr="009A7904">
        <w:t>ված</w:t>
      </w:r>
      <w:r w:rsidRPr="009A7904">
        <w:rPr>
          <w:lang w:val="pt-BR"/>
        </w:rPr>
        <w:t xml:space="preserve"> </w:t>
      </w:r>
      <w:r w:rsidRPr="009A7904">
        <w:t>է</w:t>
      </w:r>
      <w:r w:rsidRPr="009A7904">
        <w:rPr>
          <w:lang w:val="pt-BR"/>
        </w:rPr>
        <w:t xml:space="preserve"> 344.8, 345.3 </w:t>
      </w:r>
      <w:r w:rsidRPr="009A7904">
        <w:t>և</w:t>
      </w:r>
      <w:r w:rsidRPr="009A7904">
        <w:rPr>
          <w:lang w:val="pt-BR"/>
        </w:rPr>
        <w:t xml:space="preserve"> 345.3 </w:t>
      </w:r>
      <w:r w:rsidRPr="009A7904">
        <w:t>մլն</w:t>
      </w:r>
      <w:r w:rsidRPr="009A7904">
        <w:rPr>
          <w:lang w:val="pt-BR"/>
        </w:rPr>
        <w:t xml:space="preserve"> </w:t>
      </w:r>
      <w:r w:rsidRPr="009A7904">
        <w:t>դրամ՝</w:t>
      </w:r>
      <w:r w:rsidRPr="009A7904">
        <w:rPr>
          <w:lang w:val="pt-BR"/>
        </w:rPr>
        <w:t xml:space="preserve"> </w:t>
      </w:r>
      <w:r w:rsidRPr="009A7904">
        <w:t>պայմանավորված</w:t>
      </w:r>
      <w:r w:rsidRPr="009A7904">
        <w:rPr>
          <w:lang w:val="pt-BR"/>
        </w:rPr>
        <w:t xml:space="preserve"> </w:t>
      </w:r>
      <w:r w:rsidRPr="009A7904">
        <w:t>ծախսերի</w:t>
      </w:r>
      <w:r w:rsidRPr="009A7904">
        <w:rPr>
          <w:lang w:val="pt-BR"/>
        </w:rPr>
        <w:t xml:space="preserve"> </w:t>
      </w:r>
      <w:r w:rsidRPr="009A7904">
        <w:t>գերակայություններով</w:t>
      </w:r>
      <w:r w:rsidRPr="009A7904">
        <w:rPr>
          <w:lang w:val="pt-BR"/>
        </w:rPr>
        <w:t xml:space="preserve"> </w:t>
      </w:r>
      <w:r w:rsidRPr="009A7904">
        <w:t>և</w:t>
      </w:r>
      <w:r w:rsidRPr="009A7904">
        <w:rPr>
          <w:lang w:val="pt-BR"/>
        </w:rPr>
        <w:t xml:space="preserve"> </w:t>
      </w:r>
      <w:r w:rsidRPr="009A7904">
        <w:t>առաջնահերթություններով</w:t>
      </w:r>
      <w:r w:rsidRPr="009A7904">
        <w:rPr>
          <w:lang w:val="pt-BR"/>
        </w:rPr>
        <w:t>:</w:t>
      </w:r>
    </w:p>
    <w:p w14:paraId="2A3030B7" w14:textId="77777777" w:rsidR="009D2825" w:rsidRPr="009A7904" w:rsidRDefault="009D2825" w:rsidP="009A7904">
      <w:pPr>
        <w:spacing w:line="276" w:lineRule="auto"/>
        <w:rPr>
          <w:lang w:val="pt-BR"/>
        </w:rPr>
      </w:pPr>
    </w:p>
    <w:p w14:paraId="15C995A7" w14:textId="77777777" w:rsidR="009D2825" w:rsidRPr="009A7904" w:rsidRDefault="009D2825" w:rsidP="009A7904">
      <w:pPr>
        <w:spacing w:line="276" w:lineRule="auto"/>
        <w:rPr>
          <w:bCs/>
          <w:lang w:val="pt-BR"/>
        </w:rPr>
      </w:pPr>
      <w:r w:rsidRPr="009A7904">
        <w:rPr>
          <w:rFonts w:cs="Sylfaen"/>
          <w:bCs/>
          <w:lang w:val="pt-BR"/>
        </w:rPr>
        <w:lastRenderedPageBreak/>
        <w:t>Ստորև</w:t>
      </w:r>
      <w:r w:rsidRPr="009A7904">
        <w:rPr>
          <w:bCs/>
          <w:lang w:val="pt-BR"/>
        </w:rPr>
        <w:t xml:space="preserve"> </w:t>
      </w:r>
      <w:r w:rsidRPr="009A7904">
        <w:rPr>
          <w:rFonts w:cs="Sylfaen"/>
          <w:bCs/>
          <w:lang w:val="pt-BR"/>
        </w:rPr>
        <w:t>ներկայացված</w:t>
      </w:r>
      <w:r w:rsidRPr="009A7904">
        <w:rPr>
          <w:bCs/>
          <w:lang w:val="pt-BR"/>
        </w:rPr>
        <w:t xml:space="preserve"> </w:t>
      </w:r>
      <w:r w:rsidRPr="009A7904">
        <w:rPr>
          <w:rFonts w:cs="Sylfaen"/>
          <w:bCs/>
          <w:lang w:val="pt-BR"/>
        </w:rPr>
        <w:t>են</w:t>
      </w:r>
      <w:r w:rsidRPr="009A7904">
        <w:rPr>
          <w:bCs/>
          <w:lang w:val="pt-BR"/>
        </w:rPr>
        <w:t xml:space="preserve"> </w:t>
      </w:r>
      <w:r w:rsidRPr="009A7904">
        <w:rPr>
          <w:rFonts w:cs="Sylfaen"/>
          <w:bCs/>
          <w:lang w:val="pt-BR"/>
        </w:rPr>
        <w:t>շրջակա</w:t>
      </w:r>
      <w:r w:rsidRPr="009A7904">
        <w:rPr>
          <w:bCs/>
          <w:lang w:val="pt-BR"/>
        </w:rPr>
        <w:t xml:space="preserve"> </w:t>
      </w:r>
      <w:r w:rsidRPr="009A7904">
        <w:rPr>
          <w:rFonts w:cs="Sylfaen"/>
          <w:bCs/>
          <w:lang w:val="pt-BR"/>
        </w:rPr>
        <w:t>միջավայրի</w:t>
      </w:r>
      <w:r w:rsidRPr="009A7904">
        <w:rPr>
          <w:bCs/>
          <w:lang w:val="pt-BR"/>
        </w:rPr>
        <w:t xml:space="preserve"> </w:t>
      </w:r>
      <w:r w:rsidRPr="009A7904">
        <w:rPr>
          <w:rFonts w:cs="Sylfaen"/>
          <w:bCs/>
          <w:lang w:val="pt-BR"/>
        </w:rPr>
        <w:t>բնագավառի</w:t>
      </w:r>
      <w:r w:rsidRPr="009A7904">
        <w:rPr>
          <w:bCs/>
          <w:lang w:val="pt-BR"/>
        </w:rPr>
        <w:t xml:space="preserve"> 2021-2023</w:t>
      </w:r>
      <w:r w:rsidRPr="009A7904">
        <w:rPr>
          <w:rFonts w:cs="Sylfaen"/>
          <w:bCs/>
          <w:lang w:val="pt-BR"/>
        </w:rPr>
        <w:t>թթ</w:t>
      </w:r>
      <w:r w:rsidRPr="009A7904">
        <w:rPr>
          <w:rFonts w:ascii="MS Mincho" w:eastAsia="MS Mincho" w:hAnsi="MS Mincho" w:cs="MS Mincho" w:hint="eastAsia"/>
          <w:bCs/>
          <w:lang w:val="pt-BR"/>
        </w:rPr>
        <w:t>․</w:t>
      </w:r>
      <w:r w:rsidRPr="009A7904">
        <w:rPr>
          <w:bCs/>
          <w:lang w:val="pt-BR"/>
        </w:rPr>
        <w:t xml:space="preserve"> </w:t>
      </w:r>
      <w:r w:rsidRPr="009A7904">
        <w:rPr>
          <w:rFonts w:cs="Sylfaen"/>
          <w:bCs/>
          <w:lang w:val="pt-BR"/>
        </w:rPr>
        <w:t>յուրաքանչյուր</w:t>
      </w:r>
      <w:r w:rsidRPr="009A7904">
        <w:rPr>
          <w:bCs/>
          <w:lang w:val="pt-BR"/>
        </w:rPr>
        <w:t xml:space="preserve"> </w:t>
      </w:r>
      <w:r w:rsidRPr="009A7904">
        <w:rPr>
          <w:rFonts w:cs="Sylfaen"/>
          <w:bCs/>
          <w:lang w:val="pt-BR"/>
        </w:rPr>
        <w:t>տարվա</w:t>
      </w:r>
      <w:r w:rsidRPr="009A7904">
        <w:rPr>
          <w:bCs/>
          <w:lang w:val="pt-BR"/>
        </w:rPr>
        <w:t xml:space="preserve"> </w:t>
      </w:r>
      <w:r w:rsidRPr="009A7904">
        <w:rPr>
          <w:rFonts w:cs="Sylfaen"/>
          <w:bCs/>
          <w:lang w:val="pt-BR"/>
        </w:rPr>
        <w:t>համար</w:t>
      </w:r>
      <w:r w:rsidRPr="009A7904">
        <w:rPr>
          <w:bCs/>
          <w:lang w:val="pt-BR"/>
        </w:rPr>
        <w:t xml:space="preserve"> </w:t>
      </w:r>
      <w:r w:rsidRPr="009A7904">
        <w:rPr>
          <w:rFonts w:cs="Sylfaen"/>
          <w:bCs/>
          <w:lang w:val="pt-BR"/>
        </w:rPr>
        <w:t>նախատեսված</w:t>
      </w:r>
      <w:r w:rsidRPr="009A7904">
        <w:rPr>
          <w:bCs/>
          <w:lang w:val="pt-BR"/>
        </w:rPr>
        <w:t xml:space="preserve"> </w:t>
      </w:r>
      <w:r w:rsidRPr="009A7904">
        <w:rPr>
          <w:rFonts w:cs="Sylfaen"/>
          <w:bCs/>
          <w:lang w:val="pt-BR"/>
        </w:rPr>
        <w:t>չափաքանակները</w:t>
      </w:r>
      <w:r w:rsidRPr="009A7904">
        <w:rPr>
          <w:bCs/>
          <w:lang w:val="pt-BR"/>
        </w:rPr>
        <w:t>.</w:t>
      </w:r>
    </w:p>
    <w:p w14:paraId="717EF1D8" w14:textId="77777777" w:rsidR="009D2825" w:rsidRPr="009A7904" w:rsidRDefault="009D2825" w:rsidP="009A7904">
      <w:pPr>
        <w:spacing w:line="276" w:lineRule="auto"/>
        <w:rPr>
          <w:bCs/>
          <w:lang w:val="pt-BR"/>
        </w:rPr>
      </w:pPr>
      <w:r w:rsidRPr="009A7904">
        <w:rPr>
          <w:bCs/>
          <w:lang w:val="pt-BR"/>
        </w:rPr>
        <w:t xml:space="preserve">2021 </w:t>
      </w:r>
      <w:r w:rsidRPr="009A7904">
        <w:rPr>
          <w:rFonts w:cs="Sylfaen"/>
          <w:bCs/>
          <w:lang w:val="pt-BR"/>
        </w:rPr>
        <w:t>թվականի</w:t>
      </w:r>
      <w:r w:rsidRPr="009A7904">
        <w:rPr>
          <w:bCs/>
          <w:lang w:val="pt-BR"/>
        </w:rPr>
        <w:t xml:space="preserve"> </w:t>
      </w:r>
      <w:r w:rsidRPr="009A7904">
        <w:rPr>
          <w:rFonts w:cs="Sylfaen"/>
          <w:bCs/>
          <w:lang w:val="pt-BR"/>
        </w:rPr>
        <w:t>համար՝ 8,840.4</w:t>
      </w:r>
      <w:r w:rsidRPr="009A7904">
        <w:rPr>
          <w:bCs/>
          <w:lang w:val="hy-AM"/>
        </w:rPr>
        <w:t xml:space="preserve"> </w:t>
      </w:r>
      <w:r w:rsidRPr="009A7904">
        <w:rPr>
          <w:bCs/>
          <w:lang w:val="pt-BR"/>
        </w:rPr>
        <w:t xml:space="preserve"> </w:t>
      </w:r>
      <w:r w:rsidRPr="009A7904">
        <w:rPr>
          <w:rFonts w:cs="Sylfaen"/>
          <w:bCs/>
          <w:lang w:val="pt-BR"/>
        </w:rPr>
        <w:t>մլն</w:t>
      </w:r>
      <w:r w:rsidRPr="009A7904">
        <w:rPr>
          <w:bCs/>
          <w:lang w:val="pt-BR"/>
        </w:rPr>
        <w:t xml:space="preserve"> </w:t>
      </w:r>
      <w:r w:rsidRPr="009A7904">
        <w:rPr>
          <w:rFonts w:cs="Sylfaen"/>
          <w:bCs/>
          <w:lang w:val="pt-BR"/>
        </w:rPr>
        <w:t>դրամ</w:t>
      </w:r>
      <w:r w:rsidRPr="009A7904">
        <w:rPr>
          <w:bCs/>
          <w:lang w:val="pt-BR"/>
        </w:rPr>
        <w:t>,</w:t>
      </w:r>
    </w:p>
    <w:p w14:paraId="2E10E4EE" w14:textId="77777777" w:rsidR="009D2825" w:rsidRPr="009A7904" w:rsidRDefault="009D2825" w:rsidP="009A7904">
      <w:pPr>
        <w:spacing w:line="276" w:lineRule="auto"/>
        <w:rPr>
          <w:bCs/>
          <w:lang w:val="pt-BR"/>
        </w:rPr>
      </w:pPr>
      <w:r w:rsidRPr="009A7904">
        <w:rPr>
          <w:bCs/>
          <w:lang w:val="pt-BR"/>
        </w:rPr>
        <w:t xml:space="preserve">2022 </w:t>
      </w:r>
      <w:r w:rsidRPr="009A7904">
        <w:rPr>
          <w:rFonts w:cs="Sylfaen"/>
          <w:bCs/>
          <w:lang w:val="pt-BR"/>
        </w:rPr>
        <w:t>թվականի</w:t>
      </w:r>
      <w:r w:rsidRPr="009A7904">
        <w:rPr>
          <w:bCs/>
          <w:lang w:val="pt-BR"/>
        </w:rPr>
        <w:t xml:space="preserve"> </w:t>
      </w:r>
      <w:r w:rsidRPr="009A7904">
        <w:rPr>
          <w:rFonts w:cs="Sylfaen"/>
          <w:bCs/>
          <w:lang w:val="pt-BR"/>
        </w:rPr>
        <w:t>համար՝</w:t>
      </w:r>
      <w:r w:rsidRPr="009A7904">
        <w:rPr>
          <w:bCs/>
          <w:lang w:val="pt-BR"/>
        </w:rPr>
        <w:t xml:space="preserve"> 6,789.0</w:t>
      </w:r>
      <w:r w:rsidRPr="009A7904">
        <w:rPr>
          <w:bCs/>
          <w:lang w:val="hy-AM"/>
        </w:rPr>
        <w:t xml:space="preserve"> </w:t>
      </w:r>
      <w:r w:rsidRPr="009A7904">
        <w:rPr>
          <w:rFonts w:cs="Sylfaen"/>
          <w:bCs/>
          <w:lang w:val="pt-BR"/>
        </w:rPr>
        <w:t>մլն</w:t>
      </w:r>
      <w:r w:rsidRPr="009A7904">
        <w:rPr>
          <w:bCs/>
          <w:lang w:val="pt-BR"/>
        </w:rPr>
        <w:t xml:space="preserve"> </w:t>
      </w:r>
      <w:r w:rsidRPr="009A7904">
        <w:rPr>
          <w:rFonts w:cs="Sylfaen"/>
          <w:bCs/>
          <w:lang w:val="pt-BR"/>
        </w:rPr>
        <w:t>դրամ</w:t>
      </w:r>
      <w:r w:rsidRPr="009A7904">
        <w:rPr>
          <w:bCs/>
          <w:lang w:val="pt-BR"/>
        </w:rPr>
        <w:t>,</w:t>
      </w:r>
    </w:p>
    <w:p w14:paraId="592B42DF" w14:textId="77777777" w:rsidR="009D2825" w:rsidRPr="009A7904" w:rsidRDefault="009D2825" w:rsidP="009A7904">
      <w:pPr>
        <w:spacing w:line="276" w:lineRule="auto"/>
        <w:rPr>
          <w:bCs/>
          <w:lang w:val="pt-BR"/>
        </w:rPr>
      </w:pPr>
      <w:r w:rsidRPr="009A7904">
        <w:rPr>
          <w:bCs/>
          <w:lang w:val="pt-BR"/>
        </w:rPr>
        <w:t xml:space="preserve">2023 թվականի համար՝ 6,804.0 մլն </w:t>
      </w:r>
      <w:r w:rsidRPr="009A7904">
        <w:rPr>
          <w:rFonts w:cs="Sylfaen"/>
          <w:bCs/>
          <w:lang w:val="pt-BR"/>
        </w:rPr>
        <w:t>դրամ:</w:t>
      </w:r>
    </w:p>
    <w:p w14:paraId="6BB138A1" w14:textId="77777777" w:rsidR="005305FA" w:rsidRPr="009A7904" w:rsidRDefault="005305FA" w:rsidP="009A7904">
      <w:pPr>
        <w:pStyle w:val="Heading3"/>
        <w:numPr>
          <w:ilvl w:val="0"/>
          <w:numId w:val="0"/>
        </w:numPr>
        <w:spacing w:before="0" w:after="120" w:line="276" w:lineRule="auto"/>
        <w:jc w:val="both"/>
        <w:rPr>
          <w:rFonts w:eastAsia="Times New Roman" w:cs="Times New Roman"/>
          <w:caps w:val="0"/>
          <w:color w:val="1F497D" w:themeColor="text2"/>
          <w:lang w:val="pt-BR"/>
        </w:rPr>
      </w:pPr>
      <w:bookmarkStart w:id="327" w:name="_Toc45637521"/>
      <w:bookmarkStart w:id="328" w:name="_Toc45838545"/>
      <w:bookmarkStart w:id="329" w:name="_Toc456102743"/>
      <w:bookmarkStart w:id="330" w:name="_Toc519513662"/>
    </w:p>
    <w:p w14:paraId="08D66D9B" w14:textId="77777777" w:rsidR="003C4F35" w:rsidRPr="009A7904" w:rsidRDefault="003C4F35" w:rsidP="009A7904">
      <w:pPr>
        <w:spacing w:line="276" w:lineRule="auto"/>
        <w:rPr>
          <w:lang w:val="pt-BR"/>
        </w:rPr>
      </w:pPr>
    </w:p>
    <w:p w14:paraId="25378331" w14:textId="77777777" w:rsidR="009D2825" w:rsidRPr="009A7904" w:rsidRDefault="009D2825" w:rsidP="009A7904">
      <w:pPr>
        <w:pStyle w:val="Heading3"/>
        <w:numPr>
          <w:ilvl w:val="0"/>
          <w:numId w:val="0"/>
        </w:numPr>
        <w:spacing w:before="0" w:after="120" w:line="276" w:lineRule="auto"/>
        <w:rPr>
          <w:rFonts w:eastAsia="Times New Roman" w:cs="Times New Roman"/>
          <w:caps w:val="0"/>
          <w:color w:val="1F497D" w:themeColor="text2"/>
          <w:sz w:val="28"/>
          <w:szCs w:val="28"/>
        </w:rPr>
      </w:pPr>
      <w:bookmarkStart w:id="331" w:name="_Toc46154373"/>
      <w:r w:rsidRPr="009A7904">
        <w:rPr>
          <w:rFonts w:eastAsia="Times New Roman" w:cs="Times New Roman"/>
          <w:caps w:val="0"/>
          <w:color w:val="1F497D" w:themeColor="text2"/>
          <w:sz w:val="28"/>
          <w:szCs w:val="28"/>
        </w:rPr>
        <w:t>6</w:t>
      </w:r>
      <w:r w:rsidR="009858E4" w:rsidRPr="009A7904">
        <w:rPr>
          <w:rFonts w:eastAsia="Times New Roman" w:cs="Times New Roman"/>
          <w:caps w:val="0"/>
          <w:color w:val="1F497D" w:themeColor="text2"/>
          <w:sz w:val="28"/>
          <w:szCs w:val="28"/>
          <w:lang w:val="pt-BR"/>
        </w:rPr>
        <w:t>.</w:t>
      </w:r>
      <w:r w:rsidRPr="009A7904">
        <w:rPr>
          <w:rFonts w:eastAsia="Times New Roman" w:cs="Times New Roman"/>
          <w:caps w:val="0"/>
          <w:color w:val="1F497D" w:themeColor="text2"/>
          <w:sz w:val="28"/>
          <w:szCs w:val="28"/>
        </w:rPr>
        <w:t xml:space="preserve"> ԲԱՐՁՐ ՏԵԽՆՈԼՈԳԻԱԿԱՆ ԱՐԴՅՈՒՆԱԲԵՐՈՒԹՅ</w:t>
      </w:r>
      <w:r w:rsidR="003C4F35" w:rsidRPr="009A7904">
        <w:rPr>
          <w:rFonts w:eastAsia="Times New Roman" w:cs="Times New Roman"/>
          <w:caps w:val="0"/>
          <w:color w:val="1F497D" w:themeColor="text2"/>
          <w:sz w:val="28"/>
          <w:szCs w:val="28"/>
        </w:rPr>
        <w:t>ՈԻ</w:t>
      </w:r>
      <w:r w:rsidRPr="009A7904">
        <w:rPr>
          <w:rFonts w:eastAsia="Times New Roman" w:cs="Times New Roman"/>
          <w:caps w:val="0"/>
          <w:color w:val="1F497D" w:themeColor="text2"/>
          <w:sz w:val="28"/>
          <w:szCs w:val="28"/>
        </w:rPr>
        <w:t>Ն</w:t>
      </w:r>
      <w:bookmarkEnd w:id="331"/>
      <w:r w:rsidRPr="009A7904">
        <w:rPr>
          <w:rFonts w:eastAsia="Times New Roman" w:cs="Times New Roman"/>
          <w:caps w:val="0"/>
          <w:color w:val="1F497D" w:themeColor="text2"/>
          <w:sz w:val="28"/>
          <w:szCs w:val="28"/>
        </w:rPr>
        <w:t xml:space="preserve"> </w:t>
      </w:r>
      <w:bookmarkEnd w:id="327"/>
      <w:bookmarkEnd w:id="328"/>
    </w:p>
    <w:p w14:paraId="5DB0A4E6" w14:textId="77777777" w:rsidR="009D2825" w:rsidRPr="009A7904" w:rsidRDefault="009D2825" w:rsidP="009A7904">
      <w:pPr>
        <w:pStyle w:val="NormalWeb"/>
        <w:spacing w:before="0" w:after="0" w:line="276" w:lineRule="auto"/>
        <w:rPr>
          <w:color w:val="000000"/>
          <w:szCs w:val="22"/>
          <w:shd w:val="clear" w:color="auto" w:fill="FFFFFF"/>
          <w:lang w:val="pt-BR"/>
        </w:rPr>
      </w:pPr>
      <w:r w:rsidRPr="009A7904">
        <w:rPr>
          <w:color w:val="000000"/>
          <w:szCs w:val="22"/>
          <w:shd w:val="clear" w:color="auto" w:fill="FFFFFF"/>
          <w:lang w:val="hy-AM"/>
        </w:rPr>
        <w:t>Կառավարությունը</w:t>
      </w:r>
      <w:r w:rsidRPr="009A7904">
        <w:rPr>
          <w:color w:val="000000"/>
          <w:szCs w:val="22"/>
          <w:shd w:val="clear" w:color="auto" w:fill="FFFFFF"/>
          <w:lang w:val="pt-BR"/>
        </w:rPr>
        <w:t xml:space="preserve">, </w:t>
      </w:r>
      <w:r w:rsidRPr="009A7904">
        <w:rPr>
          <w:color w:val="000000"/>
          <w:szCs w:val="22"/>
          <w:shd w:val="clear" w:color="auto" w:fill="FFFFFF"/>
          <w:lang w:val="hy-AM"/>
        </w:rPr>
        <w:t>համաձայն</w:t>
      </w:r>
      <w:r w:rsidRPr="009A7904">
        <w:rPr>
          <w:color w:val="000000"/>
          <w:szCs w:val="22"/>
          <w:shd w:val="clear" w:color="auto" w:fill="FFFFFF"/>
          <w:lang w:val="pt-BR"/>
        </w:rPr>
        <w:t xml:space="preserve"> </w:t>
      </w:r>
      <w:r w:rsidRPr="009A7904">
        <w:rPr>
          <w:color w:val="000000"/>
          <w:szCs w:val="22"/>
          <w:shd w:val="clear" w:color="auto" w:fill="FFFFFF"/>
          <w:lang w:val="hy-AM"/>
        </w:rPr>
        <w:t>ՀՀ</w:t>
      </w:r>
      <w:r w:rsidRPr="009A7904">
        <w:rPr>
          <w:color w:val="000000"/>
          <w:szCs w:val="22"/>
          <w:shd w:val="clear" w:color="auto" w:fill="FFFFFF"/>
          <w:lang w:val="pt-BR"/>
        </w:rPr>
        <w:t xml:space="preserve"> </w:t>
      </w:r>
      <w:r w:rsidRPr="009A7904">
        <w:rPr>
          <w:color w:val="000000"/>
          <w:szCs w:val="22"/>
          <w:shd w:val="clear" w:color="auto" w:fill="FFFFFF"/>
          <w:lang w:val="hy-AM"/>
        </w:rPr>
        <w:t>կառավարության</w:t>
      </w:r>
      <w:r w:rsidRPr="009A7904">
        <w:rPr>
          <w:color w:val="000000"/>
          <w:szCs w:val="22"/>
          <w:shd w:val="clear" w:color="auto" w:fill="FFFFFF"/>
          <w:lang w:val="pt-BR"/>
        </w:rPr>
        <w:t xml:space="preserve"> 2019</w:t>
      </w:r>
      <w:r w:rsidRPr="009A7904">
        <w:rPr>
          <w:color w:val="000000"/>
          <w:szCs w:val="22"/>
          <w:shd w:val="clear" w:color="auto" w:fill="FFFFFF"/>
          <w:lang w:val="hy-AM"/>
        </w:rPr>
        <w:t>թ</w:t>
      </w:r>
      <w:r w:rsidRPr="009A7904">
        <w:rPr>
          <w:color w:val="000000"/>
          <w:szCs w:val="22"/>
          <w:shd w:val="clear" w:color="auto" w:fill="FFFFFF"/>
          <w:lang w:val="pt-BR"/>
        </w:rPr>
        <w:t xml:space="preserve"> </w:t>
      </w:r>
      <w:r w:rsidRPr="009A7904">
        <w:rPr>
          <w:color w:val="000000"/>
          <w:szCs w:val="22"/>
          <w:shd w:val="clear" w:color="auto" w:fill="FFFFFF"/>
          <w:lang w:val="hy-AM"/>
        </w:rPr>
        <w:t>փետրվարի</w:t>
      </w:r>
      <w:r w:rsidRPr="009A7904">
        <w:rPr>
          <w:color w:val="000000"/>
          <w:szCs w:val="22"/>
          <w:shd w:val="clear" w:color="auto" w:fill="FFFFFF"/>
          <w:lang w:val="pt-BR"/>
        </w:rPr>
        <w:t xml:space="preserve"> 8-</w:t>
      </w:r>
      <w:r w:rsidRPr="009A7904">
        <w:rPr>
          <w:color w:val="000000"/>
          <w:szCs w:val="22"/>
          <w:shd w:val="clear" w:color="auto" w:fill="FFFFFF"/>
          <w:lang w:val="hy-AM"/>
        </w:rPr>
        <w:t>ի</w:t>
      </w:r>
      <w:r w:rsidRPr="009A7904">
        <w:rPr>
          <w:color w:val="000000"/>
          <w:szCs w:val="22"/>
          <w:shd w:val="clear" w:color="auto" w:fill="FFFFFF"/>
          <w:lang w:val="pt-BR"/>
        </w:rPr>
        <w:t xml:space="preserve"> N 65-</w:t>
      </w:r>
      <w:r w:rsidRPr="009A7904">
        <w:rPr>
          <w:color w:val="000000"/>
          <w:szCs w:val="22"/>
          <w:shd w:val="clear" w:color="auto" w:fill="FFFFFF"/>
          <w:lang w:val="hy-AM"/>
        </w:rPr>
        <w:t>Ա</w:t>
      </w:r>
      <w:r w:rsidRPr="009A7904">
        <w:rPr>
          <w:color w:val="000000"/>
          <w:szCs w:val="22"/>
          <w:shd w:val="clear" w:color="auto" w:fill="FFFFFF"/>
          <w:lang w:val="pt-BR"/>
        </w:rPr>
        <w:t xml:space="preserve"> </w:t>
      </w:r>
      <w:r w:rsidRPr="009A7904">
        <w:rPr>
          <w:color w:val="000000"/>
          <w:szCs w:val="22"/>
          <w:shd w:val="clear" w:color="auto" w:fill="FFFFFF"/>
          <w:lang w:val="hy-AM"/>
        </w:rPr>
        <w:t>որոշման</w:t>
      </w:r>
      <w:r w:rsidRPr="009A7904">
        <w:rPr>
          <w:color w:val="000000"/>
          <w:szCs w:val="22"/>
          <w:shd w:val="clear" w:color="auto" w:fill="FFFFFF"/>
          <w:lang w:val="pt-BR"/>
        </w:rPr>
        <w:t xml:space="preserve"> 7.1-</w:t>
      </w:r>
      <w:r w:rsidRPr="009A7904">
        <w:rPr>
          <w:color w:val="000000"/>
          <w:szCs w:val="22"/>
          <w:shd w:val="clear" w:color="auto" w:fill="FFFFFF"/>
          <w:lang w:val="hy-AM"/>
        </w:rPr>
        <w:t>րդ</w:t>
      </w:r>
      <w:r w:rsidRPr="009A7904">
        <w:rPr>
          <w:color w:val="000000"/>
          <w:szCs w:val="22"/>
          <w:shd w:val="clear" w:color="auto" w:fill="FFFFFF"/>
          <w:lang w:val="pt-BR"/>
        </w:rPr>
        <w:t xml:space="preserve"> </w:t>
      </w:r>
      <w:r w:rsidRPr="009A7904">
        <w:rPr>
          <w:color w:val="000000"/>
          <w:szCs w:val="22"/>
          <w:shd w:val="clear" w:color="auto" w:fill="FFFFFF"/>
          <w:lang w:val="hy-AM"/>
        </w:rPr>
        <w:t>կետի</w:t>
      </w:r>
      <w:r w:rsidRPr="009A7904">
        <w:rPr>
          <w:color w:val="000000"/>
          <w:szCs w:val="22"/>
          <w:shd w:val="clear" w:color="auto" w:fill="FFFFFF"/>
          <w:lang w:val="pt-BR"/>
        </w:rPr>
        <w:t xml:space="preserve">, </w:t>
      </w:r>
      <w:r w:rsidRPr="009A7904">
        <w:rPr>
          <w:color w:val="000000"/>
          <w:szCs w:val="22"/>
          <w:shd w:val="clear" w:color="auto" w:fill="FFFFFF"/>
          <w:lang w:val="hy-AM"/>
        </w:rPr>
        <w:t>նպատակադրվել</w:t>
      </w:r>
      <w:r w:rsidRPr="009A7904">
        <w:rPr>
          <w:color w:val="000000"/>
          <w:szCs w:val="22"/>
          <w:shd w:val="clear" w:color="auto" w:fill="FFFFFF"/>
          <w:lang w:val="pt-BR"/>
        </w:rPr>
        <w:t xml:space="preserve"> </w:t>
      </w:r>
      <w:r w:rsidRPr="009A7904">
        <w:rPr>
          <w:color w:val="000000"/>
          <w:szCs w:val="22"/>
          <w:shd w:val="clear" w:color="auto" w:fill="FFFFFF"/>
          <w:lang w:val="hy-AM"/>
        </w:rPr>
        <w:t>է</w:t>
      </w:r>
      <w:r w:rsidRPr="009A7904">
        <w:rPr>
          <w:color w:val="000000"/>
          <w:szCs w:val="22"/>
          <w:shd w:val="clear" w:color="auto" w:fill="FFFFFF"/>
          <w:lang w:val="pt-BR"/>
        </w:rPr>
        <w:t xml:space="preserve"> </w:t>
      </w:r>
      <w:r w:rsidRPr="009A7904">
        <w:rPr>
          <w:color w:val="000000"/>
          <w:szCs w:val="22"/>
          <w:shd w:val="clear" w:color="auto" w:fill="FFFFFF"/>
          <w:lang w:val="hy-AM"/>
        </w:rPr>
        <w:t>Հայաստանը</w:t>
      </w:r>
      <w:r w:rsidRPr="009A7904">
        <w:rPr>
          <w:color w:val="000000"/>
          <w:szCs w:val="22"/>
          <w:shd w:val="clear" w:color="auto" w:fill="FFFFFF"/>
          <w:lang w:val="pt-BR"/>
        </w:rPr>
        <w:t xml:space="preserve"> </w:t>
      </w:r>
      <w:r w:rsidRPr="009A7904">
        <w:rPr>
          <w:color w:val="000000"/>
          <w:szCs w:val="22"/>
          <w:shd w:val="clear" w:color="auto" w:fill="FFFFFF"/>
          <w:lang w:val="hy-AM"/>
        </w:rPr>
        <w:t>դարձնել</w:t>
      </w:r>
      <w:r w:rsidRPr="009A7904">
        <w:rPr>
          <w:color w:val="000000"/>
          <w:szCs w:val="22"/>
          <w:shd w:val="clear" w:color="auto" w:fill="FFFFFF"/>
          <w:lang w:val="pt-BR"/>
        </w:rPr>
        <w:t xml:space="preserve"> </w:t>
      </w:r>
      <w:r w:rsidRPr="009A7904">
        <w:rPr>
          <w:color w:val="000000"/>
          <w:szCs w:val="22"/>
          <w:shd w:val="clear" w:color="auto" w:fill="FFFFFF"/>
          <w:lang w:val="hy-AM"/>
        </w:rPr>
        <w:t>բարձր</w:t>
      </w:r>
      <w:r w:rsidRPr="009A7904">
        <w:rPr>
          <w:color w:val="000000"/>
          <w:szCs w:val="22"/>
          <w:shd w:val="clear" w:color="auto" w:fill="FFFFFF"/>
          <w:lang w:val="pt-BR"/>
        </w:rPr>
        <w:t xml:space="preserve"> </w:t>
      </w:r>
      <w:r w:rsidRPr="009A7904">
        <w:rPr>
          <w:color w:val="000000"/>
          <w:szCs w:val="22"/>
          <w:shd w:val="clear" w:color="auto" w:fill="FFFFFF"/>
          <w:lang w:val="hy-AM"/>
        </w:rPr>
        <w:t>տեխնոլոգիական</w:t>
      </w:r>
      <w:r w:rsidRPr="009A7904">
        <w:rPr>
          <w:color w:val="000000"/>
          <w:szCs w:val="22"/>
          <w:shd w:val="clear" w:color="auto" w:fill="FFFFFF"/>
          <w:lang w:val="pt-BR"/>
        </w:rPr>
        <w:t xml:space="preserve">, </w:t>
      </w:r>
      <w:r w:rsidRPr="009A7904">
        <w:rPr>
          <w:color w:val="000000"/>
          <w:szCs w:val="22"/>
          <w:shd w:val="clear" w:color="auto" w:fill="FFFFFF"/>
          <w:lang w:val="hy-AM"/>
        </w:rPr>
        <w:t>արդյունաբերական</w:t>
      </w:r>
      <w:r w:rsidRPr="009A7904">
        <w:rPr>
          <w:color w:val="000000"/>
          <w:szCs w:val="22"/>
          <w:shd w:val="clear" w:color="auto" w:fill="FFFFFF"/>
          <w:lang w:val="pt-BR"/>
        </w:rPr>
        <w:t xml:space="preserve"> </w:t>
      </w:r>
      <w:r w:rsidRPr="009A7904">
        <w:rPr>
          <w:color w:val="000000"/>
          <w:szCs w:val="22"/>
          <w:shd w:val="clear" w:color="auto" w:fill="FFFFFF"/>
          <w:lang w:val="hy-AM"/>
        </w:rPr>
        <w:t>երկիր</w:t>
      </w:r>
      <w:r w:rsidRPr="009A7904">
        <w:rPr>
          <w:color w:val="000000"/>
          <w:szCs w:val="22"/>
          <w:shd w:val="clear" w:color="auto" w:fill="FFFFFF"/>
          <w:lang w:val="pt-BR"/>
        </w:rPr>
        <w:t xml:space="preserve">: </w:t>
      </w:r>
      <w:r w:rsidRPr="009A7904">
        <w:rPr>
          <w:color w:val="000000"/>
          <w:szCs w:val="22"/>
          <w:shd w:val="clear" w:color="auto" w:fill="FFFFFF"/>
          <w:lang w:val="hy-AM"/>
        </w:rPr>
        <w:t>Այս</w:t>
      </w:r>
      <w:r w:rsidRPr="009A7904">
        <w:rPr>
          <w:color w:val="000000"/>
          <w:szCs w:val="22"/>
          <w:shd w:val="clear" w:color="auto" w:fill="FFFFFF"/>
          <w:lang w:val="pt-BR"/>
        </w:rPr>
        <w:t xml:space="preserve"> </w:t>
      </w:r>
      <w:r w:rsidRPr="009A7904">
        <w:rPr>
          <w:color w:val="000000"/>
          <w:szCs w:val="22"/>
          <w:shd w:val="clear" w:color="auto" w:fill="FFFFFF"/>
          <w:lang w:val="hy-AM"/>
        </w:rPr>
        <w:t>նպատակին</w:t>
      </w:r>
      <w:r w:rsidRPr="009A7904">
        <w:rPr>
          <w:color w:val="000000"/>
          <w:szCs w:val="22"/>
          <w:shd w:val="clear" w:color="auto" w:fill="FFFFFF"/>
          <w:lang w:val="pt-BR"/>
        </w:rPr>
        <w:t xml:space="preserve"> </w:t>
      </w:r>
      <w:r w:rsidRPr="009A7904">
        <w:rPr>
          <w:color w:val="000000"/>
          <w:szCs w:val="22"/>
          <w:shd w:val="clear" w:color="auto" w:fill="FFFFFF"/>
          <w:lang w:val="hy-AM"/>
        </w:rPr>
        <w:t>հասնելու</w:t>
      </w:r>
      <w:r w:rsidRPr="009A7904">
        <w:rPr>
          <w:color w:val="000000"/>
          <w:szCs w:val="22"/>
          <w:shd w:val="clear" w:color="auto" w:fill="FFFFFF"/>
          <w:lang w:val="pt-BR"/>
        </w:rPr>
        <w:t xml:space="preserve"> </w:t>
      </w:r>
      <w:r w:rsidRPr="009A7904">
        <w:rPr>
          <w:color w:val="000000"/>
          <w:szCs w:val="22"/>
          <w:shd w:val="clear" w:color="auto" w:fill="FFFFFF"/>
          <w:lang w:val="hy-AM"/>
        </w:rPr>
        <w:t>և</w:t>
      </w:r>
      <w:r w:rsidRPr="009A7904">
        <w:rPr>
          <w:color w:val="000000"/>
          <w:szCs w:val="22"/>
          <w:shd w:val="clear" w:color="auto" w:fill="FFFFFF"/>
          <w:lang w:val="pt-BR"/>
        </w:rPr>
        <w:t xml:space="preserve"> </w:t>
      </w:r>
      <w:r w:rsidRPr="009A7904">
        <w:rPr>
          <w:color w:val="000000"/>
          <w:szCs w:val="22"/>
          <w:shd w:val="clear" w:color="auto" w:fill="FFFFFF"/>
          <w:lang w:val="hy-AM"/>
        </w:rPr>
        <w:t>բարձր</w:t>
      </w:r>
      <w:r w:rsidRPr="009A7904">
        <w:rPr>
          <w:color w:val="000000"/>
          <w:szCs w:val="22"/>
          <w:shd w:val="clear" w:color="auto" w:fill="FFFFFF"/>
          <w:lang w:val="pt-BR"/>
        </w:rPr>
        <w:t xml:space="preserve"> </w:t>
      </w:r>
      <w:r w:rsidRPr="009A7904">
        <w:rPr>
          <w:color w:val="000000"/>
          <w:szCs w:val="22"/>
          <w:shd w:val="clear" w:color="auto" w:fill="FFFFFF"/>
          <w:lang w:val="hy-AM"/>
        </w:rPr>
        <w:t>տեխնոլոգիաների</w:t>
      </w:r>
      <w:r w:rsidRPr="009A7904">
        <w:rPr>
          <w:color w:val="000000"/>
          <w:szCs w:val="22"/>
          <w:shd w:val="clear" w:color="auto" w:fill="FFFFFF"/>
          <w:lang w:val="pt-BR"/>
        </w:rPr>
        <w:t xml:space="preserve"> </w:t>
      </w:r>
      <w:r w:rsidRPr="009A7904">
        <w:rPr>
          <w:color w:val="000000"/>
          <w:szCs w:val="22"/>
          <w:shd w:val="clear" w:color="auto" w:fill="FFFFFF"/>
          <w:lang w:val="hy-AM"/>
        </w:rPr>
        <w:t>զարգացումն</w:t>
      </w:r>
      <w:r w:rsidRPr="009A7904">
        <w:rPr>
          <w:color w:val="000000"/>
          <w:szCs w:val="22"/>
          <w:shd w:val="clear" w:color="auto" w:fill="FFFFFF"/>
          <w:lang w:val="pt-BR"/>
        </w:rPr>
        <w:t xml:space="preserve"> </w:t>
      </w:r>
      <w:r w:rsidRPr="009A7904">
        <w:rPr>
          <w:color w:val="000000"/>
          <w:szCs w:val="22"/>
          <w:shd w:val="clear" w:color="auto" w:fill="FFFFFF"/>
          <w:lang w:val="hy-AM"/>
        </w:rPr>
        <w:t>ապահովելու</w:t>
      </w:r>
      <w:r w:rsidRPr="009A7904">
        <w:rPr>
          <w:color w:val="000000"/>
          <w:szCs w:val="22"/>
          <w:shd w:val="clear" w:color="auto" w:fill="FFFFFF"/>
          <w:lang w:val="pt-BR"/>
        </w:rPr>
        <w:t xml:space="preserve"> </w:t>
      </w:r>
      <w:r w:rsidRPr="009A7904">
        <w:rPr>
          <w:color w:val="000000"/>
          <w:szCs w:val="22"/>
          <w:shd w:val="clear" w:color="auto" w:fill="FFFFFF"/>
          <w:lang w:val="hy-AM"/>
        </w:rPr>
        <w:t>համար</w:t>
      </w:r>
      <w:r w:rsidRPr="009A7904">
        <w:rPr>
          <w:color w:val="000000"/>
          <w:szCs w:val="22"/>
          <w:shd w:val="clear" w:color="auto" w:fill="FFFFFF"/>
          <w:lang w:val="pt-BR"/>
        </w:rPr>
        <w:t xml:space="preserve"> </w:t>
      </w:r>
      <w:r w:rsidRPr="009A7904">
        <w:rPr>
          <w:color w:val="000000"/>
          <w:szCs w:val="22"/>
          <w:shd w:val="clear" w:color="auto" w:fill="FFFFFF"/>
          <w:lang w:val="hy-AM"/>
        </w:rPr>
        <w:t>կիրականացվեն</w:t>
      </w:r>
      <w:r w:rsidRPr="009A7904">
        <w:rPr>
          <w:color w:val="000000"/>
          <w:szCs w:val="22"/>
          <w:shd w:val="clear" w:color="auto" w:fill="FFFFFF"/>
          <w:lang w:val="pt-BR"/>
        </w:rPr>
        <w:t xml:space="preserve"> </w:t>
      </w:r>
      <w:r w:rsidRPr="009A7904">
        <w:rPr>
          <w:color w:val="000000"/>
          <w:szCs w:val="22"/>
          <w:shd w:val="clear" w:color="auto" w:fill="FFFFFF"/>
          <w:lang w:val="hy-AM"/>
        </w:rPr>
        <w:t>նպատակային</w:t>
      </w:r>
      <w:r w:rsidRPr="009A7904">
        <w:rPr>
          <w:color w:val="000000"/>
          <w:szCs w:val="22"/>
          <w:shd w:val="clear" w:color="auto" w:fill="FFFFFF"/>
          <w:lang w:val="pt-BR"/>
        </w:rPr>
        <w:t xml:space="preserve"> </w:t>
      </w:r>
      <w:r w:rsidRPr="009A7904">
        <w:rPr>
          <w:color w:val="000000"/>
          <w:szCs w:val="22"/>
          <w:shd w:val="clear" w:color="auto" w:fill="FFFFFF"/>
          <w:lang w:val="hy-AM"/>
        </w:rPr>
        <w:t>քայլեր</w:t>
      </w:r>
      <w:r w:rsidRPr="009A7904">
        <w:rPr>
          <w:color w:val="000000"/>
          <w:szCs w:val="22"/>
          <w:shd w:val="clear" w:color="auto" w:fill="FFFFFF"/>
          <w:lang w:val="pt-BR"/>
        </w:rPr>
        <w:t xml:space="preserve">: </w:t>
      </w:r>
      <w:r w:rsidRPr="009A7904">
        <w:rPr>
          <w:color w:val="000000"/>
          <w:szCs w:val="22"/>
          <w:shd w:val="clear" w:color="auto" w:fill="FFFFFF"/>
          <w:lang w:val="hy-AM"/>
        </w:rPr>
        <w:t>Մասնավորապես</w:t>
      </w:r>
      <w:r w:rsidRPr="009A7904">
        <w:rPr>
          <w:color w:val="000000"/>
          <w:szCs w:val="22"/>
          <w:shd w:val="clear" w:color="auto" w:fill="FFFFFF"/>
          <w:lang w:val="pt-BR"/>
        </w:rPr>
        <w:t xml:space="preserve"> </w:t>
      </w:r>
      <w:r w:rsidRPr="009A7904">
        <w:rPr>
          <w:color w:val="000000"/>
          <w:szCs w:val="22"/>
          <w:shd w:val="clear" w:color="auto" w:fill="FFFFFF"/>
          <w:lang w:val="hy-AM"/>
        </w:rPr>
        <w:t>նախանշվել</w:t>
      </w:r>
      <w:r w:rsidRPr="009A7904">
        <w:rPr>
          <w:color w:val="000000"/>
          <w:szCs w:val="22"/>
          <w:shd w:val="clear" w:color="auto" w:fill="FFFFFF"/>
          <w:lang w:val="pt-BR"/>
        </w:rPr>
        <w:t xml:space="preserve"> </w:t>
      </w:r>
      <w:r w:rsidRPr="009A7904">
        <w:rPr>
          <w:color w:val="000000"/>
          <w:szCs w:val="22"/>
          <w:shd w:val="clear" w:color="auto" w:fill="FFFFFF"/>
          <w:lang w:val="hy-AM"/>
        </w:rPr>
        <w:t>են</w:t>
      </w:r>
      <w:r w:rsidRPr="009A7904">
        <w:rPr>
          <w:color w:val="000000"/>
          <w:szCs w:val="22"/>
          <w:shd w:val="clear" w:color="auto" w:fill="FFFFFF"/>
          <w:lang w:val="pt-BR"/>
        </w:rPr>
        <w:t xml:space="preserve"> </w:t>
      </w:r>
      <w:r w:rsidRPr="009A7904">
        <w:rPr>
          <w:color w:val="000000"/>
          <w:szCs w:val="22"/>
          <w:shd w:val="clear" w:color="auto" w:fill="FFFFFF"/>
          <w:lang w:val="hy-AM"/>
        </w:rPr>
        <w:t>ոլորտի</w:t>
      </w:r>
      <w:r w:rsidRPr="009A7904">
        <w:rPr>
          <w:color w:val="000000"/>
          <w:szCs w:val="22"/>
          <w:shd w:val="clear" w:color="auto" w:fill="FFFFFF"/>
          <w:lang w:val="pt-BR"/>
        </w:rPr>
        <w:t xml:space="preserve"> </w:t>
      </w:r>
      <w:r w:rsidRPr="009A7904">
        <w:rPr>
          <w:color w:val="000000"/>
          <w:szCs w:val="22"/>
          <w:shd w:val="clear" w:color="auto" w:fill="FFFFFF"/>
          <w:lang w:val="hy-AM"/>
        </w:rPr>
        <w:t>հետևյալ</w:t>
      </w:r>
      <w:r w:rsidRPr="009A7904">
        <w:rPr>
          <w:color w:val="000000"/>
          <w:szCs w:val="22"/>
          <w:shd w:val="clear" w:color="auto" w:fill="FFFFFF"/>
          <w:lang w:val="pt-BR"/>
        </w:rPr>
        <w:t xml:space="preserve"> </w:t>
      </w:r>
      <w:r w:rsidRPr="009A7904">
        <w:rPr>
          <w:color w:val="000000"/>
          <w:szCs w:val="22"/>
          <w:shd w:val="clear" w:color="auto" w:fill="FFFFFF"/>
          <w:lang w:val="hy-AM"/>
        </w:rPr>
        <w:t>հիմնական</w:t>
      </w:r>
      <w:r w:rsidRPr="009A7904">
        <w:rPr>
          <w:color w:val="000000"/>
          <w:szCs w:val="22"/>
          <w:shd w:val="clear" w:color="auto" w:fill="FFFFFF"/>
          <w:lang w:val="pt-BR"/>
        </w:rPr>
        <w:t xml:space="preserve"> </w:t>
      </w:r>
      <w:r w:rsidRPr="009A7904">
        <w:rPr>
          <w:color w:val="000000"/>
          <w:szCs w:val="22"/>
          <w:shd w:val="clear" w:color="auto" w:fill="FFFFFF"/>
          <w:lang w:val="hy-AM"/>
        </w:rPr>
        <w:t>թիրախները</w:t>
      </w:r>
      <w:r w:rsidRPr="009A7904">
        <w:rPr>
          <w:color w:val="000000"/>
          <w:szCs w:val="22"/>
          <w:shd w:val="clear" w:color="auto" w:fill="FFFFFF"/>
          <w:lang w:val="pt-BR"/>
        </w:rPr>
        <w:t xml:space="preserve">. </w:t>
      </w:r>
    </w:p>
    <w:p w14:paraId="5CB2EAF0" w14:textId="77777777" w:rsidR="009D2825" w:rsidRPr="009A7904" w:rsidRDefault="009D2825" w:rsidP="009A7904">
      <w:pPr>
        <w:pStyle w:val="NormalWeb"/>
        <w:numPr>
          <w:ilvl w:val="0"/>
          <w:numId w:val="24"/>
        </w:numPr>
        <w:spacing w:before="0" w:after="0" w:line="276" w:lineRule="auto"/>
        <w:ind w:left="0" w:firstLine="567"/>
        <w:rPr>
          <w:color w:val="000000"/>
          <w:szCs w:val="22"/>
          <w:shd w:val="clear" w:color="auto" w:fill="FFFFFF"/>
          <w:lang w:val="pt-BR"/>
        </w:rPr>
      </w:pPr>
      <w:r w:rsidRPr="009A7904">
        <w:rPr>
          <w:color w:val="000000"/>
          <w:szCs w:val="22"/>
          <w:shd w:val="clear" w:color="auto" w:fill="FFFFFF"/>
        </w:rPr>
        <w:t>Տնտեսության</w:t>
      </w:r>
      <w:r w:rsidRPr="009A7904">
        <w:rPr>
          <w:color w:val="000000"/>
          <w:szCs w:val="22"/>
          <w:shd w:val="clear" w:color="auto" w:fill="FFFFFF"/>
          <w:lang w:val="pt-BR"/>
        </w:rPr>
        <w:t xml:space="preserve"> </w:t>
      </w:r>
      <w:r w:rsidRPr="009A7904">
        <w:rPr>
          <w:color w:val="000000"/>
          <w:szCs w:val="22"/>
          <w:shd w:val="clear" w:color="auto" w:fill="FFFFFF"/>
        </w:rPr>
        <w:t>միջնաժամկետ</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երկարաժամկետ</w:t>
      </w:r>
      <w:r w:rsidRPr="009A7904">
        <w:rPr>
          <w:color w:val="000000"/>
          <w:szCs w:val="22"/>
          <w:shd w:val="clear" w:color="auto" w:fill="FFFFFF"/>
          <w:lang w:val="pt-BR"/>
        </w:rPr>
        <w:t xml:space="preserve"> </w:t>
      </w:r>
      <w:r w:rsidRPr="009A7904">
        <w:rPr>
          <w:color w:val="000000"/>
          <w:szCs w:val="22"/>
          <w:shd w:val="clear" w:color="auto" w:fill="FFFFFF"/>
        </w:rPr>
        <w:t>կայուն</w:t>
      </w:r>
      <w:r w:rsidRPr="009A7904">
        <w:rPr>
          <w:color w:val="000000"/>
          <w:szCs w:val="22"/>
          <w:shd w:val="clear" w:color="auto" w:fill="FFFFFF"/>
          <w:lang w:val="pt-BR"/>
        </w:rPr>
        <w:t xml:space="preserve"> </w:t>
      </w:r>
      <w:r w:rsidRPr="009A7904">
        <w:rPr>
          <w:color w:val="000000"/>
          <w:szCs w:val="22"/>
          <w:shd w:val="clear" w:color="auto" w:fill="FFFFFF"/>
        </w:rPr>
        <w:t>աճի</w:t>
      </w:r>
      <w:r w:rsidRPr="009A7904">
        <w:rPr>
          <w:color w:val="000000"/>
          <w:szCs w:val="22"/>
          <w:shd w:val="clear" w:color="auto" w:fill="FFFFFF"/>
          <w:lang w:val="pt-BR"/>
        </w:rPr>
        <w:t xml:space="preserve"> </w:t>
      </w:r>
      <w:r w:rsidRPr="009A7904">
        <w:rPr>
          <w:color w:val="000000"/>
          <w:szCs w:val="22"/>
          <w:shd w:val="clear" w:color="auto" w:fill="FFFFFF"/>
        </w:rPr>
        <w:t>շարժիչ</w:t>
      </w:r>
      <w:r w:rsidRPr="009A7904">
        <w:rPr>
          <w:color w:val="000000"/>
          <w:szCs w:val="22"/>
          <w:shd w:val="clear" w:color="auto" w:fill="FFFFFF"/>
          <w:lang w:val="pt-BR"/>
        </w:rPr>
        <w:t xml:space="preserve"> </w:t>
      </w:r>
      <w:r w:rsidRPr="009A7904">
        <w:rPr>
          <w:color w:val="000000"/>
          <w:szCs w:val="22"/>
          <w:shd w:val="clear" w:color="auto" w:fill="FFFFFF"/>
        </w:rPr>
        <w:t>ուժը</w:t>
      </w:r>
      <w:r w:rsidRPr="009A7904">
        <w:rPr>
          <w:color w:val="000000"/>
          <w:szCs w:val="22"/>
          <w:shd w:val="clear" w:color="auto" w:fill="FFFFFF"/>
          <w:lang w:val="pt-BR"/>
        </w:rPr>
        <w:t xml:space="preserve"> </w:t>
      </w:r>
      <w:r w:rsidRPr="009A7904">
        <w:rPr>
          <w:color w:val="000000"/>
          <w:szCs w:val="22"/>
          <w:shd w:val="clear" w:color="auto" w:fill="FFFFFF"/>
        </w:rPr>
        <w:t>պետք</w:t>
      </w:r>
      <w:r w:rsidRPr="009A7904">
        <w:rPr>
          <w:color w:val="000000"/>
          <w:szCs w:val="22"/>
          <w:shd w:val="clear" w:color="auto" w:fill="FFFFFF"/>
          <w:lang w:val="pt-BR"/>
        </w:rPr>
        <w:t xml:space="preserve"> </w:t>
      </w:r>
      <w:r w:rsidRPr="009A7904">
        <w:rPr>
          <w:color w:val="000000"/>
          <w:szCs w:val="22"/>
          <w:shd w:val="clear" w:color="auto" w:fill="FFFFFF"/>
        </w:rPr>
        <w:t>է</w:t>
      </w:r>
      <w:r w:rsidRPr="009A7904">
        <w:rPr>
          <w:color w:val="000000"/>
          <w:szCs w:val="22"/>
          <w:shd w:val="clear" w:color="auto" w:fill="FFFFFF"/>
          <w:lang w:val="pt-BR"/>
        </w:rPr>
        <w:t xml:space="preserve"> </w:t>
      </w:r>
      <w:r w:rsidRPr="009A7904">
        <w:rPr>
          <w:color w:val="000000"/>
          <w:szCs w:val="22"/>
          <w:shd w:val="clear" w:color="auto" w:fill="FFFFFF"/>
        </w:rPr>
        <w:t>հանդիսանա</w:t>
      </w:r>
      <w:r w:rsidRPr="009A7904">
        <w:rPr>
          <w:color w:val="000000"/>
          <w:szCs w:val="22"/>
          <w:shd w:val="clear" w:color="auto" w:fill="FFFFFF"/>
          <w:lang w:val="pt-BR"/>
        </w:rPr>
        <w:t xml:space="preserve"> </w:t>
      </w:r>
      <w:r w:rsidRPr="009A7904">
        <w:rPr>
          <w:color w:val="000000"/>
          <w:szCs w:val="22"/>
          <w:shd w:val="clear" w:color="auto" w:fill="FFFFFF"/>
        </w:rPr>
        <w:t>նորարարությունը</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առաջադեմ</w:t>
      </w:r>
      <w:r w:rsidRPr="009A7904">
        <w:rPr>
          <w:color w:val="000000"/>
          <w:szCs w:val="22"/>
          <w:shd w:val="clear" w:color="auto" w:fill="FFFFFF"/>
          <w:lang w:val="pt-BR"/>
        </w:rPr>
        <w:t xml:space="preserve"> </w:t>
      </w:r>
      <w:r w:rsidRPr="009A7904">
        <w:rPr>
          <w:color w:val="000000"/>
          <w:szCs w:val="22"/>
          <w:shd w:val="clear" w:color="auto" w:fill="FFFFFF"/>
        </w:rPr>
        <w:t>տեխնոլոգիաների</w:t>
      </w:r>
      <w:r w:rsidRPr="009A7904">
        <w:rPr>
          <w:color w:val="000000"/>
          <w:szCs w:val="22"/>
          <w:shd w:val="clear" w:color="auto" w:fill="FFFFFF"/>
          <w:lang w:val="pt-BR"/>
        </w:rPr>
        <w:t xml:space="preserve"> </w:t>
      </w:r>
      <w:r w:rsidRPr="009A7904">
        <w:rPr>
          <w:color w:val="000000"/>
          <w:szCs w:val="22"/>
          <w:shd w:val="clear" w:color="auto" w:fill="FFFFFF"/>
        </w:rPr>
        <w:t>ստեղծումն</w:t>
      </w:r>
      <w:r w:rsidRPr="009A7904">
        <w:rPr>
          <w:color w:val="000000"/>
          <w:szCs w:val="22"/>
          <w:shd w:val="clear" w:color="auto" w:fill="FFFFFF"/>
          <w:lang w:val="pt-BR"/>
        </w:rPr>
        <w:t xml:space="preserve"> </w:t>
      </w:r>
      <w:r w:rsidRPr="009A7904">
        <w:rPr>
          <w:color w:val="000000"/>
          <w:szCs w:val="22"/>
          <w:shd w:val="clear" w:color="auto" w:fill="FFFFFF"/>
        </w:rPr>
        <w:t>ու</w:t>
      </w:r>
      <w:r w:rsidRPr="009A7904">
        <w:rPr>
          <w:color w:val="000000"/>
          <w:szCs w:val="22"/>
          <w:shd w:val="clear" w:color="auto" w:fill="FFFFFF"/>
          <w:lang w:val="pt-BR"/>
        </w:rPr>
        <w:t xml:space="preserve"> </w:t>
      </w:r>
      <w:r w:rsidRPr="009A7904">
        <w:rPr>
          <w:color w:val="000000"/>
          <w:szCs w:val="22"/>
          <w:shd w:val="clear" w:color="auto" w:fill="FFFFFF"/>
        </w:rPr>
        <w:t>կիրառումը</w:t>
      </w:r>
      <w:r w:rsidRPr="009A7904">
        <w:rPr>
          <w:color w:val="000000"/>
          <w:szCs w:val="22"/>
          <w:shd w:val="clear" w:color="auto" w:fill="FFFFFF"/>
          <w:lang w:val="pt-BR"/>
        </w:rPr>
        <w:t xml:space="preserve">: </w:t>
      </w:r>
    </w:p>
    <w:p w14:paraId="56EBDBCB" w14:textId="63B45F0A" w:rsidR="009D2825" w:rsidRPr="009A7904" w:rsidRDefault="009D2825" w:rsidP="009A7904">
      <w:pPr>
        <w:pStyle w:val="NormalWeb"/>
        <w:numPr>
          <w:ilvl w:val="0"/>
          <w:numId w:val="24"/>
        </w:numPr>
        <w:spacing w:before="0" w:after="0" w:line="276" w:lineRule="auto"/>
        <w:ind w:left="0" w:firstLine="567"/>
        <w:rPr>
          <w:color w:val="000000"/>
          <w:szCs w:val="22"/>
          <w:shd w:val="clear" w:color="auto" w:fill="FFFFFF"/>
          <w:lang w:val="pt-BR"/>
        </w:rPr>
      </w:pPr>
      <w:r w:rsidRPr="009A7904">
        <w:rPr>
          <w:color w:val="000000"/>
          <w:szCs w:val="22"/>
          <w:shd w:val="clear" w:color="auto" w:fill="FFFFFF"/>
        </w:rPr>
        <w:t>Ապահովել</w:t>
      </w:r>
      <w:r w:rsidRPr="009A7904">
        <w:rPr>
          <w:color w:val="000000"/>
          <w:szCs w:val="22"/>
          <w:shd w:val="clear" w:color="auto" w:fill="FFFFFF"/>
          <w:lang w:val="pt-BR"/>
        </w:rPr>
        <w:t xml:space="preserve"> </w:t>
      </w:r>
      <w:r w:rsidRPr="009A7904">
        <w:rPr>
          <w:color w:val="000000"/>
          <w:szCs w:val="22"/>
          <w:shd w:val="clear" w:color="auto" w:fill="FFFFFF"/>
        </w:rPr>
        <w:t>տեխնոլոգիական</w:t>
      </w:r>
      <w:r w:rsidRPr="009A7904">
        <w:rPr>
          <w:color w:val="000000"/>
          <w:szCs w:val="22"/>
          <w:shd w:val="clear" w:color="auto" w:fill="FFFFFF"/>
          <w:lang w:val="pt-BR"/>
        </w:rPr>
        <w:t xml:space="preserve"> </w:t>
      </w:r>
      <w:r w:rsidRPr="009A7904">
        <w:rPr>
          <w:color w:val="000000"/>
          <w:szCs w:val="22"/>
          <w:shd w:val="clear" w:color="auto" w:fill="FFFFFF"/>
        </w:rPr>
        <w:t>ընկերությունների</w:t>
      </w:r>
      <w:r w:rsidRPr="009A7904">
        <w:rPr>
          <w:color w:val="000000"/>
          <w:szCs w:val="22"/>
          <w:shd w:val="clear" w:color="auto" w:fill="FFFFFF"/>
          <w:lang w:val="pt-BR"/>
        </w:rPr>
        <w:t xml:space="preserve"> </w:t>
      </w:r>
      <w:r w:rsidRPr="009A7904">
        <w:rPr>
          <w:color w:val="000000"/>
          <w:szCs w:val="22"/>
          <w:shd w:val="clear" w:color="auto" w:fill="FFFFFF"/>
        </w:rPr>
        <w:t>կողմից</w:t>
      </w:r>
      <w:r w:rsidRPr="009A7904">
        <w:rPr>
          <w:color w:val="000000"/>
          <w:szCs w:val="22"/>
          <w:shd w:val="clear" w:color="auto" w:fill="FFFFFF"/>
          <w:lang w:val="pt-BR"/>
        </w:rPr>
        <w:t xml:space="preserve"> </w:t>
      </w:r>
      <w:r w:rsidRPr="009A7904">
        <w:rPr>
          <w:color w:val="000000"/>
          <w:szCs w:val="22"/>
          <w:shd w:val="clear" w:color="auto" w:fill="FFFFFF"/>
        </w:rPr>
        <w:t>ստեղծված</w:t>
      </w:r>
      <w:r w:rsidRPr="009A7904">
        <w:rPr>
          <w:color w:val="000000"/>
          <w:szCs w:val="22"/>
          <w:shd w:val="clear" w:color="auto" w:fill="FFFFFF"/>
          <w:lang w:val="pt-BR"/>
        </w:rPr>
        <w:t xml:space="preserve"> </w:t>
      </w:r>
      <w:r w:rsidRPr="009A7904">
        <w:rPr>
          <w:color w:val="000000"/>
          <w:szCs w:val="22"/>
          <w:shd w:val="clear" w:color="auto" w:fill="FFFFFF"/>
        </w:rPr>
        <w:t>բարձրորակ</w:t>
      </w:r>
      <w:r w:rsidRPr="009A7904">
        <w:rPr>
          <w:color w:val="000000"/>
          <w:szCs w:val="22"/>
          <w:shd w:val="clear" w:color="auto" w:fill="FFFFFF"/>
          <w:lang w:val="pt-BR"/>
        </w:rPr>
        <w:t xml:space="preserve"> </w:t>
      </w:r>
      <w:r w:rsidRPr="009A7904">
        <w:rPr>
          <w:color w:val="000000"/>
          <w:szCs w:val="22"/>
          <w:shd w:val="clear" w:color="auto" w:fill="FFFFFF"/>
        </w:rPr>
        <w:t>կրթական</w:t>
      </w:r>
      <w:r w:rsidRPr="009A7904">
        <w:rPr>
          <w:color w:val="000000"/>
          <w:szCs w:val="22"/>
          <w:shd w:val="clear" w:color="auto" w:fill="FFFFFF"/>
          <w:lang w:val="pt-BR"/>
        </w:rPr>
        <w:t xml:space="preserve"> </w:t>
      </w:r>
      <w:r w:rsidRPr="009A7904">
        <w:rPr>
          <w:color w:val="000000"/>
          <w:szCs w:val="22"/>
          <w:shd w:val="clear" w:color="auto" w:fill="FFFFFF"/>
        </w:rPr>
        <w:t>ծրագրերի</w:t>
      </w:r>
      <w:r w:rsidRPr="009A7904">
        <w:rPr>
          <w:color w:val="000000"/>
          <w:szCs w:val="22"/>
          <w:shd w:val="clear" w:color="auto" w:fill="FFFFFF"/>
          <w:lang w:val="pt-BR"/>
        </w:rPr>
        <w:t xml:space="preserve"> </w:t>
      </w:r>
      <w:r w:rsidRPr="009A7904">
        <w:rPr>
          <w:color w:val="000000"/>
          <w:szCs w:val="22"/>
          <w:shd w:val="clear" w:color="auto" w:fill="FFFFFF"/>
        </w:rPr>
        <w:t>լայն</w:t>
      </w:r>
      <w:r w:rsidRPr="009A7904">
        <w:rPr>
          <w:color w:val="000000"/>
          <w:szCs w:val="22"/>
          <w:shd w:val="clear" w:color="auto" w:fill="FFFFFF"/>
          <w:lang w:val="pt-BR"/>
        </w:rPr>
        <w:t xml:space="preserve"> </w:t>
      </w:r>
      <w:r w:rsidRPr="009A7904">
        <w:rPr>
          <w:color w:val="000000"/>
          <w:szCs w:val="22"/>
          <w:shd w:val="clear" w:color="auto" w:fill="FFFFFF"/>
        </w:rPr>
        <w:t>կի</w:t>
      </w:r>
      <w:r w:rsidR="007724F4">
        <w:rPr>
          <w:color w:val="000000"/>
          <w:szCs w:val="22"/>
          <w:shd w:val="clear" w:color="auto" w:fill="FFFFFF"/>
          <w:lang w:val="hy-AM"/>
        </w:rPr>
        <w:t>ր</w:t>
      </w:r>
      <w:r w:rsidRPr="009A7904">
        <w:rPr>
          <w:color w:val="000000"/>
          <w:szCs w:val="22"/>
          <w:shd w:val="clear" w:color="auto" w:fill="FFFFFF"/>
        </w:rPr>
        <w:t>առումը</w:t>
      </w:r>
      <w:r w:rsidRPr="009A7904">
        <w:rPr>
          <w:color w:val="000000"/>
          <w:szCs w:val="22"/>
          <w:shd w:val="clear" w:color="auto" w:fill="FFFFFF"/>
          <w:lang w:val="pt-BR"/>
        </w:rPr>
        <w:t xml:space="preserve"> </w:t>
      </w:r>
      <w:r w:rsidRPr="009A7904">
        <w:rPr>
          <w:color w:val="000000"/>
          <w:szCs w:val="22"/>
          <w:shd w:val="clear" w:color="auto" w:fill="FFFFFF"/>
        </w:rPr>
        <w:t>ԲՈՒՀ</w:t>
      </w:r>
      <w:r w:rsidRPr="009A7904">
        <w:rPr>
          <w:color w:val="000000"/>
          <w:szCs w:val="22"/>
          <w:shd w:val="clear" w:color="auto" w:fill="FFFFFF"/>
          <w:lang w:val="pt-BR"/>
        </w:rPr>
        <w:t>-</w:t>
      </w:r>
      <w:r w:rsidRPr="009A7904">
        <w:rPr>
          <w:color w:val="000000"/>
          <w:szCs w:val="22"/>
          <w:shd w:val="clear" w:color="auto" w:fill="FFFFFF"/>
        </w:rPr>
        <w:t>երում</w:t>
      </w:r>
      <w:r w:rsidR="007724F4">
        <w:rPr>
          <w:color w:val="000000"/>
          <w:szCs w:val="22"/>
          <w:shd w:val="clear" w:color="auto" w:fill="FFFFFF"/>
          <w:lang w:val="hy-AM"/>
        </w:rPr>
        <w:t>,</w:t>
      </w:r>
      <w:r w:rsidRPr="009A7904">
        <w:rPr>
          <w:color w:val="000000"/>
          <w:szCs w:val="22"/>
          <w:shd w:val="clear" w:color="auto" w:fill="FFFFFF"/>
          <w:lang w:val="pt-BR"/>
        </w:rPr>
        <w:t xml:space="preserve"> </w:t>
      </w:r>
      <w:r w:rsidRPr="009A7904">
        <w:rPr>
          <w:color w:val="000000"/>
          <w:szCs w:val="22"/>
          <w:shd w:val="clear" w:color="auto" w:fill="FFFFFF"/>
        </w:rPr>
        <w:t>ինչպես</w:t>
      </w:r>
      <w:r w:rsidRPr="009A7904">
        <w:rPr>
          <w:color w:val="000000"/>
          <w:szCs w:val="22"/>
          <w:shd w:val="clear" w:color="auto" w:fill="FFFFFF"/>
          <w:lang w:val="pt-BR"/>
        </w:rPr>
        <w:t xml:space="preserve"> </w:t>
      </w:r>
      <w:r w:rsidRPr="009A7904">
        <w:rPr>
          <w:color w:val="000000"/>
          <w:szCs w:val="22"/>
          <w:shd w:val="clear" w:color="auto" w:fill="FFFFFF"/>
        </w:rPr>
        <w:t>նաև</w:t>
      </w:r>
      <w:r w:rsidRPr="009A7904">
        <w:rPr>
          <w:color w:val="000000"/>
          <w:szCs w:val="22"/>
          <w:shd w:val="clear" w:color="auto" w:fill="FFFFFF"/>
          <w:lang w:val="pt-BR"/>
        </w:rPr>
        <w:t xml:space="preserve"> </w:t>
      </w:r>
      <w:r w:rsidRPr="009A7904">
        <w:rPr>
          <w:color w:val="000000"/>
          <w:szCs w:val="22"/>
          <w:shd w:val="clear" w:color="auto" w:fill="FFFFFF"/>
        </w:rPr>
        <w:t>Հայաստանի</w:t>
      </w:r>
      <w:r w:rsidRPr="009A7904">
        <w:rPr>
          <w:color w:val="000000"/>
          <w:szCs w:val="22"/>
          <w:shd w:val="clear" w:color="auto" w:fill="FFFFFF"/>
          <w:lang w:val="pt-BR"/>
        </w:rPr>
        <w:t xml:space="preserve"> </w:t>
      </w:r>
      <w:r w:rsidRPr="009A7904">
        <w:rPr>
          <w:color w:val="000000"/>
          <w:szCs w:val="22"/>
          <w:shd w:val="clear" w:color="auto" w:fill="FFFFFF"/>
        </w:rPr>
        <w:t>տարբեր</w:t>
      </w:r>
      <w:r w:rsidRPr="009A7904">
        <w:rPr>
          <w:color w:val="000000"/>
          <w:szCs w:val="22"/>
          <w:shd w:val="clear" w:color="auto" w:fill="FFFFFF"/>
          <w:lang w:val="pt-BR"/>
        </w:rPr>
        <w:t xml:space="preserve"> </w:t>
      </w:r>
      <w:r w:rsidRPr="009A7904">
        <w:rPr>
          <w:color w:val="000000"/>
          <w:szCs w:val="22"/>
          <w:shd w:val="clear" w:color="auto" w:fill="FFFFFF"/>
        </w:rPr>
        <w:t>քաղաքներում</w:t>
      </w:r>
      <w:r w:rsidRPr="009A7904">
        <w:rPr>
          <w:color w:val="000000"/>
          <w:szCs w:val="22"/>
          <w:shd w:val="clear" w:color="auto" w:fill="FFFFFF"/>
          <w:lang w:val="pt-BR"/>
        </w:rPr>
        <w:t xml:space="preserve"> </w:t>
      </w:r>
      <w:r w:rsidRPr="009A7904">
        <w:rPr>
          <w:color w:val="000000"/>
          <w:szCs w:val="22"/>
          <w:shd w:val="clear" w:color="auto" w:fill="FFFFFF"/>
        </w:rPr>
        <w:t>գտնվող</w:t>
      </w:r>
      <w:r w:rsidRPr="009A7904">
        <w:rPr>
          <w:color w:val="000000"/>
          <w:szCs w:val="22"/>
          <w:shd w:val="clear" w:color="auto" w:fill="FFFFFF"/>
          <w:lang w:val="pt-BR"/>
        </w:rPr>
        <w:t xml:space="preserve"> </w:t>
      </w:r>
      <w:r w:rsidRPr="009A7904">
        <w:rPr>
          <w:color w:val="000000"/>
          <w:szCs w:val="22"/>
          <w:shd w:val="clear" w:color="auto" w:fill="FFFFFF"/>
        </w:rPr>
        <w:t>տեխնոլոգիական</w:t>
      </w:r>
      <w:r w:rsidRPr="009A7904">
        <w:rPr>
          <w:color w:val="000000"/>
          <w:szCs w:val="22"/>
          <w:shd w:val="clear" w:color="auto" w:fill="FFFFFF"/>
          <w:lang w:val="pt-BR"/>
        </w:rPr>
        <w:t xml:space="preserve"> </w:t>
      </w:r>
      <w:r w:rsidRPr="009A7904">
        <w:rPr>
          <w:color w:val="000000"/>
          <w:szCs w:val="22"/>
          <w:shd w:val="clear" w:color="auto" w:fill="FFFFFF"/>
        </w:rPr>
        <w:t>կենտրոններում</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կրթական</w:t>
      </w:r>
      <w:r w:rsidRPr="009A7904">
        <w:rPr>
          <w:color w:val="000000"/>
          <w:szCs w:val="22"/>
          <w:shd w:val="clear" w:color="auto" w:fill="FFFFFF"/>
          <w:lang w:val="pt-BR"/>
        </w:rPr>
        <w:t xml:space="preserve"> </w:t>
      </w:r>
      <w:r w:rsidRPr="009A7904">
        <w:rPr>
          <w:color w:val="000000"/>
          <w:szCs w:val="22"/>
          <w:shd w:val="clear" w:color="auto" w:fill="FFFFFF"/>
        </w:rPr>
        <w:t>այլ</w:t>
      </w:r>
      <w:r w:rsidRPr="009A7904">
        <w:rPr>
          <w:color w:val="000000"/>
          <w:szCs w:val="22"/>
          <w:shd w:val="clear" w:color="auto" w:fill="FFFFFF"/>
          <w:lang w:val="pt-BR"/>
        </w:rPr>
        <w:t xml:space="preserve"> </w:t>
      </w:r>
      <w:r w:rsidRPr="009A7904">
        <w:rPr>
          <w:color w:val="000000"/>
          <w:szCs w:val="22"/>
          <w:shd w:val="clear" w:color="auto" w:fill="FFFFFF"/>
        </w:rPr>
        <w:t>հաստատություններում</w:t>
      </w:r>
      <w:r w:rsidRPr="009A7904">
        <w:rPr>
          <w:color w:val="000000"/>
          <w:szCs w:val="22"/>
          <w:shd w:val="clear" w:color="auto" w:fill="FFFFFF"/>
          <w:lang w:val="pt-BR"/>
        </w:rPr>
        <w:t>,</w:t>
      </w:r>
    </w:p>
    <w:p w14:paraId="315BD616" w14:textId="77777777" w:rsidR="009D2825" w:rsidRPr="009A7904" w:rsidRDefault="009D2825" w:rsidP="009A7904">
      <w:pPr>
        <w:pStyle w:val="NormalWeb"/>
        <w:numPr>
          <w:ilvl w:val="0"/>
          <w:numId w:val="24"/>
        </w:numPr>
        <w:spacing w:before="0" w:after="0" w:line="276" w:lineRule="auto"/>
        <w:ind w:left="0" w:firstLine="567"/>
        <w:rPr>
          <w:color w:val="000000"/>
          <w:szCs w:val="22"/>
          <w:shd w:val="clear" w:color="auto" w:fill="FFFFFF"/>
          <w:lang w:val="pt-BR"/>
        </w:rPr>
      </w:pPr>
      <w:r w:rsidRPr="009A7904">
        <w:rPr>
          <w:color w:val="000000"/>
          <w:szCs w:val="22"/>
          <w:shd w:val="clear" w:color="auto" w:fill="FFFFFF"/>
        </w:rPr>
        <w:t>Խրախուսել</w:t>
      </w:r>
      <w:r w:rsidRPr="009A7904">
        <w:rPr>
          <w:color w:val="000000"/>
          <w:szCs w:val="22"/>
          <w:shd w:val="clear" w:color="auto" w:fill="FFFFFF"/>
          <w:lang w:val="pt-BR"/>
        </w:rPr>
        <w:t xml:space="preserve"> </w:t>
      </w:r>
      <w:r w:rsidRPr="009A7904">
        <w:rPr>
          <w:color w:val="000000"/>
          <w:szCs w:val="22"/>
          <w:shd w:val="clear" w:color="auto" w:fill="FFFFFF"/>
        </w:rPr>
        <w:t>գիտության</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մասնավոր</w:t>
      </w:r>
      <w:r w:rsidRPr="009A7904">
        <w:rPr>
          <w:color w:val="000000"/>
          <w:szCs w:val="22"/>
          <w:shd w:val="clear" w:color="auto" w:fill="FFFFFF"/>
          <w:lang w:val="pt-BR"/>
        </w:rPr>
        <w:t xml:space="preserve"> </w:t>
      </w:r>
      <w:r w:rsidRPr="009A7904">
        <w:rPr>
          <w:color w:val="000000"/>
          <w:szCs w:val="22"/>
          <w:shd w:val="clear" w:color="auto" w:fill="FFFFFF"/>
        </w:rPr>
        <w:t>հատվածի</w:t>
      </w:r>
      <w:r w:rsidRPr="009A7904">
        <w:rPr>
          <w:color w:val="000000"/>
          <w:szCs w:val="22"/>
          <w:shd w:val="clear" w:color="auto" w:fill="FFFFFF"/>
          <w:lang w:val="pt-BR"/>
        </w:rPr>
        <w:t xml:space="preserve"> </w:t>
      </w:r>
      <w:r w:rsidRPr="009A7904">
        <w:rPr>
          <w:color w:val="000000"/>
          <w:szCs w:val="22"/>
          <w:shd w:val="clear" w:color="auto" w:fill="FFFFFF"/>
        </w:rPr>
        <w:t>միջև</w:t>
      </w:r>
      <w:r w:rsidRPr="009A7904">
        <w:rPr>
          <w:color w:val="000000"/>
          <w:szCs w:val="22"/>
          <w:shd w:val="clear" w:color="auto" w:fill="FFFFFF"/>
          <w:lang w:val="pt-BR"/>
        </w:rPr>
        <w:t xml:space="preserve"> </w:t>
      </w:r>
      <w:r w:rsidRPr="009A7904">
        <w:rPr>
          <w:color w:val="000000"/>
          <w:szCs w:val="22"/>
          <w:shd w:val="clear" w:color="auto" w:fill="FFFFFF"/>
        </w:rPr>
        <w:t>համագործակցությունը</w:t>
      </w:r>
      <w:r w:rsidRPr="009A7904">
        <w:rPr>
          <w:color w:val="000000"/>
          <w:szCs w:val="22"/>
          <w:shd w:val="clear" w:color="auto" w:fill="FFFFFF"/>
          <w:lang w:val="pt-BR"/>
        </w:rPr>
        <w:t xml:space="preserve">, </w:t>
      </w:r>
      <w:r w:rsidRPr="009A7904">
        <w:rPr>
          <w:color w:val="000000"/>
          <w:szCs w:val="22"/>
          <w:shd w:val="clear" w:color="auto" w:fill="FFFFFF"/>
        </w:rPr>
        <w:t>գիտական</w:t>
      </w:r>
      <w:r w:rsidRPr="009A7904">
        <w:rPr>
          <w:color w:val="000000"/>
          <w:szCs w:val="22"/>
          <w:shd w:val="clear" w:color="auto" w:fill="FFFFFF"/>
          <w:lang w:val="pt-BR"/>
        </w:rPr>
        <w:t xml:space="preserve"> </w:t>
      </w:r>
      <w:r w:rsidRPr="009A7904">
        <w:rPr>
          <w:color w:val="000000"/>
          <w:szCs w:val="22"/>
          <w:shd w:val="clear" w:color="auto" w:fill="FFFFFF"/>
        </w:rPr>
        <w:t>հետազոտությունների</w:t>
      </w:r>
      <w:r w:rsidRPr="009A7904">
        <w:rPr>
          <w:color w:val="000000"/>
          <w:szCs w:val="22"/>
          <w:shd w:val="clear" w:color="auto" w:fill="FFFFFF"/>
          <w:lang w:val="pt-BR"/>
        </w:rPr>
        <w:t xml:space="preserve"> </w:t>
      </w:r>
      <w:r w:rsidRPr="009A7904">
        <w:rPr>
          <w:color w:val="000000"/>
          <w:szCs w:val="22"/>
          <w:shd w:val="clear" w:color="auto" w:fill="FFFFFF"/>
        </w:rPr>
        <w:t>արդյունքների</w:t>
      </w:r>
      <w:r w:rsidRPr="009A7904">
        <w:rPr>
          <w:color w:val="000000"/>
          <w:szCs w:val="22"/>
          <w:shd w:val="clear" w:color="auto" w:fill="FFFFFF"/>
          <w:lang w:val="pt-BR"/>
        </w:rPr>
        <w:t xml:space="preserve"> </w:t>
      </w:r>
      <w:r w:rsidRPr="009A7904">
        <w:rPr>
          <w:color w:val="000000"/>
          <w:szCs w:val="22"/>
          <w:shd w:val="clear" w:color="auto" w:fill="FFFFFF"/>
        </w:rPr>
        <w:t>առևտրայնացումը</w:t>
      </w:r>
      <w:r w:rsidRPr="009A7904">
        <w:rPr>
          <w:color w:val="000000"/>
          <w:szCs w:val="22"/>
          <w:shd w:val="clear" w:color="auto" w:fill="FFFFFF"/>
          <w:lang w:val="pt-BR"/>
        </w:rPr>
        <w:t xml:space="preserve">` </w:t>
      </w:r>
      <w:r w:rsidRPr="009A7904">
        <w:rPr>
          <w:color w:val="000000"/>
          <w:szCs w:val="22"/>
          <w:shd w:val="clear" w:color="auto" w:fill="FFFFFF"/>
        </w:rPr>
        <w:t>դրամաշնորհային</w:t>
      </w:r>
      <w:r w:rsidRPr="009A7904">
        <w:rPr>
          <w:color w:val="000000"/>
          <w:szCs w:val="22"/>
          <w:shd w:val="clear" w:color="auto" w:fill="FFFFFF"/>
          <w:lang w:val="pt-BR"/>
        </w:rPr>
        <w:t xml:space="preserve"> </w:t>
      </w:r>
      <w:r w:rsidRPr="009A7904">
        <w:rPr>
          <w:color w:val="000000"/>
          <w:szCs w:val="22"/>
          <w:shd w:val="clear" w:color="auto" w:fill="FFFFFF"/>
        </w:rPr>
        <w:t>ծրագրերի</w:t>
      </w:r>
      <w:r w:rsidRPr="009A7904">
        <w:rPr>
          <w:color w:val="000000"/>
          <w:szCs w:val="22"/>
          <w:shd w:val="clear" w:color="auto" w:fill="FFFFFF"/>
          <w:lang w:val="pt-BR"/>
        </w:rPr>
        <w:t xml:space="preserve"> </w:t>
      </w:r>
      <w:r w:rsidRPr="009A7904">
        <w:rPr>
          <w:color w:val="000000"/>
          <w:szCs w:val="22"/>
          <w:shd w:val="clear" w:color="auto" w:fill="FFFFFF"/>
        </w:rPr>
        <w:t>իրագործման</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ներդրողների</w:t>
      </w:r>
      <w:r w:rsidRPr="009A7904">
        <w:rPr>
          <w:color w:val="000000"/>
          <w:szCs w:val="22"/>
          <w:shd w:val="clear" w:color="auto" w:fill="FFFFFF"/>
          <w:lang w:val="pt-BR"/>
        </w:rPr>
        <w:t xml:space="preserve"> </w:t>
      </w:r>
      <w:r w:rsidRPr="009A7904">
        <w:rPr>
          <w:color w:val="000000"/>
          <w:szCs w:val="22"/>
          <w:shd w:val="clear" w:color="auto" w:fill="FFFFFF"/>
        </w:rPr>
        <w:t>ներգրավման</w:t>
      </w:r>
      <w:r w:rsidRPr="009A7904">
        <w:rPr>
          <w:color w:val="000000"/>
          <w:szCs w:val="22"/>
          <w:shd w:val="clear" w:color="auto" w:fill="FFFFFF"/>
          <w:lang w:val="pt-BR"/>
        </w:rPr>
        <w:t xml:space="preserve"> </w:t>
      </w:r>
      <w:r w:rsidRPr="009A7904">
        <w:rPr>
          <w:color w:val="000000"/>
          <w:szCs w:val="22"/>
          <w:shd w:val="clear" w:color="auto" w:fill="FFFFFF"/>
        </w:rPr>
        <w:t>միջոցով</w:t>
      </w:r>
      <w:r w:rsidRPr="009A7904">
        <w:rPr>
          <w:color w:val="000000"/>
          <w:szCs w:val="22"/>
          <w:shd w:val="clear" w:color="auto" w:fill="FFFFFF"/>
          <w:lang w:val="pt-BR"/>
        </w:rPr>
        <w:t>,</w:t>
      </w:r>
    </w:p>
    <w:p w14:paraId="2B30CD94" w14:textId="77777777" w:rsidR="009D2825" w:rsidRPr="009A7904" w:rsidRDefault="009D2825" w:rsidP="009A7904">
      <w:pPr>
        <w:pStyle w:val="NormalWeb"/>
        <w:numPr>
          <w:ilvl w:val="0"/>
          <w:numId w:val="24"/>
        </w:numPr>
        <w:spacing w:before="0" w:after="0" w:line="276" w:lineRule="auto"/>
        <w:ind w:left="0" w:firstLine="567"/>
        <w:rPr>
          <w:color w:val="000000"/>
          <w:szCs w:val="22"/>
          <w:shd w:val="clear" w:color="auto" w:fill="FFFFFF"/>
          <w:lang w:val="pt-BR"/>
        </w:rPr>
      </w:pPr>
      <w:r w:rsidRPr="009A7904">
        <w:rPr>
          <w:color w:val="000000"/>
          <w:szCs w:val="22"/>
          <w:shd w:val="clear" w:color="auto" w:fill="FFFFFF"/>
        </w:rPr>
        <w:t>Ստարտափ</w:t>
      </w:r>
      <w:r w:rsidRPr="009A7904">
        <w:rPr>
          <w:color w:val="000000"/>
          <w:szCs w:val="22"/>
          <w:shd w:val="clear" w:color="auto" w:fill="FFFFFF"/>
          <w:lang w:val="pt-BR"/>
        </w:rPr>
        <w:t xml:space="preserve"> </w:t>
      </w:r>
      <w:r w:rsidRPr="009A7904">
        <w:rPr>
          <w:color w:val="000000"/>
          <w:szCs w:val="22"/>
          <w:shd w:val="clear" w:color="auto" w:fill="FFFFFF"/>
        </w:rPr>
        <w:t>էկոհամակարգի</w:t>
      </w:r>
      <w:r w:rsidRPr="009A7904">
        <w:rPr>
          <w:color w:val="000000"/>
          <w:szCs w:val="22"/>
          <w:shd w:val="clear" w:color="auto" w:fill="FFFFFF"/>
          <w:lang w:val="pt-BR"/>
        </w:rPr>
        <w:t xml:space="preserve"> </w:t>
      </w:r>
      <w:r w:rsidRPr="009A7904">
        <w:rPr>
          <w:color w:val="000000"/>
          <w:szCs w:val="22"/>
          <w:shd w:val="clear" w:color="auto" w:fill="FFFFFF"/>
        </w:rPr>
        <w:t>զարգացման</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միջազգային</w:t>
      </w:r>
      <w:r w:rsidRPr="009A7904">
        <w:rPr>
          <w:color w:val="000000"/>
          <w:szCs w:val="22"/>
          <w:shd w:val="clear" w:color="auto" w:fill="FFFFFF"/>
          <w:lang w:val="pt-BR"/>
        </w:rPr>
        <w:t xml:space="preserve"> </w:t>
      </w:r>
      <w:r w:rsidRPr="009A7904">
        <w:rPr>
          <w:color w:val="000000"/>
          <w:szCs w:val="22"/>
          <w:shd w:val="clear" w:color="auto" w:fill="FFFFFF"/>
        </w:rPr>
        <w:t>շուկաներում</w:t>
      </w:r>
      <w:r w:rsidRPr="009A7904">
        <w:rPr>
          <w:color w:val="000000"/>
          <w:szCs w:val="22"/>
          <w:shd w:val="clear" w:color="auto" w:fill="FFFFFF"/>
          <w:lang w:val="pt-BR"/>
        </w:rPr>
        <w:t xml:space="preserve"> </w:t>
      </w:r>
      <w:r w:rsidRPr="009A7904">
        <w:rPr>
          <w:color w:val="000000"/>
          <w:szCs w:val="22"/>
          <w:shd w:val="clear" w:color="auto" w:fill="FFFFFF"/>
        </w:rPr>
        <w:t>հայկական</w:t>
      </w:r>
      <w:r w:rsidRPr="009A7904">
        <w:rPr>
          <w:color w:val="000000"/>
          <w:szCs w:val="22"/>
          <w:shd w:val="clear" w:color="auto" w:fill="FFFFFF"/>
          <w:lang w:val="pt-BR"/>
        </w:rPr>
        <w:t xml:space="preserve"> </w:t>
      </w:r>
      <w:r w:rsidRPr="009A7904">
        <w:rPr>
          <w:color w:val="000000"/>
          <w:szCs w:val="22"/>
          <w:shd w:val="clear" w:color="auto" w:fill="FFFFFF"/>
        </w:rPr>
        <w:t>ընկերությունների</w:t>
      </w:r>
      <w:r w:rsidRPr="009A7904">
        <w:rPr>
          <w:color w:val="000000"/>
          <w:szCs w:val="22"/>
          <w:shd w:val="clear" w:color="auto" w:fill="FFFFFF"/>
          <w:lang w:val="pt-BR"/>
        </w:rPr>
        <w:t xml:space="preserve"> </w:t>
      </w:r>
      <w:r w:rsidRPr="009A7904">
        <w:rPr>
          <w:color w:val="000000"/>
          <w:szCs w:val="22"/>
          <w:shd w:val="clear" w:color="auto" w:fill="FFFFFF"/>
        </w:rPr>
        <w:t>առաջխաղացման</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ամրապնդման</w:t>
      </w:r>
      <w:r w:rsidRPr="009A7904">
        <w:rPr>
          <w:color w:val="000000"/>
          <w:szCs w:val="22"/>
          <w:shd w:val="clear" w:color="auto" w:fill="FFFFFF"/>
          <w:lang w:val="pt-BR"/>
        </w:rPr>
        <w:t xml:space="preserve"> </w:t>
      </w:r>
      <w:r w:rsidRPr="009A7904">
        <w:rPr>
          <w:color w:val="000000"/>
          <w:szCs w:val="22"/>
          <w:shd w:val="clear" w:color="auto" w:fill="FFFFFF"/>
        </w:rPr>
        <w:t>նպատակով</w:t>
      </w:r>
      <w:r w:rsidRPr="009A7904">
        <w:rPr>
          <w:color w:val="000000"/>
          <w:szCs w:val="22"/>
          <w:shd w:val="clear" w:color="auto" w:fill="FFFFFF"/>
          <w:lang w:val="pt-BR"/>
        </w:rPr>
        <w:t xml:space="preserve"> </w:t>
      </w:r>
      <w:r w:rsidRPr="009A7904">
        <w:rPr>
          <w:color w:val="000000"/>
          <w:szCs w:val="22"/>
          <w:shd w:val="clear" w:color="auto" w:fill="FFFFFF"/>
        </w:rPr>
        <w:t>օժանդակել</w:t>
      </w:r>
      <w:r w:rsidRPr="009A7904">
        <w:rPr>
          <w:color w:val="000000"/>
          <w:szCs w:val="22"/>
          <w:shd w:val="clear" w:color="auto" w:fill="FFFFFF"/>
          <w:lang w:val="pt-BR"/>
        </w:rPr>
        <w:t xml:space="preserve"> </w:t>
      </w:r>
      <w:r w:rsidRPr="009A7904">
        <w:rPr>
          <w:color w:val="000000"/>
          <w:szCs w:val="22"/>
          <w:shd w:val="clear" w:color="auto" w:fill="FFFFFF"/>
        </w:rPr>
        <w:t>ընկերություններին</w:t>
      </w:r>
      <w:r w:rsidRPr="009A7904">
        <w:rPr>
          <w:color w:val="000000"/>
          <w:szCs w:val="22"/>
          <w:shd w:val="clear" w:color="auto" w:fill="FFFFFF"/>
          <w:lang w:val="pt-BR"/>
        </w:rPr>
        <w:t xml:space="preserve"> </w:t>
      </w:r>
      <w:r w:rsidRPr="009A7904">
        <w:rPr>
          <w:color w:val="000000"/>
          <w:szCs w:val="22"/>
          <w:shd w:val="clear" w:color="auto" w:fill="FFFFFF"/>
        </w:rPr>
        <w:t>մասնակցել</w:t>
      </w:r>
      <w:r w:rsidRPr="009A7904">
        <w:rPr>
          <w:color w:val="000000"/>
          <w:szCs w:val="22"/>
          <w:shd w:val="clear" w:color="auto" w:fill="FFFFFF"/>
          <w:lang w:val="pt-BR"/>
        </w:rPr>
        <w:t xml:space="preserve"> </w:t>
      </w:r>
      <w:r w:rsidRPr="009A7904">
        <w:rPr>
          <w:color w:val="000000"/>
          <w:szCs w:val="22"/>
          <w:shd w:val="clear" w:color="auto" w:fill="FFFFFF"/>
        </w:rPr>
        <w:t>միջազգային</w:t>
      </w:r>
      <w:r w:rsidRPr="009A7904">
        <w:rPr>
          <w:color w:val="000000"/>
          <w:szCs w:val="22"/>
          <w:shd w:val="clear" w:color="auto" w:fill="FFFFFF"/>
          <w:lang w:val="pt-BR"/>
        </w:rPr>
        <w:t xml:space="preserve"> </w:t>
      </w:r>
      <w:r w:rsidRPr="009A7904">
        <w:rPr>
          <w:color w:val="000000"/>
          <w:szCs w:val="22"/>
          <w:shd w:val="clear" w:color="auto" w:fill="FFFFFF"/>
        </w:rPr>
        <w:t>հայտնի</w:t>
      </w:r>
      <w:r w:rsidRPr="009A7904">
        <w:rPr>
          <w:color w:val="000000"/>
          <w:szCs w:val="22"/>
          <w:shd w:val="clear" w:color="auto" w:fill="FFFFFF"/>
          <w:lang w:val="pt-BR"/>
        </w:rPr>
        <w:t xml:space="preserve"> </w:t>
      </w:r>
      <w:r w:rsidRPr="009A7904">
        <w:rPr>
          <w:color w:val="000000"/>
          <w:szCs w:val="22"/>
          <w:shd w:val="clear" w:color="auto" w:fill="FFFFFF"/>
        </w:rPr>
        <w:t>աքսելերացիոն</w:t>
      </w:r>
      <w:r w:rsidRPr="009A7904">
        <w:rPr>
          <w:color w:val="000000"/>
          <w:szCs w:val="22"/>
          <w:shd w:val="clear" w:color="auto" w:fill="FFFFFF"/>
          <w:lang w:val="pt-BR"/>
        </w:rPr>
        <w:t xml:space="preserve"> </w:t>
      </w:r>
      <w:r w:rsidRPr="009A7904">
        <w:rPr>
          <w:color w:val="000000"/>
          <w:szCs w:val="22"/>
          <w:shd w:val="clear" w:color="auto" w:fill="FFFFFF"/>
        </w:rPr>
        <w:t>կազմակերպությունների</w:t>
      </w:r>
      <w:r w:rsidRPr="009A7904">
        <w:rPr>
          <w:color w:val="000000"/>
          <w:szCs w:val="22"/>
          <w:shd w:val="clear" w:color="auto" w:fill="FFFFFF"/>
          <w:lang w:val="pt-BR"/>
        </w:rPr>
        <w:t xml:space="preserve"> </w:t>
      </w:r>
      <w:r w:rsidRPr="009A7904">
        <w:rPr>
          <w:color w:val="000000"/>
          <w:szCs w:val="22"/>
          <w:shd w:val="clear" w:color="auto" w:fill="FFFFFF"/>
        </w:rPr>
        <w:t>ուսուցողական</w:t>
      </w:r>
      <w:r w:rsidRPr="009A7904">
        <w:rPr>
          <w:color w:val="000000"/>
          <w:szCs w:val="22"/>
          <w:shd w:val="clear" w:color="auto" w:fill="FFFFFF"/>
          <w:lang w:val="pt-BR"/>
        </w:rPr>
        <w:t xml:space="preserve"> </w:t>
      </w:r>
      <w:r w:rsidRPr="009A7904">
        <w:rPr>
          <w:color w:val="000000"/>
          <w:szCs w:val="22"/>
          <w:shd w:val="clear" w:color="auto" w:fill="FFFFFF"/>
        </w:rPr>
        <w:t>ծրագրերին</w:t>
      </w:r>
      <w:r w:rsidRPr="009A7904">
        <w:rPr>
          <w:color w:val="000000"/>
          <w:szCs w:val="22"/>
          <w:shd w:val="clear" w:color="auto" w:fill="FFFFFF"/>
          <w:lang w:val="pt-BR"/>
        </w:rPr>
        <w:t>,</w:t>
      </w:r>
    </w:p>
    <w:p w14:paraId="0A4B7A77" w14:textId="77777777" w:rsidR="009D2825" w:rsidRPr="009A7904" w:rsidRDefault="009D2825" w:rsidP="009A7904">
      <w:pPr>
        <w:pStyle w:val="NormalWeb"/>
        <w:numPr>
          <w:ilvl w:val="0"/>
          <w:numId w:val="24"/>
        </w:numPr>
        <w:spacing w:before="0" w:after="0" w:line="276" w:lineRule="auto"/>
        <w:ind w:left="0" w:firstLine="567"/>
        <w:rPr>
          <w:color w:val="000000"/>
          <w:szCs w:val="22"/>
          <w:shd w:val="clear" w:color="auto" w:fill="FFFFFF"/>
          <w:lang w:val="pt-BR"/>
        </w:rPr>
      </w:pPr>
      <w:r w:rsidRPr="009A7904">
        <w:rPr>
          <w:color w:val="000000"/>
          <w:szCs w:val="22"/>
          <w:shd w:val="clear" w:color="auto" w:fill="FFFFFF"/>
        </w:rPr>
        <w:t>Աջակցել</w:t>
      </w:r>
      <w:r w:rsidRPr="009A7904">
        <w:rPr>
          <w:color w:val="000000"/>
          <w:szCs w:val="22"/>
          <w:shd w:val="clear" w:color="auto" w:fill="FFFFFF"/>
          <w:lang w:val="pt-BR"/>
        </w:rPr>
        <w:t xml:space="preserve"> </w:t>
      </w:r>
      <w:r w:rsidRPr="009A7904">
        <w:rPr>
          <w:color w:val="000000"/>
          <w:szCs w:val="22"/>
          <w:shd w:val="clear" w:color="auto" w:fill="FFFFFF"/>
        </w:rPr>
        <w:t>միջազգային</w:t>
      </w:r>
      <w:r w:rsidRPr="009A7904">
        <w:rPr>
          <w:color w:val="000000"/>
          <w:szCs w:val="22"/>
          <w:shd w:val="clear" w:color="auto" w:fill="FFFFFF"/>
          <w:lang w:val="pt-BR"/>
        </w:rPr>
        <w:t xml:space="preserve"> </w:t>
      </w:r>
      <w:r w:rsidRPr="009A7904">
        <w:rPr>
          <w:color w:val="000000"/>
          <w:szCs w:val="22"/>
          <w:shd w:val="clear" w:color="auto" w:fill="FFFFFF"/>
        </w:rPr>
        <w:t>շուկաներում</w:t>
      </w:r>
      <w:r w:rsidRPr="009A7904">
        <w:rPr>
          <w:color w:val="000000"/>
          <w:szCs w:val="22"/>
          <w:shd w:val="clear" w:color="auto" w:fill="FFFFFF"/>
          <w:lang w:val="pt-BR"/>
        </w:rPr>
        <w:t xml:space="preserve"> </w:t>
      </w:r>
      <w:r w:rsidRPr="009A7904">
        <w:rPr>
          <w:color w:val="000000"/>
          <w:szCs w:val="22"/>
          <w:shd w:val="clear" w:color="auto" w:fill="FFFFFF"/>
        </w:rPr>
        <w:t>հայկական</w:t>
      </w:r>
      <w:r w:rsidRPr="009A7904">
        <w:rPr>
          <w:color w:val="000000"/>
          <w:szCs w:val="22"/>
          <w:shd w:val="clear" w:color="auto" w:fill="FFFFFF"/>
          <w:lang w:val="pt-BR"/>
        </w:rPr>
        <w:t xml:space="preserve"> </w:t>
      </w:r>
      <w:r w:rsidRPr="009A7904">
        <w:rPr>
          <w:color w:val="000000"/>
          <w:szCs w:val="22"/>
          <w:shd w:val="clear" w:color="auto" w:fill="FFFFFF"/>
        </w:rPr>
        <w:t>բարձր</w:t>
      </w:r>
      <w:r w:rsidRPr="009A7904">
        <w:rPr>
          <w:color w:val="000000"/>
          <w:szCs w:val="22"/>
          <w:shd w:val="clear" w:color="auto" w:fill="FFFFFF"/>
          <w:lang w:val="pt-BR"/>
        </w:rPr>
        <w:t xml:space="preserve"> </w:t>
      </w:r>
      <w:r w:rsidRPr="009A7904">
        <w:rPr>
          <w:color w:val="000000"/>
          <w:szCs w:val="22"/>
          <w:shd w:val="clear" w:color="auto" w:fill="FFFFFF"/>
        </w:rPr>
        <w:t>տեխնոլոգիական</w:t>
      </w:r>
      <w:r w:rsidRPr="009A7904">
        <w:rPr>
          <w:color w:val="000000"/>
          <w:szCs w:val="22"/>
          <w:shd w:val="clear" w:color="auto" w:fill="FFFFFF"/>
          <w:lang w:val="pt-BR"/>
        </w:rPr>
        <w:t xml:space="preserve"> </w:t>
      </w:r>
      <w:r w:rsidRPr="009A7904">
        <w:rPr>
          <w:color w:val="000000"/>
          <w:szCs w:val="22"/>
          <w:shd w:val="clear" w:color="auto" w:fill="FFFFFF"/>
        </w:rPr>
        <w:t>ընկերությունների</w:t>
      </w:r>
      <w:r w:rsidRPr="009A7904">
        <w:rPr>
          <w:color w:val="000000"/>
          <w:szCs w:val="22"/>
          <w:shd w:val="clear" w:color="auto" w:fill="FFFFFF"/>
          <w:lang w:val="pt-BR"/>
        </w:rPr>
        <w:t xml:space="preserve">, </w:t>
      </w:r>
      <w:r w:rsidRPr="009A7904">
        <w:rPr>
          <w:color w:val="000000"/>
          <w:szCs w:val="22"/>
          <w:shd w:val="clear" w:color="auto" w:fill="FFFFFF"/>
        </w:rPr>
        <w:t>նրանց</w:t>
      </w:r>
      <w:r w:rsidRPr="009A7904">
        <w:rPr>
          <w:color w:val="000000"/>
          <w:szCs w:val="22"/>
          <w:shd w:val="clear" w:color="auto" w:fill="FFFFFF"/>
          <w:lang w:val="pt-BR"/>
        </w:rPr>
        <w:t xml:space="preserve"> </w:t>
      </w:r>
      <w:r w:rsidRPr="009A7904">
        <w:rPr>
          <w:color w:val="000000"/>
          <w:szCs w:val="22"/>
          <w:shd w:val="clear" w:color="auto" w:fill="FFFFFF"/>
        </w:rPr>
        <w:t>ստեղծած</w:t>
      </w:r>
      <w:r w:rsidRPr="009A7904">
        <w:rPr>
          <w:color w:val="000000"/>
          <w:szCs w:val="22"/>
          <w:shd w:val="clear" w:color="auto" w:fill="FFFFFF"/>
          <w:lang w:val="pt-BR"/>
        </w:rPr>
        <w:t xml:space="preserve"> </w:t>
      </w:r>
      <w:r w:rsidRPr="009A7904">
        <w:rPr>
          <w:color w:val="000000"/>
          <w:szCs w:val="22"/>
          <w:shd w:val="clear" w:color="auto" w:fill="FFFFFF"/>
        </w:rPr>
        <w:t>արտադրանքի</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ծառայությունների</w:t>
      </w:r>
      <w:r w:rsidRPr="009A7904">
        <w:rPr>
          <w:color w:val="000000"/>
          <w:szCs w:val="22"/>
          <w:shd w:val="clear" w:color="auto" w:fill="FFFFFF"/>
          <w:lang w:val="pt-BR"/>
        </w:rPr>
        <w:t xml:space="preserve"> </w:t>
      </w:r>
      <w:r w:rsidRPr="009A7904">
        <w:rPr>
          <w:color w:val="000000"/>
          <w:szCs w:val="22"/>
          <w:shd w:val="clear" w:color="auto" w:fill="FFFFFF"/>
        </w:rPr>
        <w:t>պատշաճ</w:t>
      </w:r>
      <w:r w:rsidRPr="009A7904">
        <w:rPr>
          <w:color w:val="000000"/>
          <w:szCs w:val="22"/>
          <w:shd w:val="clear" w:color="auto" w:fill="FFFFFF"/>
          <w:lang w:val="pt-BR"/>
        </w:rPr>
        <w:t xml:space="preserve"> </w:t>
      </w:r>
      <w:r w:rsidRPr="009A7904">
        <w:rPr>
          <w:color w:val="000000"/>
          <w:szCs w:val="22"/>
          <w:shd w:val="clear" w:color="auto" w:fill="FFFFFF"/>
        </w:rPr>
        <w:t>ներկայացմանը</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միջազգային</w:t>
      </w:r>
      <w:r w:rsidRPr="009A7904">
        <w:rPr>
          <w:color w:val="000000"/>
          <w:szCs w:val="22"/>
          <w:shd w:val="clear" w:color="auto" w:fill="FFFFFF"/>
          <w:lang w:val="pt-BR"/>
        </w:rPr>
        <w:t xml:space="preserve"> </w:t>
      </w:r>
      <w:r w:rsidRPr="009A7904">
        <w:rPr>
          <w:color w:val="000000"/>
          <w:szCs w:val="22"/>
          <w:shd w:val="clear" w:color="auto" w:fill="FFFFFF"/>
        </w:rPr>
        <w:t>համագործակցության</w:t>
      </w:r>
      <w:r w:rsidRPr="009A7904">
        <w:rPr>
          <w:color w:val="000000"/>
          <w:szCs w:val="22"/>
          <w:shd w:val="clear" w:color="auto" w:fill="FFFFFF"/>
          <w:lang w:val="pt-BR"/>
        </w:rPr>
        <w:t xml:space="preserve"> </w:t>
      </w:r>
      <w:r w:rsidRPr="009A7904">
        <w:rPr>
          <w:color w:val="000000"/>
          <w:szCs w:val="22"/>
          <w:shd w:val="clear" w:color="auto" w:fill="FFFFFF"/>
        </w:rPr>
        <w:t>պլատֆորմների</w:t>
      </w:r>
      <w:r w:rsidRPr="009A7904">
        <w:rPr>
          <w:color w:val="000000"/>
          <w:szCs w:val="22"/>
          <w:shd w:val="clear" w:color="auto" w:fill="FFFFFF"/>
          <w:lang w:val="pt-BR"/>
        </w:rPr>
        <w:t xml:space="preserve"> </w:t>
      </w:r>
      <w:r w:rsidRPr="009A7904">
        <w:rPr>
          <w:color w:val="000000"/>
          <w:szCs w:val="22"/>
          <w:shd w:val="clear" w:color="auto" w:fill="FFFFFF"/>
        </w:rPr>
        <w:t>զարգացմանը</w:t>
      </w:r>
      <w:r w:rsidRPr="009A7904">
        <w:rPr>
          <w:color w:val="000000"/>
          <w:szCs w:val="22"/>
          <w:shd w:val="clear" w:color="auto" w:fill="FFFFFF"/>
          <w:lang w:val="pt-BR"/>
        </w:rPr>
        <w:t>,</w:t>
      </w:r>
    </w:p>
    <w:p w14:paraId="0CA5D697" w14:textId="77777777" w:rsidR="009D2825" w:rsidRPr="009A7904" w:rsidRDefault="009D2825" w:rsidP="009A7904">
      <w:pPr>
        <w:pStyle w:val="NormalWeb"/>
        <w:numPr>
          <w:ilvl w:val="0"/>
          <w:numId w:val="24"/>
        </w:numPr>
        <w:spacing w:before="0" w:after="0" w:line="276" w:lineRule="auto"/>
        <w:ind w:left="0" w:firstLine="567"/>
        <w:rPr>
          <w:color w:val="000000"/>
          <w:szCs w:val="22"/>
          <w:shd w:val="clear" w:color="auto" w:fill="FFFFFF"/>
          <w:lang w:val="pt-BR"/>
        </w:rPr>
      </w:pPr>
      <w:r w:rsidRPr="009A7904">
        <w:rPr>
          <w:color w:val="000000"/>
          <w:szCs w:val="22"/>
          <w:shd w:val="clear" w:color="auto" w:fill="FFFFFF"/>
        </w:rPr>
        <w:t>ՀՀ</w:t>
      </w:r>
      <w:r w:rsidRPr="009A7904">
        <w:rPr>
          <w:color w:val="000000"/>
          <w:szCs w:val="22"/>
          <w:shd w:val="clear" w:color="auto" w:fill="FFFFFF"/>
          <w:lang w:val="pt-BR"/>
        </w:rPr>
        <w:t xml:space="preserve"> </w:t>
      </w:r>
      <w:r w:rsidRPr="009A7904">
        <w:rPr>
          <w:color w:val="000000"/>
          <w:szCs w:val="22"/>
          <w:shd w:val="clear" w:color="auto" w:fill="FFFFFF"/>
        </w:rPr>
        <w:t>մարզերի</w:t>
      </w:r>
      <w:r w:rsidRPr="009A7904">
        <w:rPr>
          <w:color w:val="000000"/>
          <w:szCs w:val="22"/>
          <w:shd w:val="clear" w:color="auto" w:fill="FFFFFF"/>
          <w:lang w:val="pt-BR"/>
        </w:rPr>
        <w:t xml:space="preserve"> </w:t>
      </w:r>
      <w:r w:rsidRPr="009A7904">
        <w:rPr>
          <w:color w:val="000000"/>
          <w:szCs w:val="22"/>
          <w:shd w:val="clear" w:color="auto" w:fill="FFFFFF"/>
        </w:rPr>
        <w:t>համահարթ</w:t>
      </w:r>
      <w:r w:rsidRPr="009A7904">
        <w:rPr>
          <w:color w:val="000000"/>
          <w:szCs w:val="22"/>
          <w:shd w:val="clear" w:color="auto" w:fill="FFFFFF"/>
          <w:lang w:val="pt-BR"/>
        </w:rPr>
        <w:t xml:space="preserve"> </w:t>
      </w:r>
      <w:r w:rsidRPr="009A7904">
        <w:rPr>
          <w:color w:val="000000"/>
          <w:szCs w:val="22"/>
          <w:shd w:val="clear" w:color="auto" w:fill="FFFFFF"/>
        </w:rPr>
        <w:t>զարգացման</w:t>
      </w:r>
      <w:r w:rsidRPr="009A7904">
        <w:rPr>
          <w:color w:val="000000"/>
          <w:szCs w:val="22"/>
          <w:shd w:val="clear" w:color="auto" w:fill="FFFFFF"/>
          <w:lang w:val="pt-BR"/>
        </w:rPr>
        <w:t xml:space="preserve"> </w:t>
      </w:r>
      <w:r w:rsidRPr="009A7904">
        <w:rPr>
          <w:color w:val="000000"/>
          <w:szCs w:val="22"/>
          <w:shd w:val="clear" w:color="auto" w:fill="FFFFFF"/>
        </w:rPr>
        <w:t>նպատակով</w:t>
      </w:r>
      <w:r w:rsidRPr="009A7904">
        <w:rPr>
          <w:color w:val="000000"/>
          <w:szCs w:val="22"/>
          <w:shd w:val="clear" w:color="auto" w:fill="FFFFFF"/>
          <w:lang w:val="pt-BR"/>
        </w:rPr>
        <w:t xml:space="preserve"> </w:t>
      </w:r>
      <w:r w:rsidRPr="009A7904">
        <w:rPr>
          <w:color w:val="000000"/>
          <w:szCs w:val="22"/>
          <w:shd w:val="clear" w:color="auto" w:fill="FFFFFF"/>
        </w:rPr>
        <w:t>խթանել</w:t>
      </w:r>
      <w:r w:rsidRPr="009A7904">
        <w:rPr>
          <w:color w:val="000000"/>
          <w:szCs w:val="22"/>
          <w:shd w:val="clear" w:color="auto" w:fill="FFFFFF"/>
          <w:lang w:val="pt-BR"/>
        </w:rPr>
        <w:t xml:space="preserve"> </w:t>
      </w:r>
      <w:r w:rsidRPr="009A7904">
        <w:rPr>
          <w:color w:val="000000"/>
          <w:szCs w:val="22"/>
          <w:shd w:val="clear" w:color="auto" w:fill="FFFFFF"/>
        </w:rPr>
        <w:t>մարզերում</w:t>
      </w:r>
      <w:r w:rsidRPr="009A7904">
        <w:rPr>
          <w:color w:val="000000"/>
          <w:szCs w:val="22"/>
          <w:shd w:val="clear" w:color="auto" w:fill="FFFFFF"/>
          <w:lang w:val="pt-BR"/>
        </w:rPr>
        <w:t xml:space="preserve"> </w:t>
      </w:r>
      <w:r w:rsidRPr="009A7904">
        <w:rPr>
          <w:color w:val="000000"/>
          <w:szCs w:val="22"/>
          <w:shd w:val="clear" w:color="auto" w:fill="FFFFFF"/>
        </w:rPr>
        <w:t>ժամանակակից</w:t>
      </w:r>
      <w:r w:rsidRPr="009A7904">
        <w:rPr>
          <w:color w:val="000000"/>
          <w:szCs w:val="22"/>
          <w:shd w:val="clear" w:color="auto" w:fill="FFFFFF"/>
          <w:lang w:val="pt-BR"/>
        </w:rPr>
        <w:t xml:space="preserve"> </w:t>
      </w:r>
      <w:r w:rsidRPr="009A7904">
        <w:rPr>
          <w:color w:val="000000"/>
          <w:szCs w:val="22"/>
          <w:shd w:val="clear" w:color="auto" w:fill="FFFFFF"/>
        </w:rPr>
        <w:t>հագեցած</w:t>
      </w:r>
      <w:r w:rsidRPr="009A7904">
        <w:rPr>
          <w:color w:val="000000"/>
          <w:szCs w:val="22"/>
          <w:shd w:val="clear" w:color="auto" w:fill="FFFFFF"/>
          <w:lang w:val="pt-BR"/>
        </w:rPr>
        <w:t xml:space="preserve"> </w:t>
      </w:r>
      <w:r w:rsidRPr="009A7904">
        <w:rPr>
          <w:color w:val="000000"/>
          <w:szCs w:val="22"/>
          <w:shd w:val="clear" w:color="auto" w:fill="FFFFFF"/>
        </w:rPr>
        <w:t>տեխնոլոգիական</w:t>
      </w:r>
      <w:r w:rsidRPr="009A7904">
        <w:rPr>
          <w:color w:val="000000"/>
          <w:szCs w:val="22"/>
          <w:shd w:val="clear" w:color="auto" w:fill="FFFFFF"/>
          <w:lang w:val="pt-BR"/>
        </w:rPr>
        <w:t xml:space="preserve"> </w:t>
      </w:r>
      <w:r w:rsidRPr="009A7904">
        <w:rPr>
          <w:color w:val="000000"/>
          <w:szCs w:val="22"/>
          <w:shd w:val="clear" w:color="auto" w:fill="FFFFFF"/>
        </w:rPr>
        <w:t>կենտրոնների</w:t>
      </w:r>
      <w:r w:rsidRPr="009A7904">
        <w:rPr>
          <w:color w:val="000000"/>
          <w:szCs w:val="22"/>
          <w:shd w:val="clear" w:color="auto" w:fill="FFFFFF"/>
          <w:lang w:val="pt-BR"/>
        </w:rPr>
        <w:t xml:space="preserve"> </w:t>
      </w:r>
      <w:r w:rsidRPr="009A7904">
        <w:rPr>
          <w:color w:val="000000"/>
          <w:szCs w:val="22"/>
          <w:shd w:val="clear" w:color="auto" w:fill="FFFFFF"/>
        </w:rPr>
        <w:t>արդյունավետ</w:t>
      </w:r>
      <w:r w:rsidRPr="009A7904">
        <w:rPr>
          <w:color w:val="000000"/>
          <w:szCs w:val="22"/>
          <w:shd w:val="clear" w:color="auto" w:fill="FFFFFF"/>
          <w:lang w:val="pt-BR"/>
        </w:rPr>
        <w:t xml:space="preserve"> </w:t>
      </w:r>
      <w:r w:rsidRPr="009A7904">
        <w:rPr>
          <w:color w:val="000000"/>
          <w:szCs w:val="22"/>
          <w:shd w:val="clear" w:color="auto" w:fill="FFFFFF"/>
        </w:rPr>
        <w:t>գործունեությունը</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ձեռնարկել</w:t>
      </w:r>
      <w:r w:rsidRPr="009A7904">
        <w:rPr>
          <w:color w:val="000000"/>
          <w:szCs w:val="22"/>
          <w:shd w:val="clear" w:color="auto" w:fill="FFFFFF"/>
          <w:lang w:val="pt-BR"/>
        </w:rPr>
        <w:t xml:space="preserve"> </w:t>
      </w:r>
      <w:r w:rsidRPr="009A7904">
        <w:rPr>
          <w:color w:val="000000"/>
          <w:szCs w:val="22"/>
          <w:shd w:val="clear" w:color="auto" w:fill="FFFFFF"/>
        </w:rPr>
        <w:t>միջոցներ</w:t>
      </w:r>
      <w:r w:rsidRPr="009A7904">
        <w:rPr>
          <w:color w:val="000000"/>
          <w:szCs w:val="22"/>
          <w:shd w:val="clear" w:color="auto" w:fill="FFFFFF"/>
          <w:lang w:val="pt-BR"/>
        </w:rPr>
        <w:t xml:space="preserve"> </w:t>
      </w:r>
      <w:r w:rsidRPr="009A7904">
        <w:rPr>
          <w:color w:val="000000"/>
          <w:szCs w:val="22"/>
          <w:shd w:val="clear" w:color="auto" w:fill="FFFFFF"/>
        </w:rPr>
        <w:t>հանրապետության</w:t>
      </w:r>
      <w:r w:rsidRPr="009A7904">
        <w:rPr>
          <w:color w:val="000000"/>
          <w:szCs w:val="22"/>
          <w:shd w:val="clear" w:color="auto" w:fill="FFFFFF"/>
          <w:lang w:val="pt-BR"/>
        </w:rPr>
        <w:t xml:space="preserve"> </w:t>
      </w:r>
      <w:r w:rsidRPr="009A7904">
        <w:rPr>
          <w:color w:val="000000"/>
          <w:szCs w:val="22"/>
          <w:shd w:val="clear" w:color="auto" w:fill="FFFFFF"/>
        </w:rPr>
        <w:t>տարածքում</w:t>
      </w:r>
      <w:r w:rsidRPr="009A7904">
        <w:rPr>
          <w:color w:val="000000"/>
          <w:szCs w:val="22"/>
          <w:shd w:val="clear" w:color="auto" w:fill="FFFFFF"/>
          <w:lang w:val="pt-BR"/>
        </w:rPr>
        <w:t xml:space="preserve"> </w:t>
      </w:r>
      <w:r w:rsidRPr="009A7904">
        <w:rPr>
          <w:color w:val="000000"/>
          <w:szCs w:val="22"/>
          <w:shd w:val="clear" w:color="auto" w:fill="FFFFFF"/>
        </w:rPr>
        <w:t>նոր</w:t>
      </w:r>
      <w:r w:rsidRPr="009A7904">
        <w:rPr>
          <w:color w:val="000000"/>
          <w:szCs w:val="22"/>
          <w:shd w:val="clear" w:color="auto" w:fill="FFFFFF"/>
          <w:lang w:val="pt-BR"/>
        </w:rPr>
        <w:t xml:space="preserve"> </w:t>
      </w:r>
      <w:r w:rsidRPr="009A7904">
        <w:rPr>
          <w:color w:val="000000"/>
          <w:szCs w:val="22"/>
          <w:shd w:val="clear" w:color="auto" w:fill="FFFFFF"/>
        </w:rPr>
        <w:t>կենտրոնների</w:t>
      </w:r>
      <w:r w:rsidRPr="009A7904">
        <w:rPr>
          <w:color w:val="000000"/>
          <w:szCs w:val="22"/>
          <w:shd w:val="clear" w:color="auto" w:fill="FFFFFF"/>
          <w:lang w:val="pt-BR"/>
        </w:rPr>
        <w:t xml:space="preserve"> </w:t>
      </w:r>
      <w:r w:rsidRPr="009A7904">
        <w:rPr>
          <w:color w:val="000000"/>
          <w:szCs w:val="22"/>
          <w:shd w:val="clear" w:color="auto" w:fill="FFFFFF"/>
        </w:rPr>
        <w:t>ստեղծման</w:t>
      </w:r>
      <w:r w:rsidRPr="009A7904">
        <w:rPr>
          <w:color w:val="000000"/>
          <w:szCs w:val="22"/>
          <w:shd w:val="clear" w:color="auto" w:fill="FFFFFF"/>
          <w:lang w:val="pt-BR"/>
        </w:rPr>
        <w:t xml:space="preserve"> </w:t>
      </w:r>
      <w:r w:rsidRPr="009A7904">
        <w:rPr>
          <w:color w:val="000000"/>
          <w:szCs w:val="22"/>
          <w:shd w:val="clear" w:color="auto" w:fill="FFFFFF"/>
        </w:rPr>
        <w:t>ուղղությամբ</w:t>
      </w:r>
      <w:r w:rsidRPr="009A7904">
        <w:rPr>
          <w:color w:val="000000"/>
          <w:szCs w:val="22"/>
          <w:shd w:val="clear" w:color="auto" w:fill="FFFFFF"/>
          <w:lang w:val="pt-BR"/>
        </w:rPr>
        <w:t>,</w:t>
      </w:r>
    </w:p>
    <w:p w14:paraId="51260A8A" w14:textId="77777777" w:rsidR="009D2825" w:rsidRPr="009A7904" w:rsidRDefault="009D2825" w:rsidP="009A7904">
      <w:pPr>
        <w:pStyle w:val="NormalWeb"/>
        <w:numPr>
          <w:ilvl w:val="0"/>
          <w:numId w:val="24"/>
        </w:numPr>
        <w:spacing w:before="0" w:after="0" w:line="276" w:lineRule="auto"/>
        <w:ind w:left="0" w:firstLine="567"/>
        <w:rPr>
          <w:color w:val="000000"/>
          <w:szCs w:val="22"/>
          <w:shd w:val="clear" w:color="auto" w:fill="FFFFFF"/>
          <w:lang w:val="pt-BR"/>
        </w:rPr>
      </w:pPr>
      <w:r w:rsidRPr="009A7904">
        <w:rPr>
          <w:color w:val="000000"/>
          <w:szCs w:val="22"/>
          <w:shd w:val="clear" w:color="auto" w:fill="FFFFFF"/>
        </w:rPr>
        <w:t>Նպաստավոր</w:t>
      </w:r>
      <w:r w:rsidRPr="009A7904">
        <w:rPr>
          <w:color w:val="000000"/>
          <w:szCs w:val="22"/>
          <w:shd w:val="clear" w:color="auto" w:fill="FFFFFF"/>
          <w:lang w:val="pt-BR"/>
        </w:rPr>
        <w:t xml:space="preserve"> </w:t>
      </w:r>
      <w:r w:rsidRPr="009A7904">
        <w:rPr>
          <w:color w:val="000000"/>
          <w:szCs w:val="22"/>
          <w:shd w:val="clear" w:color="auto" w:fill="FFFFFF"/>
        </w:rPr>
        <w:t>պայմաններ</w:t>
      </w:r>
      <w:r w:rsidRPr="009A7904">
        <w:rPr>
          <w:color w:val="000000"/>
          <w:szCs w:val="22"/>
          <w:shd w:val="clear" w:color="auto" w:fill="FFFFFF"/>
          <w:lang w:val="pt-BR"/>
        </w:rPr>
        <w:t xml:space="preserve"> </w:t>
      </w:r>
      <w:r w:rsidRPr="009A7904">
        <w:rPr>
          <w:color w:val="000000"/>
          <w:szCs w:val="22"/>
          <w:shd w:val="clear" w:color="auto" w:fill="FFFFFF"/>
        </w:rPr>
        <w:t>ստեղծել</w:t>
      </w:r>
      <w:r w:rsidRPr="009A7904">
        <w:rPr>
          <w:color w:val="000000"/>
          <w:szCs w:val="22"/>
          <w:shd w:val="clear" w:color="auto" w:fill="FFFFFF"/>
          <w:lang w:val="pt-BR"/>
        </w:rPr>
        <w:t xml:space="preserve"> </w:t>
      </w:r>
      <w:r w:rsidRPr="009A7904">
        <w:rPr>
          <w:color w:val="000000"/>
          <w:szCs w:val="22"/>
          <w:shd w:val="clear" w:color="auto" w:fill="FFFFFF"/>
        </w:rPr>
        <w:t>միջազգային</w:t>
      </w:r>
      <w:r w:rsidRPr="009A7904">
        <w:rPr>
          <w:color w:val="000000"/>
          <w:szCs w:val="22"/>
          <w:shd w:val="clear" w:color="auto" w:fill="FFFFFF"/>
          <w:lang w:val="pt-BR"/>
        </w:rPr>
        <w:t xml:space="preserve"> </w:t>
      </w:r>
      <w:r w:rsidRPr="009A7904">
        <w:rPr>
          <w:color w:val="000000"/>
          <w:szCs w:val="22"/>
          <w:shd w:val="clear" w:color="auto" w:fill="FFFFFF"/>
        </w:rPr>
        <w:t>բարձր</w:t>
      </w:r>
      <w:r w:rsidRPr="009A7904">
        <w:rPr>
          <w:color w:val="000000"/>
          <w:szCs w:val="22"/>
          <w:shd w:val="clear" w:color="auto" w:fill="FFFFFF"/>
          <w:lang w:val="pt-BR"/>
        </w:rPr>
        <w:t xml:space="preserve"> </w:t>
      </w:r>
      <w:r w:rsidRPr="009A7904">
        <w:rPr>
          <w:color w:val="000000"/>
          <w:szCs w:val="22"/>
          <w:shd w:val="clear" w:color="auto" w:fill="FFFFFF"/>
        </w:rPr>
        <w:t>տեխնոլոգիական</w:t>
      </w:r>
      <w:r w:rsidRPr="009A7904">
        <w:rPr>
          <w:color w:val="000000"/>
          <w:szCs w:val="22"/>
          <w:shd w:val="clear" w:color="auto" w:fill="FFFFFF"/>
          <w:lang w:val="pt-BR"/>
        </w:rPr>
        <w:t xml:space="preserve"> </w:t>
      </w:r>
      <w:r w:rsidRPr="009A7904">
        <w:rPr>
          <w:color w:val="000000"/>
          <w:szCs w:val="22"/>
          <w:shd w:val="clear" w:color="auto" w:fill="FFFFFF"/>
        </w:rPr>
        <w:t>ընկերությունների</w:t>
      </w:r>
      <w:r w:rsidRPr="009A7904">
        <w:rPr>
          <w:color w:val="000000"/>
          <w:szCs w:val="22"/>
          <w:shd w:val="clear" w:color="auto" w:fill="FFFFFF"/>
          <w:lang w:val="pt-BR"/>
        </w:rPr>
        <w:t xml:space="preserve"> </w:t>
      </w:r>
      <w:r w:rsidRPr="009A7904">
        <w:rPr>
          <w:color w:val="000000"/>
          <w:szCs w:val="22"/>
          <w:shd w:val="clear" w:color="auto" w:fill="FFFFFF"/>
        </w:rPr>
        <w:t>Հայաստան</w:t>
      </w:r>
      <w:r w:rsidRPr="009A7904">
        <w:rPr>
          <w:color w:val="000000"/>
          <w:szCs w:val="22"/>
          <w:shd w:val="clear" w:color="auto" w:fill="FFFFFF"/>
          <w:lang w:val="pt-BR"/>
        </w:rPr>
        <w:t xml:space="preserve"> </w:t>
      </w:r>
      <w:r w:rsidRPr="009A7904">
        <w:rPr>
          <w:color w:val="000000"/>
          <w:szCs w:val="22"/>
          <w:shd w:val="clear" w:color="auto" w:fill="FFFFFF"/>
        </w:rPr>
        <w:t>մուտքի</w:t>
      </w:r>
      <w:r w:rsidRPr="009A7904">
        <w:rPr>
          <w:color w:val="000000"/>
          <w:szCs w:val="22"/>
          <w:shd w:val="clear" w:color="auto" w:fill="FFFFFF"/>
          <w:lang w:val="pt-BR"/>
        </w:rPr>
        <w:t xml:space="preserve"> </w:t>
      </w:r>
      <w:r w:rsidRPr="009A7904">
        <w:rPr>
          <w:color w:val="000000"/>
          <w:szCs w:val="22"/>
          <w:shd w:val="clear" w:color="auto" w:fill="FFFFFF"/>
        </w:rPr>
        <w:t>համար՝</w:t>
      </w:r>
      <w:r w:rsidRPr="009A7904">
        <w:rPr>
          <w:color w:val="000000"/>
          <w:szCs w:val="22"/>
          <w:shd w:val="clear" w:color="auto" w:fill="FFFFFF"/>
          <w:lang w:val="pt-BR"/>
        </w:rPr>
        <w:t xml:space="preserve"> </w:t>
      </w:r>
      <w:r w:rsidRPr="009A7904">
        <w:rPr>
          <w:color w:val="000000"/>
          <w:szCs w:val="22"/>
          <w:shd w:val="clear" w:color="auto" w:fill="FFFFFF"/>
        </w:rPr>
        <w:t>գիտահետազոտական</w:t>
      </w:r>
      <w:r w:rsidRPr="009A7904">
        <w:rPr>
          <w:color w:val="000000"/>
          <w:szCs w:val="22"/>
          <w:shd w:val="clear" w:color="auto" w:fill="FFFFFF"/>
          <w:lang w:val="pt-BR"/>
        </w:rPr>
        <w:t xml:space="preserve">, </w:t>
      </w:r>
      <w:r w:rsidRPr="009A7904">
        <w:rPr>
          <w:color w:val="000000"/>
          <w:szCs w:val="22"/>
          <w:shd w:val="clear" w:color="auto" w:fill="FFFFFF"/>
        </w:rPr>
        <w:t>արտադրական</w:t>
      </w:r>
      <w:r w:rsidRPr="009A7904">
        <w:rPr>
          <w:color w:val="000000"/>
          <w:szCs w:val="22"/>
          <w:shd w:val="clear" w:color="auto" w:fill="FFFFFF"/>
          <w:lang w:val="pt-BR"/>
        </w:rPr>
        <w:t xml:space="preserve"> </w:t>
      </w:r>
      <w:r w:rsidRPr="009A7904">
        <w:rPr>
          <w:color w:val="000000"/>
          <w:szCs w:val="22"/>
          <w:shd w:val="clear" w:color="auto" w:fill="FFFFFF"/>
        </w:rPr>
        <w:t>և</w:t>
      </w:r>
      <w:r w:rsidRPr="009A7904">
        <w:rPr>
          <w:color w:val="000000"/>
          <w:szCs w:val="22"/>
          <w:shd w:val="clear" w:color="auto" w:fill="FFFFFF"/>
          <w:lang w:val="pt-BR"/>
        </w:rPr>
        <w:t xml:space="preserve"> </w:t>
      </w:r>
      <w:r w:rsidRPr="009A7904">
        <w:rPr>
          <w:color w:val="000000"/>
          <w:szCs w:val="22"/>
          <w:shd w:val="clear" w:color="auto" w:fill="FFFFFF"/>
        </w:rPr>
        <w:t>կրթական</w:t>
      </w:r>
      <w:r w:rsidRPr="009A7904">
        <w:rPr>
          <w:color w:val="000000"/>
          <w:szCs w:val="22"/>
          <w:shd w:val="clear" w:color="auto" w:fill="FFFFFF"/>
          <w:lang w:val="pt-BR"/>
        </w:rPr>
        <w:t xml:space="preserve"> </w:t>
      </w:r>
      <w:r w:rsidRPr="009A7904">
        <w:rPr>
          <w:color w:val="000000"/>
          <w:szCs w:val="22"/>
          <w:shd w:val="clear" w:color="auto" w:fill="FFFFFF"/>
        </w:rPr>
        <w:t>կենտրոններ</w:t>
      </w:r>
      <w:r w:rsidRPr="009A7904">
        <w:rPr>
          <w:color w:val="000000"/>
          <w:szCs w:val="22"/>
          <w:shd w:val="clear" w:color="auto" w:fill="FFFFFF"/>
          <w:lang w:val="pt-BR"/>
        </w:rPr>
        <w:t xml:space="preserve"> </w:t>
      </w:r>
      <w:r w:rsidRPr="009A7904">
        <w:rPr>
          <w:color w:val="000000"/>
          <w:szCs w:val="22"/>
          <w:shd w:val="clear" w:color="auto" w:fill="FFFFFF"/>
        </w:rPr>
        <w:t>հիմնելու</w:t>
      </w:r>
      <w:r w:rsidRPr="009A7904">
        <w:rPr>
          <w:color w:val="000000"/>
          <w:szCs w:val="22"/>
          <w:shd w:val="clear" w:color="auto" w:fill="FFFFFF"/>
          <w:lang w:val="pt-BR"/>
        </w:rPr>
        <w:t xml:space="preserve"> </w:t>
      </w:r>
      <w:r w:rsidRPr="009A7904">
        <w:rPr>
          <w:color w:val="000000"/>
          <w:szCs w:val="22"/>
          <w:shd w:val="clear" w:color="auto" w:fill="FFFFFF"/>
        </w:rPr>
        <w:t>նպատակով</w:t>
      </w:r>
      <w:r w:rsidRPr="009A7904">
        <w:rPr>
          <w:color w:val="000000"/>
          <w:szCs w:val="22"/>
          <w:shd w:val="clear" w:color="auto" w:fill="FFFFFF"/>
          <w:lang w:val="hy-AM"/>
        </w:rPr>
        <w:t>:</w:t>
      </w:r>
    </w:p>
    <w:p w14:paraId="3B6F2600" w14:textId="77777777" w:rsidR="009D2825" w:rsidRPr="009A7904" w:rsidRDefault="009D2825" w:rsidP="009A7904">
      <w:pPr>
        <w:spacing w:after="0" w:line="276" w:lineRule="auto"/>
        <w:ind w:firstLine="562"/>
        <w:rPr>
          <w:b/>
          <w:bCs/>
          <w:noProof/>
          <w:color w:val="000000"/>
          <w:lang w:val="hy-AM"/>
        </w:rPr>
      </w:pPr>
    </w:p>
    <w:p w14:paraId="3211ADFC" w14:textId="77777777" w:rsidR="009D2825" w:rsidRPr="009A7904" w:rsidRDefault="009D2825" w:rsidP="009A7904">
      <w:pPr>
        <w:spacing w:after="0" w:line="276" w:lineRule="auto"/>
        <w:ind w:firstLine="562"/>
        <w:rPr>
          <w:b/>
          <w:bCs/>
          <w:noProof/>
          <w:color w:val="000000"/>
          <w:lang w:val="hy-AM"/>
        </w:rPr>
      </w:pPr>
    </w:p>
    <w:p w14:paraId="6B4C6A2C" w14:textId="77777777" w:rsidR="009D2825" w:rsidRPr="009A7904" w:rsidRDefault="009D2825" w:rsidP="009A7904">
      <w:pPr>
        <w:spacing w:after="0" w:line="276" w:lineRule="auto"/>
        <w:ind w:firstLine="562"/>
        <w:rPr>
          <w:b/>
          <w:bCs/>
          <w:noProof/>
          <w:color w:val="000000"/>
          <w:lang w:val="hy-AM"/>
        </w:rPr>
      </w:pPr>
      <w:r w:rsidRPr="009A7904">
        <w:rPr>
          <w:b/>
          <w:bCs/>
          <w:noProof/>
          <w:color w:val="000000"/>
          <w:lang w:val="hy-AM"/>
        </w:rPr>
        <w:lastRenderedPageBreak/>
        <w:t xml:space="preserve">ՈԼՈՐՏԱՅԻՆ ԾԱԽՍԱՅԻՆ ԾՐԱԳՐԵՐԸ </w:t>
      </w:r>
    </w:p>
    <w:p w14:paraId="6D91FAB7" w14:textId="77777777" w:rsidR="009D2825" w:rsidRPr="009A7904" w:rsidRDefault="009D2825" w:rsidP="009A7904">
      <w:pPr>
        <w:pStyle w:val="ListParagraph"/>
        <w:numPr>
          <w:ilvl w:val="0"/>
          <w:numId w:val="25"/>
        </w:numPr>
        <w:spacing w:before="0" w:after="0" w:line="276" w:lineRule="auto"/>
        <w:ind w:left="0" w:firstLine="567"/>
        <w:rPr>
          <w:b/>
          <w:bCs/>
          <w:noProof/>
          <w:color w:val="000000"/>
          <w:lang w:val="hy-AM"/>
        </w:rPr>
      </w:pPr>
      <w:r w:rsidRPr="009A7904">
        <w:rPr>
          <w:rFonts w:cs="Sylfaen"/>
          <w:noProof/>
          <w:lang w:val="hy-AM"/>
        </w:rPr>
        <w:t>«</w:t>
      </w:r>
      <w:r w:rsidRPr="009A7904">
        <w:rPr>
          <w:b/>
          <w:bCs/>
          <w:noProof/>
          <w:color w:val="000000"/>
          <w:lang w:val="hy-AM"/>
        </w:rPr>
        <w:t>Բարձր տեխնոլոգիական արդյունաբերության էկոհամակարգի և շուկայի զարգացման ծրագիր</w:t>
      </w:r>
      <w:r w:rsidRPr="009A7904">
        <w:rPr>
          <w:rFonts w:cs="Arial"/>
          <w:noProof/>
          <w:lang w:val="hy-AM"/>
        </w:rPr>
        <w:t>»</w:t>
      </w:r>
      <w:r w:rsidRPr="009A7904">
        <w:rPr>
          <w:b/>
          <w:bCs/>
          <w:noProof/>
          <w:color w:val="000000"/>
          <w:lang w:val="hy-AM"/>
        </w:rPr>
        <w:t>.</w:t>
      </w:r>
    </w:p>
    <w:p w14:paraId="144C2B81" w14:textId="684C3196" w:rsidR="009D2825" w:rsidRPr="009A7904" w:rsidRDefault="009D2825" w:rsidP="009A7904">
      <w:pPr>
        <w:spacing w:after="0" w:line="276" w:lineRule="auto"/>
        <w:ind w:firstLine="562"/>
        <w:rPr>
          <w:rFonts w:cs="Tahoma"/>
          <w:noProof/>
          <w:lang w:val="hy-AM"/>
        </w:rPr>
      </w:pPr>
      <w:r w:rsidRPr="009A7904">
        <w:rPr>
          <w:bCs/>
          <w:noProof/>
          <w:color w:val="000000"/>
          <w:lang w:val="hy-AM"/>
        </w:rPr>
        <w:t xml:space="preserve">Ծրագրի նպատակն է Բարձր տեխնոլոգիաների ենթակառուցվածքների բարելավումը, որի շրջանակներում </w:t>
      </w:r>
      <w:r w:rsidRPr="009A7904">
        <w:rPr>
          <w:rFonts w:cs="Arial"/>
          <w:noProof/>
          <w:lang w:val="hy-AM"/>
        </w:rPr>
        <w:t xml:space="preserve">նախատեսվում է աջակցել ոլորտի կազմակերպություններին և անհատներին ստանալ որակյալ կրթություն՝ ձեռներեցության, կառավարման, վաճառքի և մարկետինգի ոլորտներում՝ համապատասխան տեղական և միջազգային ծրագրերով; </w:t>
      </w:r>
      <w:r w:rsidRPr="009A7904">
        <w:rPr>
          <w:noProof/>
          <w:lang w:val="hy-AM"/>
        </w:rPr>
        <w:t xml:space="preserve">դրամաշնորհներ տրամադրել գիտահետազոտական և փորձարարական խմբերին, ստարտափերին, տեխնոլոգիական ոլորտի կազմակերպություններին՝ անհրաժեշտ թեմաների շուրջ աշխատանքներ իրականացնելու համար; </w:t>
      </w:r>
      <w:r w:rsidRPr="009A7904">
        <w:rPr>
          <w:rFonts w:cs="Arial"/>
          <w:noProof/>
          <w:lang w:val="hy-AM"/>
        </w:rPr>
        <w:t>ՀՀ կառավարության 2020 թվականի մարտի 2-ի N 297-Լ որոշմամբ հաստատված «Հայկական վիրտուալ կամուրջ» ծրագրով սահմանված նպատակների շրջանակներում իրականացնել ձեռներեցների վերապատրաստման դասընթացներ, հիմնել «Հայաստան տարածաշրջանային տեխնոլոգիական հաբ» տեխնոլոգիական ընկերությունների հայաստանյան մասնաճյուղ՝ այդ</w:t>
      </w:r>
      <w:r w:rsidRPr="009A7904">
        <w:rPr>
          <w:rFonts w:cs="Calibri"/>
          <w:noProof/>
          <w:lang w:val="hy-AM"/>
        </w:rPr>
        <w:t xml:space="preserve"> </w:t>
      </w:r>
      <w:r w:rsidRPr="009A7904">
        <w:rPr>
          <w:rFonts w:cs="Arial"/>
          <w:noProof/>
          <w:lang w:val="hy-AM"/>
        </w:rPr>
        <w:t>ընկերությունների համար իրականացնել միջազգային աքսելերացիոն ծրագրեր, «Ներուժ»</w:t>
      </w:r>
      <w:r w:rsidRPr="009A7904">
        <w:rPr>
          <w:rFonts w:ascii="Courier New" w:hAnsi="Courier New" w:cs="Courier New"/>
          <w:noProof/>
          <w:lang w:val="hy-AM"/>
        </w:rPr>
        <w:t> </w:t>
      </w:r>
      <w:r w:rsidRPr="009A7904">
        <w:rPr>
          <w:rFonts w:cs="Arial"/>
          <w:noProof/>
          <w:lang w:val="hy-AM"/>
        </w:rPr>
        <w:t>սփյուռքի</w:t>
      </w:r>
      <w:r w:rsidRPr="009A7904">
        <w:rPr>
          <w:rFonts w:ascii="Courier New" w:hAnsi="Courier New" w:cs="Courier New"/>
          <w:noProof/>
          <w:lang w:val="hy-AM"/>
        </w:rPr>
        <w:t> </w:t>
      </w:r>
      <w:r w:rsidRPr="009A7904">
        <w:rPr>
          <w:rFonts w:cs="Arial"/>
          <w:noProof/>
          <w:lang w:val="hy-AM"/>
        </w:rPr>
        <w:t>սթարթափ</w:t>
      </w:r>
      <w:r w:rsidRPr="009A7904">
        <w:rPr>
          <w:rFonts w:ascii="Courier New" w:hAnsi="Courier New" w:cs="Courier New"/>
          <w:noProof/>
          <w:lang w:val="hy-AM"/>
        </w:rPr>
        <w:t> </w:t>
      </w:r>
      <w:r w:rsidRPr="009A7904">
        <w:rPr>
          <w:rFonts w:cs="Arial"/>
          <w:noProof/>
          <w:lang w:val="hy-AM"/>
        </w:rPr>
        <w:t>ծրագրի միջոցով սփյուռքի սփյուռքահայ ձեռներեցներին</w:t>
      </w:r>
      <w:r w:rsidR="007724F4">
        <w:rPr>
          <w:rFonts w:cs="Arial"/>
          <w:noProof/>
          <w:lang w:val="hy-AM"/>
        </w:rPr>
        <w:t xml:space="preserve"> </w:t>
      </w:r>
      <w:r w:rsidRPr="009A7904">
        <w:rPr>
          <w:rFonts w:cs="Arial"/>
          <w:noProof/>
          <w:lang w:val="hy-AM"/>
        </w:rPr>
        <w:t xml:space="preserve">ներգրավել Հայաստան, մարզերում կազմակերպել </w:t>
      </w:r>
      <w:r w:rsidRPr="009A7904">
        <w:rPr>
          <w:rFonts w:cs="Calibri"/>
          <w:noProof/>
          <w:lang w:val="hy-AM"/>
        </w:rPr>
        <w:t>մ</w:t>
      </w:r>
      <w:r w:rsidRPr="009A7904">
        <w:rPr>
          <w:rFonts w:cs="Arial"/>
          <w:noProof/>
          <w:lang w:val="hy-AM"/>
        </w:rPr>
        <w:t xml:space="preserve">ասնագիտական վերապատրաստման դասընթացներ; </w:t>
      </w:r>
      <w:r w:rsidRPr="009A7904">
        <w:rPr>
          <w:rFonts w:cs="Tahoma"/>
          <w:noProof/>
          <w:lang w:val="hy-AM"/>
        </w:rPr>
        <w:t xml:space="preserve">խթանել </w:t>
      </w:r>
      <w:r w:rsidRPr="009A7904">
        <w:rPr>
          <w:noProof/>
          <w:lang w:val="hy-AM"/>
        </w:rPr>
        <w:t xml:space="preserve">հայկական ընկերությունների՝ ցուցահանդեսներին, սեմինարներին, երկկողմ գործարար ֆորումներին </w:t>
      </w:r>
      <w:r w:rsidRPr="009A7904">
        <w:rPr>
          <w:rFonts w:cs="Tahoma"/>
          <w:noProof/>
          <w:lang w:val="hy-AM"/>
        </w:rPr>
        <w:t xml:space="preserve">և այլ միջոցառումներին </w:t>
      </w:r>
      <w:r w:rsidRPr="009A7904">
        <w:rPr>
          <w:noProof/>
          <w:lang w:val="hy-AM"/>
        </w:rPr>
        <w:t>մասնակցելը</w:t>
      </w:r>
      <w:r w:rsidRPr="009A7904">
        <w:rPr>
          <w:rFonts w:cs="Tahoma"/>
          <w:noProof/>
          <w:lang w:val="hy-AM"/>
        </w:rPr>
        <w:t>, վերջիններս հնարավորություն ստանալով ներկայացնել իրենց արտադրանքը, ծառայությունները և դուրս գալ միջազգային շուկա։</w:t>
      </w:r>
    </w:p>
    <w:p w14:paraId="492DB26E" w14:textId="77777777" w:rsidR="009D2825" w:rsidRPr="009A7904" w:rsidRDefault="009D2825" w:rsidP="009A7904">
      <w:pPr>
        <w:spacing w:after="0" w:line="276" w:lineRule="auto"/>
        <w:ind w:firstLine="562"/>
        <w:rPr>
          <w:rFonts w:cs="Tahoma"/>
          <w:noProof/>
          <w:lang w:val="hy-AM"/>
        </w:rPr>
      </w:pPr>
      <w:r w:rsidRPr="009A7904">
        <w:rPr>
          <w:rFonts w:cs="Tahoma"/>
          <w:noProof/>
          <w:lang w:val="hy-AM"/>
        </w:rPr>
        <w:t>Ծրագրի համար 2021-2023թթ յուրաքանչյուր տարի նախատեսվում է հատկացնել 2,989.7 մլն դրամ՝ ՀՀ 2020 թվականի պետական բյուջեի ցուցանիշի նկատմամբ 0.7%-ով պակաս, որը պայմանավորված է հայտով Հայ֊Հնդկական ՏՀՏ գերազանցության կենտրոնի գծով գումարի նվազմամբ:</w:t>
      </w:r>
    </w:p>
    <w:p w14:paraId="7922F322" w14:textId="77777777" w:rsidR="009D2825" w:rsidRPr="009A7904" w:rsidRDefault="009D2825" w:rsidP="009A7904">
      <w:pPr>
        <w:pStyle w:val="ListParagraph"/>
        <w:numPr>
          <w:ilvl w:val="0"/>
          <w:numId w:val="25"/>
        </w:numPr>
        <w:spacing w:before="0" w:after="0" w:line="276" w:lineRule="auto"/>
        <w:ind w:left="0" w:firstLine="567"/>
        <w:rPr>
          <w:rFonts w:cs="Tahoma"/>
          <w:b/>
          <w:noProof/>
          <w:lang w:val="hy-AM"/>
        </w:rPr>
      </w:pPr>
      <w:r w:rsidRPr="009A7904">
        <w:rPr>
          <w:rFonts w:cs="Sylfaen"/>
          <w:noProof/>
          <w:lang w:val="hy-AM"/>
        </w:rPr>
        <w:t>«</w:t>
      </w:r>
      <w:r w:rsidRPr="009A7904">
        <w:rPr>
          <w:rFonts w:cs="Tahoma"/>
          <w:b/>
          <w:noProof/>
          <w:lang w:val="hy-AM"/>
        </w:rPr>
        <w:t>Բարձր տեխնոլոգիական արդյունաբերության բնագավառում պետական քաղաքականության մշակում, ծրագրերի համակարգում և մոնիտորինգ</w:t>
      </w:r>
      <w:r w:rsidRPr="009A7904">
        <w:rPr>
          <w:rFonts w:cs="Arial"/>
          <w:noProof/>
          <w:lang w:val="hy-AM"/>
        </w:rPr>
        <w:t xml:space="preserve">» </w:t>
      </w:r>
      <w:r w:rsidRPr="009A7904">
        <w:rPr>
          <w:rFonts w:cs="Arial"/>
          <w:b/>
          <w:noProof/>
          <w:lang w:val="hy-AM"/>
        </w:rPr>
        <w:t>ծրագիր.</w:t>
      </w:r>
    </w:p>
    <w:p w14:paraId="4CD66300" w14:textId="77777777" w:rsidR="009D2825" w:rsidRPr="009A7904" w:rsidRDefault="009D2825" w:rsidP="009A7904">
      <w:pPr>
        <w:spacing w:after="0" w:line="276" w:lineRule="auto"/>
        <w:ind w:firstLine="562"/>
        <w:rPr>
          <w:rFonts w:cs="Tahoma"/>
          <w:noProof/>
          <w:color w:val="FF0000"/>
          <w:lang w:val="hy-AM"/>
        </w:rPr>
      </w:pPr>
      <w:r w:rsidRPr="009A7904">
        <w:rPr>
          <w:rFonts w:cs="Tahoma"/>
          <w:noProof/>
          <w:lang w:val="hy-AM"/>
        </w:rPr>
        <w:t>Ծրագրի նպատակն է բարձր տեխնոլոգիաների, ռազմարդյունաբերության, թվայնացման, կիբեռանվտանգության, ինովացիոն տեխնոլոգիաների, կապի, փոստի, համացանցի և տիեզերական  բնագավառներում պետական քաղաքականության մշակումը,  ծրագրերի համակարգումն ու մոնիտորինգը:</w:t>
      </w:r>
      <w:r w:rsidRPr="009A7904">
        <w:rPr>
          <w:rFonts w:cs="Tahoma"/>
          <w:noProof/>
          <w:lang w:val="hy-AM"/>
        </w:rPr>
        <w:cr/>
        <w:t xml:space="preserve"> </w:t>
      </w:r>
      <w:r w:rsidRPr="009A7904">
        <w:rPr>
          <w:rFonts w:cs="Tahoma"/>
          <w:noProof/>
          <w:lang w:val="hy-AM"/>
        </w:rPr>
        <w:tab/>
        <w:t>Վերը նշված նպատակի համար 2021-2023թթ նախատեսվում է հատկացնել 1,125.6 մլն, 1,135.0 մլն դրամ և 1,145.3 մլն դրամ՝ ՀՀ 2020 թվականի պետական բյուջեի ցուցանիշից համապատասխանաբար 12.9%, 12.2% և 11.4% պակաս, որը պայմանավորված է գործող օրենսդրությամբ սահմանված կարգավորումներով</w:t>
      </w:r>
      <w:r w:rsidRPr="009A7904">
        <w:rPr>
          <w:rFonts w:cs="Tahoma"/>
          <w:noProof/>
          <w:color w:val="FF0000"/>
          <w:lang w:val="hy-AM"/>
        </w:rPr>
        <w:t>:</w:t>
      </w:r>
    </w:p>
    <w:p w14:paraId="57A0D662" w14:textId="77777777" w:rsidR="009D2825" w:rsidRPr="009A7904" w:rsidRDefault="009D2825" w:rsidP="009A7904">
      <w:pPr>
        <w:pStyle w:val="ListParagraph"/>
        <w:numPr>
          <w:ilvl w:val="0"/>
          <w:numId w:val="25"/>
        </w:numPr>
        <w:spacing w:before="0" w:after="0" w:line="276" w:lineRule="auto"/>
        <w:ind w:left="0" w:firstLine="567"/>
        <w:jc w:val="left"/>
        <w:rPr>
          <w:rFonts w:cs="Sylfaen"/>
          <w:b/>
          <w:noProof/>
          <w:lang w:val="hy-AM"/>
        </w:rPr>
      </w:pPr>
      <w:r w:rsidRPr="009A7904">
        <w:rPr>
          <w:rFonts w:cs="Sylfaen"/>
          <w:noProof/>
          <w:lang w:val="hy-AM"/>
        </w:rPr>
        <w:t>«</w:t>
      </w:r>
      <w:r w:rsidRPr="009A7904">
        <w:rPr>
          <w:rFonts w:cs="Sylfaen"/>
          <w:b/>
          <w:noProof/>
          <w:lang w:val="hy-AM"/>
        </w:rPr>
        <w:t>Պաշտպանության բնագավառում գիտական և գիտատեխնիկական նպատակային հետազոտություններ</w:t>
      </w:r>
      <w:r w:rsidRPr="009A7904">
        <w:rPr>
          <w:rFonts w:cs="Arial"/>
          <w:noProof/>
          <w:lang w:val="hy-AM"/>
        </w:rPr>
        <w:t xml:space="preserve">» </w:t>
      </w:r>
      <w:r w:rsidRPr="009A7904">
        <w:rPr>
          <w:rFonts w:cs="Arial"/>
          <w:b/>
          <w:noProof/>
          <w:lang w:val="hy-AM"/>
        </w:rPr>
        <w:t>ծրագիր.</w:t>
      </w:r>
      <w:r w:rsidRPr="009A7904">
        <w:rPr>
          <w:rFonts w:cs="Sylfaen"/>
          <w:noProof/>
          <w:lang w:val="hy-AM"/>
        </w:rPr>
        <w:t xml:space="preserve"> </w:t>
      </w:r>
    </w:p>
    <w:p w14:paraId="504D5035" w14:textId="77777777" w:rsidR="009D2825" w:rsidRPr="009A7904" w:rsidRDefault="009D2825" w:rsidP="009A7904">
      <w:pPr>
        <w:spacing w:after="0" w:line="276" w:lineRule="auto"/>
        <w:ind w:firstLine="562"/>
        <w:rPr>
          <w:rFonts w:cs="Sylfaen"/>
          <w:noProof/>
          <w:lang w:val="hy-AM"/>
        </w:rPr>
      </w:pPr>
      <w:r w:rsidRPr="009A7904">
        <w:rPr>
          <w:rFonts w:cs="Sylfaen"/>
          <w:noProof/>
          <w:lang w:val="hy-AM"/>
        </w:rPr>
        <w:lastRenderedPageBreak/>
        <w:t xml:space="preserve">Ծրագրի նպատակն է նպաստել ՀՀ պաշտպանության և անվտանգության համակարգերի զարգացմանը, որի շրջանակներում նախատեսվում է պաշտպանության համակարգի ապահովման համար իրականացնել  գիտահետազոտական և փորձակոնստրուկտորական աշխատանքներ:  </w:t>
      </w:r>
    </w:p>
    <w:p w14:paraId="410ADC97" w14:textId="77777777" w:rsidR="009D2825" w:rsidRPr="009A7904" w:rsidRDefault="009D2825" w:rsidP="009A7904">
      <w:pPr>
        <w:spacing w:after="0" w:line="276" w:lineRule="auto"/>
        <w:ind w:firstLine="562"/>
        <w:rPr>
          <w:rFonts w:cs="Tahoma"/>
          <w:noProof/>
          <w:color w:val="FF0000"/>
          <w:lang w:val="hy-AM"/>
        </w:rPr>
      </w:pPr>
      <w:r w:rsidRPr="009A7904">
        <w:rPr>
          <w:rFonts w:cs="Tahoma"/>
          <w:noProof/>
          <w:lang w:val="hy-AM"/>
        </w:rPr>
        <w:t>Ծրագրի համար 2021-2023թթ. նախատեսվում է հատկացնել համապատասխանաբար 4,574.2 մլն դրամ,  6,844.2 մլն դրամ և 7,844.2 մլն դրամ, կամ ՀՀ 2020 թվականի պետական բյուջեի ցուցանիշից 18.6%, 77.5% և 103.5% ավել՝ ելնելով ՀՀ կառավարության 2019թ փետրվարի 8-ի N 65</w:t>
      </w:r>
      <w:r w:rsidRPr="009A7904">
        <w:rPr>
          <w:color w:val="000000"/>
          <w:shd w:val="clear" w:color="auto" w:fill="FFFFFF"/>
          <w:lang w:val="hy-AM"/>
        </w:rPr>
        <w:t>-Ա որոշման 7.1-րդ կետի</w:t>
      </w:r>
      <w:r w:rsidRPr="009A7904">
        <w:rPr>
          <w:shd w:val="clear" w:color="auto" w:fill="FFFFFF"/>
          <w:lang w:val="hy-AM"/>
        </w:rPr>
        <w:t>ց</w:t>
      </w:r>
      <w:r w:rsidRPr="009A7904">
        <w:rPr>
          <w:rFonts w:cs="Tahoma"/>
          <w:noProof/>
          <w:lang w:val="hy-AM"/>
        </w:rPr>
        <w:t>:</w:t>
      </w:r>
    </w:p>
    <w:p w14:paraId="58BD76CE" w14:textId="77777777" w:rsidR="009D2825" w:rsidRPr="009A7904" w:rsidRDefault="009D2825" w:rsidP="009A7904">
      <w:pPr>
        <w:pStyle w:val="ListParagraph"/>
        <w:numPr>
          <w:ilvl w:val="0"/>
          <w:numId w:val="25"/>
        </w:numPr>
        <w:spacing w:before="0" w:after="0" w:line="276" w:lineRule="auto"/>
        <w:ind w:left="0" w:firstLine="567"/>
        <w:jc w:val="left"/>
        <w:rPr>
          <w:rFonts w:cs="Sylfaen"/>
          <w:b/>
          <w:noProof/>
          <w:lang w:val="hy-AM"/>
        </w:rPr>
      </w:pPr>
      <w:r w:rsidRPr="009A7904">
        <w:rPr>
          <w:rFonts w:cs="Sylfaen"/>
          <w:noProof/>
          <w:lang w:val="hy-AM"/>
        </w:rPr>
        <w:t>«</w:t>
      </w:r>
      <w:r w:rsidRPr="009A7904">
        <w:rPr>
          <w:rFonts w:cs="Sylfaen"/>
          <w:b/>
          <w:noProof/>
          <w:lang w:val="hy-AM"/>
        </w:rPr>
        <w:t>Հեռահաղորդակցության ապահովում</w:t>
      </w:r>
      <w:r w:rsidRPr="009A7904">
        <w:rPr>
          <w:rFonts w:cs="Arial"/>
          <w:noProof/>
          <w:lang w:val="hy-AM"/>
        </w:rPr>
        <w:t xml:space="preserve">» </w:t>
      </w:r>
      <w:r w:rsidRPr="009A7904">
        <w:rPr>
          <w:rFonts w:cs="Arial"/>
          <w:b/>
          <w:noProof/>
          <w:lang w:val="hy-AM"/>
        </w:rPr>
        <w:t>ծրագիր.</w:t>
      </w:r>
    </w:p>
    <w:p w14:paraId="77839087" w14:textId="77777777" w:rsidR="009D2825" w:rsidRPr="009A7904" w:rsidRDefault="009D2825" w:rsidP="009A7904">
      <w:pPr>
        <w:spacing w:after="0" w:line="276" w:lineRule="auto"/>
        <w:ind w:firstLine="562"/>
        <w:rPr>
          <w:rFonts w:cs="Sylfaen"/>
          <w:noProof/>
          <w:lang w:val="hy-AM"/>
        </w:rPr>
      </w:pPr>
      <w:r w:rsidRPr="009A7904">
        <w:rPr>
          <w:rFonts w:cs="Sylfaen"/>
          <w:noProof/>
          <w:lang w:val="hy-AM"/>
        </w:rPr>
        <w:t>Ծրագրի նպատակն է ապահովել Հայաստանի Հանրապե</w:t>
      </w:r>
      <w:r w:rsidRPr="009A7904">
        <w:rPr>
          <w:rFonts w:cs="Sylfaen"/>
          <w:noProof/>
          <w:lang w:val="hy-AM"/>
        </w:rPr>
        <w:softHyphen/>
        <w:t>տու</w:t>
      </w:r>
      <w:r w:rsidRPr="009A7904">
        <w:rPr>
          <w:rFonts w:cs="Sylfaen"/>
          <w:noProof/>
          <w:lang w:val="hy-AM"/>
        </w:rPr>
        <w:softHyphen/>
        <w:t>թյունում հեռահաղորդակ</w:t>
      </w:r>
      <w:r w:rsidRPr="009A7904">
        <w:rPr>
          <w:rFonts w:cs="Sylfaen"/>
          <w:noProof/>
          <w:lang w:val="hy-AM"/>
        </w:rPr>
        <w:softHyphen/>
        <w:t>ցության և կապի ծառայությունների որակի կանոնակարգումն ու բարելավումը, մասնա</w:t>
      </w:r>
      <w:r w:rsidRPr="009A7904">
        <w:rPr>
          <w:rFonts w:cs="Sylfaen"/>
          <w:noProof/>
          <w:lang w:val="hy-AM"/>
        </w:rPr>
        <w:softHyphen/>
        <w:t>վորապես ՀՀ հաճախականությունների բաշխման աղյուսակի կազմումը, ռադիոեթերի մոնիթորինգի և ազդանշանների տեխնիկական պարամետրերի չափումների անցկացումը, ռադիոէլեկտրոնային միջոցների և բարձր հաճախության սարքավորումների տեղորոշումը, ինչպես նաև ՀՀ-ում թվային հեռուստահեռարձակման ապահովման շրջանակներում հանրապետական սփռման մուլտիպլեքսի և արբանյակային տարածման համար արբանյակային ունակության վարձակալումը:</w:t>
      </w:r>
    </w:p>
    <w:p w14:paraId="0D4C8721" w14:textId="77777777" w:rsidR="009D2825" w:rsidRPr="009A7904" w:rsidRDefault="009D2825" w:rsidP="009A7904">
      <w:pPr>
        <w:spacing w:after="0" w:line="276" w:lineRule="auto"/>
        <w:ind w:firstLine="562"/>
        <w:rPr>
          <w:rFonts w:cs="Tahoma"/>
          <w:noProof/>
          <w:lang w:val="hy-AM"/>
        </w:rPr>
      </w:pPr>
      <w:r w:rsidRPr="009A7904">
        <w:rPr>
          <w:rFonts w:cs="Sylfaen"/>
          <w:noProof/>
          <w:lang w:val="hy-AM"/>
        </w:rPr>
        <w:t xml:space="preserve">Վերը նշված նպատակի համար </w:t>
      </w:r>
      <w:r w:rsidRPr="009A7904">
        <w:rPr>
          <w:rFonts w:cs="Arial"/>
          <w:noProof/>
          <w:lang w:val="hy-AM"/>
        </w:rPr>
        <w:t xml:space="preserve">2021-2023թթ յուրաքանչյուր տարի նախատեսվում է հատկացնել 430.6 մլն դրամ, </w:t>
      </w:r>
      <w:r w:rsidRPr="009A7904">
        <w:rPr>
          <w:rFonts w:cs="Tahoma"/>
          <w:noProof/>
          <w:lang w:val="hy-AM"/>
        </w:rPr>
        <w:t xml:space="preserve">կամ ՀՀ 2020 թվականի պետական բյուջեի ցուցանիշից 0.2% ավել՝ կապված </w:t>
      </w:r>
      <w:r w:rsidRPr="009A7904">
        <w:rPr>
          <w:rFonts w:cs="Sylfaen"/>
          <w:noProof/>
          <w:lang w:val="hy-AM"/>
        </w:rPr>
        <w:t>արբանյակային ունակության վարձակալման գումարի գծով</w:t>
      </w:r>
      <w:r w:rsidRPr="009A7904">
        <w:rPr>
          <w:rFonts w:cs="Tahoma"/>
          <w:noProof/>
          <w:lang w:val="hy-AM"/>
        </w:rPr>
        <w:t xml:space="preserve"> փոխարժեքի տարբերությամբ:</w:t>
      </w:r>
    </w:p>
    <w:p w14:paraId="4BE8A8AC" w14:textId="77777777" w:rsidR="009D2825" w:rsidRPr="009A7904" w:rsidRDefault="009D2825" w:rsidP="009A7904">
      <w:pPr>
        <w:spacing w:line="276" w:lineRule="auto"/>
        <w:rPr>
          <w:rFonts w:cs="Tahoma"/>
          <w:noProof/>
          <w:lang w:val="hy-AM"/>
        </w:rPr>
      </w:pPr>
    </w:p>
    <w:p w14:paraId="379BA45A" w14:textId="77777777" w:rsidR="009D2825" w:rsidRPr="009A7904" w:rsidRDefault="009D2825" w:rsidP="009A7904">
      <w:pPr>
        <w:spacing w:after="0" w:line="276" w:lineRule="auto"/>
        <w:ind w:firstLine="562"/>
        <w:rPr>
          <w:rFonts w:cs="Tahoma"/>
          <w:noProof/>
          <w:lang w:val="hy-AM"/>
        </w:rPr>
      </w:pPr>
      <w:r w:rsidRPr="009A7904">
        <w:rPr>
          <w:rFonts w:cs="Tahoma"/>
          <w:noProof/>
          <w:lang w:val="hy-AM"/>
        </w:rPr>
        <w:t>Ստորև ներկայացված են Բարձր տեխնոլոգիական արդյունաբերության նախարարության</w:t>
      </w:r>
      <w:r w:rsidR="00912008" w:rsidRPr="00912008">
        <w:rPr>
          <w:rFonts w:cs="Tahoma"/>
          <w:noProof/>
          <w:lang w:val="hy-AM"/>
        </w:rPr>
        <w:t xml:space="preserve"> </w:t>
      </w:r>
      <w:r w:rsidRPr="009A7904">
        <w:rPr>
          <w:rFonts w:cs="Tahoma"/>
          <w:noProof/>
          <w:lang w:val="hy-AM"/>
        </w:rPr>
        <w:t>2021-2023թթ</w:t>
      </w:r>
      <w:r w:rsidRPr="009A7904">
        <w:rPr>
          <w:rFonts w:ascii="Cambria Math" w:eastAsia="MS Mincho" w:hAnsi="Cambria Math" w:cs="Cambria Math"/>
          <w:noProof/>
          <w:lang w:val="hy-AM"/>
        </w:rPr>
        <w:t>․</w:t>
      </w:r>
      <w:r w:rsidRPr="009A7904">
        <w:rPr>
          <w:rFonts w:cs="Tahoma"/>
          <w:noProof/>
          <w:lang w:val="hy-AM"/>
        </w:rPr>
        <w:t xml:space="preserve"> յուրաքանչյուր տարվա համար նախատեսված չափաքանակները.</w:t>
      </w:r>
    </w:p>
    <w:p w14:paraId="68FCF0AD" w14:textId="77777777" w:rsidR="009D2825" w:rsidRPr="009A7904" w:rsidRDefault="009D2825" w:rsidP="009A7904">
      <w:pPr>
        <w:spacing w:after="0" w:line="276" w:lineRule="auto"/>
        <w:rPr>
          <w:lang w:val="hy-AM"/>
        </w:rPr>
      </w:pPr>
      <w:r w:rsidRPr="009A7904">
        <w:rPr>
          <w:lang w:val="hy-AM"/>
        </w:rPr>
        <w:t>2021 թվականի համար՝ 9</w:t>
      </w:r>
      <w:r w:rsidRPr="009A7904">
        <w:rPr>
          <w:bCs/>
          <w:lang w:val="hy-AM"/>
        </w:rPr>
        <w:t xml:space="preserve">,120.2 </w:t>
      </w:r>
      <w:r w:rsidRPr="009A7904">
        <w:rPr>
          <w:lang w:val="hy-AM"/>
        </w:rPr>
        <w:t xml:space="preserve"> մլն դրամ,</w:t>
      </w:r>
    </w:p>
    <w:p w14:paraId="4AAA10D6" w14:textId="77777777" w:rsidR="009D2825" w:rsidRPr="009A7904" w:rsidRDefault="009D2825" w:rsidP="009A7904">
      <w:pPr>
        <w:spacing w:after="0" w:line="276" w:lineRule="auto"/>
        <w:rPr>
          <w:lang w:val="hy-AM"/>
        </w:rPr>
      </w:pPr>
      <w:r w:rsidRPr="009A7904">
        <w:rPr>
          <w:lang w:val="hy-AM"/>
        </w:rPr>
        <w:t>2022 թվականի համար՝ 11</w:t>
      </w:r>
      <w:r w:rsidRPr="009A7904">
        <w:rPr>
          <w:bCs/>
          <w:lang w:val="hy-AM"/>
        </w:rPr>
        <w:t>,399.5</w:t>
      </w:r>
      <w:r w:rsidRPr="009A7904">
        <w:rPr>
          <w:lang w:val="hy-AM"/>
        </w:rPr>
        <w:t xml:space="preserve"> մլն դրամ,</w:t>
      </w:r>
    </w:p>
    <w:p w14:paraId="7954C279" w14:textId="77777777" w:rsidR="009D2825" w:rsidRPr="009A7904" w:rsidRDefault="009D2825" w:rsidP="009A7904">
      <w:pPr>
        <w:spacing w:after="0" w:line="276" w:lineRule="auto"/>
        <w:rPr>
          <w:rFonts w:cs="Tahoma"/>
          <w:noProof/>
          <w:lang w:val="hy-AM"/>
        </w:rPr>
      </w:pPr>
      <w:r w:rsidRPr="009A7904">
        <w:rPr>
          <w:lang w:val="hy-AM"/>
        </w:rPr>
        <w:t>2023 թվականի համար՝ 12</w:t>
      </w:r>
      <w:r w:rsidRPr="009A7904">
        <w:rPr>
          <w:bCs/>
          <w:lang w:val="hy-AM"/>
        </w:rPr>
        <w:t>,409.8</w:t>
      </w:r>
      <w:r w:rsidRPr="009A7904">
        <w:rPr>
          <w:lang w:val="hy-AM"/>
        </w:rPr>
        <w:t xml:space="preserve"> մլն դրամ:</w:t>
      </w:r>
      <w:r w:rsidRPr="009A7904">
        <w:rPr>
          <w:rFonts w:cs="Tahoma"/>
          <w:noProof/>
          <w:lang w:val="hy-AM"/>
        </w:rPr>
        <w:t xml:space="preserve"> </w:t>
      </w:r>
    </w:p>
    <w:p w14:paraId="43B588E7" w14:textId="77777777" w:rsidR="009D2825" w:rsidRPr="009A7904" w:rsidRDefault="009D2825" w:rsidP="009A7904">
      <w:pPr>
        <w:pStyle w:val="BodyText"/>
        <w:spacing w:line="276" w:lineRule="auto"/>
        <w:rPr>
          <w:lang w:val="hy-AM"/>
        </w:rPr>
      </w:pPr>
    </w:p>
    <w:p w14:paraId="2651E3F4" w14:textId="77777777" w:rsidR="009D2825" w:rsidRPr="009A7904" w:rsidRDefault="009D2825"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332" w:name="_Toc13837359"/>
      <w:bookmarkStart w:id="333" w:name="_Toc14687637"/>
      <w:bookmarkStart w:id="334" w:name="_Toc45637522"/>
      <w:bookmarkStart w:id="335" w:name="_Toc45838546"/>
      <w:bookmarkStart w:id="336" w:name="_Toc46154374"/>
      <w:r w:rsidRPr="009A7904">
        <w:rPr>
          <w:rFonts w:eastAsia="Times New Roman" w:cs="Times New Roman"/>
          <w:caps w:val="0"/>
          <w:color w:val="1F497D" w:themeColor="text2"/>
          <w:sz w:val="28"/>
          <w:szCs w:val="28"/>
        </w:rPr>
        <w:t>7</w:t>
      </w:r>
      <w:r w:rsidR="009858E4" w:rsidRPr="009A7904">
        <w:rPr>
          <w:rFonts w:eastAsia="Times New Roman" w:cs="Times New Roman"/>
          <w:caps w:val="0"/>
          <w:color w:val="1F497D" w:themeColor="text2"/>
          <w:sz w:val="28"/>
          <w:szCs w:val="28"/>
        </w:rPr>
        <w:t>.</w:t>
      </w:r>
      <w:r w:rsidRPr="009A7904">
        <w:rPr>
          <w:rFonts w:eastAsia="Times New Roman" w:cs="Times New Roman"/>
          <w:caps w:val="0"/>
          <w:color w:val="1F497D" w:themeColor="text2"/>
          <w:sz w:val="28"/>
          <w:szCs w:val="28"/>
        </w:rPr>
        <w:t xml:space="preserve"> ՏԱՐԱԾՔԱՅԻՆ ԿԱՌԱՎԱՐՈՒՄ ԵՎ ԵՆԹԱԿԱՌՈՒՑՎԱԾՔՆԵՐ</w:t>
      </w:r>
      <w:bookmarkEnd w:id="332"/>
      <w:bookmarkEnd w:id="333"/>
      <w:bookmarkEnd w:id="334"/>
      <w:bookmarkEnd w:id="335"/>
      <w:bookmarkEnd w:id="336"/>
    </w:p>
    <w:p w14:paraId="2EA2DFE8" w14:textId="77777777" w:rsidR="009D2825" w:rsidRPr="009A7904" w:rsidRDefault="009D2825" w:rsidP="009A7904">
      <w:pPr>
        <w:pStyle w:val="ListParagraph"/>
        <w:tabs>
          <w:tab w:val="left" w:pos="1701"/>
        </w:tabs>
        <w:spacing w:after="0" w:line="276" w:lineRule="auto"/>
        <w:ind w:left="0" w:firstLine="567"/>
        <w:rPr>
          <w:kern w:val="16"/>
          <w:lang w:val="af-ZA"/>
        </w:rPr>
      </w:pPr>
    </w:p>
    <w:p w14:paraId="3974A012" w14:textId="77777777" w:rsidR="009D2825" w:rsidRPr="009A7904" w:rsidRDefault="009D2825" w:rsidP="009A7904">
      <w:pPr>
        <w:pStyle w:val="ListParagraph"/>
        <w:tabs>
          <w:tab w:val="left" w:pos="1701"/>
        </w:tabs>
        <w:spacing w:after="0" w:line="276" w:lineRule="auto"/>
        <w:ind w:left="0" w:firstLine="567"/>
        <w:rPr>
          <w:kern w:val="16"/>
          <w:lang w:val="af-ZA"/>
        </w:rPr>
      </w:pPr>
      <w:r w:rsidRPr="009A7904">
        <w:rPr>
          <w:kern w:val="16"/>
          <w:lang w:val="af-ZA"/>
        </w:rPr>
        <w:t xml:space="preserve">ՀՀ տարածքային կառավարման և ենթակառուցվածքների նախարարությունը մշակում և իրականացնում </w:t>
      </w:r>
      <w:r w:rsidRPr="009A7904">
        <w:rPr>
          <w:kern w:val="16"/>
          <w:lang w:val="hy-AM"/>
        </w:rPr>
        <w:t xml:space="preserve">է՝ </w:t>
      </w:r>
      <w:r w:rsidRPr="009A7904">
        <w:rPr>
          <w:kern w:val="16"/>
          <w:lang w:val="af-ZA"/>
        </w:rPr>
        <w:t>տարածքային կառավարման և ենթակառուցվածքների գործունեության</w:t>
      </w:r>
      <w:r w:rsidRPr="009A7904">
        <w:rPr>
          <w:kern w:val="16"/>
          <w:lang w:val="hy-AM"/>
        </w:rPr>
        <w:t xml:space="preserve"> </w:t>
      </w:r>
      <w:r w:rsidRPr="009A7904">
        <w:rPr>
          <w:kern w:val="16"/>
          <w:lang w:val="af-ZA"/>
        </w:rPr>
        <w:t>արդյունավետության բարձրացման, Երևանում տարածքային կառավարման իրականացման ապահովման, բնակչության տեղաշարժերի ընթացքում առաջացող իրավահարաբերություններ</w:t>
      </w:r>
      <w:r w:rsidRPr="009A7904">
        <w:rPr>
          <w:kern w:val="16"/>
          <w:lang w:val="hy-AM"/>
        </w:rPr>
        <w:t>ի</w:t>
      </w:r>
      <w:r w:rsidRPr="009A7904">
        <w:rPr>
          <w:kern w:val="16"/>
          <w:lang w:val="af-ZA"/>
        </w:rPr>
        <w:t xml:space="preserve"> կարգավորման և պետական գույքի կառավարման արդյունավետության բարձրացման ոլորտներում Կառավարության քաղաքականությունը:</w:t>
      </w:r>
      <w:r w:rsidRPr="009A7904">
        <w:rPr>
          <w:kern w:val="16"/>
          <w:lang w:val="hy-AM"/>
        </w:rPr>
        <w:t xml:space="preserve"> </w:t>
      </w:r>
      <w:r w:rsidRPr="009A7904">
        <w:rPr>
          <w:kern w:val="16"/>
          <w:lang w:val="af-ZA"/>
        </w:rPr>
        <w:t xml:space="preserve">Մասնավորապես նախանշվել են ոլորտի հետևյալ հիմնական թիրախները. </w:t>
      </w:r>
    </w:p>
    <w:p w14:paraId="4A2DB5BE" w14:textId="77777777" w:rsidR="009D2825" w:rsidRPr="009A7904" w:rsidRDefault="009D2825" w:rsidP="009A7904">
      <w:pPr>
        <w:pStyle w:val="ListParagraph"/>
        <w:tabs>
          <w:tab w:val="left" w:pos="1701"/>
        </w:tabs>
        <w:spacing w:after="0" w:line="276" w:lineRule="auto"/>
        <w:ind w:left="0" w:firstLine="567"/>
        <w:rPr>
          <w:kern w:val="16"/>
          <w:lang w:val="hy-AM"/>
        </w:rPr>
      </w:pPr>
      <w:r w:rsidRPr="009A7904">
        <w:rPr>
          <w:kern w:val="16"/>
          <w:lang w:val="hy-AM"/>
        </w:rPr>
        <w:lastRenderedPageBreak/>
        <w:t xml:space="preserve">- </w:t>
      </w:r>
      <w:r w:rsidRPr="009A7904">
        <w:rPr>
          <w:kern w:val="16"/>
          <w:lang w:val="af-ZA"/>
        </w:rPr>
        <w:t>երկրի ճանապարհատրանսպորտային ենթակառուցվածքների գործունեության արդյունավետության բարձրացումը, ինչպես նաև տնտեսության և ազգաբնակչության պահանջների բավարարման որակի բարձրացման միջոցով՝ անվտանգ և արդյունավետ տրանսպորտային ծառայությունների ապահովումը</w:t>
      </w:r>
      <w:r w:rsidRPr="009A7904">
        <w:rPr>
          <w:kern w:val="16"/>
          <w:lang w:val="hy-AM"/>
        </w:rPr>
        <w:t>,</w:t>
      </w:r>
    </w:p>
    <w:p w14:paraId="56A226BE" w14:textId="77777777" w:rsidR="009D2825" w:rsidRPr="009A7904" w:rsidRDefault="009D2825" w:rsidP="009A7904">
      <w:pPr>
        <w:pStyle w:val="ListParagraph"/>
        <w:tabs>
          <w:tab w:val="left" w:pos="1701"/>
        </w:tabs>
        <w:spacing w:after="0" w:line="276" w:lineRule="auto"/>
        <w:ind w:left="0" w:firstLine="567"/>
        <w:rPr>
          <w:kern w:val="16"/>
          <w:lang w:val="af-ZA"/>
        </w:rPr>
      </w:pPr>
      <w:r w:rsidRPr="009A7904">
        <w:rPr>
          <w:kern w:val="16"/>
          <w:lang w:val="hy-AM"/>
        </w:rPr>
        <w:t>-</w:t>
      </w:r>
      <w:r w:rsidRPr="009A7904">
        <w:rPr>
          <w:kern w:val="16"/>
          <w:lang w:val="af-ZA"/>
        </w:rPr>
        <w:t xml:space="preserve"> </w:t>
      </w:r>
      <w:r w:rsidRPr="009A7904">
        <w:rPr>
          <w:kern w:val="16"/>
          <w:lang w:val="hy-AM"/>
        </w:rPr>
        <w:t>կ</w:t>
      </w:r>
      <w:r w:rsidRPr="009A7904">
        <w:rPr>
          <w:kern w:val="16"/>
          <w:lang w:val="af-ZA"/>
        </w:rPr>
        <w:t>այուն էներգետիկայի զարգացումը՝ էներգախնայողության, վերականգնվող էներգիայի, ինչպես նաև էներգետիկ անվտանգության ցուցանիշների</w:t>
      </w:r>
      <w:r w:rsidRPr="009A7904">
        <w:rPr>
          <w:kern w:val="16"/>
          <w:lang w:val="hy-AM"/>
        </w:rPr>
        <w:t>ն</w:t>
      </w:r>
      <w:r w:rsidRPr="009A7904">
        <w:rPr>
          <w:kern w:val="16"/>
          <w:lang w:val="af-ZA"/>
        </w:rPr>
        <w:t xml:space="preserve"> համա</w:t>
      </w:r>
      <w:r w:rsidRPr="009A7904">
        <w:rPr>
          <w:kern w:val="16"/>
          <w:lang w:val="hy-AM"/>
        </w:rPr>
        <w:t xml:space="preserve">պատասխան, ՝ </w:t>
      </w:r>
      <w:r w:rsidRPr="009A7904">
        <w:rPr>
          <w:kern w:val="16"/>
          <w:lang w:val="af-ZA"/>
        </w:rPr>
        <w:t>Հայաստանի էներգետիկ անկախությ</w:t>
      </w:r>
      <w:r w:rsidRPr="009A7904">
        <w:rPr>
          <w:kern w:val="16"/>
          <w:lang w:val="hy-AM"/>
        </w:rPr>
        <w:t>ու</w:t>
      </w:r>
      <w:r w:rsidRPr="009A7904">
        <w:rPr>
          <w:kern w:val="16"/>
          <w:lang w:val="af-ZA"/>
        </w:rPr>
        <w:t>ն ապահով</w:t>
      </w:r>
      <w:r w:rsidRPr="009A7904">
        <w:rPr>
          <w:kern w:val="16"/>
          <w:lang w:val="hy-AM"/>
        </w:rPr>
        <w:t>ելու նպատակադրմամբ,</w:t>
      </w:r>
    </w:p>
    <w:p w14:paraId="25B5365E" w14:textId="77777777" w:rsidR="009D2825" w:rsidRPr="009A7904" w:rsidRDefault="009D2825" w:rsidP="009A7904">
      <w:pPr>
        <w:pStyle w:val="ListParagraph"/>
        <w:tabs>
          <w:tab w:val="left" w:pos="1701"/>
        </w:tabs>
        <w:spacing w:after="0" w:line="276" w:lineRule="auto"/>
        <w:ind w:left="0" w:firstLine="567"/>
        <w:rPr>
          <w:kern w:val="16"/>
          <w:lang w:val="af-ZA"/>
        </w:rPr>
      </w:pPr>
      <w:r w:rsidRPr="009A7904">
        <w:rPr>
          <w:kern w:val="16"/>
          <w:lang w:val="hy-AM"/>
        </w:rPr>
        <w:t xml:space="preserve">- </w:t>
      </w:r>
      <w:r w:rsidRPr="009A7904">
        <w:rPr>
          <w:kern w:val="16"/>
          <w:lang w:val="af-ZA"/>
        </w:rPr>
        <w:t>ջրամատակարարման որակի բարձրացումը, յուրաքանչյուր սոցիալական խմբի և շահառուի համար ծառայությունների հասանելիության ապահովումը, ոռոգվող հողատարածքների ընդլայնումը, ինչպես նաև ջրային տնտեսության համակարգի զարգացման ու բարեփոխումների շարունակականությ</w:t>
      </w:r>
      <w:r w:rsidRPr="009A7904">
        <w:rPr>
          <w:kern w:val="16"/>
          <w:lang w:val="hy-AM"/>
        </w:rPr>
        <w:t>ու</w:t>
      </w:r>
      <w:r w:rsidRPr="009A7904">
        <w:rPr>
          <w:kern w:val="16"/>
          <w:lang w:val="af-ZA"/>
        </w:rPr>
        <w:t>ն</w:t>
      </w:r>
      <w:r w:rsidRPr="009A7904">
        <w:rPr>
          <w:kern w:val="16"/>
          <w:lang w:val="hy-AM"/>
        </w:rPr>
        <w:t>ը</w:t>
      </w:r>
      <w:r w:rsidRPr="009A7904">
        <w:rPr>
          <w:kern w:val="16"/>
          <w:lang w:val="af-ZA"/>
        </w:rPr>
        <w:t xml:space="preserve">, </w:t>
      </w:r>
    </w:p>
    <w:p w14:paraId="33F38AD7" w14:textId="77777777" w:rsidR="009D2825" w:rsidRPr="009A7904" w:rsidRDefault="009D2825" w:rsidP="009A7904">
      <w:pPr>
        <w:tabs>
          <w:tab w:val="left" w:pos="1701"/>
        </w:tabs>
        <w:spacing w:after="0" w:line="276" w:lineRule="auto"/>
        <w:rPr>
          <w:kern w:val="16"/>
          <w:lang w:val="hy-AM"/>
        </w:rPr>
      </w:pPr>
      <w:r w:rsidRPr="009A7904">
        <w:rPr>
          <w:kern w:val="16"/>
          <w:lang w:val="hy-AM"/>
        </w:rPr>
        <w:t xml:space="preserve">- </w:t>
      </w:r>
      <w:r w:rsidRPr="009A7904">
        <w:rPr>
          <w:kern w:val="16"/>
          <w:lang w:val="af-ZA"/>
        </w:rPr>
        <w:t>միգրացիոն քաղաքականության</w:t>
      </w:r>
      <w:r w:rsidRPr="009A7904">
        <w:rPr>
          <w:kern w:val="16"/>
          <w:lang w:val="hy-AM"/>
        </w:rPr>
        <w:t xml:space="preserve"> շրջանակում ապահովել</w:t>
      </w:r>
      <w:r w:rsidRPr="009A7904">
        <w:rPr>
          <w:kern w:val="16"/>
          <w:lang w:val="af-ZA"/>
        </w:rPr>
        <w:t xml:space="preserve"> անձանց ազատ և անվտանգ տեղաշարժ</w:t>
      </w:r>
      <w:r w:rsidRPr="009A7904">
        <w:rPr>
          <w:kern w:val="16"/>
          <w:lang w:val="hy-AM"/>
        </w:rPr>
        <w:t>ը</w:t>
      </w:r>
      <w:r w:rsidRPr="009A7904">
        <w:rPr>
          <w:kern w:val="16"/>
          <w:lang w:val="af-ZA"/>
        </w:rPr>
        <w:t>՝ հավասարակշռելով այն երկրի ազգային անվտանգության ապահովման հետ</w:t>
      </w:r>
      <w:r w:rsidRPr="009A7904">
        <w:rPr>
          <w:kern w:val="16"/>
          <w:lang w:val="hy-AM"/>
        </w:rPr>
        <w:t xml:space="preserve">, ինչպես նաև </w:t>
      </w:r>
      <w:r w:rsidRPr="009A7904">
        <w:rPr>
          <w:kern w:val="16"/>
          <w:lang w:val="af-ZA"/>
        </w:rPr>
        <w:t>միգրանտների, այդ թվում` վերադարձող միգրանտների տնտեսական և մարդկային ներուժի ուղղորդումը երկրի զարգացման գործին</w:t>
      </w:r>
      <w:r w:rsidRPr="009A7904">
        <w:rPr>
          <w:kern w:val="16"/>
          <w:lang w:val="hy-AM"/>
        </w:rPr>
        <w:t>,</w:t>
      </w:r>
    </w:p>
    <w:p w14:paraId="21223A04" w14:textId="77777777" w:rsidR="009D2825" w:rsidRPr="009A7904" w:rsidRDefault="009D2825" w:rsidP="009A7904">
      <w:pPr>
        <w:tabs>
          <w:tab w:val="left" w:pos="1701"/>
        </w:tabs>
        <w:spacing w:after="0" w:line="276" w:lineRule="auto"/>
        <w:rPr>
          <w:lang w:val="af-ZA"/>
        </w:rPr>
      </w:pPr>
      <w:r w:rsidRPr="009A7904">
        <w:rPr>
          <w:kern w:val="16"/>
          <w:lang w:val="hy-AM"/>
        </w:rPr>
        <w:t xml:space="preserve">- </w:t>
      </w:r>
      <w:r w:rsidRPr="009A7904">
        <w:rPr>
          <w:kern w:val="16"/>
          <w:lang w:val="af-ZA"/>
        </w:rPr>
        <w:t xml:space="preserve">պետական գույքի կառավարման ապահովումը, այդ թվում </w:t>
      </w:r>
      <w:r w:rsidRPr="009A7904">
        <w:rPr>
          <w:kern w:val="16"/>
          <w:lang w:val="hy-AM"/>
        </w:rPr>
        <w:t xml:space="preserve">առկա </w:t>
      </w:r>
      <w:r w:rsidRPr="009A7904">
        <w:rPr>
          <w:kern w:val="16"/>
          <w:lang w:val="af-ZA"/>
        </w:rPr>
        <w:t>համակարգ</w:t>
      </w:r>
      <w:r w:rsidRPr="009A7904">
        <w:rPr>
          <w:kern w:val="16"/>
          <w:lang w:val="hy-AM"/>
        </w:rPr>
        <w:t>եր</w:t>
      </w:r>
      <w:r w:rsidRPr="009A7904">
        <w:rPr>
          <w:kern w:val="16"/>
          <w:lang w:val="af-ZA"/>
        </w:rPr>
        <w:t>ի բարեփոխումը</w:t>
      </w:r>
      <w:r w:rsidRPr="009A7904">
        <w:rPr>
          <w:kern w:val="16"/>
          <w:lang w:val="hy-AM"/>
        </w:rPr>
        <w:t>,</w:t>
      </w:r>
      <w:r w:rsidRPr="009A7904">
        <w:rPr>
          <w:kern w:val="16"/>
          <w:lang w:val="af-ZA"/>
        </w:rPr>
        <w:t xml:space="preserve"> պետական գույքի մասնավորեցման, օտարման գործընթացներում հրապարակայնությ</w:t>
      </w:r>
      <w:r w:rsidRPr="009A7904">
        <w:rPr>
          <w:kern w:val="16"/>
          <w:lang w:val="hy-AM"/>
        </w:rPr>
        <w:t>ա</w:t>
      </w:r>
      <w:r w:rsidRPr="009A7904">
        <w:rPr>
          <w:kern w:val="16"/>
          <w:lang w:val="af-ZA"/>
        </w:rPr>
        <w:t>ն և թափանցիկությ</w:t>
      </w:r>
      <w:r w:rsidRPr="009A7904">
        <w:rPr>
          <w:kern w:val="16"/>
          <w:lang w:val="hy-AM"/>
        </w:rPr>
        <w:t>ա</w:t>
      </w:r>
      <w:r w:rsidRPr="009A7904">
        <w:rPr>
          <w:kern w:val="16"/>
          <w:lang w:val="af-ZA"/>
        </w:rPr>
        <w:t>ն ապահովո</w:t>
      </w:r>
      <w:r w:rsidRPr="009A7904">
        <w:rPr>
          <w:kern w:val="16"/>
          <w:lang w:val="hy-AM"/>
        </w:rPr>
        <w:t>ւմը,</w:t>
      </w:r>
      <w:r w:rsidRPr="009A7904">
        <w:rPr>
          <w:kern w:val="16"/>
          <w:lang w:val="af-ZA"/>
        </w:rPr>
        <w:t xml:space="preserve"> վաճառքի կազմակերպման ժամանակակից ձևերի և մեթոդների կիրառումը, վարձակալության գործընթացի մեկ միասնական կանոնակարգով և մոտեցմամբ իրականացումը, վարչարարության պարզեցումը և կրճատումը, ինչպես նաև անհատույց օգտագործման տրամադրման գործընթացում մրցակցային դաշտի ապահովումը</w:t>
      </w:r>
      <w:r w:rsidRPr="009A7904">
        <w:rPr>
          <w:lang w:val="hy-AM"/>
        </w:rPr>
        <w:t>։</w:t>
      </w:r>
    </w:p>
    <w:p w14:paraId="3918721C" w14:textId="77777777" w:rsidR="009D2825" w:rsidRPr="009A7904" w:rsidRDefault="009D2825" w:rsidP="009A7904">
      <w:pPr>
        <w:spacing w:after="0" w:line="276" w:lineRule="auto"/>
        <w:rPr>
          <w:b/>
          <w:lang w:val="hy-AM"/>
        </w:rPr>
      </w:pPr>
      <w:bookmarkStart w:id="337" w:name="_Toc13837362"/>
    </w:p>
    <w:p w14:paraId="79DE8106" w14:textId="77777777" w:rsidR="009D2825" w:rsidRPr="009A7904" w:rsidRDefault="009D2825" w:rsidP="009A7904">
      <w:pPr>
        <w:spacing w:after="0" w:line="276" w:lineRule="auto"/>
        <w:rPr>
          <w:b/>
          <w:lang w:val="hy-AM"/>
        </w:rPr>
      </w:pPr>
      <w:r w:rsidRPr="009A7904">
        <w:rPr>
          <w:b/>
          <w:lang w:val="hy-AM"/>
        </w:rPr>
        <w:t>ՈԼՈՐՏԱՅԻՆ ԾԱԽՍԱՅԻՆ ԾՐԱԳՐԵՐԸ</w:t>
      </w:r>
    </w:p>
    <w:p w14:paraId="6808AFC0" w14:textId="77777777" w:rsidR="009D2825" w:rsidRPr="009A7904" w:rsidRDefault="009D2825" w:rsidP="009A7904">
      <w:pPr>
        <w:pStyle w:val="NormalWeb"/>
        <w:numPr>
          <w:ilvl w:val="0"/>
          <w:numId w:val="23"/>
        </w:numPr>
        <w:spacing w:before="0" w:after="0" w:line="276" w:lineRule="auto"/>
        <w:ind w:left="0" w:firstLine="567"/>
        <w:rPr>
          <w:rFonts w:cs="Times LatArm"/>
          <w:b/>
          <w:szCs w:val="22"/>
          <w:lang w:val="hy-AM"/>
        </w:rPr>
      </w:pPr>
      <w:r w:rsidRPr="009A7904">
        <w:rPr>
          <w:rFonts w:cs="Sylfaen"/>
          <w:noProof/>
          <w:szCs w:val="22"/>
          <w:lang w:val="hy-AM"/>
        </w:rPr>
        <w:t>«</w:t>
      </w:r>
      <w:r w:rsidRPr="009A7904">
        <w:rPr>
          <w:b/>
          <w:szCs w:val="22"/>
          <w:lang w:val="hy-AM"/>
        </w:rPr>
        <w:t>Տարածքային կառավարման ոլորտում քաղաքականության մշակում, ծրագրերի համակարգում և մոնիտորինգի իրականացում</w:t>
      </w:r>
      <w:r w:rsidRPr="009A7904">
        <w:rPr>
          <w:rFonts w:cs="Arial"/>
          <w:noProof/>
          <w:szCs w:val="22"/>
          <w:lang w:val="hy-AM"/>
        </w:rPr>
        <w:t xml:space="preserve">» </w:t>
      </w:r>
      <w:r w:rsidRPr="009A7904">
        <w:rPr>
          <w:rFonts w:cs="Times LatArm"/>
          <w:b/>
          <w:szCs w:val="22"/>
          <w:lang w:val="hy-AM"/>
        </w:rPr>
        <w:t>ծրագիր.</w:t>
      </w:r>
    </w:p>
    <w:p w14:paraId="304B3A3C" w14:textId="77777777" w:rsidR="009D2825" w:rsidRPr="009A7904" w:rsidRDefault="009D2825" w:rsidP="009A7904">
      <w:pPr>
        <w:pStyle w:val="ListParagraph"/>
        <w:spacing w:after="0" w:line="276" w:lineRule="auto"/>
        <w:ind w:left="0" w:firstLine="567"/>
        <w:rPr>
          <w:rFonts w:cs="Tahoma"/>
          <w:noProof/>
          <w:lang w:val="hy-AM"/>
        </w:rPr>
      </w:pPr>
      <w:r w:rsidRPr="009A7904">
        <w:rPr>
          <w:rFonts w:cs="Times LatArm"/>
          <w:lang w:val="hy-AM"/>
        </w:rPr>
        <w:t>Ծրագրի</w:t>
      </w:r>
      <w:r w:rsidRPr="009A7904">
        <w:rPr>
          <w:rFonts w:cs="Arial"/>
          <w:noProof/>
          <w:lang w:val="hy-AM"/>
        </w:rPr>
        <w:t xml:space="preserve"> նպատակն է տարածքային կառավարման բնագավառում պետական արդյունավետ քաղաքականության մշակման և իրականացման ապահովումը, որի համար 2021-2023թթ նախատեսվում է հատկացնել 1,479.5 մլն դրամ, 1,496.3 մլն դրամ և 1,513.4 մլն դրամ՝ ՀՀ 2020 թվականի պետ</w:t>
      </w:r>
      <w:r w:rsidRPr="009A7904">
        <w:rPr>
          <w:rFonts w:cs="Tahoma"/>
          <w:noProof/>
          <w:lang w:val="hy-AM"/>
        </w:rPr>
        <w:t>ական բյուջեի ցուցանիշից համապատասխանաբար 0.1% պակաս և 1% ու 2.2% ավել, որը պայմանավորված է գործող օրենսդրությամբ սահմանված կարգավորումներով:</w:t>
      </w:r>
    </w:p>
    <w:p w14:paraId="5105CF56" w14:textId="77777777" w:rsidR="009D2825" w:rsidRPr="009A7904" w:rsidRDefault="009D2825" w:rsidP="009A7904">
      <w:pPr>
        <w:pStyle w:val="ListParagraph"/>
        <w:numPr>
          <w:ilvl w:val="0"/>
          <w:numId w:val="23"/>
        </w:numPr>
        <w:spacing w:before="0" w:after="0" w:line="276" w:lineRule="auto"/>
        <w:rPr>
          <w:rFonts w:cs="Times LatArm"/>
          <w:b/>
          <w:lang w:val="hy-AM"/>
        </w:rPr>
      </w:pPr>
      <w:r w:rsidRPr="009A7904">
        <w:rPr>
          <w:rFonts w:cs="Sylfaen"/>
          <w:noProof/>
          <w:lang w:val="hy-AM"/>
        </w:rPr>
        <w:t>«</w:t>
      </w:r>
      <w:r w:rsidRPr="009A7904">
        <w:rPr>
          <w:b/>
          <w:lang w:val="hy-AM"/>
        </w:rPr>
        <w:t>Ոռոգման համակարգի առողջացում</w:t>
      </w:r>
      <w:r w:rsidRPr="009A7904">
        <w:rPr>
          <w:rFonts w:cs="Arial"/>
          <w:noProof/>
          <w:lang w:val="hy-AM"/>
        </w:rPr>
        <w:t xml:space="preserve">» </w:t>
      </w:r>
      <w:bookmarkEnd w:id="337"/>
      <w:r w:rsidRPr="009A7904">
        <w:rPr>
          <w:rFonts w:cs="Times LatArm"/>
          <w:b/>
          <w:lang w:val="hy-AM"/>
        </w:rPr>
        <w:t>ծրագիր.</w:t>
      </w:r>
    </w:p>
    <w:p w14:paraId="66EFF147" w14:textId="77777777" w:rsidR="009D2825" w:rsidRPr="009A7904" w:rsidRDefault="009D2825" w:rsidP="009A7904">
      <w:pPr>
        <w:spacing w:after="0" w:line="276" w:lineRule="auto"/>
        <w:rPr>
          <w:rFonts w:cs="Tahoma"/>
          <w:noProof/>
          <w:lang w:val="hy-AM"/>
        </w:rPr>
      </w:pPr>
      <w:r w:rsidRPr="009A7904">
        <w:rPr>
          <w:rFonts w:cs="Times LatArm"/>
          <w:lang w:val="hy-AM"/>
        </w:rPr>
        <w:t>Ծրագրի</w:t>
      </w:r>
      <w:r w:rsidRPr="009A7904">
        <w:rPr>
          <w:rFonts w:cs="Arial"/>
          <w:noProof/>
          <w:lang w:val="hy-AM"/>
        </w:rPr>
        <w:t xml:space="preserve"> նպատակն է ոռոգման ծառայությունների հասանելիության և մատչելիության ապահովումը, որի համա 2021-2023թթ նախատեսվում է հատկացնել 29,668.9 մլն դրամ, 32,894.5 մլն դրամ և 17,572.4 մլն դրամ՝ ՀՀ 2020 թվականի պետ</w:t>
      </w:r>
      <w:r w:rsidRPr="009A7904">
        <w:rPr>
          <w:rFonts w:cs="Tahoma"/>
          <w:noProof/>
          <w:lang w:val="hy-AM"/>
        </w:rPr>
        <w:t xml:space="preserve">ական բյուջեի ցուցանիշից համապատասխանաբար 12.6%, 3.1% և 48.2% պակաս, որը պայմանավորված է ոլորտի ենթակառուցվածքների հիմնանորոգմանն </w:t>
      </w:r>
      <w:r w:rsidRPr="009A7904">
        <w:rPr>
          <w:rFonts w:cs="Tahoma"/>
          <w:noProof/>
          <w:lang w:val="hy-AM"/>
        </w:rPr>
        <w:lastRenderedPageBreak/>
        <w:t xml:space="preserve">ու պահպանմանն ուղղվող միջոցառումների </w:t>
      </w:r>
      <w:r w:rsidRPr="009A7904">
        <w:rPr>
          <w:rFonts w:cs="Times LatArm"/>
          <w:lang w:val="hy-AM"/>
        </w:rPr>
        <w:t>կատարման ապահովման համար ներկա գնահատմամբ</w:t>
      </w:r>
      <w:r w:rsidRPr="009A7904">
        <w:rPr>
          <w:rFonts w:cs="Tahoma"/>
          <w:noProof/>
          <w:lang w:val="hy-AM"/>
        </w:rPr>
        <w:t xml:space="preserve"> և </w:t>
      </w:r>
      <w:r w:rsidRPr="009A7904">
        <w:rPr>
          <w:rFonts w:cs="Times LatArm"/>
          <w:lang w:val="hy-AM"/>
        </w:rPr>
        <w:t>վարկային ծրագրերով նախատեսված ժամկետների պահպանմամբ</w:t>
      </w:r>
      <w:r w:rsidRPr="009A7904">
        <w:rPr>
          <w:rFonts w:cs="Tahoma"/>
          <w:noProof/>
          <w:lang w:val="hy-AM"/>
        </w:rPr>
        <w:t>:</w:t>
      </w:r>
    </w:p>
    <w:p w14:paraId="1E08253C" w14:textId="77777777" w:rsidR="009D2825" w:rsidRPr="009A7904" w:rsidRDefault="009D2825" w:rsidP="009A7904">
      <w:pPr>
        <w:pStyle w:val="NormalWeb"/>
        <w:numPr>
          <w:ilvl w:val="0"/>
          <w:numId w:val="23"/>
        </w:numPr>
        <w:spacing w:before="0" w:after="0" w:line="276" w:lineRule="auto"/>
        <w:rPr>
          <w:rFonts w:cs="Times LatArm"/>
          <w:b/>
          <w:szCs w:val="22"/>
          <w:lang w:val="hy-AM"/>
        </w:rPr>
      </w:pPr>
      <w:r w:rsidRPr="009A7904">
        <w:rPr>
          <w:rFonts w:cs="Sylfaen"/>
          <w:noProof/>
          <w:szCs w:val="22"/>
          <w:lang w:val="hy-AM"/>
        </w:rPr>
        <w:t>«</w:t>
      </w:r>
      <w:r w:rsidRPr="009A7904">
        <w:rPr>
          <w:b/>
          <w:szCs w:val="22"/>
          <w:lang w:val="hy-AM"/>
        </w:rPr>
        <w:t>Որոտան-Արփա-Սևան թունելի ջրային համակարգի կառավարում</w:t>
      </w:r>
      <w:r w:rsidRPr="009A7904">
        <w:rPr>
          <w:rFonts w:cs="Arial"/>
          <w:noProof/>
          <w:szCs w:val="22"/>
          <w:lang w:val="hy-AM"/>
        </w:rPr>
        <w:t xml:space="preserve">» </w:t>
      </w:r>
      <w:r w:rsidRPr="009A7904">
        <w:rPr>
          <w:rFonts w:cs="Times LatArm"/>
          <w:b/>
          <w:szCs w:val="22"/>
          <w:lang w:val="hy-AM"/>
        </w:rPr>
        <w:t>ծրագիր.</w:t>
      </w:r>
    </w:p>
    <w:p w14:paraId="39892C9D" w14:textId="77777777" w:rsidR="009D2825" w:rsidRPr="009A7904" w:rsidRDefault="009D2825" w:rsidP="009A7904">
      <w:pPr>
        <w:spacing w:after="0" w:line="276" w:lineRule="auto"/>
        <w:rPr>
          <w:rFonts w:cs="Arial"/>
          <w:noProof/>
          <w:lang w:val="hy-AM"/>
        </w:rPr>
      </w:pPr>
      <w:r w:rsidRPr="009A7904">
        <w:rPr>
          <w:rFonts w:cs="Times LatArm"/>
          <w:lang w:val="hy-AM"/>
        </w:rPr>
        <w:t>Ծրագրի</w:t>
      </w:r>
      <w:r w:rsidRPr="009A7904">
        <w:rPr>
          <w:rFonts w:cs="Tahoma"/>
          <w:noProof/>
          <w:lang w:val="hy-AM"/>
        </w:rPr>
        <w:t xml:space="preserve"> նպատակն է Որոտան-Արփա-Սևան թունելի ջրային համակարգի պահպանումն և շահագործումը, </w:t>
      </w:r>
      <w:r w:rsidRPr="009A7904">
        <w:rPr>
          <w:rFonts w:cs="Arial"/>
          <w:noProof/>
          <w:lang w:val="hy-AM"/>
        </w:rPr>
        <w:t>որի համար 2021-2023թթ նախատեսվում է հատկացնել</w:t>
      </w:r>
      <w:r w:rsidRPr="009A7904">
        <w:rPr>
          <w:rFonts w:cs="Tahoma"/>
          <w:noProof/>
          <w:lang w:val="hy-AM"/>
        </w:rPr>
        <w:t xml:space="preserve"> յուրաքանչյուր տարի 205.8 մլն դրամ՝ ՀՀ 2020 թվականի պետական բյուջեի մակարդակին համապատասխան</w:t>
      </w:r>
      <w:r w:rsidRPr="009A7904">
        <w:rPr>
          <w:rFonts w:cs="Arial"/>
          <w:noProof/>
          <w:lang w:val="hy-AM"/>
        </w:rPr>
        <w:t>:</w:t>
      </w:r>
    </w:p>
    <w:p w14:paraId="5E815741" w14:textId="77777777" w:rsidR="009D2825" w:rsidRPr="009A7904" w:rsidRDefault="009D2825" w:rsidP="009A7904">
      <w:pPr>
        <w:pStyle w:val="NormalWeb"/>
        <w:numPr>
          <w:ilvl w:val="0"/>
          <w:numId w:val="23"/>
        </w:numPr>
        <w:spacing w:before="0" w:after="0" w:line="276" w:lineRule="auto"/>
        <w:rPr>
          <w:rFonts w:cs="Times LatArm"/>
          <w:b/>
          <w:szCs w:val="22"/>
          <w:lang w:val="hy-AM"/>
        </w:rPr>
      </w:pPr>
      <w:r w:rsidRPr="009A7904">
        <w:rPr>
          <w:rFonts w:cs="Sylfaen"/>
          <w:noProof/>
          <w:szCs w:val="22"/>
          <w:lang w:val="hy-AM"/>
        </w:rPr>
        <w:t>«</w:t>
      </w:r>
      <w:r w:rsidRPr="009A7904">
        <w:rPr>
          <w:b/>
          <w:szCs w:val="22"/>
          <w:lang w:val="hy-AM"/>
        </w:rPr>
        <w:t>Սոցիալական ներդրումների և տեղական զարգացման ծրագիր</w:t>
      </w:r>
      <w:r w:rsidRPr="009A7904">
        <w:rPr>
          <w:rFonts w:cs="Arial"/>
          <w:noProof/>
          <w:szCs w:val="22"/>
          <w:lang w:val="hy-AM"/>
        </w:rPr>
        <w:t>».</w:t>
      </w:r>
      <w:r w:rsidRPr="009A7904">
        <w:rPr>
          <w:b/>
          <w:szCs w:val="22"/>
          <w:lang w:val="hy-AM"/>
        </w:rPr>
        <w:t xml:space="preserve"> </w:t>
      </w:r>
      <w:r w:rsidRPr="009A7904">
        <w:rPr>
          <w:rFonts w:cs="Times LatArm"/>
          <w:b/>
          <w:szCs w:val="22"/>
          <w:lang w:val="hy-AM"/>
        </w:rPr>
        <w:t>ծրագիր.</w:t>
      </w:r>
    </w:p>
    <w:p w14:paraId="22FD38C0" w14:textId="77777777" w:rsidR="009D2825" w:rsidRPr="009A7904" w:rsidRDefault="009D2825" w:rsidP="009A7904">
      <w:pPr>
        <w:spacing w:after="0" w:line="276" w:lineRule="auto"/>
        <w:rPr>
          <w:rFonts w:cs="Tahoma"/>
          <w:noProof/>
          <w:lang w:val="hy-AM"/>
        </w:rPr>
      </w:pPr>
      <w:r w:rsidRPr="009A7904">
        <w:rPr>
          <w:rFonts w:cs="Times LatArm"/>
          <w:lang w:val="hy-AM"/>
        </w:rPr>
        <w:t>Ծրագրի</w:t>
      </w:r>
      <w:r w:rsidRPr="009A7904">
        <w:rPr>
          <w:rFonts w:cs="Arial"/>
          <w:noProof/>
          <w:lang w:val="hy-AM"/>
        </w:rPr>
        <w:t xml:space="preserve"> նպատակն է նպաստել տարածքներում բնակչության նյութական և ոչ նյութական բարեկեցության աճին, որի համար 2021-2022թթ նախատեսվում է հատկացնել 2,723.8 մլն դրամ և 47.1 մլն դրամ՝ ՀՀ 2020 թվականի պետական բյուջեի </w:t>
      </w:r>
      <w:r w:rsidRPr="009A7904">
        <w:rPr>
          <w:rFonts w:cs="Tahoma"/>
          <w:noProof/>
          <w:lang w:val="hy-AM"/>
        </w:rPr>
        <w:t xml:space="preserve">ցուցանիշից համապատասխանաբար 45.4% և 99.1% պակաս, որը պայմանավորված է </w:t>
      </w:r>
      <w:r w:rsidRPr="009A7904">
        <w:rPr>
          <w:rFonts w:cs="Times LatArm"/>
          <w:lang w:val="hy-AM"/>
        </w:rPr>
        <w:t>վարկային ծրագրերով նախատեսված ժամկետների պահպանմամբ</w:t>
      </w:r>
      <w:r w:rsidRPr="009A7904">
        <w:rPr>
          <w:rFonts w:cs="Tahoma"/>
          <w:noProof/>
          <w:lang w:val="hy-AM"/>
        </w:rPr>
        <w:t>:</w:t>
      </w:r>
    </w:p>
    <w:p w14:paraId="6776D2F2" w14:textId="77777777" w:rsidR="009D2825" w:rsidRPr="009A7904" w:rsidRDefault="009D2825" w:rsidP="009A7904">
      <w:pPr>
        <w:pStyle w:val="NormalWeb"/>
        <w:numPr>
          <w:ilvl w:val="0"/>
          <w:numId w:val="23"/>
        </w:numPr>
        <w:spacing w:before="0" w:after="0" w:line="276" w:lineRule="auto"/>
        <w:rPr>
          <w:rFonts w:cs="Times LatArm"/>
          <w:b/>
          <w:szCs w:val="22"/>
          <w:lang w:val="hy-AM"/>
        </w:rPr>
      </w:pPr>
      <w:r w:rsidRPr="009A7904">
        <w:rPr>
          <w:rFonts w:cs="Sylfaen"/>
          <w:noProof/>
          <w:szCs w:val="22"/>
          <w:lang w:val="hy-AM"/>
        </w:rPr>
        <w:t>«</w:t>
      </w:r>
      <w:r w:rsidRPr="009A7904">
        <w:rPr>
          <w:b/>
          <w:szCs w:val="22"/>
          <w:lang w:val="hy-AM"/>
        </w:rPr>
        <w:t>Կոլեկտորադրենաժային ծառայություններ</w:t>
      </w:r>
      <w:r w:rsidRPr="009A7904">
        <w:rPr>
          <w:rFonts w:cs="Arial"/>
          <w:noProof/>
          <w:szCs w:val="22"/>
          <w:lang w:val="hy-AM"/>
        </w:rPr>
        <w:t xml:space="preserve">» </w:t>
      </w:r>
      <w:r w:rsidRPr="009A7904">
        <w:rPr>
          <w:rFonts w:cs="Times LatArm"/>
          <w:b/>
          <w:szCs w:val="22"/>
          <w:lang w:val="hy-AM"/>
        </w:rPr>
        <w:t>ծրագիր.</w:t>
      </w:r>
    </w:p>
    <w:p w14:paraId="54878CC4" w14:textId="77777777" w:rsidR="009D2825" w:rsidRPr="009A7904" w:rsidRDefault="009D2825" w:rsidP="009A7904">
      <w:pPr>
        <w:spacing w:after="0" w:line="276" w:lineRule="auto"/>
        <w:rPr>
          <w:rFonts w:cs="Arial"/>
          <w:noProof/>
          <w:lang w:val="hy-AM"/>
        </w:rPr>
      </w:pPr>
      <w:r w:rsidRPr="009A7904">
        <w:rPr>
          <w:rFonts w:cs="Times LatArm"/>
          <w:lang w:val="hy-AM"/>
        </w:rPr>
        <w:t>Ծրագրի</w:t>
      </w:r>
      <w:r w:rsidRPr="009A7904">
        <w:rPr>
          <w:rFonts w:cs="Arial"/>
          <w:noProof/>
          <w:lang w:val="hy-AM"/>
        </w:rPr>
        <w:t xml:space="preserve"> նպատակն է կոլեկտորադրենաժային ցանցի միջոցով գրունտային ջրերի հեռացումն ու համակարգի կենսունակության բարելավումը, որի համար 2021-2023թթ նախատեսվում է հատկացնել յուրաքանչյուր տարի 336.5 մլն դրամ՝ ՀՀ 2020 թվականի պետական բյուջեի մակարդակին համապատասխան:</w:t>
      </w:r>
    </w:p>
    <w:p w14:paraId="6F3028E5" w14:textId="77777777" w:rsidR="009D2825" w:rsidRPr="009A7904" w:rsidRDefault="009D2825" w:rsidP="009A7904">
      <w:pPr>
        <w:pStyle w:val="NormalWeb"/>
        <w:numPr>
          <w:ilvl w:val="0"/>
          <w:numId w:val="23"/>
        </w:numPr>
        <w:spacing w:before="0" w:after="0" w:line="276" w:lineRule="auto"/>
        <w:ind w:left="0" w:firstLine="491"/>
        <w:rPr>
          <w:rFonts w:cs="Times LatArm"/>
          <w:b/>
          <w:szCs w:val="22"/>
          <w:lang w:val="hy-AM"/>
        </w:rPr>
      </w:pPr>
      <w:r w:rsidRPr="009A7904">
        <w:rPr>
          <w:rFonts w:cs="Sylfaen"/>
          <w:noProof/>
          <w:szCs w:val="22"/>
          <w:lang w:val="hy-AM"/>
        </w:rPr>
        <w:t xml:space="preserve"> «</w:t>
      </w:r>
      <w:r w:rsidRPr="009A7904">
        <w:rPr>
          <w:b/>
          <w:szCs w:val="22"/>
          <w:lang w:val="hy-AM"/>
        </w:rPr>
        <w:t>Տարածքային կառավարման և տեղական ինքնակառավարման մարմինների ներկայացուցիչների մասնագիտական վերապատրաստում և հատուկ ուսուցում</w:t>
      </w:r>
      <w:r w:rsidRPr="009A7904">
        <w:rPr>
          <w:rFonts w:cs="Arial"/>
          <w:noProof/>
          <w:szCs w:val="22"/>
          <w:lang w:val="hy-AM"/>
        </w:rPr>
        <w:t xml:space="preserve">» </w:t>
      </w:r>
      <w:r w:rsidRPr="009A7904">
        <w:rPr>
          <w:rFonts w:cs="Times LatArm"/>
          <w:b/>
          <w:szCs w:val="22"/>
          <w:lang w:val="hy-AM"/>
        </w:rPr>
        <w:t>ծրագիր.</w:t>
      </w:r>
    </w:p>
    <w:p w14:paraId="259DD666" w14:textId="77777777" w:rsidR="009D2825" w:rsidRPr="009A7904" w:rsidRDefault="009D2825" w:rsidP="009A7904">
      <w:pPr>
        <w:spacing w:after="0" w:line="276" w:lineRule="auto"/>
        <w:rPr>
          <w:rFonts w:cs="Tahoma"/>
          <w:noProof/>
          <w:lang w:val="hy-AM"/>
        </w:rPr>
      </w:pPr>
      <w:r w:rsidRPr="009A7904">
        <w:rPr>
          <w:rFonts w:cs="Times LatArm"/>
          <w:lang w:val="hy-AM"/>
        </w:rPr>
        <w:t>Ծրագրի</w:t>
      </w:r>
      <w:r w:rsidRPr="009A7904">
        <w:rPr>
          <w:rFonts w:cs="Arial"/>
          <w:noProof/>
          <w:lang w:val="hy-AM"/>
        </w:rPr>
        <w:t xml:space="preserve"> նպատակն է տարածքային կառավարման և տեղական ինքնակառավարման մարմինների աշխատակիցների աշխատանքի արդյունավետության բարելավումը, որի համար նախատեսվում է յուրաքանչյուր տարի հատկացնել 26.1 մլն դրամ՝ ՀՀ 2020 թվականի պետական բյուջեի մակարդակից 46.4% պակաս, </w:t>
      </w:r>
      <w:r w:rsidRPr="009A7904">
        <w:rPr>
          <w:rFonts w:cs="Tahoma"/>
          <w:noProof/>
          <w:lang w:val="hy-AM"/>
        </w:rPr>
        <w:t>որը պայմանավորված է գործող օրենսդրությամբ սահմանված կարգավորումներով:</w:t>
      </w:r>
    </w:p>
    <w:p w14:paraId="3336CE9D" w14:textId="77777777" w:rsidR="009D2825" w:rsidRPr="009A7904" w:rsidRDefault="009D2825" w:rsidP="009A7904">
      <w:pPr>
        <w:pStyle w:val="NormalWeb"/>
        <w:numPr>
          <w:ilvl w:val="0"/>
          <w:numId w:val="23"/>
        </w:numPr>
        <w:spacing w:before="0" w:after="0" w:line="276" w:lineRule="auto"/>
        <w:rPr>
          <w:rFonts w:cs="Times LatArm"/>
          <w:b/>
          <w:szCs w:val="22"/>
          <w:lang w:val="hy-AM"/>
        </w:rPr>
      </w:pPr>
      <w:r w:rsidRPr="009A7904">
        <w:rPr>
          <w:rFonts w:cs="Sylfaen"/>
          <w:noProof/>
          <w:szCs w:val="22"/>
          <w:lang w:val="hy-AM"/>
        </w:rPr>
        <w:t>«</w:t>
      </w:r>
      <w:r w:rsidRPr="009A7904">
        <w:rPr>
          <w:b/>
          <w:szCs w:val="22"/>
          <w:lang w:val="af-ZA"/>
        </w:rPr>
        <w:t>Կոշտ թափոնների կառավարում</w:t>
      </w:r>
      <w:r w:rsidRPr="009A7904">
        <w:rPr>
          <w:rFonts w:cs="Arial"/>
          <w:noProof/>
          <w:szCs w:val="22"/>
          <w:lang w:val="hy-AM"/>
        </w:rPr>
        <w:t xml:space="preserve">» </w:t>
      </w:r>
      <w:r w:rsidRPr="009A7904">
        <w:rPr>
          <w:rFonts w:cs="Times LatArm"/>
          <w:b/>
          <w:szCs w:val="22"/>
          <w:lang w:val="hy-AM"/>
        </w:rPr>
        <w:t>ծրագիր.</w:t>
      </w:r>
    </w:p>
    <w:p w14:paraId="58A1226B" w14:textId="77777777" w:rsidR="009D2825" w:rsidRPr="009A7904" w:rsidRDefault="009D2825" w:rsidP="009A7904">
      <w:pPr>
        <w:spacing w:after="0" w:line="276" w:lineRule="auto"/>
        <w:rPr>
          <w:rFonts w:cs="Tahoma"/>
          <w:noProof/>
          <w:lang w:val="hy-AM"/>
        </w:rPr>
      </w:pPr>
      <w:r w:rsidRPr="009A7904">
        <w:rPr>
          <w:rFonts w:cs="Times LatArm"/>
          <w:lang w:val="hy-AM"/>
        </w:rPr>
        <w:t>Ծրագրի</w:t>
      </w:r>
      <w:r w:rsidRPr="009A7904">
        <w:rPr>
          <w:rFonts w:cs="Arial"/>
          <w:noProof/>
          <w:lang w:val="hy-AM"/>
        </w:rPr>
        <w:t xml:space="preserve"> նպատակն է կենցաղային թափոնների արդյունավետ կառավարումը, սոցիալական և բնապահպանական խնդիրների լուծումը, որի համար 2021-2023թթ նախատեսվում է հատկացնել 3,713.1 մլն դրամ, 2,596.3 մլն դրամ և 1,079.4 մլն դրամ՝ ՀՀ 2020 թվականի պետական բյուջեի </w:t>
      </w:r>
      <w:r w:rsidRPr="009A7904">
        <w:rPr>
          <w:rFonts w:cs="Tahoma"/>
          <w:noProof/>
          <w:lang w:val="hy-AM"/>
        </w:rPr>
        <w:t xml:space="preserve">ցուցանիշից համապատասխանաբար 49.9%, 65.0% և 85.4% պակաս, որը պայմանավորված է </w:t>
      </w:r>
      <w:r w:rsidRPr="009A7904">
        <w:rPr>
          <w:rFonts w:cs="Times LatArm"/>
          <w:lang w:val="hy-AM"/>
        </w:rPr>
        <w:t>վարկային ծրագրերով նախատեսված ժամկետների պահպանմամբ</w:t>
      </w:r>
      <w:r w:rsidRPr="009A7904">
        <w:rPr>
          <w:rFonts w:cs="Tahoma"/>
          <w:noProof/>
          <w:lang w:val="hy-AM"/>
        </w:rPr>
        <w:t>:</w:t>
      </w:r>
    </w:p>
    <w:p w14:paraId="38B2445B" w14:textId="77777777" w:rsidR="009D2825" w:rsidRPr="009A7904" w:rsidRDefault="009D2825" w:rsidP="009A7904">
      <w:pPr>
        <w:pStyle w:val="NormalWeb"/>
        <w:numPr>
          <w:ilvl w:val="0"/>
          <w:numId w:val="23"/>
        </w:numPr>
        <w:spacing w:before="0" w:after="0" w:line="276" w:lineRule="auto"/>
        <w:rPr>
          <w:rFonts w:cs="Times LatArm"/>
          <w:b/>
          <w:szCs w:val="22"/>
          <w:lang w:val="hy-AM"/>
        </w:rPr>
      </w:pPr>
      <w:r w:rsidRPr="009A7904">
        <w:rPr>
          <w:rFonts w:cs="Sylfaen"/>
          <w:b/>
          <w:noProof/>
          <w:szCs w:val="22"/>
          <w:lang w:val="hy-AM"/>
        </w:rPr>
        <w:t>«</w:t>
      </w:r>
      <w:r w:rsidRPr="009A7904">
        <w:rPr>
          <w:rFonts w:cs="Times Armenian"/>
          <w:b/>
          <w:kern w:val="16"/>
          <w:szCs w:val="22"/>
          <w:lang w:val="hy-AM"/>
        </w:rPr>
        <w:t>Ճանապարհային ցանցի բարելավում</w:t>
      </w:r>
      <w:r w:rsidRPr="009A7904">
        <w:rPr>
          <w:rFonts w:cs="Arial"/>
          <w:b/>
          <w:noProof/>
          <w:szCs w:val="22"/>
          <w:lang w:val="hy-AM"/>
        </w:rPr>
        <w:t>»</w:t>
      </w:r>
      <w:r w:rsidRPr="009A7904">
        <w:rPr>
          <w:rFonts w:cs="Arial"/>
          <w:noProof/>
          <w:szCs w:val="22"/>
          <w:lang w:val="hy-AM"/>
        </w:rPr>
        <w:t xml:space="preserve"> </w:t>
      </w:r>
      <w:r w:rsidRPr="009A7904">
        <w:rPr>
          <w:rFonts w:cs="Times LatArm"/>
          <w:b/>
          <w:szCs w:val="22"/>
          <w:lang w:val="hy-AM"/>
        </w:rPr>
        <w:t>ծրագիր.</w:t>
      </w:r>
    </w:p>
    <w:p w14:paraId="29F51699" w14:textId="77777777" w:rsidR="009D2825" w:rsidRPr="009A7904" w:rsidRDefault="009D2825" w:rsidP="009A7904">
      <w:pPr>
        <w:spacing w:after="0" w:line="276" w:lineRule="auto"/>
        <w:rPr>
          <w:rFonts w:cs="Tahoma"/>
          <w:noProof/>
          <w:lang w:val="hy-AM"/>
        </w:rPr>
      </w:pPr>
      <w:r w:rsidRPr="009A7904">
        <w:rPr>
          <w:rFonts w:cs="Times LatArm"/>
          <w:lang w:val="hy-AM"/>
        </w:rPr>
        <w:t>Ծրագրի</w:t>
      </w:r>
      <w:r w:rsidRPr="009A7904">
        <w:rPr>
          <w:rFonts w:cs="Tahoma"/>
          <w:noProof/>
          <w:lang w:val="hy-AM"/>
        </w:rPr>
        <w:t xml:space="preserve"> նպատակն է ճանապարհային ցանցի բարելավումն ու անվտանգ երթևեկության ապահովումը, որի</w:t>
      </w:r>
      <w:r w:rsidRPr="009A7904">
        <w:rPr>
          <w:rFonts w:cs="Arial"/>
          <w:noProof/>
          <w:lang w:val="hy-AM"/>
        </w:rPr>
        <w:t xml:space="preserve"> համար 2021-2023թթ նախատեսվում է հատկացնել 82,164.3 մլն դրամ, 111,852.6 մլն դրամ և 51,186.9 մլն դրամ՝ ՀՀ 2020 թվականի պետ</w:t>
      </w:r>
      <w:r w:rsidRPr="009A7904">
        <w:rPr>
          <w:rFonts w:cs="Tahoma"/>
          <w:noProof/>
          <w:lang w:val="hy-AM"/>
        </w:rPr>
        <w:t xml:space="preserve">ական բյուջեի ցուցանիշից համապատասխանաբար 1.4% պակաս, 34.3% ավել և 38.6% պակաս, որը պայմանավորված է ճանապարհային ենթակառուցվածքների վերակառուցման և հիմնանորոգմանն ուղղված միջոցառումների </w:t>
      </w:r>
      <w:r w:rsidRPr="009A7904">
        <w:rPr>
          <w:rFonts w:cs="Tahoma"/>
          <w:noProof/>
          <w:lang w:val="hy-AM"/>
        </w:rPr>
        <w:lastRenderedPageBreak/>
        <w:t xml:space="preserve">չափաքանակների փոփոխությամբ և </w:t>
      </w:r>
      <w:r w:rsidRPr="009A7904">
        <w:rPr>
          <w:rFonts w:cs="Times LatArm"/>
          <w:lang w:val="hy-AM"/>
        </w:rPr>
        <w:t>վարկային ծրագրերով նախատեսված ժամկետների պահպանմամբ</w:t>
      </w:r>
      <w:r w:rsidRPr="009A7904">
        <w:rPr>
          <w:rFonts w:cs="Tahoma"/>
          <w:noProof/>
          <w:lang w:val="hy-AM"/>
        </w:rPr>
        <w:t>:</w:t>
      </w:r>
    </w:p>
    <w:p w14:paraId="3A70C69F" w14:textId="77777777" w:rsidR="009D2825" w:rsidRPr="009A7904" w:rsidRDefault="009D2825" w:rsidP="009A7904">
      <w:pPr>
        <w:pStyle w:val="NormalWeb"/>
        <w:numPr>
          <w:ilvl w:val="0"/>
          <w:numId w:val="23"/>
        </w:numPr>
        <w:spacing w:before="0" w:after="0" w:line="276" w:lineRule="auto"/>
        <w:rPr>
          <w:rFonts w:cs="Times LatArm"/>
          <w:b/>
          <w:szCs w:val="22"/>
          <w:lang w:val="hy-AM"/>
        </w:rPr>
      </w:pPr>
      <w:r w:rsidRPr="009A7904">
        <w:rPr>
          <w:rFonts w:cs="Sylfaen"/>
          <w:b/>
          <w:noProof/>
          <w:szCs w:val="22"/>
          <w:lang w:val="hy-AM"/>
        </w:rPr>
        <w:t>«</w:t>
      </w:r>
      <w:r w:rsidRPr="009A7904">
        <w:rPr>
          <w:rFonts w:cs="Times Armenian"/>
          <w:b/>
          <w:kern w:val="16"/>
          <w:szCs w:val="22"/>
          <w:lang w:val="hy-AM"/>
        </w:rPr>
        <w:t>Աջակցություն փախստականների ինտեգրմանը</w:t>
      </w:r>
      <w:r w:rsidRPr="009A7904">
        <w:rPr>
          <w:rFonts w:cs="Arial"/>
          <w:b/>
          <w:noProof/>
          <w:szCs w:val="22"/>
          <w:lang w:val="hy-AM"/>
        </w:rPr>
        <w:t xml:space="preserve">» </w:t>
      </w:r>
      <w:r w:rsidRPr="009A7904">
        <w:rPr>
          <w:rFonts w:cs="Times LatArm"/>
          <w:b/>
          <w:szCs w:val="22"/>
          <w:lang w:val="hy-AM"/>
        </w:rPr>
        <w:t>ծրագիր.</w:t>
      </w:r>
    </w:p>
    <w:p w14:paraId="13808FD7" w14:textId="77777777" w:rsidR="009D2825" w:rsidRPr="009A7904" w:rsidRDefault="009D2825" w:rsidP="009A7904">
      <w:pPr>
        <w:spacing w:after="0" w:line="276" w:lineRule="auto"/>
        <w:rPr>
          <w:rFonts w:cs="Tahoma"/>
          <w:noProof/>
          <w:lang w:val="hy-AM"/>
        </w:rPr>
      </w:pPr>
      <w:r w:rsidRPr="009A7904">
        <w:rPr>
          <w:rFonts w:cs="Times LatArm"/>
          <w:lang w:val="hy-AM"/>
        </w:rPr>
        <w:t>Ծրագրի</w:t>
      </w:r>
      <w:r w:rsidRPr="009A7904">
        <w:rPr>
          <w:rFonts w:cs="Tahoma"/>
          <w:noProof/>
          <w:lang w:val="hy-AM"/>
        </w:rPr>
        <w:t xml:space="preserve"> նպատակն է ապահովել փախստականների ինտեգրումը հասարակությանը, որի </w:t>
      </w:r>
      <w:r w:rsidRPr="009A7904">
        <w:rPr>
          <w:rFonts w:cs="Arial"/>
          <w:noProof/>
          <w:lang w:val="hy-AM"/>
        </w:rPr>
        <w:t>համար 2021-2023թթ նախատեսվում է հատկացնել 2,269.9 մլն դրամ, 2,330.8 մլն դրամ և 2,261.0 մլն դրամ՝ ՀՀ 2020 թվականի պետական</w:t>
      </w:r>
      <w:r w:rsidRPr="009A7904">
        <w:rPr>
          <w:rFonts w:cs="Tahoma"/>
          <w:noProof/>
          <w:lang w:val="hy-AM"/>
        </w:rPr>
        <w:t xml:space="preserve"> բյուջեի ցուցանիշից 2022թ.-ին 2.7% ավել, 2023թ.-ին՝ 0.4% պակաս, որը հիմնականում պայմանավորված է 2022-2023թթ. «Ապաստան հայցողների կեցության խնդիրների լուծման  միջոցառումների իրականացում» միջոցառման գծով ապաստան հայցողների համար ժամանակավոր տեղավորման նոր կենտրոնի շահագործմամբ և 2023թ. նվազումը հիմնականում պայմանավորված է «1988-1992թթ Ադրբեջանից բռնագաղթված և Հայաստանի Հանրապետությունում ապաստանած փախստական ընտանիքների բնակարանային ապահովում» միջոցառման </w:t>
      </w:r>
      <w:r w:rsidRPr="009A7904">
        <w:rPr>
          <w:rFonts w:cs="Times LatArm"/>
          <w:lang w:val="hy-AM"/>
        </w:rPr>
        <w:t>կատարման ապահովման համար ներկա գնահատմամբ,</w:t>
      </w:r>
      <w:r w:rsidRPr="009A7904">
        <w:rPr>
          <w:rFonts w:cs="Tahoma"/>
          <w:noProof/>
          <w:lang w:val="hy-AM"/>
        </w:rPr>
        <w:t xml:space="preserve"> </w:t>
      </w:r>
    </w:p>
    <w:p w14:paraId="461AE8EC" w14:textId="4E173DF4" w:rsidR="009D2825" w:rsidRPr="009A7904" w:rsidRDefault="009D2825" w:rsidP="009A7904">
      <w:pPr>
        <w:pStyle w:val="ListParagraph"/>
        <w:numPr>
          <w:ilvl w:val="0"/>
          <w:numId w:val="23"/>
        </w:numPr>
        <w:spacing w:before="0" w:after="0" w:line="276" w:lineRule="auto"/>
        <w:rPr>
          <w:b/>
          <w:lang w:val="hy-AM"/>
        </w:rPr>
      </w:pPr>
      <w:r w:rsidRPr="009A7904">
        <w:rPr>
          <w:rFonts w:cs="Sylfaen"/>
          <w:b/>
          <w:noProof/>
          <w:lang w:val="hy-AM"/>
        </w:rPr>
        <w:t>«</w:t>
      </w:r>
      <w:r w:rsidRPr="009A7904">
        <w:rPr>
          <w:rFonts w:cs="Times Armenian"/>
          <w:b/>
          <w:kern w:val="16"/>
          <w:lang w:val="hy-AM"/>
        </w:rPr>
        <w:t>Ջրամատակարարման և ջրահեռացման բարելավում</w:t>
      </w:r>
      <w:r w:rsidRPr="009A7904">
        <w:rPr>
          <w:rFonts w:cs="Arial"/>
          <w:b/>
          <w:noProof/>
          <w:lang w:val="hy-AM"/>
        </w:rPr>
        <w:t>» ծրագիր.</w:t>
      </w:r>
      <w:r w:rsidRPr="009A7904">
        <w:rPr>
          <w:b/>
          <w:lang w:val="hy-AM"/>
        </w:rPr>
        <w:t xml:space="preserve"> </w:t>
      </w:r>
    </w:p>
    <w:p w14:paraId="116679F5" w14:textId="77777777" w:rsidR="009D2825" w:rsidRPr="009A7904" w:rsidRDefault="009D2825" w:rsidP="009A7904">
      <w:pPr>
        <w:pStyle w:val="NormalWeb"/>
        <w:spacing w:before="0" w:after="0" w:line="276" w:lineRule="auto"/>
        <w:rPr>
          <w:rFonts w:cs="Tahoma"/>
          <w:noProof/>
          <w:szCs w:val="22"/>
          <w:lang w:val="hy-AM"/>
        </w:rPr>
      </w:pPr>
      <w:r w:rsidRPr="009A7904">
        <w:rPr>
          <w:rFonts w:cs="Tahoma"/>
          <w:noProof/>
          <w:szCs w:val="22"/>
          <w:lang w:val="hy-AM"/>
        </w:rPr>
        <w:t>Ծրագրի նպատակն է ջ</w:t>
      </w:r>
      <w:r w:rsidRPr="009A7904">
        <w:rPr>
          <w:rFonts w:cs="Times Armenian"/>
          <w:kern w:val="16"/>
          <w:szCs w:val="22"/>
          <w:lang w:val="hy-AM"/>
        </w:rPr>
        <w:t xml:space="preserve">րամատակարարման ծառայությունների հասանելիության և մատչելիության ապահովումը, որի </w:t>
      </w:r>
      <w:r w:rsidRPr="009A7904">
        <w:rPr>
          <w:rFonts w:cs="Arial"/>
          <w:noProof/>
          <w:szCs w:val="22"/>
          <w:lang w:val="hy-AM"/>
        </w:rPr>
        <w:t>համար 2021-2023թթ նախատեսվում է հատկացնել 14,976.4 մլն դրամ, 14,222.9 մլն դրամ և 4,685.8 մլն դրամ՝ ՀՀ 2020 թվականի պետական բյուջեի ցուցանիշից համապատասխանաբար 0.2% ավել, 4.9% և 68.7% պակաս, որը պայմանավորված</w:t>
      </w:r>
      <w:r w:rsidRPr="009A7904">
        <w:rPr>
          <w:rFonts w:cs="Tahoma"/>
          <w:noProof/>
          <w:szCs w:val="22"/>
          <w:lang w:val="hy-AM"/>
        </w:rPr>
        <w:t xml:space="preserve"> է  Խմելու ջրի մատակարարման և ջրահեռացման ծառայությունների սուբսիդավորման միջոցառման ավարտմամբ,</w:t>
      </w:r>
      <w:r w:rsidRPr="009A7904">
        <w:rPr>
          <w:rFonts w:cs="Tahoma"/>
          <w:noProof/>
          <w:color w:val="FF0000"/>
          <w:szCs w:val="22"/>
          <w:lang w:val="hy-AM"/>
        </w:rPr>
        <w:t xml:space="preserve"> </w:t>
      </w:r>
      <w:r w:rsidRPr="009A7904">
        <w:rPr>
          <w:rFonts w:cs="Times LatArm"/>
          <w:szCs w:val="22"/>
          <w:lang w:val="hy-AM"/>
        </w:rPr>
        <w:t>վարկային ծրագրերով նախատեսված ժամկետների պահպանմամբ</w:t>
      </w:r>
      <w:r w:rsidRPr="009A7904">
        <w:rPr>
          <w:rFonts w:cs="Tahoma"/>
          <w:noProof/>
          <w:szCs w:val="22"/>
          <w:lang w:val="hy-AM"/>
        </w:rPr>
        <w:t>:</w:t>
      </w:r>
    </w:p>
    <w:p w14:paraId="236165C7" w14:textId="77777777" w:rsidR="009D2825" w:rsidRPr="009A7904" w:rsidRDefault="009D2825" w:rsidP="009A7904">
      <w:pPr>
        <w:pStyle w:val="ListParagraph"/>
        <w:numPr>
          <w:ilvl w:val="0"/>
          <w:numId w:val="23"/>
        </w:numPr>
        <w:spacing w:before="0" w:after="0" w:line="276" w:lineRule="auto"/>
        <w:rPr>
          <w:b/>
          <w:lang w:val="hy-AM"/>
        </w:rPr>
      </w:pPr>
      <w:r w:rsidRPr="009A7904">
        <w:rPr>
          <w:rFonts w:cs="Sylfaen"/>
          <w:b/>
          <w:noProof/>
          <w:lang w:val="hy-AM"/>
        </w:rPr>
        <w:t>«</w:t>
      </w:r>
      <w:r w:rsidRPr="009A7904">
        <w:rPr>
          <w:rFonts w:cs="Times Armenian"/>
          <w:b/>
          <w:kern w:val="16"/>
          <w:lang w:val="hy-AM"/>
        </w:rPr>
        <w:t>Ընդերքի ուսումնասիրության, օգտագործման և պահպանման ծառայություններ</w:t>
      </w:r>
      <w:r w:rsidRPr="009A7904">
        <w:rPr>
          <w:rFonts w:cs="Arial"/>
          <w:b/>
          <w:noProof/>
          <w:lang w:val="hy-AM"/>
        </w:rPr>
        <w:t>» ծրագիր.</w:t>
      </w:r>
      <w:r w:rsidRPr="009A7904">
        <w:rPr>
          <w:b/>
          <w:lang w:val="hy-AM"/>
        </w:rPr>
        <w:t xml:space="preserve"> </w:t>
      </w:r>
    </w:p>
    <w:p w14:paraId="6A8A387D" w14:textId="77777777" w:rsidR="009D2825" w:rsidRPr="009A7904" w:rsidRDefault="009D2825" w:rsidP="009A7904">
      <w:pPr>
        <w:spacing w:after="0" w:line="276" w:lineRule="auto"/>
        <w:rPr>
          <w:b/>
          <w:lang w:val="hy-AM"/>
        </w:rPr>
      </w:pPr>
      <w:r w:rsidRPr="009A7904">
        <w:rPr>
          <w:rFonts w:cs="Tahoma"/>
          <w:noProof/>
          <w:lang w:val="hy-AM"/>
        </w:rPr>
        <w:t>Ծրագրի</w:t>
      </w:r>
      <w:r w:rsidRPr="009A7904">
        <w:rPr>
          <w:rFonts w:cs="Arial"/>
          <w:noProof/>
          <w:lang w:val="hy-AM"/>
        </w:rPr>
        <w:t xml:space="preserve"> </w:t>
      </w:r>
      <w:r w:rsidRPr="009A7904">
        <w:rPr>
          <w:rFonts w:cs="Tahoma"/>
          <w:noProof/>
          <w:lang w:val="hy-AM"/>
        </w:rPr>
        <w:t xml:space="preserve">նպատակն է  ընդերքի օգտագործման արդյունավետության բարձրացումը, որի համար </w:t>
      </w:r>
      <w:r w:rsidRPr="009A7904">
        <w:rPr>
          <w:rFonts w:cs="Arial"/>
          <w:noProof/>
          <w:lang w:val="hy-AM"/>
        </w:rPr>
        <w:t>2021-2023թթ նախատեսվում է յուրաքանչյուր տարի հատկացնել 16.9 մլն դրամ՝ ՀՀ 2020 թվականի պետական բյուջեի մակարդակին համապատասխան:</w:t>
      </w:r>
    </w:p>
    <w:p w14:paraId="53A61243" w14:textId="77777777" w:rsidR="009D2825" w:rsidRPr="009A7904" w:rsidRDefault="009D2825" w:rsidP="009A7904">
      <w:pPr>
        <w:pStyle w:val="ListParagraph"/>
        <w:numPr>
          <w:ilvl w:val="0"/>
          <w:numId w:val="23"/>
        </w:numPr>
        <w:spacing w:before="0" w:after="0" w:line="276" w:lineRule="auto"/>
        <w:rPr>
          <w:b/>
          <w:lang w:val="hy-AM"/>
        </w:rPr>
      </w:pPr>
      <w:r w:rsidRPr="009A7904">
        <w:rPr>
          <w:rFonts w:cs="Sylfaen"/>
          <w:b/>
          <w:noProof/>
          <w:lang w:val="hy-AM"/>
        </w:rPr>
        <w:t>«</w:t>
      </w:r>
      <w:r w:rsidRPr="009A7904">
        <w:rPr>
          <w:rFonts w:cs="Times Armenian"/>
          <w:b/>
          <w:kern w:val="16"/>
          <w:lang w:val="hy-AM"/>
        </w:rPr>
        <w:t>Երկաթուղային ցանցի զարգացում</w:t>
      </w:r>
      <w:r w:rsidRPr="009A7904">
        <w:rPr>
          <w:rFonts w:cs="Arial"/>
          <w:b/>
          <w:noProof/>
          <w:lang w:val="hy-AM"/>
        </w:rPr>
        <w:t>» ծրագիր.</w:t>
      </w:r>
      <w:r w:rsidRPr="009A7904">
        <w:rPr>
          <w:b/>
          <w:lang w:val="hy-AM"/>
        </w:rPr>
        <w:t xml:space="preserve"> </w:t>
      </w:r>
    </w:p>
    <w:p w14:paraId="25178209" w14:textId="77777777" w:rsidR="009D2825" w:rsidRPr="009A7904" w:rsidRDefault="009D2825" w:rsidP="009A7904">
      <w:pPr>
        <w:pStyle w:val="NormalWeb"/>
        <w:spacing w:before="0" w:after="0" w:line="276" w:lineRule="auto"/>
        <w:rPr>
          <w:rFonts w:cs="Tahoma"/>
          <w:noProof/>
          <w:szCs w:val="22"/>
          <w:lang w:val="hy-AM"/>
        </w:rPr>
      </w:pPr>
      <w:r w:rsidRPr="009A7904">
        <w:rPr>
          <w:rFonts w:cs="Tahoma"/>
          <w:noProof/>
          <w:szCs w:val="22"/>
          <w:lang w:val="hy-AM"/>
        </w:rPr>
        <w:t>Ծրագրի</w:t>
      </w:r>
      <w:r w:rsidRPr="009A7904">
        <w:rPr>
          <w:rFonts w:cs="Arial"/>
          <w:noProof/>
          <w:szCs w:val="22"/>
          <w:lang w:val="hy-AM"/>
        </w:rPr>
        <w:t xml:space="preserve"> շրջանակում ուղևորափոխադրումներից ստացված վնասի դիմաց «Հարավկովկասյան երկաթուղի» ՓԲԸ-ին սուբսիդիայի տրամադրման համար նախատեսվում է 2021-2023թթ հատկացնել 393.6 մլն դրամ, 406.2 մլն դրամ և 418.9 մլն դրամ՝ ՀՀ 2020 թվականի պետական բյուջեի ցուցանիշից համապատասխանաբար 12%, 15.6% և 19.2% ավել, ելնելով </w:t>
      </w:r>
      <w:r w:rsidRPr="009A7904">
        <w:rPr>
          <w:rFonts w:cs="Tahoma"/>
          <w:noProof/>
          <w:szCs w:val="22"/>
          <w:lang w:val="hy-AM"/>
        </w:rPr>
        <w:t xml:space="preserve">ՀՀ կառավարության 07.02.2008թ «Ռուսական երկաթուղիներ» բաց բաժնետիրական ընկերության կողմից ստեղծված «Հարավկովկասյան երկաթուղի» փակ բաժնետիրական ընկերությանը փոխանցելու մասին կոնցեսիոն պայմանագրի նախագծին հավանություն տալու և ՀՀ տրանսպորտի և կապի նախարարին լիազորություն վերապահելու մասին» N 83-Ա որոշումից (կոնցեսիոների կողմից կանխատեսվող կոնցեսիոն տարեկան վճարի չափով): </w:t>
      </w:r>
    </w:p>
    <w:p w14:paraId="11E46A1D" w14:textId="77777777" w:rsidR="009D2825" w:rsidRPr="009A7904" w:rsidRDefault="009D2825" w:rsidP="009A7904">
      <w:pPr>
        <w:pStyle w:val="NormalWeb"/>
        <w:spacing w:before="0" w:after="0" w:line="276" w:lineRule="auto"/>
        <w:rPr>
          <w:rFonts w:cs="Arial"/>
          <w:noProof/>
          <w:szCs w:val="22"/>
          <w:lang w:val="hy-AM"/>
        </w:rPr>
      </w:pPr>
      <w:r w:rsidRPr="009A7904">
        <w:rPr>
          <w:rFonts w:cs="Sylfaen"/>
          <w:b/>
          <w:noProof/>
          <w:szCs w:val="22"/>
          <w:lang w:val="hy-AM"/>
        </w:rPr>
        <w:t>13. «</w:t>
      </w:r>
      <w:r w:rsidRPr="009A7904">
        <w:rPr>
          <w:rFonts w:cs="Times Armenian"/>
          <w:b/>
          <w:kern w:val="16"/>
          <w:szCs w:val="22"/>
          <w:lang w:val="hy-AM"/>
        </w:rPr>
        <w:t>Պետական գույքի կառավարում</w:t>
      </w:r>
      <w:r w:rsidRPr="009A7904">
        <w:rPr>
          <w:rFonts w:cs="Arial"/>
          <w:b/>
          <w:noProof/>
          <w:szCs w:val="22"/>
          <w:lang w:val="hy-AM"/>
        </w:rPr>
        <w:t>» ծրագիր.</w:t>
      </w:r>
    </w:p>
    <w:p w14:paraId="02C7A205" w14:textId="77777777" w:rsidR="009D2825" w:rsidRPr="009A7904" w:rsidRDefault="009D2825" w:rsidP="009A7904">
      <w:pPr>
        <w:spacing w:after="0" w:line="276" w:lineRule="auto"/>
        <w:rPr>
          <w:rFonts w:cs="Tahoma"/>
          <w:noProof/>
          <w:lang w:val="hy-AM"/>
        </w:rPr>
      </w:pPr>
      <w:r w:rsidRPr="009A7904">
        <w:rPr>
          <w:rFonts w:cs="Arial"/>
          <w:noProof/>
          <w:lang w:val="hy-AM"/>
        </w:rPr>
        <w:lastRenderedPageBreak/>
        <w:t xml:space="preserve">Ծրագրի նպատակն է պետական գույքի համալիր և արդյունավետ կառավարման ապահովումը, որի համար նախատեսվում է 2021-2023թթ. հատկացնել 1,200.0 մլն դրամ, 1,205.5 մլն դրամ և 1,210.9 մլն դրամ՝ ՀՀ 2020 թվականի պետական բյուջեի ցուցանիշից համապատասխանաբար 7%, 7.5% և 8% ավել, որը պայմանավորված է </w:t>
      </w:r>
      <w:r w:rsidRPr="009A7904">
        <w:rPr>
          <w:rFonts w:cs="Sylfaen"/>
          <w:b/>
          <w:noProof/>
          <w:lang w:val="hy-AM"/>
        </w:rPr>
        <w:t>«</w:t>
      </w:r>
      <w:r w:rsidRPr="009A7904">
        <w:rPr>
          <w:rFonts w:cs="Arial"/>
          <w:noProof/>
          <w:lang w:val="hy-AM"/>
        </w:rPr>
        <w:t xml:space="preserve">Պետական գույքի կառավարման համակարգման, խորհրդատվության և մոնիտորինգի ծառայություններ» միջոցառման գումարների ավելացմամբ և </w:t>
      </w:r>
      <w:r w:rsidRPr="009A7904">
        <w:rPr>
          <w:rFonts w:cs="Tahoma"/>
          <w:noProof/>
          <w:lang w:val="hy-AM"/>
        </w:rPr>
        <w:t>գործող օրենսդրությամբ սահմանված կարգավորումներով:</w:t>
      </w:r>
    </w:p>
    <w:p w14:paraId="3F9F583B" w14:textId="77777777" w:rsidR="009D2825" w:rsidRPr="009A7904" w:rsidRDefault="009D2825" w:rsidP="009A7904">
      <w:pPr>
        <w:pStyle w:val="NormalWeb"/>
        <w:spacing w:before="0" w:after="0" w:line="276" w:lineRule="auto"/>
        <w:rPr>
          <w:rFonts w:cs="Arial"/>
          <w:b/>
          <w:noProof/>
          <w:szCs w:val="22"/>
          <w:lang w:val="hy-AM"/>
        </w:rPr>
      </w:pPr>
      <w:r w:rsidRPr="009A7904">
        <w:rPr>
          <w:rFonts w:cs="Sylfaen"/>
          <w:b/>
          <w:noProof/>
          <w:szCs w:val="22"/>
          <w:lang w:val="hy-AM"/>
        </w:rPr>
        <w:t>14. «Միգրացիոն բնագավառում պետական քաղաքականության մշակում և իրականացում</w:t>
      </w:r>
      <w:r w:rsidRPr="009A7904">
        <w:rPr>
          <w:rFonts w:cs="Arial"/>
          <w:b/>
          <w:noProof/>
          <w:szCs w:val="22"/>
          <w:lang w:val="hy-AM"/>
        </w:rPr>
        <w:t>» և «Ջրային տնտեսության ոլորտում ծրագրերի համակարգում և մոնիտորինգ» ծրագրեր.</w:t>
      </w:r>
    </w:p>
    <w:p w14:paraId="5F08B50A" w14:textId="77777777" w:rsidR="009D2825" w:rsidRPr="009A7904" w:rsidRDefault="009D2825" w:rsidP="009A7904">
      <w:pPr>
        <w:spacing w:after="0" w:line="276" w:lineRule="auto"/>
        <w:rPr>
          <w:rFonts w:cs="Tahoma"/>
          <w:noProof/>
          <w:lang w:val="hy-AM"/>
        </w:rPr>
      </w:pPr>
      <w:r w:rsidRPr="009A7904">
        <w:rPr>
          <w:rFonts w:cs="Arial"/>
          <w:noProof/>
          <w:lang w:val="hy-AM"/>
        </w:rPr>
        <w:t xml:space="preserve">Նշված ծրագրերի նպատակն է  միգրացիոն պետական քաղաքականության մշակումն ու  ջրային տնտեսության ոլորտում ծրագրերի համակարգում և մոնիտորինգը, որոնց համար նախատեսվում է 2021-2023թթ. հատկացնել համապատասխանաբար 179.8 մլն դրամ, 181.4 մլն դրամ, 183.2 մլն դրամ և 366.3 մլն դրամ, 370.0 մլն դրամ, 373.6 մլն դրամ: ՀՀ 2020 թվականի պետական բյուջեի մակարդակից 0.2%-1.7% չափով տարբերությունները </w:t>
      </w:r>
      <w:r w:rsidRPr="009A7904">
        <w:rPr>
          <w:rFonts w:cs="Arial"/>
          <w:noProof/>
          <w:color w:val="FF0000"/>
          <w:lang w:val="hy-AM"/>
        </w:rPr>
        <w:t xml:space="preserve"> </w:t>
      </w:r>
      <w:r w:rsidRPr="009A7904">
        <w:rPr>
          <w:rFonts w:cs="Arial"/>
          <w:noProof/>
          <w:lang w:val="hy-AM"/>
        </w:rPr>
        <w:t xml:space="preserve">պայմանավորված են </w:t>
      </w:r>
      <w:r w:rsidRPr="009A7904">
        <w:rPr>
          <w:rFonts w:cs="Tahoma"/>
          <w:noProof/>
          <w:lang w:val="hy-AM"/>
        </w:rPr>
        <w:t>գործող օրենսդրությամբ սահմանված կարգավորումներով:</w:t>
      </w:r>
    </w:p>
    <w:p w14:paraId="6C1616CC" w14:textId="77777777" w:rsidR="009D2825" w:rsidRPr="009A7904" w:rsidRDefault="009D2825" w:rsidP="009A7904">
      <w:pPr>
        <w:pStyle w:val="NormalWeb"/>
        <w:spacing w:before="0" w:after="0" w:line="276" w:lineRule="auto"/>
        <w:rPr>
          <w:rFonts w:cs="Sylfaen"/>
          <w:b/>
          <w:noProof/>
          <w:szCs w:val="22"/>
          <w:lang w:val="hy-AM"/>
        </w:rPr>
      </w:pPr>
      <w:r w:rsidRPr="009A7904">
        <w:rPr>
          <w:rFonts w:cs="Sylfaen"/>
          <w:b/>
          <w:noProof/>
          <w:szCs w:val="22"/>
          <w:lang w:val="hy-AM"/>
        </w:rPr>
        <w:t>15. «Այլընտրանքային աշխատանքային ծառայություն» ծրագիր.</w:t>
      </w:r>
    </w:p>
    <w:p w14:paraId="26758BF8" w14:textId="77777777" w:rsidR="009D2825" w:rsidRPr="009A7904" w:rsidRDefault="009D2825" w:rsidP="009A7904">
      <w:pPr>
        <w:overflowPunct w:val="0"/>
        <w:autoSpaceDE w:val="0"/>
        <w:autoSpaceDN w:val="0"/>
        <w:adjustRightInd w:val="0"/>
        <w:spacing w:after="0" w:line="276" w:lineRule="auto"/>
        <w:textAlignment w:val="baseline"/>
        <w:rPr>
          <w:rFonts w:cs="Times Armenian"/>
          <w:color w:val="FF0000"/>
          <w:kern w:val="16"/>
          <w:lang w:val="hy-AM"/>
        </w:rPr>
      </w:pPr>
      <w:r w:rsidRPr="009A7904">
        <w:rPr>
          <w:rFonts w:cs="Arial"/>
          <w:noProof/>
          <w:lang w:val="hy-AM"/>
        </w:rPr>
        <w:t xml:space="preserve">Ծրագրի նպատակն է </w:t>
      </w:r>
      <w:r w:rsidRPr="009A7904">
        <w:rPr>
          <w:rFonts w:cs="Times Armenian"/>
          <w:kern w:val="16"/>
          <w:lang w:val="hy-AM"/>
        </w:rPr>
        <w:t>քաղաքացիական պարտքի կատարման այլընտրանքային տարբերակների ապահովումը</w:t>
      </w:r>
      <w:r w:rsidRPr="009A7904">
        <w:rPr>
          <w:rFonts w:cs="Arial"/>
          <w:noProof/>
          <w:lang w:val="hy-AM"/>
        </w:rPr>
        <w:t xml:space="preserve">, որի շրջանակում այլընտրանքային աշխատանքային ծառայողներին դրամական բավարարման և դրամական փոխհատուցման տրամադրման համար նախատեսվում է 2021-2022թթ հատկացնել 24.6 մլն դրամ և 6.8 մլն դրամ՝ ՀՀ 2020 թվականի պետական բյուջեի ցուցանիշից համապատասխանաբար 42.4% և 84.0% պակաս, որը պայմանավորված է </w:t>
      </w:r>
      <w:r w:rsidRPr="009A7904">
        <w:rPr>
          <w:rFonts w:cs="Times LatArm"/>
          <w:lang w:val="hy-AM"/>
        </w:rPr>
        <w:t>կատարման ապահովման համար ներկա գնահատմամբ</w:t>
      </w:r>
      <w:r w:rsidRPr="009A7904">
        <w:rPr>
          <w:rFonts w:cs="Tahoma"/>
          <w:noProof/>
          <w:color w:val="FF0000"/>
          <w:lang w:val="hy-AM"/>
        </w:rPr>
        <w:t>:</w:t>
      </w:r>
      <w:r w:rsidRPr="009A7904">
        <w:rPr>
          <w:rFonts w:cs="Times Armenian"/>
          <w:color w:val="FF0000"/>
          <w:kern w:val="16"/>
          <w:lang w:val="hy-AM"/>
        </w:rPr>
        <w:t xml:space="preserve"> </w:t>
      </w:r>
    </w:p>
    <w:p w14:paraId="06876650" w14:textId="77777777" w:rsidR="009D2825" w:rsidRPr="009A7904" w:rsidRDefault="009D2825" w:rsidP="009A7904">
      <w:pPr>
        <w:pStyle w:val="NormalWeb"/>
        <w:spacing w:before="0" w:after="0" w:line="276" w:lineRule="auto"/>
        <w:rPr>
          <w:rFonts w:cs="Sylfaen"/>
          <w:b/>
          <w:noProof/>
          <w:szCs w:val="22"/>
          <w:lang w:val="hy-AM"/>
        </w:rPr>
      </w:pPr>
      <w:r w:rsidRPr="009A7904">
        <w:rPr>
          <w:rFonts w:cs="Sylfaen"/>
          <w:b/>
          <w:noProof/>
          <w:szCs w:val="22"/>
          <w:lang w:val="hy-AM"/>
        </w:rPr>
        <w:t>16. «Քաղաքային զարգացում» ծրագիր.</w:t>
      </w:r>
    </w:p>
    <w:p w14:paraId="136CCDE7" w14:textId="77777777" w:rsidR="009D2825" w:rsidRPr="009A7904" w:rsidRDefault="009D2825" w:rsidP="009A7904">
      <w:pPr>
        <w:pStyle w:val="NormalWeb"/>
        <w:spacing w:before="0" w:after="0" w:line="276" w:lineRule="auto"/>
        <w:rPr>
          <w:rFonts w:cs="Tahoma"/>
          <w:noProof/>
          <w:szCs w:val="22"/>
          <w:lang w:val="hy-AM"/>
        </w:rPr>
      </w:pPr>
      <w:r w:rsidRPr="009A7904">
        <w:rPr>
          <w:rFonts w:cs="Arial"/>
          <w:noProof/>
          <w:szCs w:val="22"/>
          <w:lang w:val="hy-AM"/>
        </w:rPr>
        <w:t xml:space="preserve">Ծրագրի նպատակն է քաղաքային ենթակառուցվածքների զարգացումը, որի համար նախատեսվում է 2021-2023թթ հատկացնել 29,784.8 մլն դրամ, 32,632.2 մլն դրամ և 15,764.3 մլն դրամ՝ ՀՀ 2020 թվականի պետական բյուջեի ցուցանիշից համապատասխանաբար 18.4%, 10.6% և 56.8% պակաս, որը պայմանավորված է </w:t>
      </w:r>
      <w:r w:rsidRPr="009A7904">
        <w:rPr>
          <w:rFonts w:cs="Times LatArm"/>
          <w:szCs w:val="22"/>
          <w:lang w:val="hy-AM"/>
        </w:rPr>
        <w:t>վարկային ծրագրերով նախատեսված ժամկետների պահպանմամբ</w:t>
      </w:r>
      <w:r w:rsidRPr="009A7904">
        <w:rPr>
          <w:rFonts w:cs="Tahoma"/>
          <w:noProof/>
          <w:szCs w:val="22"/>
          <w:lang w:val="hy-AM"/>
        </w:rPr>
        <w:t>:</w:t>
      </w:r>
    </w:p>
    <w:p w14:paraId="5023CB4B" w14:textId="77777777" w:rsidR="009D2825" w:rsidRPr="009A7904" w:rsidRDefault="009D2825" w:rsidP="009A7904">
      <w:pPr>
        <w:overflowPunct w:val="0"/>
        <w:autoSpaceDE w:val="0"/>
        <w:autoSpaceDN w:val="0"/>
        <w:adjustRightInd w:val="0"/>
        <w:spacing w:after="0" w:line="276" w:lineRule="auto"/>
        <w:textAlignment w:val="baseline"/>
        <w:rPr>
          <w:rFonts w:cs="Sylfaen"/>
          <w:b/>
          <w:noProof/>
          <w:lang w:val="hy-AM"/>
        </w:rPr>
      </w:pPr>
      <w:r w:rsidRPr="009A7904">
        <w:rPr>
          <w:rFonts w:cs="Sylfaen"/>
          <w:b/>
          <w:noProof/>
          <w:lang w:val="hy-AM"/>
        </w:rPr>
        <w:t>17. «Էլեկտրաէներգետիկ համակարգի զարգացման ծրագիր» ծրագիր.</w:t>
      </w:r>
    </w:p>
    <w:p w14:paraId="083AD4D1" w14:textId="77777777" w:rsidR="009D2825" w:rsidRPr="009A7904" w:rsidRDefault="009D2825" w:rsidP="009A7904">
      <w:pPr>
        <w:pStyle w:val="NormalWeb"/>
        <w:spacing w:before="0" w:after="0" w:line="276" w:lineRule="auto"/>
        <w:rPr>
          <w:rFonts w:cs="Tahoma"/>
          <w:noProof/>
          <w:szCs w:val="22"/>
          <w:lang w:val="hy-AM"/>
        </w:rPr>
      </w:pPr>
      <w:r w:rsidRPr="009A7904">
        <w:rPr>
          <w:rFonts w:cs="Arial"/>
          <w:noProof/>
          <w:szCs w:val="22"/>
          <w:lang w:val="hy-AM"/>
        </w:rPr>
        <w:t xml:space="preserve">Ծրագրի նպատակն է նպաստել էլեկտրաէներգետիկ համակարգի հուսալիության բարձրացմանը և էլեկտրաէներգիայի անխափան մատակարարման ապահովումը, որի համար նախատեսվում է 2021-2023թթ հատկացնել 1,503.7 մլն դրամ, 821.6 մլն դրամ և 696.3 մլն դրամ՝ ՀՀ 2020 թվականի պետական բյուջեի ցուցանիշից համապատասխանաբար 63.2%, 79.9% և 83.0% պակաս, որը պայմանավորված է </w:t>
      </w:r>
      <w:r w:rsidRPr="009A7904">
        <w:rPr>
          <w:rFonts w:cs="Times LatArm"/>
          <w:szCs w:val="22"/>
          <w:lang w:val="hy-AM"/>
        </w:rPr>
        <w:t>վարկային ծրագրերով նախատեսված ժամկետների պահպանմամբ</w:t>
      </w:r>
      <w:r w:rsidRPr="009A7904">
        <w:rPr>
          <w:rFonts w:cs="Tahoma"/>
          <w:noProof/>
          <w:szCs w:val="22"/>
          <w:lang w:val="hy-AM"/>
        </w:rPr>
        <w:t>:</w:t>
      </w:r>
    </w:p>
    <w:p w14:paraId="5402FDDD" w14:textId="77777777" w:rsidR="009D2825" w:rsidRPr="009A7904" w:rsidRDefault="009D2825" w:rsidP="009A7904">
      <w:pPr>
        <w:overflowPunct w:val="0"/>
        <w:autoSpaceDE w:val="0"/>
        <w:autoSpaceDN w:val="0"/>
        <w:adjustRightInd w:val="0"/>
        <w:spacing w:after="0" w:line="276" w:lineRule="auto"/>
        <w:textAlignment w:val="baseline"/>
        <w:rPr>
          <w:rFonts w:cs="Sylfaen"/>
          <w:b/>
          <w:noProof/>
          <w:lang w:val="hy-AM"/>
        </w:rPr>
      </w:pPr>
      <w:r w:rsidRPr="009A7904">
        <w:rPr>
          <w:rFonts w:cs="Sylfaen"/>
          <w:b/>
          <w:noProof/>
          <w:lang w:val="hy-AM"/>
        </w:rPr>
        <w:t>18. «Ռադիոակտիվ թափոնների կառավարում» ծրագիր.</w:t>
      </w:r>
    </w:p>
    <w:p w14:paraId="11D1DA02" w14:textId="77777777" w:rsidR="009D2825" w:rsidRPr="009A7904" w:rsidRDefault="009D2825" w:rsidP="009A7904">
      <w:pPr>
        <w:pStyle w:val="NormalWeb"/>
        <w:spacing w:before="0" w:after="0" w:line="276" w:lineRule="auto"/>
        <w:rPr>
          <w:rFonts w:cs="Arial"/>
          <w:noProof/>
          <w:szCs w:val="22"/>
          <w:lang w:val="hy-AM"/>
        </w:rPr>
      </w:pPr>
      <w:r w:rsidRPr="009A7904">
        <w:rPr>
          <w:rFonts w:cs="Arial"/>
          <w:noProof/>
          <w:szCs w:val="22"/>
          <w:lang w:val="hy-AM"/>
        </w:rPr>
        <w:t xml:space="preserve">Ծրագրի նպատակն է ռադիոակտիվ թափոնների վնասակար ազդեցությունից բնակչության և շրջակա միջավայրի պաշտպանությունը, որի համար նախատեսվում է 2021-2023թթ. յուրաքանչյուր </w:t>
      </w:r>
      <w:r w:rsidRPr="009A7904">
        <w:rPr>
          <w:rFonts w:cs="Arial"/>
          <w:noProof/>
          <w:szCs w:val="22"/>
          <w:lang w:val="hy-AM"/>
        </w:rPr>
        <w:lastRenderedPageBreak/>
        <w:t>տարի հատկացնել 37.0 մլն դրամ՝ ՀՀ 2020 թվականի պետական բյուջեի մակարդակին համապատասխան:</w:t>
      </w:r>
    </w:p>
    <w:p w14:paraId="3AA54695" w14:textId="77777777" w:rsidR="009D2825" w:rsidRPr="009A7904" w:rsidRDefault="009D2825" w:rsidP="009A7904">
      <w:pPr>
        <w:overflowPunct w:val="0"/>
        <w:autoSpaceDE w:val="0"/>
        <w:autoSpaceDN w:val="0"/>
        <w:adjustRightInd w:val="0"/>
        <w:spacing w:after="0" w:line="276" w:lineRule="auto"/>
        <w:textAlignment w:val="baseline"/>
        <w:rPr>
          <w:rFonts w:cs="Times Armenian"/>
          <w:b/>
          <w:kern w:val="16"/>
          <w:lang w:val="hy-AM"/>
        </w:rPr>
      </w:pPr>
      <w:r w:rsidRPr="009A7904">
        <w:rPr>
          <w:rFonts w:cs="Sylfaen"/>
          <w:b/>
          <w:noProof/>
          <w:lang w:val="hy-AM"/>
        </w:rPr>
        <w:t>19. «</w:t>
      </w:r>
      <w:r w:rsidRPr="009A7904">
        <w:rPr>
          <w:rFonts w:cs="Times Armenian"/>
          <w:b/>
          <w:kern w:val="16"/>
          <w:lang w:val="hy-AM"/>
        </w:rPr>
        <w:t>Ավիացիայի բնագավառում վերահսկողության և կանոնակարգման ապահովում</w:t>
      </w:r>
      <w:r w:rsidRPr="009A7904">
        <w:rPr>
          <w:rFonts w:cs="Sylfaen"/>
          <w:b/>
          <w:noProof/>
          <w:lang w:val="hy-AM"/>
        </w:rPr>
        <w:t>» ծրագիր.</w:t>
      </w:r>
    </w:p>
    <w:p w14:paraId="7191A362" w14:textId="77777777" w:rsidR="009D2825" w:rsidRPr="009A7904" w:rsidRDefault="009D2825" w:rsidP="009A7904">
      <w:pPr>
        <w:overflowPunct w:val="0"/>
        <w:autoSpaceDE w:val="0"/>
        <w:autoSpaceDN w:val="0"/>
        <w:adjustRightInd w:val="0"/>
        <w:spacing w:after="0" w:line="276" w:lineRule="auto"/>
        <w:textAlignment w:val="baseline"/>
        <w:rPr>
          <w:rFonts w:cs="Arial"/>
          <w:noProof/>
          <w:lang w:val="hy-AM"/>
        </w:rPr>
      </w:pPr>
      <w:r w:rsidRPr="009A7904">
        <w:rPr>
          <w:rFonts w:cs="Arial"/>
          <w:noProof/>
          <w:lang w:val="hy-AM"/>
        </w:rPr>
        <w:t xml:space="preserve">Ծրագրի նպատակն է ավիացիայի բնագավառում վերահսկողության և կանոնակարգման ապահովումն է, որի համար նախատեսվում է 2021-2023թթ. հատկացնել 1,168.6 մլն դրամ, 1,173.4 մլն դրամ և 1,176.4 մլն դրամ՝ ՀՀ 2020 թվականի պետական բյուջեի ցուցանիշից համապատասխանաբար 15.1%, 14.8% և 14.6% պակաս, որը պայմանավորված է գործող օրենսդրությամբ սահմանված կարգավորումներով: </w:t>
      </w:r>
    </w:p>
    <w:p w14:paraId="7B35DDF6" w14:textId="77777777" w:rsidR="009D2825" w:rsidRPr="009A7904" w:rsidRDefault="009D2825" w:rsidP="009A7904">
      <w:pPr>
        <w:overflowPunct w:val="0"/>
        <w:autoSpaceDE w:val="0"/>
        <w:autoSpaceDN w:val="0"/>
        <w:adjustRightInd w:val="0"/>
        <w:spacing w:after="0" w:line="276" w:lineRule="auto"/>
        <w:textAlignment w:val="baseline"/>
        <w:rPr>
          <w:rFonts w:cs="Arial"/>
          <w:b/>
          <w:noProof/>
          <w:lang w:val="hy-AM"/>
        </w:rPr>
      </w:pPr>
      <w:r w:rsidRPr="009A7904">
        <w:rPr>
          <w:rFonts w:cs="Sylfaen"/>
          <w:b/>
          <w:noProof/>
          <w:lang w:val="hy-AM"/>
        </w:rPr>
        <w:t>20. «</w:t>
      </w:r>
      <w:r w:rsidRPr="009A7904">
        <w:rPr>
          <w:rFonts w:cs="Arial"/>
          <w:b/>
          <w:noProof/>
          <w:lang w:val="hy-AM"/>
        </w:rPr>
        <w:t>Դպրոցների սեյսմիկ անվտանգության մակարդակի բարձրացման ծրագիր</w:t>
      </w:r>
      <w:r w:rsidRPr="009A7904">
        <w:rPr>
          <w:rFonts w:cs="Sylfaen"/>
          <w:b/>
          <w:noProof/>
          <w:lang w:val="hy-AM"/>
        </w:rPr>
        <w:t>» ծրագիր</w:t>
      </w:r>
    </w:p>
    <w:p w14:paraId="5C910DD7" w14:textId="77777777" w:rsidR="009D2825" w:rsidRPr="009A7904" w:rsidRDefault="009D2825" w:rsidP="009A7904">
      <w:pPr>
        <w:pStyle w:val="NormalWeb"/>
        <w:spacing w:before="0" w:after="0" w:line="276" w:lineRule="auto"/>
        <w:rPr>
          <w:rFonts w:cs="Tahoma"/>
          <w:noProof/>
          <w:szCs w:val="22"/>
          <w:lang w:val="hy-AM"/>
        </w:rPr>
      </w:pPr>
      <w:r w:rsidRPr="009A7904">
        <w:rPr>
          <w:rFonts w:cs="Arial"/>
          <w:noProof/>
          <w:szCs w:val="22"/>
          <w:lang w:val="hy-AM"/>
        </w:rPr>
        <w:t xml:space="preserve">Ծրագրի  նպատակն է նպաստել երկրի սեյսմակայունության ապահովմանը, անհատական և հասարակական անվտանգության մակարդակի բարձրացմանը, որի համար նախատեսվում է 2021-2023թթ. հատկացնել 9,741.5 մլն դրամ, 12,284.9 մլն դրամ և </w:t>
      </w:r>
      <w:r w:rsidR="00595A2D" w:rsidRPr="009A7904">
        <w:rPr>
          <w:rFonts w:cs="Arial"/>
          <w:noProof/>
          <w:szCs w:val="22"/>
          <w:lang w:val="hy-AM"/>
        </w:rPr>
        <w:t>14,938.7</w:t>
      </w:r>
      <w:r w:rsidRPr="009A7904">
        <w:rPr>
          <w:rFonts w:cs="Arial"/>
          <w:noProof/>
          <w:szCs w:val="22"/>
          <w:lang w:val="hy-AM"/>
        </w:rPr>
        <w:t xml:space="preserve"> մլն դրամ՝ ՀՀ 2020 թվականի պետական բյուջեի ցուցանիշից համապատասխանաբար 12.2% պակաս, 13.9% ավել և </w:t>
      </w:r>
      <w:r w:rsidR="00595A2D" w:rsidRPr="009A7904">
        <w:rPr>
          <w:rFonts w:cs="Arial"/>
          <w:noProof/>
          <w:szCs w:val="22"/>
          <w:lang w:val="hy-AM"/>
        </w:rPr>
        <w:t>38.6</w:t>
      </w:r>
      <w:r w:rsidRPr="009A7904">
        <w:rPr>
          <w:rFonts w:cs="Arial"/>
          <w:noProof/>
          <w:szCs w:val="22"/>
          <w:lang w:val="hy-AM"/>
        </w:rPr>
        <w:t xml:space="preserve">% </w:t>
      </w:r>
      <w:r w:rsidR="007B4703" w:rsidRPr="009A7904">
        <w:rPr>
          <w:rFonts w:cs="Arial"/>
          <w:noProof/>
          <w:szCs w:val="22"/>
          <w:lang w:val="hy-AM"/>
        </w:rPr>
        <w:t xml:space="preserve">ավել </w:t>
      </w:r>
      <w:r w:rsidRPr="009A7904">
        <w:rPr>
          <w:rFonts w:cs="Arial"/>
          <w:noProof/>
          <w:szCs w:val="22"/>
          <w:lang w:val="hy-AM"/>
        </w:rPr>
        <w:t xml:space="preserve">, որը պայմանավորված է </w:t>
      </w:r>
      <w:r w:rsidRPr="009A7904">
        <w:rPr>
          <w:rFonts w:cs="Times LatArm"/>
          <w:szCs w:val="22"/>
          <w:lang w:val="hy-AM"/>
        </w:rPr>
        <w:t>վարկային ծրագրերով նախատեսված ժամկետների պահպանմամբ</w:t>
      </w:r>
      <w:r w:rsidRPr="009A7904">
        <w:rPr>
          <w:rFonts w:cs="Tahoma"/>
          <w:noProof/>
          <w:szCs w:val="22"/>
          <w:lang w:val="hy-AM"/>
        </w:rPr>
        <w:t>:</w:t>
      </w:r>
    </w:p>
    <w:p w14:paraId="43CCEB77" w14:textId="77777777" w:rsidR="009D2825" w:rsidRPr="009A7904" w:rsidRDefault="009D2825" w:rsidP="009A7904">
      <w:pPr>
        <w:overflowPunct w:val="0"/>
        <w:autoSpaceDE w:val="0"/>
        <w:autoSpaceDN w:val="0"/>
        <w:adjustRightInd w:val="0"/>
        <w:spacing w:after="0" w:line="276" w:lineRule="auto"/>
        <w:textAlignment w:val="baseline"/>
        <w:rPr>
          <w:rFonts w:cs="Arial"/>
          <w:b/>
          <w:noProof/>
          <w:lang w:val="hy-AM"/>
        </w:rPr>
      </w:pPr>
      <w:r w:rsidRPr="009A7904">
        <w:rPr>
          <w:rFonts w:cs="Sylfaen"/>
          <w:b/>
          <w:noProof/>
          <w:lang w:val="hy-AM"/>
        </w:rPr>
        <w:t>21. «</w:t>
      </w:r>
      <w:r w:rsidRPr="009A7904">
        <w:rPr>
          <w:rFonts w:cs="Arial"/>
          <w:b/>
          <w:noProof/>
          <w:lang w:val="hy-AM"/>
        </w:rPr>
        <w:t>Տարածքային զարգացում</w:t>
      </w:r>
      <w:r w:rsidRPr="009A7904">
        <w:rPr>
          <w:rFonts w:cs="Sylfaen"/>
          <w:b/>
          <w:noProof/>
          <w:lang w:val="hy-AM"/>
        </w:rPr>
        <w:t>» ծրագիր.</w:t>
      </w:r>
    </w:p>
    <w:p w14:paraId="2771FF76" w14:textId="77777777" w:rsidR="009D2825" w:rsidRPr="009A7904" w:rsidRDefault="009D2825" w:rsidP="009A7904">
      <w:pPr>
        <w:pStyle w:val="NormalWeb"/>
        <w:spacing w:before="0" w:after="0" w:line="276" w:lineRule="auto"/>
        <w:rPr>
          <w:rFonts w:cs="Arial"/>
          <w:noProof/>
          <w:szCs w:val="22"/>
          <w:lang w:val="hy-AM"/>
        </w:rPr>
      </w:pPr>
      <w:r w:rsidRPr="009A7904">
        <w:rPr>
          <w:rFonts w:cs="Arial"/>
          <w:noProof/>
          <w:szCs w:val="22"/>
          <w:lang w:val="hy-AM"/>
        </w:rPr>
        <w:t>Ծրագրի  նպատակն է ՀՀ համայնքների կառավարման արդյունավետության բարձրացումն ու տնտեսական գործունեության խթանումը, որի համար նախատեսվում է 2021-2023թթ. հատկացնել 72,435.9 մլն դրամ, 69,525.7 մլն դրամ և 76,864.6 մլն դրամ՝ ՀՀ 2020 թվականի պետական բյուջեի ցուցանիշից համապատասխանաբար 3.4% ավել, 0.7% պակաս և 9.7% ավել, որը պայմանավորված է  «Ֆինանսական աջակցություն տեղական ինքնակառավարման մարմիններին» միջոցառման չափաքանակի ավելացմամբ և «ՀՀ մարզերին սուբվենցիաների տրամադրում՛ ենթակառուցվածքների զարգացման նպատակով» միջոցառման չափաքանակի նվազեցմամբ՝ կատարման ապահովման համար ներկա գնահատումներով:</w:t>
      </w:r>
      <w:r w:rsidRPr="009A7904">
        <w:rPr>
          <w:rFonts w:cs="Arial"/>
          <w:noProof/>
          <w:szCs w:val="22"/>
          <w:lang w:val="hy-AM"/>
        </w:rPr>
        <w:cr/>
        <w:t xml:space="preserve"> </w:t>
      </w:r>
      <w:r w:rsidRPr="009A7904">
        <w:rPr>
          <w:rFonts w:cs="Arial"/>
          <w:noProof/>
          <w:szCs w:val="22"/>
          <w:lang w:val="hy-AM"/>
        </w:rPr>
        <w:tab/>
        <w:t>Ստորև ներկայացված են Տարածքային կառավարման և ենթակառուցվածքների բնագավառի 2021-2023թթ</w:t>
      </w:r>
      <w:r w:rsidRPr="009A7904">
        <w:rPr>
          <w:rFonts w:ascii="MS Mincho" w:eastAsia="MS Mincho" w:hAnsi="MS Mincho" w:cs="MS Mincho" w:hint="eastAsia"/>
          <w:noProof/>
          <w:szCs w:val="22"/>
          <w:lang w:val="hy-AM"/>
        </w:rPr>
        <w:t>․</w:t>
      </w:r>
      <w:r w:rsidRPr="009A7904">
        <w:rPr>
          <w:rFonts w:cs="Arial"/>
          <w:noProof/>
          <w:szCs w:val="22"/>
          <w:lang w:val="hy-AM"/>
        </w:rPr>
        <w:t xml:space="preserve"> յուրաքանչյուր տարվա համար նախատեսված չափաքանակները.</w:t>
      </w:r>
    </w:p>
    <w:p w14:paraId="5B62136E" w14:textId="77777777" w:rsidR="009D2825" w:rsidRPr="009A7904" w:rsidRDefault="009D2825" w:rsidP="009A7904">
      <w:pPr>
        <w:spacing w:after="0" w:line="276" w:lineRule="auto"/>
        <w:rPr>
          <w:lang w:val="hy-AM"/>
        </w:rPr>
      </w:pPr>
      <w:r w:rsidRPr="009A7904">
        <w:rPr>
          <w:lang w:val="hy-AM"/>
        </w:rPr>
        <w:t xml:space="preserve">2021 թվականի համար՝ </w:t>
      </w:r>
      <w:r w:rsidRPr="009A7904">
        <w:rPr>
          <w:bCs/>
          <w:lang w:val="hy-AM"/>
        </w:rPr>
        <w:t xml:space="preserve">254,147.2 </w:t>
      </w:r>
      <w:r w:rsidRPr="009A7904">
        <w:rPr>
          <w:lang w:val="hy-AM"/>
        </w:rPr>
        <w:t xml:space="preserve"> մլն դրամ,</w:t>
      </w:r>
    </w:p>
    <w:p w14:paraId="5C903A53" w14:textId="77777777" w:rsidR="009D2825" w:rsidRPr="009A7904" w:rsidRDefault="009D2825" w:rsidP="009A7904">
      <w:pPr>
        <w:spacing w:after="0" w:line="276" w:lineRule="auto"/>
        <w:rPr>
          <w:lang w:val="hy-AM"/>
        </w:rPr>
      </w:pPr>
      <w:r w:rsidRPr="009A7904">
        <w:rPr>
          <w:lang w:val="hy-AM"/>
        </w:rPr>
        <w:t xml:space="preserve">2022 թվականի համար՝ </w:t>
      </w:r>
      <w:r w:rsidRPr="009A7904">
        <w:rPr>
          <w:bCs/>
          <w:lang w:val="hy-AM"/>
        </w:rPr>
        <w:t>284,670.7</w:t>
      </w:r>
      <w:r w:rsidRPr="009A7904">
        <w:rPr>
          <w:lang w:val="hy-AM"/>
        </w:rPr>
        <w:t xml:space="preserve"> մլն դրամ,</w:t>
      </w:r>
    </w:p>
    <w:p w14:paraId="241A7A6A" w14:textId="77777777" w:rsidR="009D2825" w:rsidRPr="009A7904" w:rsidRDefault="009D2825" w:rsidP="009A7904">
      <w:pPr>
        <w:spacing w:after="0" w:line="276" w:lineRule="auto"/>
        <w:rPr>
          <w:lang w:val="hy-AM"/>
        </w:rPr>
      </w:pPr>
      <w:r w:rsidRPr="009A7904">
        <w:rPr>
          <w:lang w:val="hy-AM"/>
        </w:rPr>
        <w:t xml:space="preserve">2023 թվականի համար՝ </w:t>
      </w:r>
      <w:r w:rsidRPr="009A7904">
        <w:rPr>
          <w:bCs/>
          <w:lang w:val="hy-AM"/>
        </w:rPr>
        <w:t>184,547.9</w:t>
      </w:r>
      <w:r w:rsidRPr="009A7904">
        <w:rPr>
          <w:lang w:val="hy-AM"/>
        </w:rPr>
        <w:t xml:space="preserve"> մլն դրամ:</w:t>
      </w:r>
    </w:p>
    <w:p w14:paraId="26D6FC71" w14:textId="77777777" w:rsidR="009D2825" w:rsidRPr="009A7904" w:rsidRDefault="009D2825" w:rsidP="009A7904">
      <w:pPr>
        <w:spacing w:after="0" w:line="276" w:lineRule="auto"/>
        <w:rPr>
          <w:rFonts w:cs="Times LatArm"/>
          <w:lang w:val="hy-AM"/>
        </w:rPr>
      </w:pPr>
      <w:r w:rsidRPr="009A7904">
        <w:rPr>
          <w:rFonts w:cs="Times LatArm"/>
          <w:lang w:val="hy-AM"/>
        </w:rPr>
        <w:cr/>
      </w:r>
    </w:p>
    <w:p w14:paraId="209F3CEA" w14:textId="77777777" w:rsidR="009D2825" w:rsidRPr="009A7904" w:rsidRDefault="009D2825" w:rsidP="009A7904">
      <w:pPr>
        <w:spacing w:after="0" w:line="276" w:lineRule="auto"/>
        <w:rPr>
          <w:lang w:val="af-ZA"/>
        </w:rPr>
      </w:pPr>
    </w:p>
    <w:p w14:paraId="17F0A9E3" w14:textId="77777777" w:rsidR="009D2825" w:rsidRPr="009A7904" w:rsidRDefault="009D2825"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338" w:name="_Toc45637523"/>
      <w:bookmarkStart w:id="339" w:name="_Toc45838547"/>
      <w:bookmarkStart w:id="340" w:name="_Toc46154375"/>
      <w:bookmarkEnd w:id="311"/>
      <w:bookmarkEnd w:id="312"/>
      <w:bookmarkEnd w:id="313"/>
      <w:bookmarkEnd w:id="314"/>
      <w:bookmarkEnd w:id="315"/>
      <w:bookmarkEnd w:id="316"/>
      <w:bookmarkEnd w:id="317"/>
      <w:bookmarkEnd w:id="318"/>
      <w:bookmarkEnd w:id="319"/>
      <w:bookmarkEnd w:id="320"/>
      <w:bookmarkEnd w:id="329"/>
      <w:bookmarkEnd w:id="330"/>
      <w:r w:rsidRPr="009A7904">
        <w:rPr>
          <w:rFonts w:eastAsia="Times New Roman" w:cs="Times New Roman"/>
          <w:caps w:val="0"/>
          <w:color w:val="1F497D" w:themeColor="text2"/>
          <w:sz w:val="28"/>
          <w:szCs w:val="28"/>
        </w:rPr>
        <w:t>8</w:t>
      </w:r>
      <w:r w:rsidR="009858E4" w:rsidRPr="009A7904">
        <w:rPr>
          <w:rFonts w:eastAsia="Times New Roman" w:cs="Times New Roman"/>
          <w:caps w:val="0"/>
          <w:color w:val="1F497D" w:themeColor="text2"/>
          <w:sz w:val="28"/>
          <w:szCs w:val="28"/>
        </w:rPr>
        <w:t>.</w:t>
      </w:r>
      <w:r w:rsidRPr="009A7904">
        <w:rPr>
          <w:rFonts w:eastAsia="Times New Roman" w:cs="Times New Roman"/>
          <w:caps w:val="0"/>
          <w:color w:val="1F497D" w:themeColor="text2"/>
          <w:sz w:val="28"/>
          <w:szCs w:val="28"/>
        </w:rPr>
        <w:t xml:space="preserve"> ԷԿՈՆՈՄԻԿԱ</w:t>
      </w:r>
      <w:bookmarkEnd w:id="338"/>
      <w:bookmarkEnd w:id="339"/>
      <w:bookmarkEnd w:id="340"/>
    </w:p>
    <w:p w14:paraId="06B22AE2" w14:textId="77777777" w:rsidR="009D2825" w:rsidRPr="009A7904" w:rsidRDefault="009D2825" w:rsidP="009A7904">
      <w:pPr>
        <w:pStyle w:val="NormalWeb"/>
        <w:spacing w:before="0" w:after="0" w:line="276" w:lineRule="auto"/>
        <w:ind w:firstLine="708"/>
        <w:rPr>
          <w:rFonts w:cs="Sylfaen"/>
          <w:szCs w:val="22"/>
          <w:lang w:val="hy-AM"/>
        </w:rPr>
      </w:pPr>
    </w:p>
    <w:p w14:paraId="7C23C32A" w14:textId="77777777" w:rsidR="009D2825" w:rsidRPr="009A7904" w:rsidRDefault="009D2825" w:rsidP="009A7904">
      <w:pPr>
        <w:pStyle w:val="NormalWeb"/>
        <w:spacing w:before="0" w:after="0" w:line="276" w:lineRule="auto"/>
        <w:ind w:firstLine="708"/>
        <w:rPr>
          <w:rFonts w:cs="Sylfaen"/>
          <w:szCs w:val="22"/>
          <w:lang w:val="hy-AM"/>
        </w:rPr>
      </w:pPr>
      <w:r w:rsidRPr="009A7904">
        <w:rPr>
          <w:rFonts w:cs="Sylfaen"/>
          <w:szCs w:val="22"/>
          <w:lang w:val="hy-AM"/>
        </w:rPr>
        <w:lastRenderedPageBreak/>
        <w:t>Առաջիկա տարիներին տնտեսական քաղաքականության հիմնական նպատակը լինելու է Հայաստանի քաղաքացիների բարեկեցության բարձրացումը՝ տնտեսական կյանքում նրանց մասնակցային հնարավորությունների ավելացման միջոցով, ինչը դրսևորվելու է մրցունակ մասնավոր հատվածում աշխատատեղերի և յուրաքանչյուր մարդու աշխատանքային եկամուտների զգալի ավելացման ձևով։ Նպատակի իրականացմանն ուղղված քաղաքականությունների շրջանակն ամփոփվում է մրցունակության բարձրացման գաղափարի ներքո, որի հիմքում ընկած է արտադրողականության աճը: Ցածր արտադրողականությունը հայաստանյան տնտեսության հիմնական ռիսկն է։ Երկարաժամկետ կտրվածքով բնակչության բարեկեցությունը բարելավելու կարողությունը գրեթե լիովին կախված է լինելու մեկ աշխատողի հաշվով թողարկման մակարդակը բարձրացնելու մեր ունակությունից:</w:t>
      </w:r>
      <w:r w:rsidRPr="009A7904">
        <w:rPr>
          <w:rFonts w:cs="Sylfaen"/>
          <w:szCs w:val="22"/>
          <w:lang w:val="hy-AM"/>
        </w:rPr>
        <w:tab/>
      </w:r>
    </w:p>
    <w:p w14:paraId="030322C4" w14:textId="77777777" w:rsidR="009D2825" w:rsidRPr="009A7904" w:rsidRDefault="009D2825" w:rsidP="009A7904">
      <w:pPr>
        <w:pStyle w:val="NormalWeb"/>
        <w:spacing w:before="0" w:after="0" w:line="276" w:lineRule="auto"/>
        <w:ind w:firstLine="708"/>
        <w:rPr>
          <w:rFonts w:cs="Times LatArm"/>
          <w:szCs w:val="22"/>
          <w:lang w:val="hy-AM"/>
        </w:rPr>
      </w:pPr>
      <w:r w:rsidRPr="009A7904">
        <w:rPr>
          <w:rFonts w:cs="Sylfaen"/>
          <w:szCs w:val="22"/>
          <w:lang w:val="hy-AM"/>
        </w:rPr>
        <w:t>Հայաստանի Հանրապետության ագրարային հատվածում կառավարության կողմից իրականացվող քաղաքականությունը առաջիկա տարիներին կնպատակաուղղվի գյուղա</w:t>
      </w:r>
      <w:r w:rsidRPr="009A7904">
        <w:rPr>
          <w:rFonts w:cs="Sylfaen"/>
          <w:szCs w:val="22"/>
          <w:lang w:val="hy-AM"/>
        </w:rPr>
        <w:softHyphen/>
        <w:t>տնտեսության</w:t>
      </w:r>
      <w:r w:rsidRPr="009A7904">
        <w:rPr>
          <w:rFonts w:cs="Times LatArm"/>
          <w:szCs w:val="22"/>
          <w:lang w:val="hy-AM"/>
        </w:rPr>
        <w:t xml:space="preserve"> արդյունավետության բարձրացմանը, արդիական տեխնոլոգիաների ներդրմանը, գյուղատնտեսական ամբողջ արժեշղթայում ընդգրկված սուբյեկտների՝ գյուղացիական տնտեսությունների, կոոպերատիվների, գյուղատնտեսական մթերքներ վերամշակողների, սպասարկող ենթակառուցվածքների եկամուտների ավելացմանը և երկրի պարենային անվտանգության մակարդակի բարձրացմանը։ </w:t>
      </w:r>
    </w:p>
    <w:p w14:paraId="2A595A19" w14:textId="77777777" w:rsidR="009D2825" w:rsidRPr="009A7904" w:rsidRDefault="009D2825" w:rsidP="009A7904">
      <w:pPr>
        <w:shd w:val="clear" w:color="auto" w:fill="FFFFFF"/>
        <w:spacing w:after="0" w:line="276" w:lineRule="auto"/>
        <w:ind w:firstLine="547"/>
        <w:rPr>
          <w:lang w:val="hy-AM"/>
        </w:rPr>
      </w:pPr>
      <w:r w:rsidRPr="009A7904">
        <w:rPr>
          <w:lang w:val="hy-AM"/>
        </w:rPr>
        <w:t xml:space="preserve">Տնտեսական քաղաքականության տեսլականը կառուցվում է գլոբալացման, ադյունավետ առևտրատնտեսական հարաբերությունների ու տեխնոլոգիական սրընթաց զարգացումների համատեքստում ազատ մրցակցությամբ ու օրինակելի գործարար միջավայրով երկրի կայացման առանցքի շուրջ: </w:t>
      </w:r>
    </w:p>
    <w:p w14:paraId="40E240F5" w14:textId="77777777" w:rsidR="009D2825" w:rsidRPr="009A7904" w:rsidRDefault="009D2825" w:rsidP="009A7904">
      <w:pPr>
        <w:shd w:val="clear" w:color="auto" w:fill="FFFFFF"/>
        <w:spacing w:line="276" w:lineRule="auto"/>
        <w:ind w:firstLine="540"/>
        <w:rPr>
          <w:lang w:val="hy-AM"/>
        </w:rPr>
      </w:pPr>
      <w:r w:rsidRPr="009A7904">
        <w:rPr>
          <w:lang w:val="hy-AM"/>
        </w:rPr>
        <w:t>Կանխատեսելի և վստահելի գործարար միջավայրը լինելու է ներդրումների ներգրավման հիմնական գրավականը և ապահովելու է ինչպես ներքին գործարար ներուժի իրացման արդյունավետ կենսամիջավայր, այնպես էլ օտարերկրյա ներդրումների կայուն ներհոսք: Մեծ են հավակնությունները օտարերկրյա ուղղակի ներդրումների ներգրավման ասպարեզում, որոնք ամրապնդվելու են ոչ միայն երկրի ու Կառավարության հանդեպ ձևավորված վստահության աննախադեպ պաշարով, այլև` ինստիտուցիոնալ ու օրենսդրական դաշտում նոր նախաձեռնություններ մեկնարկելու և մեկնարկած մի շարք բարեփոխումների գծով արդյունավետ ու արագ ընթացք ապահովելու պատրաստակամությամբ:</w:t>
      </w:r>
    </w:p>
    <w:p w14:paraId="42E2D99C" w14:textId="77777777" w:rsidR="009D2825" w:rsidRPr="009A7904" w:rsidRDefault="009D2825" w:rsidP="009A7904">
      <w:pPr>
        <w:shd w:val="clear" w:color="auto" w:fill="FFFFFF"/>
        <w:spacing w:after="0" w:line="276" w:lineRule="auto"/>
        <w:ind w:firstLine="547"/>
        <w:rPr>
          <w:lang w:val="hy-AM"/>
        </w:rPr>
      </w:pPr>
      <w:r w:rsidRPr="009A7904">
        <w:rPr>
          <w:lang w:val="hy-AM"/>
        </w:rPr>
        <w:t xml:space="preserve">Տնտեսական զարգացման շարժիչը լինելու են նորարարությունը և ստեղծագործելու ձիրքը, գործարար նախաձեռնողականությունը, արդյունավետություն փնտրող ներդրումները և տեխնոլոգիական տարածումը` այդպիսով ընդլայնելով հնարավորի սահմանները: Հիմնական նպատակը ներքին և արտաքին հնարավորությունները զարգացման իրական ներուժի վերածելու առումով տնտեսության արդյունավետության և ունակության բարձրացումն է: </w:t>
      </w:r>
    </w:p>
    <w:p w14:paraId="13C31103" w14:textId="77777777" w:rsidR="009D2825" w:rsidRPr="009A7904" w:rsidRDefault="009D2825" w:rsidP="009A7904">
      <w:pPr>
        <w:overflowPunct w:val="0"/>
        <w:autoSpaceDE w:val="0"/>
        <w:autoSpaceDN w:val="0"/>
        <w:adjustRightInd w:val="0"/>
        <w:spacing w:after="0" w:line="276" w:lineRule="auto"/>
        <w:ind w:firstLine="547"/>
        <w:textAlignment w:val="baseline"/>
        <w:rPr>
          <w:rFonts w:eastAsia="Calibri" w:cs="Tahoma"/>
          <w:lang w:val="hy-AM"/>
        </w:rPr>
      </w:pPr>
      <w:r w:rsidRPr="009A7904">
        <w:rPr>
          <w:rFonts w:eastAsia="Calibri"/>
          <w:lang w:val="hy-AM"/>
        </w:rPr>
        <w:t xml:space="preserve">Տնտեսական զարգացման քաղաքականությունը խարսխվելու է երեք հենասյուների վրա, որոնք ըստ էության նաև լավագույնս արտացոլում են այն լրջագույն մարտահրավերները, որոնց անտեսումը նշանակալի սպառնալիք կդառնա երկրի երկարաժամկետ կայուն զարգացում և տնտեսական </w:t>
      </w:r>
      <w:r w:rsidRPr="009A7904">
        <w:rPr>
          <w:rFonts w:eastAsia="Calibri"/>
          <w:lang w:val="hy-AM"/>
        </w:rPr>
        <w:lastRenderedPageBreak/>
        <w:t>անվտանգության ապահովելու տեսակետից: Այսպես, առաջին հենասյուն ա</w:t>
      </w:r>
      <w:r w:rsidRPr="009A7904">
        <w:rPr>
          <w:rFonts w:eastAsia="Calibri" w:cs="Tahoma"/>
          <w:lang w:val="hy-AM"/>
        </w:rPr>
        <w:t>րտադրողականությունն ու</w:t>
      </w:r>
      <w:r w:rsidRPr="009A7904">
        <w:rPr>
          <w:rFonts w:eastAsia="Calibri"/>
          <w:lang w:val="hy-AM"/>
        </w:rPr>
        <w:t xml:space="preserve"> </w:t>
      </w:r>
      <w:r w:rsidRPr="009A7904">
        <w:rPr>
          <w:rFonts w:eastAsia="Calibri" w:cs="Tahoma"/>
          <w:lang w:val="hy-AM"/>
        </w:rPr>
        <w:t>մրցունակությունն է՝ որպես առանցք ունենալով ինովացիոն զարգացման իրական հիմքերի ձևավորումը և ընդլայնելով տնտեսության առանձին ոլորտների՝ տեխնոլոգիական առաջընթացի ձեռքբերումները կլանելու ունակությունը: Հաջորդը ներառականությունն է՝ որպես տնտեսական զարգացման շարժիչ ուժ դիտարկելով ձեռներեցությունը, ինքնազբաղվածությունը, փոքր և միջին ձեռնարկատիրությունը, երկրի ողջ տարածքի ներուժն ու տնտեսական, սոցիալական, աշխարհագրական, բնակլիմայական, պատմամշակութային բազմազանությունը: Մյուս հենասյունը արտահանման ուղղվածությունն է՝ ակտիվացնելով նպատակային ջանքերը, որպեսզի էապես ընդլայնվի տնտեսության ունակությունը՝ օգտագործելու միջազգային առևտրատնտեսական հարաբերությունների հնարավոր օգուտները:</w:t>
      </w:r>
    </w:p>
    <w:p w14:paraId="3D7063AD" w14:textId="77777777" w:rsidR="009D2825" w:rsidRPr="009A7904" w:rsidRDefault="009D2825" w:rsidP="009A7904">
      <w:pPr>
        <w:shd w:val="clear" w:color="auto" w:fill="FFFFFF"/>
        <w:spacing w:after="0" w:line="276" w:lineRule="auto"/>
        <w:ind w:firstLine="547"/>
        <w:rPr>
          <w:rFonts w:eastAsia="Calibri" w:cs="Sylfaen"/>
          <w:lang w:val="hy-AM"/>
        </w:rPr>
      </w:pPr>
      <w:r w:rsidRPr="009A7904">
        <w:rPr>
          <w:rFonts w:eastAsia="Calibri" w:cs="Sylfaen"/>
          <w:lang w:val="hy-AM"/>
        </w:rPr>
        <w:t xml:space="preserve">ՓՄՁ սուբյեկտները, հատկապես սկսնակ գործարարները, ձեռնարկատիրական անհրաժեշտ կրթության և կարողությունների զարգացման կարիք ունեն նոր տեխնոլոգիաների, շուկայավարման, բիզնես պլանավորման, հաշվապահական հաշվառման, մարդկային ռեսուրսների և ֆինանսական կառավարման և այլ հարցերում: </w:t>
      </w:r>
    </w:p>
    <w:p w14:paraId="1BACB78C" w14:textId="77777777" w:rsidR="009D2825" w:rsidRPr="009A7904" w:rsidRDefault="009D2825" w:rsidP="009A7904">
      <w:pPr>
        <w:spacing w:after="0" w:line="276" w:lineRule="auto"/>
        <w:ind w:firstLine="547"/>
        <w:rPr>
          <w:rFonts w:cs="Sylfaen"/>
          <w:lang w:val="hy-AM"/>
        </w:rPr>
      </w:pPr>
      <w:r w:rsidRPr="009A7904">
        <w:rPr>
          <w:rFonts w:cs="Sylfaen"/>
          <w:lang w:val="hy-AM"/>
        </w:rPr>
        <w:t>Արդյունաբերական արտադրության ներկայիս կառուցվածքը պայմանավորվել է հիմնականում ներքին պահանջարկի բնույթով և արտաքին շուկաներում կոնկրետ ապրանքների մրցունակությամբ, ինչպես նաև՝ արտադրական կարողությունների զարգացման մակարդակով: Տեղական արտադրանքի նկատմամբ արտաքին պահանջարկը հիմնականում պայմանավորվել է մրցունակ արտադրանքի թողարկման առկա հնարավորություններով: Այնինչ, պակաս կարևոր չէ միջազգային շուկաներում հայրենական ապրանքների պատշաճ ներկայացումը և արտահանման հետ կապված լոգիստիկ հիմնախնդիրների լուծումը:</w:t>
      </w:r>
    </w:p>
    <w:p w14:paraId="4C0A2537" w14:textId="77777777" w:rsidR="009D2825" w:rsidRPr="009A7904" w:rsidRDefault="009D2825" w:rsidP="009A7904">
      <w:pPr>
        <w:suppressAutoHyphens/>
        <w:spacing w:after="0" w:line="276" w:lineRule="auto"/>
        <w:ind w:firstLine="720"/>
        <w:rPr>
          <w:rFonts w:cs="Times LatArm"/>
          <w:lang w:val="hy-AM"/>
        </w:rPr>
      </w:pPr>
      <w:r w:rsidRPr="009A7904">
        <w:rPr>
          <w:rFonts w:cs="Sylfaen"/>
          <w:lang w:val="hy-AM"/>
        </w:rPr>
        <w:t>ՀՀ</w:t>
      </w:r>
      <w:r w:rsidRPr="009A7904">
        <w:rPr>
          <w:rFonts w:cs="Times LatArm"/>
          <w:lang w:val="hy-AM"/>
        </w:rPr>
        <w:t xml:space="preserve"> </w:t>
      </w:r>
      <w:r w:rsidRPr="009A7904">
        <w:rPr>
          <w:rFonts w:cs="Sylfaen"/>
          <w:lang w:val="hy-AM"/>
        </w:rPr>
        <w:t>կառավարության</w:t>
      </w:r>
      <w:r w:rsidRPr="009A7904">
        <w:rPr>
          <w:rFonts w:cs="Times LatArm"/>
          <w:lang w:val="hy-AM"/>
        </w:rPr>
        <w:t xml:space="preserve"> </w:t>
      </w:r>
      <w:r w:rsidRPr="009A7904">
        <w:rPr>
          <w:rFonts w:cs="Sylfaen"/>
          <w:lang w:val="hy-AM"/>
        </w:rPr>
        <w:t>ծրագրով</w:t>
      </w:r>
      <w:r w:rsidRPr="009A7904">
        <w:rPr>
          <w:rFonts w:cs="Times LatArm"/>
          <w:lang w:val="hy-AM"/>
        </w:rPr>
        <w:t xml:space="preserve"> նպատակ է դրվել գյուղատնտեսության արդյունավետության բարձրացումը, պարենային անվտանգության մակարդակի բարձրացումը, արդի տեխնոլոգիաների ներմուծումը, արտահանման ծավալների ավելացումը, գյուղատնտեսական ամբողջ արժեշղթայում ընդգրկված բոլոր սուբյեկտների` փոքր  տնային տնտեսությունների, գյուղացիական կոոպերատիվների, վերամշակողների և արտահանողների եկամտաբերության բարձրացումը:</w:t>
      </w:r>
    </w:p>
    <w:p w14:paraId="3C428107" w14:textId="77777777" w:rsidR="009D2825" w:rsidRPr="009A7904" w:rsidRDefault="009D2825" w:rsidP="009A7904">
      <w:pPr>
        <w:pStyle w:val="NormalWeb"/>
        <w:spacing w:before="0" w:after="0" w:line="276" w:lineRule="auto"/>
        <w:ind w:firstLine="708"/>
        <w:rPr>
          <w:rFonts w:cs="Times LatArm"/>
          <w:szCs w:val="22"/>
          <w:lang w:val="hy-AM"/>
        </w:rPr>
      </w:pPr>
      <w:r w:rsidRPr="009A7904">
        <w:rPr>
          <w:rFonts w:cs="Times LatArm"/>
          <w:szCs w:val="22"/>
          <w:lang w:val="hy-AM"/>
        </w:rPr>
        <w:t>Ա</w:t>
      </w:r>
      <w:r w:rsidRPr="009A7904">
        <w:rPr>
          <w:rFonts w:cs="Sylfaen"/>
          <w:szCs w:val="22"/>
          <w:lang w:val="hy-AM"/>
        </w:rPr>
        <w:t>գրոպարենային ոլորտի</w:t>
      </w:r>
      <w:r w:rsidRPr="009A7904">
        <w:rPr>
          <w:rFonts w:cs="Times LatArm"/>
          <w:szCs w:val="22"/>
          <w:lang w:val="hy-AM"/>
        </w:rPr>
        <w:t xml:space="preserve"> </w:t>
      </w:r>
      <w:r w:rsidRPr="009A7904">
        <w:rPr>
          <w:rFonts w:cs="Sylfaen"/>
          <w:szCs w:val="22"/>
          <w:lang w:val="hy-AM"/>
        </w:rPr>
        <w:t>բարե</w:t>
      </w:r>
      <w:r w:rsidRPr="009A7904">
        <w:rPr>
          <w:rFonts w:cs="Sylfaen"/>
          <w:szCs w:val="22"/>
          <w:lang w:val="hy-AM"/>
        </w:rPr>
        <w:softHyphen/>
        <w:t>փոխումները կուղղվեն</w:t>
      </w:r>
      <w:r w:rsidRPr="009A7904">
        <w:rPr>
          <w:rFonts w:cs="Times LatArm"/>
          <w:szCs w:val="22"/>
          <w:lang w:val="hy-AM"/>
        </w:rPr>
        <w:t xml:space="preserve"> </w:t>
      </w:r>
      <w:r w:rsidRPr="009A7904">
        <w:rPr>
          <w:rFonts w:cs="Sylfaen"/>
          <w:szCs w:val="22"/>
          <w:lang w:val="hy-AM"/>
        </w:rPr>
        <w:t>հետևյալ</w:t>
      </w:r>
      <w:r w:rsidRPr="009A7904">
        <w:rPr>
          <w:rFonts w:cs="Times LatArm"/>
          <w:szCs w:val="22"/>
          <w:lang w:val="hy-AM"/>
        </w:rPr>
        <w:t xml:space="preserve"> </w:t>
      </w:r>
      <w:r w:rsidRPr="009A7904">
        <w:rPr>
          <w:rFonts w:cs="Sylfaen"/>
          <w:szCs w:val="22"/>
          <w:lang w:val="hy-AM"/>
        </w:rPr>
        <w:t>խնդիրների</w:t>
      </w:r>
      <w:r w:rsidRPr="009A7904">
        <w:rPr>
          <w:rFonts w:cs="Times LatArm"/>
          <w:szCs w:val="22"/>
          <w:lang w:val="hy-AM"/>
        </w:rPr>
        <w:t xml:space="preserve"> </w:t>
      </w:r>
      <w:r w:rsidRPr="009A7904">
        <w:rPr>
          <w:rFonts w:cs="Sylfaen"/>
          <w:szCs w:val="22"/>
          <w:lang w:val="hy-AM"/>
        </w:rPr>
        <w:t>լուծմանը</w:t>
      </w:r>
      <w:r w:rsidRPr="009A7904">
        <w:rPr>
          <w:rFonts w:cs="Times LatArm"/>
          <w:szCs w:val="22"/>
          <w:lang w:val="hy-AM"/>
        </w:rPr>
        <w:t>.</w:t>
      </w:r>
    </w:p>
    <w:p w14:paraId="5E5CBF69" w14:textId="77777777" w:rsidR="009D2825" w:rsidRPr="009A7904" w:rsidRDefault="009D2825" w:rsidP="009A7904">
      <w:pPr>
        <w:pStyle w:val="NormalWeb"/>
        <w:numPr>
          <w:ilvl w:val="0"/>
          <w:numId w:val="22"/>
        </w:numPr>
        <w:spacing w:before="0" w:after="0" w:line="276" w:lineRule="auto"/>
        <w:rPr>
          <w:rFonts w:cs="Times LatArm"/>
          <w:szCs w:val="22"/>
          <w:lang w:val="hy-AM"/>
        </w:rPr>
      </w:pPr>
      <w:r w:rsidRPr="009A7904">
        <w:rPr>
          <w:rFonts w:cs="Sylfaen"/>
          <w:szCs w:val="22"/>
          <w:lang w:val="hy-AM"/>
        </w:rPr>
        <w:t>պետության</w:t>
      </w:r>
      <w:r w:rsidRPr="009A7904">
        <w:rPr>
          <w:rFonts w:cs="Times LatArm"/>
          <w:szCs w:val="22"/>
          <w:lang w:val="hy-AM"/>
        </w:rPr>
        <w:t xml:space="preserve"> </w:t>
      </w:r>
      <w:r w:rsidRPr="009A7904">
        <w:rPr>
          <w:rFonts w:cs="Sylfaen"/>
          <w:szCs w:val="22"/>
          <w:lang w:val="hy-AM"/>
        </w:rPr>
        <w:t>և</w:t>
      </w:r>
      <w:r w:rsidRPr="009A7904">
        <w:rPr>
          <w:rFonts w:cs="Times LatArm"/>
          <w:szCs w:val="22"/>
          <w:lang w:val="hy-AM"/>
        </w:rPr>
        <w:t xml:space="preserve"> մասնավոր հատվածի մ</w:t>
      </w:r>
      <w:r w:rsidRPr="009A7904">
        <w:rPr>
          <w:rFonts w:cs="Sylfaen"/>
          <w:szCs w:val="22"/>
          <w:lang w:val="hy-AM"/>
        </w:rPr>
        <w:t>իջև</w:t>
      </w:r>
      <w:r w:rsidRPr="009A7904">
        <w:rPr>
          <w:rFonts w:cs="Times LatArm"/>
          <w:szCs w:val="22"/>
          <w:lang w:val="hy-AM"/>
        </w:rPr>
        <w:t xml:space="preserve"> </w:t>
      </w:r>
      <w:r w:rsidRPr="009A7904">
        <w:rPr>
          <w:rFonts w:cs="Sylfaen"/>
          <w:szCs w:val="22"/>
          <w:lang w:val="hy-AM"/>
        </w:rPr>
        <w:t xml:space="preserve">համագործակցության արդյունքում </w:t>
      </w:r>
      <w:r w:rsidRPr="009A7904">
        <w:rPr>
          <w:rFonts w:cs="Times LatArm"/>
          <w:szCs w:val="22"/>
          <w:lang w:val="hy-AM"/>
        </w:rPr>
        <w:t>մի շարք պետական աջակցության ծրագրերի համատեղ իրականացում</w:t>
      </w:r>
    </w:p>
    <w:p w14:paraId="2727FF21" w14:textId="77777777" w:rsidR="009D2825" w:rsidRPr="009A7904" w:rsidRDefault="009D2825" w:rsidP="009A7904">
      <w:pPr>
        <w:pStyle w:val="NormalWeb"/>
        <w:numPr>
          <w:ilvl w:val="0"/>
          <w:numId w:val="22"/>
        </w:numPr>
        <w:spacing w:before="0" w:after="0" w:line="276" w:lineRule="auto"/>
        <w:rPr>
          <w:rFonts w:cs="Times LatArm"/>
          <w:szCs w:val="22"/>
          <w:lang w:val="hy-AM"/>
        </w:rPr>
      </w:pPr>
      <w:r w:rsidRPr="009A7904">
        <w:rPr>
          <w:rFonts w:cs="Times LatArm"/>
          <w:szCs w:val="22"/>
          <w:lang w:val="hy-AM"/>
        </w:rPr>
        <w:t>գյուղատնտեսության հիմնական ռեսուրսների, հատկապես հողային ռեսուրսների նպատակային օգտագործման վիճակի բարելավում.</w:t>
      </w:r>
    </w:p>
    <w:p w14:paraId="4473629D" w14:textId="77777777" w:rsidR="009D2825" w:rsidRPr="009A7904" w:rsidRDefault="009D2825" w:rsidP="009A7904">
      <w:pPr>
        <w:pStyle w:val="NormalWeb"/>
        <w:numPr>
          <w:ilvl w:val="0"/>
          <w:numId w:val="22"/>
        </w:numPr>
        <w:spacing w:before="0" w:after="0" w:line="276" w:lineRule="auto"/>
        <w:rPr>
          <w:rFonts w:cs="Times LatArm"/>
          <w:szCs w:val="22"/>
          <w:lang w:val="hy-AM"/>
        </w:rPr>
      </w:pPr>
      <w:r w:rsidRPr="009A7904">
        <w:rPr>
          <w:rFonts w:cs="Times LatArm"/>
          <w:szCs w:val="22"/>
          <w:lang w:val="hy-AM"/>
        </w:rPr>
        <w:t>գյուղատնտեսությունում տնտեսավարող սուբյեկտների համար գործունեության նպաստավոր պայմանների ստեղծում և մրցունակության բարձրացում.</w:t>
      </w:r>
    </w:p>
    <w:p w14:paraId="199B01C5" w14:textId="77777777" w:rsidR="009D2825" w:rsidRPr="009A7904" w:rsidRDefault="009D2825" w:rsidP="009A7904">
      <w:pPr>
        <w:pStyle w:val="NormalWeb"/>
        <w:numPr>
          <w:ilvl w:val="0"/>
          <w:numId w:val="22"/>
        </w:numPr>
        <w:spacing w:before="0" w:after="0" w:line="276" w:lineRule="auto"/>
        <w:rPr>
          <w:rFonts w:cs="Times LatArm"/>
          <w:szCs w:val="22"/>
          <w:lang w:val="hy-AM"/>
        </w:rPr>
      </w:pPr>
      <w:r w:rsidRPr="009A7904">
        <w:rPr>
          <w:rFonts w:cs="Times LatArm"/>
          <w:szCs w:val="22"/>
          <w:lang w:val="hy-AM"/>
        </w:rPr>
        <w:t>գյուղատնտեսության տնտեսավարման  ձևերի զարգացում, հատկապես կոոպե</w:t>
      </w:r>
      <w:r w:rsidRPr="009A7904">
        <w:rPr>
          <w:rFonts w:cs="Times LatArm"/>
          <w:szCs w:val="22"/>
          <w:lang w:val="hy-AM"/>
        </w:rPr>
        <w:softHyphen/>
        <w:t>րացիայի խթանում.</w:t>
      </w:r>
    </w:p>
    <w:p w14:paraId="6A9FA926" w14:textId="77777777" w:rsidR="009D2825" w:rsidRPr="009A7904" w:rsidRDefault="009D2825" w:rsidP="009A7904">
      <w:pPr>
        <w:pStyle w:val="NormalWeb"/>
        <w:numPr>
          <w:ilvl w:val="0"/>
          <w:numId w:val="22"/>
        </w:numPr>
        <w:spacing w:before="0" w:after="0" w:line="276" w:lineRule="auto"/>
        <w:rPr>
          <w:rFonts w:cs="Times LatArm"/>
          <w:szCs w:val="22"/>
          <w:lang w:val="hy-AM"/>
        </w:rPr>
      </w:pPr>
      <w:r w:rsidRPr="009A7904">
        <w:rPr>
          <w:rFonts w:cs="Times LatArm"/>
          <w:szCs w:val="22"/>
          <w:lang w:val="hy-AM"/>
        </w:rPr>
        <w:t xml:space="preserve">մատչելի մեխանիզմների կիրառմամբ ագրոպարենային ոլորտի տեխնիկական հագեցվածության վիճակի բարելավում.     </w:t>
      </w:r>
    </w:p>
    <w:p w14:paraId="0A28F4B2" w14:textId="77777777" w:rsidR="009D2825" w:rsidRPr="009A7904" w:rsidRDefault="009D2825" w:rsidP="009A7904">
      <w:pPr>
        <w:pStyle w:val="NormalWeb"/>
        <w:numPr>
          <w:ilvl w:val="0"/>
          <w:numId w:val="22"/>
        </w:numPr>
        <w:spacing w:before="0" w:after="0" w:line="276" w:lineRule="auto"/>
        <w:rPr>
          <w:rFonts w:cs="Times LatArm"/>
          <w:szCs w:val="22"/>
          <w:lang w:val="hy-AM"/>
        </w:rPr>
      </w:pPr>
      <w:r w:rsidRPr="009A7904">
        <w:rPr>
          <w:rFonts w:cs="Times LatArm"/>
          <w:szCs w:val="22"/>
          <w:lang w:val="hy-AM"/>
        </w:rPr>
        <w:lastRenderedPageBreak/>
        <w:t>խորհրդատվական համակարգի կատարելագործում,</w:t>
      </w:r>
    </w:p>
    <w:p w14:paraId="603FF4A1" w14:textId="77777777" w:rsidR="009D2825" w:rsidRPr="009A7904" w:rsidRDefault="009D2825" w:rsidP="009A7904">
      <w:pPr>
        <w:pStyle w:val="NormalWeb"/>
        <w:numPr>
          <w:ilvl w:val="0"/>
          <w:numId w:val="22"/>
        </w:numPr>
        <w:spacing w:before="0" w:after="0" w:line="276" w:lineRule="auto"/>
        <w:rPr>
          <w:rFonts w:cs="Times LatArm"/>
          <w:szCs w:val="22"/>
          <w:lang w:val="hy-AM"/>
        </w:rPr>
      </w:pPr>
      <w:r w:rsidRPr="009A7904">
        <w:rPr>
          <w:rFonts w:cs="Times LatArm"/>
          <w:szCs w:val="22"/>
          <w:lang w:val="hy-AM"/>
        </w:rPr>
        <w:t>գյուղատնտեսական մթերքների իրացման պայմանների բարելավում, գյուղա</w:t>
      </w:r>
      <w:r w:rsidRPr="009A7904">
        <w:rPr>
          <w:rFonts w:cs="Times LatArm"/>
          <w:szCs w:val="22"/>
          <w:lang w:val="hy-AM"/>
        </w:rPr>
        <w:softHyphen/>
        <w:t>տնտեսական մթերքների արտադրողների և վերամշակողների փոխհարա</w:t>
      </w:r>
      <w:r w:rsidRPr="009A7904">
        <w:rPr>
          <w:rFonts w:cs="Times LatArm"/>
          <w:szCs w:val="22"/>
          <w:lang w:val="hy-AM"/>
        </w:rPr>
        <w:softHyphen/>
        <w:t xml:space="preserve">բերությունների կատարելագործում. </w:t>
      </w:r>
    </w:p>
    <w:p w14:paraId="1098A586" w14:textId="77777777" w:rsidR="009D2825" w:rsidRPr="009A7904" w:rsidRDefault="009D2825" w:rsidP="009A7904">
      <w:pPr>
        <w:pStyle w:val="NormalWeb"/>
        <w:numPr>
          <w:ilvl w:val="0"/>
          <w:numId w:val="22"/>
        </w:numPr>
        <w:spacing w:before="0" w:after="0" w:line="276" w:lineRule="auto"/>
        <w:rPr>
          <w:rFonts w:cs="Times LatArm"/>
          <w:szCs w:val="22"/>
          <w:lang w:val="hy-AM"/>
        </w:rPr>
      </w:pPr>
      <w:r w:rsidRPr="009A7904">
        <w:rPr>
          <w:rFonts w:cs="Times LatArm"/>
          <w:szCs w:val="22"/>
          <w:lang w:val="hy-AM"/>
        </w:rPr>
        <w:t>ագրարային արտադրական և սպասարկման գործընթացներում արդիական մեթոդների և տեխնոլոգիաների ներդրման աջակցություն,</w:t>
      </w:r>
    </w:p>
    <w:p w14:paraId="4B12C1C6" w14:textId="77777777" w:rsidR="009D2825" w:rsidRPr="009A7904" w:rsidRDefault="009D2825" w:rsidP="009A7904">
      <w:pPr>
        <w:pStyle w:val="NormalWeb"/>
        <w:numPr>
          <w:ilvl w:val="0"/>
          <w:numId w:val="22"/>
        </w:numPr>
        <w:spacing w:before="0" w:after="0" w:line="276" w:lineRule="auto"/>
        <w:rPr>
          <w:rFonts w:cs="Times LatArm"/>
          <w:szCs w:val="22"/>
          <w:lang w:val="hy-AM"/>
        </w:rPr>
      </w:pPr>
      <w:r w:rsidRPr="009A7904">
        <w:rPr>
          <w:rFonts w:cs="Times LatArm"/>
          <w:szCs w:val="22"/>
          <w:lang w:val="hy-AM"/>
        </w:rPr>
        <w:t>գյուղատնտեսությունում ապահովագրական համակարգի ամբողջական ներդրման համար նախադրյալների ստեղծում:</w:t>
      </w:r>
    </w:p>
    <w:p w14:paraId="29A09655" w14:textId="77777777" w:rsidR="009D2825" w:rsidRPr="009A7904" w:rsidRDefault="009D2825" w:rsidP="009A7904">
      <w:pPr>
        <w:pStyle w:val="NormalWeb"/>
        <w:spacing w:before="0" w:after="0" w:line="276" w:lineRule="auto"/>
        <w:ind w:left="720"/>
        <w:rPr>
          <w:b/>
          <w:szCs w:val="22"/>
          <w:lang w:val="hy-AM"/>
        </w:rPr>
      </w:pPr>
    </w:p>
    <w:p w14:paraId="10B406B6" w14:textId="77777777" w:rsidR="009D2825" w:rsidRPr="009A7904" w:rsidRDefault="009D2825" w:rsidP="009A7904">
      <w:pPr>
        <w:spacing w:line="276" w:lineRule="auto"/>
        <w:rPr>
          <w:b/>
          <w:lang w:val="hy-AM"/>
        </w:rPr>
      </w:pPr>
      <w:r w:rsidRPr="009A7904">
        <w:rPr>
          <w:b/>
          <w:lang w:val="hy-AM"/>
        </w:rPr>
        <w:t>ՈԼՈՐՏԱՅԻՆ ԾԱԽՍԱՅԻՆ ԾՐԱԳՐԵՐԸ</w:t>
      </w:r>
    </w:p>
    <w:p w14:paraId="657220B3"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1. Գյուղատնտեսության խթանման ծրագիր.</w:t>
      </w:r>
    </w:p>
    <w:p w14:paraId="665D4FC9"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 xml:space="preserve">Ծրագրի նպատակն է ավելացնել գյուղատնտեսական մթերքի և դրանց վերամշակումից ստացվող սննդամթերքի ծավալները, որի ուղղությամբ 2021-2023թթ. նախատեսվում է հատկացնել համապատասխանաբար՝ 6,613.3 մլն դրամ, 8,439.1 մլն դրամ և 9,804.6 մլն դրամ, ՀՀ 2020թ. պետական բյուջեի նկատմամբ աճը կազմել է համապատասխանաբար՝ 63.3%, 108.4% 7 և 142.1%, որը պայմանավորված է կորոնավիրուսի հետևանքով գյուղատնտեսական վարկերի տոկոսադրույքների պայմանների փոփոխությամբ: </w:t>
      </w:r>
    </w:p>
    <w:p w14:paraId="24CACD47"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2. Սննդամթերքի լաբորատոր փորձաքննություններ ծրագիր.</w:t>
      </w:r>
    </w:p>
    <w:p w14:paraId="1331EEEB"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Ծրագրի նպատակն է բարելավել սննդի անվտանգություն և որակը, որի ուղղությամբ  2021-2023թթ. նախատեսվում է յուրաքանչյուր տարի հատկացնել 190.8 մլն դրամ՝ ՀՀ 2020թ. պետական բյուջեով նախատեսված չափաքանակին համապատասխան,</w:t>
      </w:r>
    </w:p>
    <w:p w14:paraId="7DA763D7"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3. Էկոնոմիկայի ոլորտում պետական քաղաքականության մշակում, ծրագրերի համակարգում և մոնիտորինգ ծրագիր.</w:t>
      </w:r>
      <w:r w:rsidRPr="009A7904">
        <w:rPr>
          <w:rFonts w:cs="Times LatArm"/>
          <w:szCs w:val="22"/>
          <w:lang w:val="hy-AM"/>
        </w:rPr>
        <w:t xml:space="preserve"> </w:t>
      </w:r>
    </w:p>
    <w:p w14:paraId="19AE3155"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 xml:space="preserve">Ծրագրի նպատակն է ապահովել էկոնոմիկայի ոլորտում պետական արդյունավետ քաղաքականության մշակումը և իրականացումը, որի ուղղությամբ 2021-2023թթ. նախատեսվում է հատկացնել համապատասխանաբար՝ 2,261.3 մլն դրամ, 2,281.1 մլն դրամ և 2,306.3 մլն դրամ, ՀՀ 2020թ. պետական բյուջեի նկատմամբ նվազումը կազմել է համապատասխանաբար 5.6%, 4.7% և 3.7%, որը պայմանավորված է գործող օրենսդրությամբ սահմանված կարգավորումներով, </w:t>
      </w:r>
    </w:p>
    <w:p w14:paraId="4AA75807"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4. Բուսաբուծության խթանում և բույսերի պաշտպանություն ծրագիր.</w:t>
      </w:r>
    </w:p>
    <w:p w14:paraId="10E8EFB2"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Ծրագրի նպատակն է բարելավել հողագործությունից ստացվող արդյունքները որի ուղղությամբ 2021-2023թթ. նախատեսվում է յուրաքանչյուր տարի հատկացնել 424.6 մլն դրամ՝ ՀՀ 2020թ. պետական բյուջեի չափաքանակին համապատասխան,</w:t>
      </w:r>
    </w:p>
    <w:p w14:paraId="53402966"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5. Ստանդարտների մշակում և հավատարմագրման համակարգի զարգացում ծրագիր.</w:t>
      </w:r>
    </w:p>
    <w:p w14:paraId="5F810E90" w14:textId="6CB09A25"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Ծրագրի նպատակն է բարելավել արտադրանքի, ծառայությունների և գործընթացների անվտանգութ</w:t>
      </w:r>
      <w:r w:rsidR="007724F4">
        <w:rPr>
          <w:rFonts w:cs="Times LatArm"/>
          <w:szCs w:val="22"/>
          <w:lang w:val="hy-AM"/>
        </w:rPr>
        <w:t>յ</w:t>
      </w:r>
      <w:r w:rsidRPr="009A7904">
        <w:rPr>
          <w:rFonts w:cs="Times LatArm"/>
          <w:szCs w:val="22"/>
          <w:lang w:val="hy-AM"/>
        </w:rPr>
        <w:t>ան մակարդակը և ինտեգրումը միջազգային ու տարածաշրջանային հավատարմագրման համակարգերին, որի ուղղությամբ 2021-2023թթ. նախատեսվում է յուրաքանչյուր տարի հատկացնել 30.8 մլն դրամ՝ ՀՀ 2020թ. պետական բյուջեի չափաքանակին համապատասխան,</w:t>
      </w:r>
    </w:p>
    <w:p w14:paraId="7518825A"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6. Գյուղական ենթակառուցվածքների վերականգնում և զարգացում ծրագիր.</w:t>
      </w:r>
    </w:p>
    <w:p w14:paraId="484DA0F2"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lastRenderedPageBreak/>
        <w:t>Ծրագրի</w:t>
      </w:r>
      <w:r w:rsidRPr="009A7904">
        <w:rPr>
          <w:rFonts w:cs="Times LatArm"/>
          <w:b/>
          <w:szCs w:val="22"/>
          <w:lang w:val="hy-AM"/>
        </w:rPr>
        <w:t xml:space="preserve"> </w:t>
      </w:r>
      <w:r w:rsidRPr="009A7904">
        <w:rPr>
          <w:rFonts w:cs="Times LatArm"/>
          <w:szCs w:val="22"/>
          <w:lang w:val="hy-AM"/>
        </w:rPr>
        <w:t>նպատակն է ապահովել գյուղատնտեսության ոլորտի արդյունավետության աճը, որի ուղղությամբ 2021-2023թթ. նախատեսվում է հատկացնել համապատասխանաբար՝ 3,843.2 մլն դրամ, 6,890.6 մլն դրամ և 35.1 մլն դրամ, ՀՀ 2020թ. պետական բյուջեի նկատմամբ 2021թ. և 2023թ. նվազումը կազմել է համապատասխանաբար՝ 9.0% և 99.2%, իսկ 2022թ. աճը 63.1%, որը պայմանավորված է վարկային ծրագրերով նախատեսված ժամկետների պահպանմամբ,</w:t>
      </w:r>
    </w:p>
    <w:p w14:paraId="65242D44"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 xml:space="preserve">7. Աջակցություն փոքր և միջին ձեռնարկատիրությանը ծրագիր. </w:t>
      </w:r>
    </w:p>
    <w:p w14:paraId="37E9833D"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Ծրագրի նպատակն է փոքր և միջին ձեռնարկատիրության զարգացումն և ընդլայնումը, որի ուղղությամբ 2021-2023թթ. նախատեսվում է յուրաքանչյուր տարի հատկացնել 183.1 մլն դրամ՝ ՀՀ 2020թ. պետական բյուջեի չափաքանակին համապատասխան,</w:t>
      </w:r>
    </w:p>
    <w:p w14:paraId="145C8677"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8. Անասնաբուժական ծառայություններ ծրագիր.</w:t>
      </w:r>
    </w:p>
    <w:p w14:paraId="3C9F4BC3"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Ծրագրի</w:t>
      </w:r>
      <w:r w:rsidRPr="009A7904">
        <w:rPr>
          <w:rFonts w:cs="Times LatArm"/>
          <w:b/>
          <w:szCs w:val="22"/>
          <w:lang w:val="hy-AM"/>
        </w:rPr>
        <w:t xml:space="preserve"> </w:t>
      </w:r>
      <w:r w:rsidRPr="009A7904">
        <w:rPr>
          <w:rFonts w:cs="Times LatArm"/>
          <w:szCs w:val="22"/>
          <w:lang w:val="hy-AM"/>
        </w:rPr>
        <w:t>նպատակն է անասնահամաճարակային կայուն ֆոնի ապահովումը, որի ուղղությամբ 2021-2023թթ. նախատեսվում է յուրաքանչյուր տարի հատկացնել 2,027.6 մլն դրամ, ՀՀ 2020թ. պետական բյուջեի նկատմամբ նվազումը կազմել է 22.5%, որը պայմանավորված է 2020 թվականին գյուղատնտեսական կենդանիների համարակալման համակարգի ներդրումից հետո միայն պահպանման գծով ծախսերի նախատեսմամբ,</w:t>
      </w:r>
    </w:p>
    <w:p w14:paraId="462A4B16"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9. Ենթակառուցվածքների և գյուղական ֆինանսավորման աջակցություն ծրագիր</w:t>
      </w:r>
    </w:p>
    <w:p w14:paraId="5F8F5D43"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Ծրագրի</w:t>
      </w:r>
      <w:r w:rsidRPr="009A7904">
        <w:rPr>
          <w:rFonts w:cs="Times LatArm"/>
          <w:b/>
          <w:szCs w:val="22"/>
          <w:lang w:val="hy-AM"/>
        </w:rPr>
        <w:t xml:space="preserve"> </w:t>
      </w:r>
      <w:r w:rsidRPr="009A7904">
        <w:rPr>
          <w:rFonts w:cs="Times LatArm"/>
          <w:szCs w:val="22"/>
          <w:lang w:val="hy-AM"/>
        </w:rPr>
        <w:t>նպատակն է բարելավել գյուղական ազգաբնակչության տնտեսական ու սոցիալական կարգավիճակը, ստեղծել զբաղվածության ապահովման կայուն մեխանիզմներ, զարգացնել արտադրական համակարգերը և կապը ապրանքային մշակաբույսերի արտադրության արժեշղթայի օղակների միջև, որի ուղղությամբ 2021-2022թթ. նախատեսվում է հատկացնել համապատասխանաբար՝ 1,679.6 մլն դրամ և 745.2 մլն դրամ, ՀՀ 2020թ. պետական բյուջեի նկատմամբ 2021թ. և 2023թ. նվազումը կազմել է համապատասխանաբար 11.4% և 60.7%, որը պայմանավորված է վարկային ծրագրերով նախատեսված ժամկետների պահպանմամբ,</w:t>
      </w:r>
    </w:p>
    <w:p w14:paraId="19F9BE1E"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10. Ներդրումների և արտահանման խթանման ծրագիր.</w:t>
      </w:r>
    </w:p>
    <w:p w14:paraId="1CFF3228"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Ծրագրի նպատակն է խթանել ներդրումների ներգրավումը և արտահանումը, որի ուղղությամբ 2021-2023թթ. նախատեսվում է յուրաքանչյուր տարի հատկացնել 1,395.0 մլն դրամ՝ ՀՀ 2020թ. պետական բյուջեի չափաքանակին համապատասխան,</w:t>
      </w:r>
    </w:p>
    <w:p w14:paraId="0533F749"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b/>
          <w:szCs w:val="22"/>
          <w:lang w:val="hy-AM"/>
        </w:rPr>
        <w:t>11. Գյուղատնտեսության արդիականացման ծրագիր.</w:t>
      </w:r>
      <w:r w:rsidRPr="009A7904">
        <w:rPr>
          <w:rFonts w:cs="Times LatArm"/>
          <w:szCs w:val="22"/>
          <w:lang w:val="hy-AM"/>
        </w:rPr>
        <w:t xml:space="preserve"> </w:t>
      </w:r>
    </w:p>
    <w:p w14:paraId="35A25B53"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Ծրագրի նպատակն է</w:t>
      </w:r>
      <w:r w:rsidRPr="009A7904">
        <w:rPr>
          <w:rFonts w:cs="Times LatArm"/>
          <w:b/>
          <w:szCs w:val="22"/>
          <w:lang w:val="hy-AM"/>
        </w:rPr>
        <w:t xml:space="preserve"> </w:t>
      </w:r>
      <w:r w:rsidRPr="009A7904">
        <w:rPr>
          <w:rFonts w:cs="Times LatArm"/>
          <w:szCs w:val="22"/>
          <w:lang w:val="hy-AM"/>
        </w:rPr>
        <w:t>արդիականացնել գյուղատնտեսական տեխնիկական համակարգերը, աջակցել ինտենսիվ այգիների ներդրման և տոհմաբուծության մեջ նոր ցեղատեսակների բուծմանը, որի ուղղությամբ 2021-2023թթ. նախատեսվում է հատկացնել համապատասխանաբար՝ 2,603.2 մլն դրամ, 3,257.8 մլն դրամ և 2,940.8 մլն դրամ, ՀՀ 2020թ. պետական բյուջեի նկատմամբ նվազումը կազմել է համապատասխանաբար 42.2%, 27.7% և 34.7%, որը պայմանավորված է կորոնավիրուսի հետևանքով գյուղատնտեսական վարկերի տոկոսադրույքների պայմանների փոփոխությամբ և փաստացի արդյունքների գնահատմամբ,</w:t>
      </w:r>
    </w:p>
    <w:p w14:paraId="309654A6"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12. Զբոսաշրջության զարգացման ծրագիր.</w:t>
      </w:r>
    </w:p>
    <w:p w14:paraId="123A2173"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lastRenderedPageBreak/>
        <w:t xml:space="preserve">Ծրագրի նպատակն է բարձրացնել Հայաստանի և հայկական զբոսաշրջային արդյունքի մրցունակությունն և ճանաչելիությունը, որի ուղղությամբ 2021-2023թթ. նախատեսվում է հատկացնել համապատասխանաբար՝ 7,405.1 մլն դրամ, 15,144.9 մլն դրամ և 2,533.2 մլն դրամ, ՀՀ 2020թ. պետական բյուջեի նկատմամբ 2021-2022թթ. աճը կազմել է համապատասխանաբար 17.5% և 140.2%, իսկ 2023թ. նվազումը՝ 59.8%, որը պայմանավորված է Համաշխարհային բանկի աջակցությամբ իրականացվող Տեղական տնտեսության և ենթակառուցվածքների զարգացման ծրագրի վարկային համաձայնագրի շրջանակներում </w:t>
      </w:r>
      <w:r w:rsidRPr="009A7904">
        <w:rPr>
          <w:szCs w:val="22"/>
          <w:lang w:val="hy-AM"/>
        </w:rPr>
        <w:t>նախատեսված ժամկետների պահպանմամբ,</w:t>
      </w:r>
    </w:p>
    <w:p w14:paraId="5B21F4A5" w14:textId="77777777" w:rsidR="009D2825" w:rsidRPr="009A7904" w:rsidRDefault="009D2825" w:rsidP="009A7904">
      <w:pPr>
        <w:pStyle w:val="NormalWeb"/>
        <w:spacing w:before="0" w:after="0" w:line="276" w:lineRule="auto"/>
        <w:rPr>
          <w:rFonts w:cs="Times LatArm"/>
          <w:b/>
          <w:szCs w:val="22"/>
          <w:lang w:val="hy-AM"/>
        </w:rPr>
      </w:pPr>
      <w:r w:rsidRPr="009A7904">
        <w:rPr>
          <w:rFonts w:cs="Times LatArm"/>
          <w:b/>
          <w:szCs w:val="22"/>
          <w:lang w:val="hy-AM"/>
        </w:rPr>
        <w:t>13. Կորոնավիրուսի (COVID-19) տնտեսական հետևանքների չեզոքացման հետևանքով տրամադրված վարկերի տոկոսադրույքների սուբսիդավորում ծրագիր.</w:t>
      </w:r>
    </w:p>
    <w:p w14:paraId="40B33CCD"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Ծրագրի նպատակն է հակազդել բնակչության սանիտարահամաճարակային հետևանքները, որի ուղղությամբ 2021-2023թթ. նախատեսվում է յուրաքանչյուր տարի հատկացնել 3,300.0 մլն դրամ, ՀՀ 2020թ. պետական բյուջեի նկատմամբ նվազումը կազմել է 17.5%, որը պայմանավորված է կորոնավիրուսի հետևանքների վերացման միջոցառման կատարման ապահովման համար ներկա գնահատմամբ:</w:t>
      </w:r>
    </w:p>
    <w:p w14:paraId="37305CAA" w14:textId="77777777" w:rsidR="009D2825" w:rsidRPr="009A7904" w:rsidRDefault="009D2825" w:rsidP="009A7904">
      <w:pPr>
        <w:overflowPunct w:val="0"/>
        <w:autoSpaceDE w:val="0"/>
        <w:autoSpaceDN w:val="0"/>
        <w:adjustRightInd w:val="0"/>
        <w:spacing w:line="276" w:lineRule="auto"/>
        <w:ind w:firstLine="540"/>
        <w:textAlignment w:val="baseline"/>
        <w:rPr>
          <w:rFonts w:cs="Times Armenian"/>
          <w:kern w:val="16"/>
          <w:lang w:val="hy-AM"/>
        </w:rPr>
      </w:pPr>
      <w:r w:rsidRPr="009A7904">
        <w:rPr>
          <w:rFonts w:cs="Times Armenian"/>
          <w:kern w:val="16"/>
          <w:lang w:val="hy-AM"/>
        </w:rPr>
        <w:t>Ստորև ներկայացված են էկոնոմիկայի բնագավառի 2021-2023թթ</w:t>
      </w:r>
      <w:r w:rsidRPr="009A7904">
        <w:rPr>
          <w:rFonts w:ascii="MS Mincho" w:eastAsia="MS Mincho" w:hAnsi="MS Mincho" w:cs="MS Mincho" w:hint="eastAsia"/>
          <w:kern w:val="16"/>
          <w:lang w:val="hy-AM"/>
        </w:rPr>
        <w:t>․</w:t>
      </w:r>
      <w:r w:rsidRPr="009A7904">
        <w:rPr>
          <w:rFonts w:cs="Times Armenian"/>
          <w:kern w:val="16"/>
          <w:lang w:val="hy-AM"/>
        </w:rPr>
        <w:t xml:space="preserve"> </w:t>
      </w:r>
      <w:r w:rsidRPr="009A7904">
        <w:rPr>
          <w:rFonts w:cs="GHEA Grapalat"/>
          <w:kern w:val="16"/>
          <w:lang w:val="hy-AM"/>
        </w:rPr>
        <w:t>յուրաքանչյուր</w:t>
      </w:r>
      <w:r w:rsidRPr="009A7904">
        <w:rPr>
          <w:rFonts w:cs="Times Armenian"/>
          <w:kern w:val="16"/>
          <w:lang w:val="hy-AM"/>
        </w:rPr>
        <w:t xml:space="preserve"> </w:t>
      </w:r>
      <w:r w:rsidRPr="009A7904">
        <w:rPr>
          <w:rFonts w:cs="GHEA Grapalat"/>
          <w:kern w:val="16"/>
          <w:lang w:val="hy-AM"/>
        </w:rPr>
        <w:t>տարվա</w:t>
      </w:r>
      <w:r w:rsidRPr="009A7904">
        <w:rPr>
          <w:rFonts w:cs="Times Armenian"/>
          <w:kern w:val="16"/>
          <w:lang w:val="hy-AM"/>
        </w:rPr>
        <w:t xml:space="preserve"> </w:t>
      </w:r>
      <w:r w:rsidRPr="009A7904">
        <w:rPr>
          <w:rFonts w:cs="GHEA Grapalat"/>
          <w:kern w:val="16"/>
          <w:lang w:val="hy-AM"/>
        </w:rPr>
        <w:t>համար</w:t>
      </w:r>
      <w:r w:rsidRPr="009A7904">
        <w:rPr>
          <w:rFonts w:cs="Times Armenian"/>
          <w:kern w:val="16"/>
          <w:lang w:val="hy-AM"/>
        </w:rPr>
        <w:t xml:space="preserve"> </w:t>
      </w:r>
      <w:r w:rsidRPr="009A7904">
        <w:rPr>
          <w:rFonts w:cs="GHEA Grapalat"/>
          <w:kern w:val="16"/>
          <w:lang w:val="hy-AM"/>
        </w:rPr>
        <w:t>նախատեսված</w:t>
      </w:r>
      <w:r w:rsidRPr="009A7904">
        <w:rPr>
          <w:rFonts w:cs="Times Armenian"/>
          <w:kern w:val="16"/>
          <w:lang w:val="hy-AM"/>
        </w:rPr>
        <w:t xml:space="preserve"> </w:t>
      </w:r>
      <w:r w:rsidRPr="009A7904">
        <w:rPr>
          <w:rFonts w:cs="GHEA Grapalat"/>
          <w:kern w:val="16"/>
          <w:lang w:val="hy-AM"/>
        </w:rPr>
        <w:t>չափաքանակները</w:t>
      </w:r>
      <w:r w:rsidRPr="009A7904">
        <w:rPr>
          <w:rFonts w:cs="Times Armenian"/>
          <w:kern w:val="16"/>
          <w:lang w:val="hy-AM"/>
        </w:rPr>
        <w:t>.</w:t>
      </w:r>
    </w:p>
    <w:p w14:paraId="555FB794"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2021 թվականի համար՝ 31,957.8 մլն դրամ,</w:t>
      </w:r>
    </w:p>
    <w:p w14:paraId="54129017" w14:textId="77777777" w:rsidR="009D2825" w:rsidRPr="009A7904" w:rsidRDefault="009D2825" w:rsidP="009A7904">
      <w:pPr>
        <w:pStyle w:val="NormalWeb"/>
        <w:spacing w:before="0" w:after="0" w:line="276" w:lineRule="auto"/>
        <w:rPr>
          <w:szCs w:val="22"/>
          <w:lang w:val="hy-AM"/>
        </w:rPr>
      </w:pPr>
      <w:r w:rsidRPr="009A7904">
        <w:rPr>
          <w:rFonts w:cs="Times LatArm"/>
          <w:szCs w:val="22"/>
          <w:lang w:val="hy-AM"/>
        </w:rPr>
        <w:t>2022 թվականի համար՝ 44,310.6 մլն դրամ</w:t>
      </w:r>
      <w:r w:rsidRPr="009A7904">
        <w:rPr>
          <w:szCs w:val="22"/>
          <w:lang w:val="hy-AM"/>
        </w:rPr>
        <w:t>,</w:t>
      </w:r>
    </w:p>
    <w:p w14:paraId="672EAEB3" w14:textId="77777777" w:rsidR="009D2825" w:rsidRPr="009A7904" w:rsidRDefault="009D2825" w:rsidP="009A7904">
      <w:pPr>
        <w:pStyle w:val="NormalWeb"/>
        <w:spacing w:before="0" w:after="0" w:line="276" w:lineRule="auto"/>
        <w:rPr>
          <w:rFonts w:cs="Times LatArm"/>
          <w:szCs w:val="22"/>
          <w:lang w:val="hy-AM"/>
        </w:rPr>
      </w:pPr>
      <w:r w:rsidRPr="009A7904">
        <w:rPr>
          <w:rFonts w:cs="Times LatArm"/>
          <w:szCs w:val="22"/>
          <w:lang w:val="hy-AM"/>
        </w:rPr>
        <w:t>2023 թվականի համար՝ 25,171.9 մլն դրամ:</w:t>
      </w:r>
    </w:p>
    <w:p w14:paraId="04F0FBE5" w14:textId="77777777" w:rsidR="009D2825" w:rsidRPr="009A7904" w:rsidRDefault="009D2825" w:rsidP="009A7904">
      <w:pPr>
        <w:pStyle w:val="StyleStyleHeading2ChapterParanumTextSylfaenGHEAGrapa"/>
        <w:spacing w:line="276" w:lineRule="auto"/>
        <w:ind w:left="0" w:firstLine="0"/>
        <w:rPr>
          <w:lang w:val="hy-AM"/>
        </w:rPr>
      </w:pPr>
      <w:bookmarkStart w:id="341" w:name="_Toc13837375"/>
    </w:p>
    <w:p w14:paraId="2BFC4521" w14:textId="77777777" w:rsidR="009A7904" w:rsidRDefault="009A7904">
      <w:pPr>
        <w:spacing w:before="0" w:after="200" w:line="276" w:lineRule="auto"/>
        <w:ind w:firstLine="0"/>
        <w:jc w:val="left"/>
        <w:rPr>
          <w:rFonts w:eastAsia="Times New Roman" w:cs="Times New Roman"/>
          <w:b/>
          <w:color w:val="1F497D" w:themeColor="text2"/>
          <w:sz w:val="28"/>
          <w:szCs w:val="28"/>
          <w:lang w:val="hy-AM"/>
        </w:rPr>
      </w:pPr>
      <w:bookmarkStart w:id="342" w:name="_Toc13837377"/>
      <w:bookmarkStart w:id="343" w:name="_Toc45637524"/>
      <w:bookmarkStart w:id="344" w:name="_Toc45838548"/>
      <w:bookmarkEnd w:id="341"/>
      <w:r w:rsidRPr="00BE7F99">
        <w:rPr>
          <w:rFonts w:eastAsia="Times New Roman" w:cs="Times New Roman"/>
          <w:caps/>
          <w:color w:val="1F497D" w:themeColor="text2"/>
          <w:sz w:val="28"/>
          <w:szCs w:val="28"/>
          <w:lang w:val="hy-AM"/>
        </w:rPr>
        <w:br w:type="page"/>
      </w:r>
    </w:p>
    <w:p w14:paraId="07F4BAAA" w14:textId="77777777" w:rsidR="009D2825" w:rsidRPr="009A7904" w:rsidRDefault="009D2825"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345" w:name="_Toc46154376"/>
      <w:r w:rsidRPr="009A7904">
        <w:rPr>
          <w:rFonts w:eastAsia="Times New Roman" w:cs="Times New Roman"/>
          <w:caps w:val="0"/>
          <w:color w:val="1F497D" w:themeColor="text2"/>
          <w:sz w:val="28"/>
          <w:szCs w:val="28"/>
        </w:rPr>
        <w:lastRenderedPageBreak/>
        <w:t>9</w:t>
      </w:r>
      <w:r w:rsidR="009858E4" w:rsidRPr="009A7904">
        <w:rPr>
          <w:rFonts w:eastAsia="Times New Roman" w:cs="Times New Roman"/>
          <w:caps w:val="0"/>
          <w:color w:val="1F497D" w:themeColor="text2"/>
          <w:sz w:val="28"/>
          <w:szCs w:val="28"/>
        </w:rPr>
        <w:t>.</w:t>
      </w:r>
      <w:r w:rsidRPr="009A7904">
        <w:rPr>
          <w:rFonts w:eastAsia="Times New Roman" w:cs="Times New Roman"/>
          <w:caps w:val="0"/>
          <w:color w:val="1F497D" w:themeColor="text2"/>
          <w:sz w:val="28"/>
          <w:szCs w:val="28"/>
        </w:rPr>
        <w:t xml:space="preserve"> ԱՐՏԱԿԱՐԳ ԻՐԱՎԻՃԱԿՆԵՐ</w:t>
      </w:r>
      <w:bookmarkEnd w:id="342"/>
      <w:bookmarkEnd w:id="343"/>
      <w:bookmarkEnd w:id="344"/>
      <w:bookmarkEnd w:id="345"/>
    </w:p>
    <w:p w14:paraId="52A9BDA9"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ՄԺԾԾ ժամանակահատվածում Արտակարգ իրավիճակների նախարարության ոլորտում իրականացվող ծախսային գերակայությունները բխում են կառավարության ծրագրից, նախարարության ընդհանուր ռազմավարական նպատակներից:</w:t>
      </w:r>
    </w:p>
    <w:p w14:paraId="54DDD52F"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xml:space="preserve">Արտակարգ իրավիճակների նախարարության   առաջիկա տարիների համար առավել կարևորում է ծախսային հետևյալ գերակայությունները. Փրկարար ծառայության համակարգի կատարելագործում, արտակարգ իրավիճակների արագ արձագանքում քաղաքացիական պաշտպանության և արտակարգ իրավիճակներում բնակչության պաշտպանության աշխատանքների կազմակերպում ու իրականացում, ռազմավարական նշանակության պաշարների կառավարում, կուտակում և թարմացում, բնական և տեխնածին աղետների արդյունավետ կանխատեսումը,արտակարգ իրավիճակներում բնակչության իրազեկվածության ու կրթվածության մակարդակի բարձրացումը: </w:t>
      </w:r>
    </w:p>
    <w:p w14:paraId="5D484F47" w14:textId="77777777" w:rsidR="009D2825" w:rsidRPr="009A7904" w:rsidRDefault="009D2825" w:rsidP="009A7904">
      <w:pPr>
        <w:shd w:val="clear" w:color="auto" w:fill="FFFFFF"/>
        <w:spacing w:after="0" w:line="276" w:lineRule="auto"/>
        <w:rPr>
          <w:rFonts w:cs="Sylfaen"/>
          <w:b/>
          <w:kern w:val="16"/>
          <w:lang w:val="hy-AM"/>
        </w:rPr>
      </w:pPr>
      <w:r w:rsidRPr="009A7904">
        <w:rPr>
          <w:rFonts w:cs="Sylfaen"/>
          <w:b/>
          <w:kern w:val="16"/>
          <w:lang w:val="hy-AM"/>
        </w:rPr>
        <w:t>ՈԼՈՐՏԱՅԻՆ ԾԱԽՍԱՅԻՆ ԾՐԱԳՐԵՐԸ</w:t>
      </w:r>
    </w:p>
    <w:p w14:paraId="3A164384"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w:t>
      </w:r>
      <w:r w:rsidRPr="009A7904">
        <w:rPr>
          <w:rFonts w:eastAsia="GHEA Grapalat" w:cs="GHEA Grapalat"/>
          <w:lang w:val="hy-AM"/>
        </w:rPr>
        <w:tab/>
        <w:t>Ոլորտային քաղաքականության թիրախների (վերջնական արդյունքների) ապահովման նպատակով ՄԺԾԾ ժամանակահատվածում ՀՀ արտակարգ իրավիճակների նախարարության կողմից իրականցվող հիմնական ծրագրերն են.</w:t>
      </w:r>
    </w:p>
    <w:p w14:paraId="0328E7F0"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«Արտակարգ իրավիճակների քաղաքականության մշակում և ծառայությունների մատուցում» ծրագրի ուղղությամբ 2021-2023թթ. նախատեսվում է հատկացնել համապատասխանաբար՝ 1,082.0 մլն դրամ, 1,094.0 մլն դրամ և 1,106.3 մլն դրամ:</w:t>
      </w:r>
    </w:p>
    <w:p w14:paraId="53569284"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«Փրկարարական ծառայություններ» ծրագրի նպատակն է արտակարգ իրավիճակների հնարավոր դեպքերի կանխում, դրանց ժամանակին արձագանքում, հետևանքների նվազեցում և բնակչության պաշտպանություն , որի ուղղությամբ 2021-2023թթ. նախատեսվում է   հատկացնել  2021թ՝ 11688.1 մլն դրամ, 2022թ՝ 11308.8 մլն դրամ և 2023թ՝ 11308.8 մլն դրամ:</w:t>
      </w:r>
    </w:p>
    <w:p w14:paraId="3B3FB1DD"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«Ռազմավարական նշանակության պաշարների կառավարում» ծրագրի նպատակն է արտակարգ իրավիճակներում ռազմավարական նշանակության պաշարներով ապահովումը, որի ուղղությամբ 2021-2023թթ. նախատեսվում է յուրաքանչյուր տարի հատկացնել 359.6 մլն դրամ:</w:t>
      </w:r>
    </w:p>
    <w:p w14:paraId="159748F3"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xml:space="preserve"> «Սեյսմիկ պաշտպանություն» ծրագրի նպատակն է սեյսմիկ ռիսկերի գնահատումը և նվազեցումը որի ուղղությամբ 2021-2023թթ. նախատեսվում է յուրաքանչյուր տարի հատկացնել 834.5 մլն դրամ:</w:t>
      </w:r>
    </w:p>
    <w:p w14:paraId="67D647B3"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«Տեխնիկական անվտանգության կանոնակարգում» ծրագրի նպատակն է արտադրական վտանգավոր օբյեկտների շահագործմամբ պայմանավորված տեխնածին վթարների և դրանց հետևանքով հասարակությանը և տնտեսությանը պատճառվող վնասների ռիսկերի նվազեցումը որի ուղղությամբ 2021-2023թթ. նախատեսվում է յուրաքանչյուր տարի հատկացնել 46.3 մլն դրամ:</w:t>
      </w:r>
    </w:p>
    <w:p w14:paraId="22898B6D"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xml:space="preserve"> </w:t>
      </w:r>
      <w:r w:rsidRPr="009A7904">
        <w:rPr>
          <w:rFonts w:eastAsia="GHEA Grapalat" w:cs="GHEA Grapalat"/>
          <w:lang w:val="hy-AM"/>
        </w:rPr>
        <w:tab/>
        <w:t>«Արտակարգ իրավիճակների արձագանքման կարողությունների զարգացում»  ծրագրի գծով 2021-2023թթ. նախատեսվում է հատկացնել 122.5 մլն դրամ:</w:t>
      </w:r>
    </w:p>
    <w:p w14:paraId="11B68F92"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lastRenderedPageBreak/>
        <w:t> Ստորև ներկայացվում է Արտակարգ իրավիճակների նախարարության  ոլորտում  2021-2023 թվականների յուրաքանչյուր տարվա համար նախատեսված չափաքանակները.</w:t>
      </w:r>
    </w:p>
    <w:p w14:paraId="23AE85A5"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2021 թվականի համար՝  14,133.2 մլն դրամ,</w:t>
      </w:r>
    </w:p>
    <w:p w14:paraId="7949C7DB"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2022 թվականի համար՝</w:t>
      </w:r>
      <w:r w:rsidR="006B2C4E" w:rsidRPr="009A7904">
        <w:rPr>
          <w:rFonts w:eastAsia="GHEA Grapalat" w:cs="GHEA Grapalat"/>
          <w:lang w:val="hy-AM"/>
        </w:rPr>
        <w:t> </w:t>
      </w:r>
      <w:r w:rsidRPr="009A7904">
        <w:rPr>
          <w:rFonts w:eastAsia="GHEA Grapalat" w:cs="GHEA Grapalat"/>
          <w:lang w:val="hy-AM"/>
        </w:rPr>
        <w:t> 13,765.9 մլն դրամ,</w:t>
      </w:r>
    </w:p>
    <w:p w14:paraId="1E851040"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2023 թվականի համար՝  13,778.1 մլն դրամ:</w:t>
      </w:r>
    </w:p>
    <w:p w14:paraId="71CD2C1B" w14:textId="77777777" w:rsidR="009D2825" w:rsidRPr="009A7904" w:rsidRDefault="009D2825" w:rsidP="009A7904">
      <w:pPr>
        <w:pStyle w:val="BodyText"/>
        <w:spacing w:line="276" w:lineRule="auto"/>
        <w:ind w:left="34"/>
        <w:rPr>
          <w:rFonts w:cs="Sylfaen"/>
          <w:b/>
          <w:bCs/>
          <w:kern w:val="16"/>
          <w:lang w:val="af-ZA" w:eastAsia="ru-RU"/>
        </w:rPr>
      </w:pPr>
      <w:r w:rsidRPr="009A7904">
        <w:rPr>
          <w:rFonts w:cs="Sylfaen"/>
          <w:kern w:val="16"/>
          <w:lang w:val="af-ZA" w:eastAsia="ru-RU"/>
        </w:rPr>
        <w:t>      </w:t>
      </w:r>
    </w:p>
    <w:p w14:paraId="6722053D" w14:textId="77777777" w:rsidR="005305FA" w:rsidRPr="009A7904" w:rsidRDefault="009D2825" w:rsidP="009A7904">
      <w:pPr>
        <w:pStyle w:val="Heading3"/>
        <w:numPr>
          <w:ilvl w:val="0"/>
          <w:numId w:val="0"/>
        </w:numPr>
        <w:spacing w:before="0" w:after="120" w:line="276" w:lineRule="auto"/>
        <w:jc w:val="both"/>
        <w:rPr>
          <w:rFonts w:eastAsia="Times New Roman" w:cs="Times New Roman"/>
          <w:caps w:val="0"/>
          <w:color w:val="1F497D" w:themeColor="text2"/>
        </w:rPr>
      </w:pPr>
      <w:r w:rsidRPr="009A7904">
        <w:rPr>
          <w:rFonts w:eastAsia="Times New Roman" w:cs="Times New Roman"/>
          <w:caps w:val="0"/>
          <w:color w:val="1F497D" w:themeColor="text2"/>
        </w:rPr>
        <w:t xml:space="preserve"> </w:t>
      </w:r>
      <w:bookmarkStart w:id="346" w:name="_Toc45637525"/>
      <w:bookmarkStart w:id="347" w:name="_Toc45838549"/>
      <w:bookmarkStart w:id="348" w:name="_Toc13837379"/>
      <w:bookmarkStart w:id="349" w:name="_Toc266780840"/>
      <w:bookmarkStart w:id="350" w:name="_Toc456102850"/>
      <w:bookmarkStart w:id="351" w:name="_Toc519513699"/>
    </w:p>
    <w:p w14:paraId="1F2FD1B3" w14:textId="77777777" w:rsidR="009A7904" w:rsidRDefault="009A7904">
      <w:pPr>
        <w:spacing w:before="0" w:after="200" w:line="276" w:lineRule="auto"/>
        <w:ind w:firstLine="0"/>
        <w:jc w:val="left"/>
        <w:rPr>
          <w:rFonts w:eastAsia="Times New Roman" w:cs="Times New Roman"/>
          <w:b/>
          <w:color w:val="1F497D" w:themeColor="text2"/>
          <w:sz w:val="28"/>
          <w:szCs w:val="28"/>
          <w:lang w:val="hy-AM"/>
        </w:rPr>
      </w:pPr>
      <w:r w:rsidRPr="00BE7F99">
        <w:rPr>
          <w:rFonts w:eastAsia="Times New Roman" w:cs="Times New Roman"/>
          <w:caps/>
          <w:color w:val="1F497D" w:themeColor="text2"/>
          <w:sz w:val="28"/>
          <w:szCs w:val="28"/>
          <w:lang w:val="hy-AM"/>
        </w:rPr>
        <w:br w:type="page"/>
      </w:r>
    </w:p>
    <w:p w14:paraId="088C8005" w14:textId="77777777" w:rsidR="009D2825" w:rsidRPr="009A7904" w:rsidRDefault="009D2825"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352" w:name="_Toc46154377"/>
      <w:r w:rsidRPr="009A7904">
        <w:rPr>
          <w:rFonts w:eastAsia="Times New Roman" w:cs="Times New Roman"/>
          <w:caps w:val="0"/>
          <w:color w:val="1F497D" w:themeColor="text2"/>
          <w:sz w:val="28"/>
          <w:szCs w:val="28"/>
        </w:rPr>
        <w:lastRenderedPageBreak/>
        <w:t>10</w:t>
      </w:r>
      <w:r w:rsidR="009858E4" w:rsidRPr="009A7904">
        <w:rPr>
          <w:rFonts w:eastAsia="Times New Roman" w:cs="Times New Roman"/>
          <w:caps w:val="0"/>
          <w:color w:val="1F497D" w:themeColor="text2"/>
          <w:sz w:val="28"/>
          <w:szCs w:val="28"/>
        </w:rPr>
        <w:t>.</w:t>
      </w:r>
      <w:r w:rsidRPr="009A7904">
        <w:rPr>
          <w:rFonts w:eastAsia="Times New Roman" w:cs="Times New Roman"/>
          <w:caps w:val="0"/>
          <w:color w:val="1F497D" w:themeColor="text2"/>
          <w:sz w:val="28"/>
          <w:szCs w:val="28"/>
        </w:rPr>
        <w:t xml:space="preserve"> ԱՐԴԱՐԱԴԱՏՈՒԹՅՈՒՆ</w:t>
      </w:r>
      <w:bookmarkEnd w:id="346"/>
      <w:bookmarkEnd w:id="347"/>
      <w:bookmarkEnd w:id="352"/>
      <w:r w:rsidRPr="009A7904">
        <w:rPr>
          <w:rFonts w:eastAsia="Times New Roman" w:cs="Times New Roman"/>
          <w:caps w:val="0"/>
          <w:color w:val="1F497D" w:themeColor="text2"/>
          <w:sz w:val="28"/>
          <w:szCs w:val="28"/>
        </w:rPr>
        <w:t xml:space="preserve"> </w:t>
      </w:r>
      <w:bookmarkEnd w:id="348"/>
    </w:p>
    <w:p w14:paraId="1117F7F1" w14:textId="77777777" w:rsidR="009D2825" w:rsidRPr="009A7904" w:rsidRDefault="009D2825" w:rsidP="009A7904">
      <w:pPr>
        <w:spacing w:line="276" w:lineRule="auto"/>
        <w:rPr>
          <w:rFonts w:eastAsia="GHEA Grapalat" w:cs="GHEA Grapalat"/>
          <w:lang w:val="hy-AM"/>
        </w:rPr>
      </w:pPr>
    </w:p>
    <w:p w14:paraId="5F8F8DE6"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xml:space="preserve">ՄԺԾԾ ժամանակահատվածում արդարադատության </w:t>
      </w:r>
      <w:r w:rsidRPr="009A7904">
        <w:rPr>
          <w:rFonts w:cs="Sylfaen"/>
          <w:kern w:val="16"/>
          <w:lang w:val="hy-AM"/>
        </w:rPr>
        <w:t>ոլորտում</w:t>
      </w:r>
      <w:r w:rsidRPr="009A7904">
        <w:rPr>
          <w:rFonts w:eastAsia="GHEA Grapalat" w:cs="GHEA Grapalat"/>
          <w:lang w:val="hy-AM"/>
        </w:rPr>
        <w:t xml:space="preserve"> իրականացվող ծախսային գերակայությունները բխում են կառավարության ծրագրից, նախարարության ընդհանուր ռազմավարական նպատակներից: </w:t>
      </w:r>
    </w:p>
    <w:p w14:paraId="214396FC"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xml:space="preserve">Արդարադատության </w:t>
      </w:r>
      <w:r w:rsidRPr="009A7904">
        <w:rPr>
          <w:rFonts w:cs="Sylfaen"/>
          <w:kern w:val="16"/>
          <w:lang w:val="hy-AM"/>
        </w:rPr>
        <w:t>ոլորտում</w:t>
      </w:r>
      <w:r w:rsidRPr="009A7904">
        <w:rPr>
          <w:rFonts w:eastAsia="GHEA Grapalat" w:cs="GHEA Grapalat"/>
          <w:lang w:val="hy-AM"/>
        </w:rPr>
        <w:t xml:space="preserve">  առաջիկա տարիների համար առավել կարևորում է ծախսային հետևյալ գերակայությունները.</w:t>
      </w:r>
    </w:p>
    <w:p w14:paraId="390400A3" w14:textId="4F99F7CB"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xml:space="preserve">Արդարադատության </w:t>
      </w:r>
      <w:r w:rsidRPr="009A7904">
        <w:rPr>
          <w:rFonts w:cs="Sylfaen"/>
          <w:kern w:val="16"/>
          <w:lang w:val="hy-AM"/>
        </w:rPr>
        <w:t>ոլորտում</w:t>
      </w:r>
      <w:r w:rsidRPr="009A7904">
        <w:rPr>
          <w:rFonts w:eastAsia="GHEA Grapalat" w:cs="GHEA Grapalat"/>
          <w:lang w:val="hy-AM"/>
        </w:rPr>
        <w:t xml:space="preserve">  գործունեության արդյունավետության, նպատակաուղղվա</w:t>
      </w:r>
      <w:r w:rsidR="007724F4">
        <w:rPr>
          <w:rFonts w:eastAsia="GHEA Grapalat" w:cs="GHEA Grapalat"/>
          <w:lang w:val="hy-AM"/>
        </w:rPr>
        <w:t>ծ</w:t>
      </w:r>
      <w:r w:rsidRPr="009A7904">
        <w:rPr>
          <w:rFonts w:eastAsia="GHEA Grapalat" w:cs="GHEA Grapalat"/>
          <w:lang w:val="hy-AM"/>
        </w:rPr>
        <w:t>ության և բարձրացման, հանրությանը մատուցվող ծառայութ</w:t>
      </w:r>
      <w:r w:rsidR="007724F4">
        <w:rPr>
          <w:rFonts w:eastAsia="GHEA Grapalat" w:cs="GHEA Grapalat"/>
          <w:lang w:val="hy-AM"/>
        </w:rPr>
        <w:t>յ</w:t>
      </w:r>
      <w:r w:rsidRPr="009A7904">
        <w:rPr>
          <w:rFonts w:eastAsia="GHEA Grapalat" w:cs="GHEA Grapalat"/>
          <w:lang w:val="hy-AM"/>
        </w:rPr>
        <w:t>ունները բնակչության համար ավելի մատչելի դարձնելու նպատակով իրականացվող բարեփոխումների ֆինանսական ապահովում, հակակոռուպցիոն ինստիտուցիոնալ համակարգի ստեղծում և զարգացում, կանխարգելման և բացահայտման մեխանիզմների ներդրում, հանրային իրազեկման ծրագրերի իրականացում.</w:t>
      </w:r>
    </w:p>
    <w:p w14:paraId="699944CE" w14:textId="77777777" w:rsidR="009D2825" w:rsidRPr="009A7904" w:rsidRDefault="009D2825" w:rsidP="009A7904">
      <w:pPr>
        <w:spacing w:line="276" w:lineRule="auto"/>
        <w:rPr>
          <w:rFonts w:eastAsia="GHEA Grapalat" w:cs="GHEA Grapalat"/>
          <w:lang w:val="hy-AM"/>
        </w:rPr>
      </w:pPr>
      <w:r w:rsidRPr="009A7904">
        <w:rPr>
          <w:rFonts w:eastAsia="GHEA Grapalat" w:cs="GHEA Grapalat"/>
          <w:lang w:val="hy-AM"/>
        </w:rPr>
        <w:t xml:space="preserve">Քրեակատարողական համակարգի կատարելագործում, </w:t>
      </w:r>
      <w:r w:rsidRPr="009A7904">
        <w:rPr>
          <w:rFonts w:eastAsia="GHEA Grapalat" w:cs="GHEA Grapalat"/>
          <w:color w:val="000000"/>
          <w:lang w:val="hy-AM"/>
        </w:rPr>
        <w:t xml:space="preserve">քրեակատարողական հիմնարկների օպտիմալացում և արդիականացում, </w:t>
      </w:r>
      <w:r w:rsidRPr="009A7904">
        <w:rPr>
          <w:rFonts w:eastAsia="GHEA Grapalat" w:cs="GHEA Grapalat"/>
          <w:lang w:val="hy-AM"/>
        </w:rPr>
        <w:t>արտաքին աշխարհի հետ կապի ամրապնդման, պահման պայմանների բարելավման, տրամադրվող բժշկական օգնության և սպասարկման որակի բարձրացում.</w:t>
      </w:r>
    </w:p>
    <w:p w14:paraId="37F179A3" w14:textId="77777777" w:rsidR="009D2825" w:rsidRPr="009A7904" w:rsidRDefault="009D2825" w:rsidP="009A7904">
      <w:pPr>
        <w:shd w:val="clear" w:color="auto" w:fill="FFFFFF"/>
        <w:spacing w:after="0" w:line="276" w:lineRule="auto"/>
        <w:rPr>
          <w:rFonts w:cs="Sylfaen"/>
          <w:b/>
          <w:kern w:val="16"/>
          <w:lang w:val="hy-AM"/>
        </w:rPr>
      </w:pPr>
      <w:r w:rsidRPr="009A7904">
        <w:rPr>
          <w:rFonts w:cs="Sylfaen"/>
          <w:b/>
          <w:kern w:val="16"/>
          <w:lang w:val="hy-AM"/>
        </w:rPr>
        <w:t>ՈԼՈՐՏԱՅԻՆ ԾԱԽՍԱՅԻՆ ԾՐԱԳՐԵՐԸ</w:t>
      </w:r>
    </w:p>
    <w:p w14:paraId="45D44425" w14:textId="77777777" w:rsidR="009D2825" w:rsidRPr="009A7904" w:rsidRDefault="009D2825" w:rsidP="009A7904">
      <w:pPr>
        <w:spacing w:line="276" w:lineRule="auto"/>
        <w:rPr>
          <w:lang w:val="hy-AM"/>
        </w:rPr>
      </w:pPr>
      <w:r w:rsidRPr="009A7904">
        <w:rPr>
          <w:rFonts w:cs="Sylfaen"/>
          <w:b/>
          <w:lang w:val="hy-AM"/>
        </w:rPr>
        <w:t xml:space="preserve"> </w:t>
      </w:r>
      <w:r w:rsidRPr="009A7904">
        <w:rPr>
          <w:rFonts w:eastAsia="GHEA Grapalat" w:cs="GHEA Grapalat"/>
          <w:lang w:val="hy-AM"/>
        </w:rPr>
        <w:t>«Քաղաքացիական կացության ակտերի գրանցում</w:t>
      </w:r>
      <w:r w:rsidRPr="009A7904">
        <w:rPr>
          <w:rFonts w:eastAsia="GHEA Grapalat" w:cs="GHEA Grapalat"/>
          <w:b/>
          <w:color w:val="1D2228"/>
          <w:lang w:val="hy-AM"/>
        </w:rPr>
        <w:t xml:space="preserve">» </w:t>
      </w:r>
      <w:r w:rsidRPr="009A7904">
        <w:rPr>
          <w:rFonts w:eastAsia="GHEA Grapalat" w:cs="GHEA Grapalat"/>
          <w:lang w:val="hy-AM"/>
        </w:rPr>
        <w:t>ծրագրի նպատակն է ապահովել քաղաքացիական կացության ակտերի գրանցման, տեղեկանքների տրամադրման, ակտային գրանցումների վերականգնման, ակտային գրանցումներում ուղղումների, փոփոխությունների կատարման համար համայնքի ղեկավարին պատվիրակված լիազորությունների իրականացումը</w:t>
      </w:r>
      <w:r w:rsidRPr="009A7904">
        <w:rPr>
          <w:rFonts w:cs="Sylfaen"/>
          <w:kern w:val="16"/>
          <w:lang w:val="hy-AM"/>
        </w:rPr>
        <w:t xml:space="preserve">, </w:t>
      </w:r>
      <w:r w:rsidRPr="009A7904">
        <w:rPr>
          <w:rFonts w:cs="Sylfaen"/>
          <w:iCs/>
          <w:kern w:val="16"/>
          <w:lang w:val="hy-AM"/>
        </w:rPr>
        <w:t>որի ուղղությամբ 2021-2023թթ. նախատեսվում է յուրաքանչյուր տարի հատկացնել 330.6 մլն դրամ:</w:t>
      </w:r>
    </w:p>
    <w:p w14:paraId="7B4728CA" w14:textId="77777777" w:rsidR="009D2825" w:rsidRPr="009A7904" w:rsidRDefault="009D2825" w:rsidP="009A7904">
      <w:pPr>
        <w:spacing w:before="0" w:after="0" w:line="276" w:lineRule="auto"/>
        <w:rPr>
          <w:rFonts w:cs="Sylfaen"/>
          <w:kern w:val="16"/>
          <w:lang w:val="hy-AM"/>
        </w:rPr>
      </w:pPr>
      <w:r w:rsidRPr="009A7904">
        <w:rPr>
          <w:rFonts w:eastAsia="GHEA Grapalat" w:cs="GHEA Grapalat"/>
          <w:lang w:val="hy-AM"/>
        </w:rPr>
        <w:t>«Արդարադատության ոլորտում քաղաքականության  մշակում, ծրագրերի համակարգում, խորհրդատվության և մոնիտորինգի իրականացում»</w:t>
      </w:r>
      <w:r w:rsidRPr="009A7904">
        <w:rPr>
          <w:rFonts w:cs="Sylfaen"/>
          <w:kern w:val="16"/>
          <w:lang w:val="hy-AM"/>
        </w:rPr>
        <w:t xml:space="preserve"> </w:t>
      </w:r>
      <w:r w:rsidRPr="009A7904">
        <w:rPr>
          <w:rFonts w:eastAsia="GHEA Grapalat" w:cs="GHEA Grapalat"/>
          <w:lang w:val="hy-AM"/>
        </w:rPr>
        <w:t>ծրագրի</w:t>
      </w:r>
      <w:r w:rsidRPr="009A7904">
        <w:rPr>
          <w:rFonts w:cs="Sylfaen"/>
          <w:kern w:val="16"/>
          <w:lang w:val="hy-AM"/>
        </w:rPr>
        <w:t xml:space="preserve"> ուղղությամբ 2021-2023թթ. նախատեսվում է հատկացնել համապատասխանաբար՝ 1,755.9 մլն դրամ, 1,767.6 մլն դրամ և 1,718.9 մլն դրամ:</w:t>
      </w:r>
    </w:p>
    <w:p w14:paraId="73F4B60E" w14:textId="77777777" w:rsidR="009D2825" w:rsidRPr="009A7904" w:rsidRDefault="009D2825" w:rsidP="009A7904">
      <w:pPr>
        <w:shd w:val="clear" w:color="auto" w:fill="FFFFFF"/>
        <w:spacing w:before="0" w:after="0" w:line="276" w:lineRule="auto"/>
        <w:rPr>
          <w:rFonts w:eastAsia="GHEA Grapalat" w:cs="GHEA Grapalat"/>
          <w:lang w:val="hy-AM"/>
        </w:rPr>
      </w:pPr>
      <w:r w:rsidRPr="009A7904">
        <w:rPr>
          <w:rFonts w:eastAsia="GHEA Grapalat" w:cs="GHEA Grapalat"/>
          <w:lang w:val="hy-AM"/>
        </w:rPr>
        <w:t>«Դատական և հանրային պաշտպանություն»</w:t>
      </w:r>
      <w:r w:rsidRPr="009A7904">
        <w:rPr>
          <w:rFonts w:cs="Sylfaen"/>
          <w:kern w:val="16"/>
          <w:lang w:val="hy-AM"/>
        </w:rPr>
        <w:t xml:space="preserve"> </w:t>
      </w:r>
      <w:r w:rsidRPr="009A7904">
        <w:rPr>
          <w:rFonts w:eastAsia="GHEA Grapalat" w:cs="GHEA Grapalat"/>
          <w:lang w:val="hy-AM"/>
        </w:rPr>
        <w:t>ծրագրի նպատակն է իրավունքի պաշտպանության հասանելիության և օբյեկտիվության ապահովումը</w:t>
      </w:r>
      <w:r w:rsidRPr="009A7904">
        <w:rPr>
          <w:rFonts w:cs="Sylfaen"/>
          <w:kern w:val="16"/>
          <w:lang w:val="hy-AM"/>
        </w:rPr>
        <w:t xml:space="preserve">, </w:t>
      </w:r>
      <w:r w:rsidRPr="009A7904">
        <w:rPr>
          <w:rFonts w:cs="Sylfaen"/>
          <w:iCs/>
          <w:kern w:val="16"/>
          <w:lang w:val="hy-AM"/>
        </w:rPr>
        <w:t>որի ուղղությամբ 2021-2023թթ. նախատեսվում է յուրաքանչյուր տարի հատկացնել 672.1 մլն դրամ:</w:t>
      </w:r>
    </w:p>
    <w:p w14:paraId="0DF92DDA" w14:textId="77777777" w:rsidR="009D2825" w:rsidRPr="009A7904" w:rsidRDefault="009D2825" w:rsidP="009A7904">
      <w:pPr>
        <w:spacing w:before="0" w:after="0" w:line="276" w:lineRule="auto"/>
        <w:rPr>
          <w:rFonts w:cs="Sylfaen"/>
          <w:kern w:val="16"/>
          <w:lang w:val="hy-AM"/>
        </w:rPr>
      </w:pPr>
      <w:r w:rsidRPr="009A7904">
        <w:rPr>
          <w:rFonts w:eastAsia="GHEA Grapalat" w:cs="GHEA Grapalat"/>
          <w:lang w:val="hy-AM"/>
        </w:rPr>
        <w:t>«Քրեակատարողական ծառայություններ» ծրագրի միջոցներն ուղղվում են քրեակատարողական հիմնարկների օպտիմալացմանը և արդիականացմանը, արտաքին աշխարհի հետ կապի ամրապնդմանը, պահման պայմանների բարելավման, տրամադրվող բժշկական օգնության և սպասարկման որակի բարձրացմանը, պրոբացիայի խնդիրների լուծմանը: Ծրագրի</w:t>
      </w:r>
      <w:r w:rsidRPr="009A7904">
        <w:rPr>
          <w:rFonts w:ascii="Courier New" w:eastAsia="Courier New" w:hAnsi="Courier New" w:cs="Courier New"/>
          <w:lang w:val="hy-AM"/>
        </w:rPr>
        <w:t> </w:t>
      </w:r>
      <w:r w:rsidRPr="009A7904">
        <w:rPr>
          <w:rFonts w:eastAsia="GHEA Grapalat" w:cs="GHEA Grapalat"/>
          <w:lang w:val="hy-AM"/>
        </w:rPr>
        <w:t xml:space="preserve"> զարգացման</w:t>
      </w:r>
      <w:r w:rsidRPr="009A7904">
        <w:rPr>
          <w:rFonts w:ascii="Courier New" w:eastAsia="Courier New" w:hAnsi="Courier New" w:cs="Courier New"/>
          <w:lang w:val="hy-AM"/>
        </w:rPr>
        <w:t> </w:t>
      </w:r>
      <w:r w:rsidRPr="009A7904">
        <w:rPr>
          <w:rFonts w:eastAsia="GHEA Grapalat" w:cs="GHEA Grapalat"/>
          <w:lang w:val="hy-AM"/>
        </w:rPr>
        <w:t xml:space="preserve"> առաջնահերթությունը հաշվի առնելով`</w:t>
      </w:r>
      <w:r w:rsidRPr="009A7904">
        <w:rPr>
          <w:rFonts w:ascii="Courier New" w:eastAsia="Courier New" w:hAnsi="Courier New" w:cs="Courier New"/>
          <w:lang w:val="hy-AM"/>
        </w:rPr>
        <w:t> </w:t>
      </w:r>
      <w:r w:rsidRPr="009A7904">
        <w:rPr>
          <w:rFonts w:eastAsia="GHEA Grapalat" w:cs="GHEA Grapalat"/>
          <w:lang w:val="hy-AM"/>
        </w:rPr>
        <w:t xml:space="preserve"> վերջին</w:t>
      </w:r>
      <w:r w:rsidRPr="009A7904">
        <w:rPr>
          <w:rFonts w:ascii="Courier New" w:eastAsia="Courier New" w:hAnsi="Courier New" w:cs="Courier New"/>
          <w:lang w:val="hy-AM"/>
        </w:rPr>
        <w:t> </w:t>
      </w:r>
      <w:r w:rsidRPr="009A7904">
        <w:rPr>
          <w:rFonts w:eastAsia="GHEA Grapalat" w:cs="GHEA Grapalat"/>
          <w:lang w:val="hy-AM"/>
        </w:rPr>
        <w:t xml:space="preserve"> 3</w:t>
      </w:r>
      <w:r w:rsidRPr="009A7904">
        <w:rPr>
          <w:rFonts w:ascii="Courier New" w:eastAsia="Courier New" w:hAnsi="Courier New" w:cs="Courier New"/>
          <w:lang w:val="hy-AM"/>
        </w:rPr>
        <w:t> </w:t>
      </w:r>
      <w:r w:rsidRPr="009A7904">
        <w:rPr>
          <w:rFonts w:eastAsia="GHEA Grapalat" w:cs="GHEA Grapalat"/>
          <w:lang w:val="hy-AM"/>
        </w:rPr>
        <w:t xml:space="preserve"> տարիների ընթացքում</w:t>
      </w:r>
      <w:r w:rsidRPr="009A7904">
        <w:rPr>
          <w:rFonts w:ascii="Courier New" w:eastAsia="Courier New" w:hAnsi="Courier New" w:cs="Courier New"/>
          <w:lang w:val="hy-AM"/>
        </w:rPr>
        <w:t> </w:t>
      </w:r>
      <w:r w:rsidRPr="009A7904">
        <w:rPr>
          <w:rFonts w:eastAsia="GHEA Grapalat" w:cs="GHEA Grapalat"/>
          <w:lang w:val="hy-AM"/>
        </w:rPr>
        <w:t>ծրագրին</w:t>
      </w:r>
      <w:r w:rsidRPr="009A7904">
        <w:rPr>
          <w:rFonts w:ascii="Courier New" w:eastAsia="Courier New" w:hAnsi="Courier New" w:cs="Courier New"/>
          <w:lang w:val="hy-AM"/>
        </w:rPr>
        <w:t> </w:t>
      </w:r>
      <w:r w:rsidRPr="009A7904">
        <w:rPr>
          <w:rFonts w:eastAsia="GHEA Grapalat" w:cs="GHEA Grapalat"/>
          <w:lang w:val="hy-AM"/>
        </w:rPr>
        <w:t>ուղղվող</w:t>
      </w:r>
      <w:r w:rsidRPr="009A7904">
        <w:rPr>
          <w:rFonts w:ascii="Courier New" w:eastAsia="Courier New" w:hAnsi="Courier New" w:cs="Courier New"/>
          <w:lang w:val="hy-AM"/>
        </w:rPr>
        <w:t> </w:t>
      </w:r>
      <w:r w:rsidRPr="009A7904">
        <w:rPr>
          <w:rFonts w:eastAsia="GHEA Grapalat" w:cs="GHEA Grapalat"/>
          <w:lang w:val="hy-AM"/>
        </w:rPr>
        <w:t>միջոցները</w:t>
      </w:r>
      <w:r w:rsidRPr="009A7904">
        <w:rPr>
          <w:rFonts w:ascii="Courier New" w:eastAsia="Courier New" w:hAnsi="Courier New" w:cs="Courier New"/>
          <w:lang w:val="hy-AM"/>
        </w:rPr>
        <w:t> </w:t>
      </w:r>
      <w:r w:rsidRPr="009A7904">
        <w:rPr>
          <w:rFonts w:eastAsia="GHEA Grapalat" w:cs="GHEA Grapalat"/>
          <w:lang w:val="hy-AM"/>
        </w:rPr>
        <w:t>զգալի</w:t>
      </w:r>
      <w:r w:rsidRPr="009A7904">
        <w:rPr>
          <w:rFonts w:ascii="Courier New" w:eastAsia="Courier New" w:hAnsi="Courier New" w:cs="Courier New"/>
          <w:lang w:val="hy-AM"/>
        </w:rPr>
        <w:t> </w:t>
      </w:r>
      <w:r w:rsidRPr="009A7904">
        <w:rPr>
          <w:rFonts w:eastAsia="GHEA Grapalat" w:cs="GHEA Grapalat"/>
          <w:lang w:val="hy-AM"/>
        </w:rPr>
        <w:t>ավելացվել</w:t>
      </w:r>
      <w:r w:rsidRPr="009A7904">
        <w:rPr>
          <w:rFonts w:ascii="Courier New" w:eastAsia="Courier New" w:hAnsi="Courier New" w:cs="Courier New"/>
          <w:lang w:val="hy-AM"/>
        </w:rPr>
        <w:t> </w:t>
      </w:r>
      <w:r w:rsidRPr="009A7904">
        <w:rPr>
          <w:rFonts w:eastAsia="GHEA Grapalat" w:cs="GHEA Grapalat"/>
          <w:lang w:val="hy-AM"/>
        </w:rPr>
        <w:t>են: Ծրագրի</w:t>
      </w:r>
      <w:r w:rsidRPr="009A7904">
        <w:rPr>
          <w:rFonts w:cs="Sylfaen"/>
          <w:kern w:val="16"/>
          <w:lang w:val="hy-AM"/>
        </w:rPr>
        <w:t xml:space="preserve"> </w:t>
      </w:r>
      <w:r w:rsidRPr="009A7904">
        <w:rPr>
          <w:rFonts w:eastAsia="GHEA Grapalat" w:cs="GHEA Grapalat"/>
          <w:lang w:val="hy-AM"/>
        </w:rPr>
        <w:t>գծով</w:t>
      </w:r>
      <w:r w:rsidRPr="009A7904">
        <w:rPr>
          <w:rFonts w:cs="Sylfaen"/>
          <w:kern w:val="16"/>
          <w:lang w:val="hy-AM"/>
        </w:rPr>
        <w:t xml:space="preserve"> 2021-2023թթ. </w:t>
      </w:r>
      <w:r w:rsidRPr="009A7904">
        <w:rPr>
          <w:rFonts w:cs="Sylfaen"/>
          <w:kern w:val="16"/>
          <w:lang w:val="hy-AM"/>
        </w:rPr>
        <w:lastRenderedPageBreak/>
        <w:t>նախատեսվում է հատկացնել համապատասխանաբար՝ 12,378.4 մլն դրամ, 12,385.4 մլն դրամ և 12,392.5 մլն դրամ:</w:t>
      </w:r>
    </w:p>
    <w:p w14:paraId="2B60B3ED" w14:textId="77777777" w:rsidR="009D2825" w:rsidRPr="009A7904" w:rsidRDefault="009D2825" w:rsidP="009A7904">
      <w:pPr>
        <w:spacing w:line="276" w:lineRule="auto"/>
        <w:rPr>
          <w:rFonts w:cs="Sylfaen"/>
          <w:kern w:val="16"/>
          <w:lang w:val="hy-AM"/>
        </w:rPr>
      </w:pPr>
      <w:r w:rsidRPr="009A7904">
        <w:rPr>
          <w:rFonts w:eastAsia="GHEA Grapalat" w:cs="GHEA Grapalat"/>
          <w:lang w:val="hy-AM"/>
        </w:rPr>
        <w:t xml:space="preserve">«Իրավական իրազեկում և տեղեկատվության  ապահովում» ծրագրի նպատակն է իրավական ակտերի պաշտոնական հրատարակումը և վերահրատարակումը, </w:t>
      </w:r>
      <w:r w:rsidRPr="009A7904">
        <w:rPr>
          <w:rFonts w:eastAsia="GHEA Grapalat" w:cs="GHEA Grapalat"/>
          <w:color w:val="000000"/>
          <w:lang w:val="hy-AM"/>
        </w:rPr>
        <w:t xml:space="preserve"> պետական մարմիններին բաշխումը, </w:t>
      </w:r>
      <w:r w:rsidRPr="009A7904">
        <w:rPr>
          <w:rFonts w:eastAsia="GHEA Grapalat" w:cs="GHEA Grapalat"/>
          <w:lang w:val="hy-AM"/>
        </w:rPr>
        <w:t>Հայաստանի իրավական  (ՀԻՏՀ) տեղեկատվության համակարգ` «ԱՐԼԻՍ» ծրագրի պահպանումը, կառավարումը և սպասարկումը, ինկորպորացիայի ենթարկված իրավական ակտերի էլեկտրոնային ժողովածուի ստեղծումը և իրավական ակտերի պաշտոնական ինկորպորացիայի արդարադատության նախարարության աշխատակազմում, քաղաքացիական կացության ակտերի գրանցման գործակալության տարածքային բաժիններում օգտագործվող պոլիգրաֆիական արտադրանքի (վկայականներ, գրանցամատյաններ, ձևեր,ձևաթղթեր) ձեռքբերման աշխատանքները: ՀՀ, ԵՏՄ, ԵՄ իրավական ակտերի, ՀՀ ազգային զեկույցների, ՀՀ պետական մարմինների կողմից միջազգային կառույցներ ներկայացվող և այդ կառույցների կողմից ՀՀ մարմիններ ներկայացվող փաստաթղթերի, այլ պետությունների հետ Հայաստանի Հանրապետության երկկողմ հարաբերությունների շրջանակներում դատական ակտերի և հարակից փաստաթղթերի, Հայաստանի Հանրապետության վերաբերյալ Մարդու իրավունքների եվրոպական դատարանի վճիռների և հանձնարարվող այլ առանցքային փաստաթղթերի թարգմանությունների կատարումն ու ժամանակին ներկայացումը շահառու մարմիններին: Ծրագրի</w:t>
      </w:r>
      <w:r w:rsidRPr="009A7904">
        <w:rPr>
          <w:rFonts w:cs="Sylfaen"/>
          <w:kern w:val="16"/>
          <w:lang w:val="hy-AM"/>
        </w:rPr>
        <w:t xml:space="preserve"> </w:t>
      </w:r>
      <w:r w:rsidRPr="009A7904">
        <w:rPr>
          <w:rFonts w:eastAsia="GHEA Grapalat" w:cs="GHEA Grapalat"/>
          <w:lang w:val="hy-AM"/>
        </w:rPr>
        <w:t>գծով</w:t>
      </w:r>
      <w:r w:rsidRPr="009A7904">
        <w:rPr>
          <w:rFonts w:cs="Sylfaen"/>
          <w:kern w:val="16"/>
          <w:lang w:val="hy-AM"/>
        </w:rPr>
        <w:t xml:space="preserve"> 2021-2023թթ. նախատեսվում է հատկացնել համապատասխանաբար՝ 635.6 մլն դրամ, 639.3 մլն դրամ և 639.3 մլն դրամ:</w:t>
      </w:r>
    </w:p>
    <w:p w14:paraId="37E359A0" w14:textId="77777777" w:rsidR="009D2825" w:rsidRPr="009A7904" w:rsidRDefault="009D2825" w:rsidP="009A7904">
      <w:pPr>
        <w:shd w:val="clear" w:color="auto" w:fill="FFFFFF"/>
        <w:spacing w:line="276" w:lineRule="auto"/>
        <w:rPr>
          <w:lang w:val="hy-AM"/>
        </w:rPr>
      </w:pPr>
      <w:r w:rsidRPr="009A7904">
        <w:rPr>
          <w:rFonts w:eastAsia="GHEA Grapalat" w:cs="GHEA Grapalat"/>
          <w:color w:val="1D2228"/>
          <w:lang w:val="hy-AM"/>
        </w:rPr>
        <w:t xml:space="preserve">«Արդարադատության համակարգի աշխատակիցների վերապատրաստում և հատուկ ուսուցում» </w:t>
      </w:r>
      <w:r w:rsidRPr="009A7904">
        <w:rPr>
          <w:rFonts w:eastAsia="GHEA Grapalat" w:cs="GHEA Grapalat"/>
          <w:lang w:val="hy-AM"/>
        </w:rPr>
        <w:t>ծրագրի</w:t>
      </w:r>
      <w:r w:rsidRPr="009A7904">
        <w:rPr>
          <w:rFonts w:eastAsia="GHEA Grapalat" w:cs="GHEA Grapalat"/>
          <w:color w:val="1D2228"/>
          <w:lang w:val="hy-AM"/>
        </w:rPr>
        <w:t xml:space="preserve"> </w:t>
      </w:r>
      <w:r w:rsidRPr="009A7904">
        <w:rPr>
          <w:rFonts w:eastAsia="GHEA Grapalat" w:cs="GHEA Grapalat"/>
          <w:lang w:val="hy-AM"/>
        </w:rPr>
        <w:t>գծով</w:t>
      </w:r>
      <w:r w:rsidRPr="009A7904">
        <w:rPr>
          <w:rFonts w:cs="Sylfaen"/>
          <w:kern w:val="16"/>
          <w:lang w:val="hy-AM"/>
        </w:rPr>
        <w:t xml:space="preserve"> 2021-2023թթ. նախատեսվում է </w:t>
      </w:r>
      <w:r w:rsidRPr="009A7904">
        <w:rPr>
          <w:rFonts w:cs="Sylfaen"/>
          <w:iCs/>
          <w:kern w:val="16"/>
          <w:lang w:val="hy-AM"/>
        </w:rPr>
        <w:t>յուրաքանչյուր տարի հատկացնել 495.0 մլն դրամ:</w:t>
      </w:r>
    </w:p>
    <w:p w14:paraId="27F21064" w14:textId="77777777" w:rsidR="009D2825" w:rsidRPr="009A7904" w:rsidRDefault="009D2825" w:rsidP="009A7904">
      <w:pPr>
        <w:spacing w:line="276" w:lineRule="auto"/>
        <w:rPr>
          <w:rFonts w:cs="Sylfaen"/>
          <w:kern w:val="16"/>
          <w:lang w:val="hy-AM"/>
        </w:rPr>
      </w:pPr>
      <w:r w:rsidRPr="009A7904">
        <w:rPr>
          <w:rFonts w:eastAsia="GHEA Grapalat" w:cs="GHEA Grapalat"/>
          <w:color w:val="1D2228"/>
          <w:lang w:val="hy-AM"/>
        </w:rPr>
        <w:t xml:space="preserve">«Հարկադիր կատարման ծառայություններ» </w:t>
      </w:r>
      <w:r w:rsidRPr="009A7904">
        <w:rPr>
          <w:rFonts w:eastAsia="GHEA Grapalat" w:cs="GHEA Grapalat"/>
          <w:lang w:val="hy-AM"/>
        </w:rPr>
        <w:t>ծրագրի</w:t>
      </w:r>
      <w:r w:rsidRPr="009A7904">
        <w:rPr>
          <w:rFonts w:eastAsia="GHEA Grapalat" w:cs="GHEA Grapalat"/>
          <w:color w:val="1D2228"/>
          <w:lang w:val="hy-AM"/>
        </w:rPr>
        <w:t xml:space="preserve"> </w:t>
      </w:r>
      <w:r w:rsidRPr="009A7904">
        <w:rPr>
          <w:rFonts w:eastAsia="GHEA Grapalat" w:cs="GHEA Grapalat"/>
          <w:lang w:val="hy-AM"/>
        </w:rPr>
        <w:t>գծով</w:t>
      </w:r>
      <w:r w:rsidRPr="009A7904">
        <w:rPr>
          <w:rFonts w:cs="Sylfaen"/>
          <w:kern w:val="16"/>
          <w:lang w:val="hy-AM"/>
        </w:rPr>
        <w:t xml:space="preserve"> 2021-2023թթ. նախատեսվում է նախատեսվում է հատկացնել համապատասխանաբար՝ 2,340.6 մլն դրամ, 2,333.5 մլն դրամ և 2,359.2 մլն դրամ:</w:t>
      </w:r>
    </w:p>
    <w:p w14:paraId="0C6B87D3" w14:textId="77777777" w:rsidR="009D2825" w:rsidRPr="009A7904" w:rsidRDefault="009D2825" w:rsidP="009A7904">
      <w:pPr>
        <w:spacing w:line="276" w:lineRule="auto"/>
        <w:rPr>
          <w:rFonts w:eastAsia="GHEA Grapalat" w:cs="GHEA Grapalat"/>
          <w:color w:val="1D2228"/>
          <w:lang w:val="hy-AM"/>
        </w:rPr>
      </w:pPr>
      <w:r w:rsidRPr="009A7904">
        <w:rPr>
          <w:rFonts w:eastAsia="GHEA Grapalat" w:cs="GHEA Grapalat"/>
          <w:color w:val="1D2228"/>
          <w:lang w:val="hy-AM"/>
        </w:rPr>
        <w:t>«Հակակոռուպցիոն քաղաքականության մշակում, ծրագրերի համակարգում և մոնիթորինգի իրականացում» ծրագիրը հանդիսանում է նոր ծրագիր, որի նպատակն է Հայաստանի Հանրապետությունում կոռուպցիոն իրավախախտումների բացահայտումը, կոռուպցիոն հանցագործությունների քննությունը դարձնել ավելի արդյունավետ՝ մասնագիտացված հակակոռուպցիոն մարմնի միջոցով վերջինս իրականացնելու եղանակով, ինստիտուցիոնալ հենքեր ստեղծել կոռուպցիոն գործերով նախաքննություն իրականացնող անձանց մասնագիտացման համար: Ապահովել  կոռուպցիոն հանցագործությունների հանցակազմերի համապատասխանությունը  «Կոռուպցիայի դեմ» կոնվենցիայի, Եվրոպայի խորհրդի «Կոռուպցիայի մասին» քրեական իրավունքի կոնվենցիայի պահանջներին, ՏՀԶԿ հակակոռուպցիոն ցանցի, ԵԽ ու ԵՄ փորձագետների առաջարկություններին: Կոռուպցիոն հանցագործություն</w:t>
      </w:r>
      <w:r w:rsidRPr="009A7904">
        <w:rPr>
          <w:rFonts w:eastAsia="GHEA Grapalat" w:cs="GHEA Grapalat"/>
          <w:color w:val="1D2228"/>
          <w:lang w:val="hy-AM"/>
        </w:rPr>
        <w:softHyphen/>
        <w:t xml:space="preserve">ների քննության միասնականության ապահովման նպատակով մշակել կոռուպցիոն առանձին հանցագործությունների, այդ թվում՝ ապօրինի հարստացման, քննության մեթոդիկա: Ծրագրի համար ՀՀ 2021-2023թթ-ի ՄԺԾԾ-ով 2021թ-ի համար </w:t>
      </w:r>
      <w:r w:rsidRPr="009A7904">
        <w:rPr>
          <w:rFonts w:eastAsia="GHEA Grapalat" w:cs="GHEA Grapalat"/>
          <w:color w:val="1D2228"/>
          <w:lang w:val="hy-AM"/>
        </w:rPr>
        <w:lastRenderedPageBreak/>
        <w:t xml:space="preserve">նախատեսվել է հատկացնել 2,000.0 </w:t>
      </w:r>
      <w:r w:rsidRPr="009A7904">
        <w:rPr>
          <w:rFonts w:cs="Sylfaen"/>
          <w:kern w:val="16"/>
          <w:lang w:val="hy-AM"/>
        </w:rPr>
        <w:t>մլն</w:t>
      </w:r>
      <w:r w:rsidRPr="009A7904">
        <w:rPr>
          <w:rFonts w:eastAsia="GHEA Grapalat" w:cs="GHEA Grapalat"/>
          <w:color w:val="1D2228"/>
          <w:lang w:val="hy-AM"/>
        </w:rPr>
        <w:t xml:space="preserve"> դրամ՝ հակակոռուպցիոն կոմիտեի և հակակոռուպցիոն դատարանների շենքային պայմանների ապահովման համար: </w:t>
      </w:r>
    </w:p>
    <w:p w14:paraId="144665AC" w14:textId="77777777" w:rsidR="009D2825" w:rsidRPr="009A7904" w:rsidRDefault="009D2825" w:rsidP="009A7904">
      <w:pPr>
        <w:overflowPunct w:val="0"/>
        <w:autoSpaceDE w:val="0"/>
        <w:autoSpaceDN w:val="0"/>
        <w:adjustRightInd w:val="0"/>
        <w:spacing w:after="0" w:line="276" w:lineRule="auto"/>
        <w:ind w:firstLine="851"/>
        <w:textAlignment w:val="baseline"/>
        <w:rPr>
          <w:rFonts w:cs="Sylfaen"/>
          <w:kern w:val="16"/>
          <w:lang w:val="af-ZA"/>
        </w:rPr>
      </w:pPr>
      <w:r w:rsidRPr="009A7904">
        <w:rPr>
          <w:rFonts w:cs="Sylfaen"/>
          <w:kern w:val="16"/>
          <w:lang w:val="af-ZA"/>
        </w:rPr>
        <w:t>Ստորև ներկայացվում է արդարադատության ոլորտում  202</w:t>
      </w:r>
      <w:r w:rsidR="00F738AB" w:rsidRPr="009A7904">
        <w:rPr>
          <w:rFonts w:cs="Sylfaen"/>
          <w:kern w:val="16"/>
          <w:lang w:val="hy-AM"/>
        </w:rPr>
        <w:t>1</w:t>
      </w:r>
      <w:r w:rsidRPr="009A7904">
        <w:rPr>
          <w:rFonts w:cs="Sylfaen"/>
          <w:kern w:val="16"/>
          <w:lang w:val="af-ZA"/>
        </w:rPr>
        <w:t>-202</w:t>
      </w:r>
      <w:r w:rsidR="00F738AB" w:rsidRPr="009A7904">
        <w:rPr>
          <w:rFonts w:cs="Sylfaen"/>
          <w:kern w:val="16"/>
          <w:lang w:val="hy-AM"/>
        </w:rPr>
        <w:t>3</w:t>
      </w:r>
      <w:r w:rsidRPr="009A7904">
        <w:rPr>
          <w:rFonts w:cs="Sylfaen"/>
          <w:kern w:val="16"/>
          <w:lang w:val="af-ZA"/>
        </w:rPr>
        <w:t xml:space="preserve"> թվականների յուրաքանչյուր տարվա համար նախատեսված չափաքանակները.</w:t>
      </w:r>
    </w:p>
    <w:p w14:paraId="6BB73DEA" w14:textId="77777777" w:rsidR="009D2825" w:rsidRPr="009A7904" w:rsidRDefault="009D2825" w:rsidP="009A7904">
      <w:pPr>
        <w:overflowPunct w:val="0"/>
        <w:autoSpaceDE w:val="0"/>
        <w:autoSpaceDN w:val="0"/>
        <w:adjustRightInd w:val="0"/>
        <w:spacing w:after="0" w:line="276" w:lineRule="auto"/>
        <w:textAlignment w:val="baseline"/>
        <w:rPr>
          <w:rFonts w:cs="Sylfaen"/>
          <w:kern w:val="16"/>
          <w:lang w:val="af-ZA"/>
        </w:rPr>
      </w:pPr>
      <w:r w:rsidRPr="009A7904">
        <w:rPr>
          <w:rFonts w:cs="Sylfaen"/>
          <w:kern w:val="16"/>
          <w:lang w:val="af-ZA"/>
        </w:rPr>
        <w:t xml:space="preserve">    2021 թվականի համար</w:t>
      </w:r>
      <w:r w:rsidRPr="009A7904">
        <w:rPr>
          <w:rFonts w:cs="Sylfaen"/>
          <w:kern w:val="16"/>
          <w:lang w:val="hy-AM"/>
        </w:rPr>
        <w:t>՝</w:t>
      </w:r>
      <w:r w:rsidRPr="009A7904">
        <w:rPr>
          <w:rFonts w:cs="Sylfaen"/>
          <w:kern w:val="16"/>
          <w:lang w:val="af-ZA"/>
        </w:rPr>
        <w:t xml:space="preserve">  20,608.2 </w:t>
      </w:r>
      <w:r w:rsidRPr="009A7904">
        <w:rPr>
          <w:rFonts w:cs="Sylfaen"/>
          <w:kern w:val="16"/>
        </w:rPr>
        <w:t>մլն</w:t>
      </w:r>
      <w:r w:rsidRPr="009A7904">
        <w:rPr>
          <w:lang w:val="hy-AM"/>
        </w:rPr>
        <w:t xml:space="preserve"> դրամ,</w:t>
      </w:r>
    </w:p>
    <w:p w14:paraId="6FCF3051" w14:textId="77777777" w:rsidR="009D2825" w:rsidRPr="009A7904" w:rsidRDefault="009D2825" w:rsidP="009A7904">
      <w:pPr>
        <w:overflowPunct w:val="0"/>
        <w:autoSpaceDE w:val="0"/>
        <w:autoSpaceDN w:val="0"/>
        <w:adjustRightInd w:val="0"/>
        <w:spacing w:after="0" w:line="276" w:lineRule="auto"/>
        <w:textAlignment w:val="baseline"/>
        <w:rPr>
          <w:rFonts w:cs="Sylfaen"/>
          <w:kern w:val="16"/>
          <w:lang w:val="af-ZA"/>
        </w:rPr>
      </w:pPr>
      <w:r w:rsidRPr="009A7904">
        <w:rPr>
          <w:rFonts w:cs="Sylfaen"/>
          <w:kern w:val="16"/>
          <w:lang w:val="af-ZA"/>
        </w:rPr>
        <w:t xml:space="preserve">    2022 թվականի համար</w:t>
      </w:r>
      <w:r w:rsidRPr="009A7904">
        <w:rPr>
          <w:rFonts w:cs="Sylfaen"/>
          <w:kern w:val="16"/>
          <w:lang w:val="hy-AM"/>
        </w:rPr>
        <w:t>՝</w:t>
      </w:r>
      <w:r w:rsidRPr="009A7904">
        <w:rPr>
          <w:rFonts w:cs="Sylfaen"/>
          <w:kern w:val="16"/>
          <w:lang w:val="af-ZA"/>
        </w:rPr>
        <w:t xml:space="preserve">   18,623.5 </w:t>
      </w:r>
      <w:r w:rsidRPr="009A7904">
        <w:rPr>
          <w:rFonts w:cs="Sylfaen"/>
          <w:kern w:val="16"/>
        </w:rPr>
        <w:t>մլն</w:t>
      </w:r>
      <w:r w:rsidRPr="009A7904">
        <w:rPr>
          <w:lang w:val="hy-AM"/>
        </w:rPr>
        <w:t xml:space="preserve"> դրամ,</w:t>
      </w:r>
    </w:p>
    <w:p w14:paraId="7A7D8C6F" w14:textId="77777777" w:rsidR="009D2825" w:rsidRPr="009A7904" w:rsidRDefault="009D2825" w:rsidP="009A7904">
      <w:pPr>
        <w:spacing w:after="0" w:line="276" w:lineRule="auto"/>
        <w:rPr>
          <w:rFonts w:eastAsia="GHEA Grapalat" w:cs="GHEA Grapalat"/>
          <w:lang w:val="af-ZA"/>
        </w:rPr>
      </w:pPr>
      <w:r w:rsidRPr="009A7904">
        <w:rPr>
          <w:rFonts w:cs="Sylfaen"/>
          <w:kern w:val="16"/>
          <w:lang w:val="af-ZA"/>
        </w:rPr>
        <w:t xml:space="preserve">    2023 թվականի համար</w:t>
      </w:r>
      <w:r w:rsidRPr="009A7904">
        <w:rPr>
          <w:rFonts w:cs="Sylfaen"/>
          <w:kern w:val="16"/>
          <w:lang w:val="hy-AM"/>
        </w:rPr>
        <w:t>՝</w:t>
      </w:r>
      <w:r w:rsidRPr="009A7904">
        <w:rPr>
          <w:rFonts w:cs="Sylfaen"/>
          <w:kern w:val="16"/>
          <w:lang w:val="af-ZA"/>
        </w:rPr>
        <w:t xml:space="preserve">  18,607.6 </w:t>
      </w:r>
      <w:r w:rsidRPr="009A7904">
        <w:rPr>
          <w:rFonts w:cs="Sylfaen"/>
          <w:kern w:val="16"/>
        </w:rPr>
        <w:t>մլն</w:t>
      </w:r>
      <w:r w:rsidRPr="009A7904">
        <w:rPr>
          <w:lang w:val="hy-AM"/>
        </w:rPr>
        <w:t xml:space="preserve"> դրամ</w:t>
      </w:r>
      <w:r w:rsidRPr="009A7904">
        <w:rPr>
          <w:rFonts w:cs="Sylfaen"/>
          <w:kern w:val="16"/>
          <w:lang w:val="af-ZA"/>
        </w:rPr>
        <w:t>:</w:t>
      </w:r>
    </w:p>
    <w:p w14:paraId="3D8165A7" w14:textId="77777777" w:rsidR="009D2825" w:rsidRPr="009A7904" w:rsidRDefault="009D2825" w:rsidP="009A7904">
      <w:pPr>
        <w:tabs>
          <w:tab w:val="left" w:pos="540"/>
        </w:tabs>
        <w:spacing w:line="276" w:lineRule="auto"/>
        <w:rPr>
          <w:rFonts w:eastAsia="GHEA Grapalat" w:cs="GHEA Grapalat"/>
          <w:lang w:val="af-ZA"/>
        </w:rPr>
      </w:pPr>
      <w:r w:rsidRPr="009A7904">
        <w:rPr>
          <w:rFonts w:eastAsia="GHEA Grapalat" w:cs="GHEA Grapalat"/>
          <w:lang w:val="af-ZA"/>
        </w:rPr>
        <w:tab/>
      </w:r>
    </w:p>
    <w:p w14:paraId="28257DBA" w14:textId="77777777" w:rsidR="009D2825" w:rsidRPr="009A7904" w:rsidRDefault="009D2825" w:rsidP="009A7904">
      <w:pPr>
        <w:tabs>
          <w:tab w:val="left" w:pos="540"/>
        </w:tabs>
        <w:spacing w:line="276" w:lineRule="auto"/>
        <w:rPr>
          <w:rFonts w:cs="Sylfaen"/>
          <w:i/>
          <w:kern w:val="16"/>
          <w:lang w:val="af-ZA"/>
        </w:rPr>
      </w:pPr>
    </w:p>
    <w:p w14:paraId="41551C0A" w14:textId="77777777" w:rsidR="009A7904" w:rsidRDefault="009A7904">
      <w:pPr>
        <w:spacing w:before="0" w:after="200" w:line="276" w:lineRule="auto"/>
        <w:ind w:firstLine="0"/>
        <w:jc w:val="left"/>
        <w:rPr>
          <w:rFonts w:eastAsia="Times New Roman" w:cs="Times New Roman"/>
          <w:b/>
          <w:color w:val="1F497D" w:themeColor="text2"/>
          <w:sz w:val="28"/>
          <w:szCs w:val="28"/>
          <w:lang w:val="hy-AM"/>
        </w:rPr>
      </w:pPr>
      <w:bookmarkStart w:id="353" w:name="_Toc45637526"/>
      <w:bookmarkStart w:id="354" w:name="_Toc45838550"/>
      <w:bookmarkEnd w:id="349"/>
      <w:bookmarkEnd w:id="350"/>
      <w:bookmarkEnd w:id="351"/>
      <w:r w:rsidRPr="00BE7F99">
        <w:rPr>
          <w:rFonts w:eastAsia="Times New Roman" w:cs="Times New Roman"/>
          <w:caps/>
          <w:color w:val="1F497D" w:themeColor="text2"/>
          <w:sz w:val="28"/>
          <w:szCs w:val="28"/>
          <w:lang w:val="af-ZA"/>
        </w:rPr>
        <w:br w:type="page"/>
      </w:r>
    </w:p>
    <w:p w14:paraId="792192CE" w14:textId="77777777" w:rsidR="009D2825" w:rsidRPr="009A7904" w:rsidRDefault="009D2825"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355" w:name="_Toc46154378"/>
      <w:r w:rsidRPr="009A7904">
        <w:rPr>
          <w:rFonts w:eastAsia="Times New Roman" w:cs="Times New Roman"/>
          <w:caps w:val="0"/>
          <w:color w:val="1F497D" w:themeColor="text2"/>
          <w:sz w:val="28"/>
          <w:szCs w:val="28"/>
        </w:rPr>
        <w:lastRenderedPageBreak/>
        <w:t>11</w:t>
      </w:r>
      <w:r w:rsidR="009858E4" w:rsidRPr="009A7904">
        <w:rPr>
          <w:rFonts w:eastAsia="Times New Roman" w:cs="Times New Roman"/>
          <w:caps w:val="0"/>
          <w:color w:val="1F497D" w:themeColor="text2"/>
          <w:sz w:val="28"/>
          <w:szCs w:val="28"/>
          <w:lang w:val="af-ZA"/>
        </w:rPr>
        <w:t>.</w:t>
      </w:r>
      <w:r w:rsidRPr="009A7904">
        <w:rPr>
          <w:rFonts w:eastAsia="Times New Roman" w:cs="Times New Roman"/>
          <w:caps w:val="0"/>
          <w:color w:val="1F497D" w:themeColor="text2"/>
          <w:sz w:val="28"/>
          <w:szCs w:val="28"/>
        </w:rPr>
        <w:t xml:space="preserve"> ԱՐՏԱՔԻՆ ՀԱՐԱԲԵՐՈՒԹՅՈՒՆՆԵՐ</w:t>
      </w:r>
      <w:bookmarkEnd w:id="353"/>
      <w:bookmarkEnd w:id="354"/>
      <w:bookmarkEnd w:id="355"/>
    </w:p>
    <w:p w14:paraId="1809ED9D" w14:textId="77777777" w:rsidR="009D2825" w:rsidRPr="009A7904" w:rsidRDefault="009D2825" w:rsidP="009A7904">
      <w:pPr>
        <w:pStyle w:val="Heading2"/>
        <w:numPr>
          <w:ilvl w:val="0"/>
          <w:numId w:val="0"/>
        </w:numPr>
        <w:spacing w:before="0" w:after="0" w:line="276" w:lineRule="auto"/>
        <w:rPr>
          <w:b w:val="0"/>
          <w:color w:val="auto"/>
          <w:sz w:val="22"/>
          <w:szCs w:val="22"/>
          <w:lang w:val="hy-AM"/>
        </w:rPr>
      </w:pPr>
    </w:p>
    <w:p w14:paraId="4FED4E6A" w14:textId="77777777" w:rsidR="009D2825" w:rsidRPr="009A7904" w:rsidRDefault="009D2825" w:rsidP="009A7904">
      <w:pPr>
        <w:spacing w:line="276" w:lineRule="auto"/>
        <w:rPr>
          <w:rFonts w:eastAsia="GHEA Grapalat" w:cs="GHEA Grapalat"/>
          <w:color w:val="1D2228"/>
          <w:lang w:val="hy-AM"/>
        </w:rPr>
      </w:pPr>
      <w:r w:rsidRPr="009A7904">
        <w:rPr>
          <w:rFonts w:eastAsia="GHEA Grapalat" w:cs="GHEA Grapalat"/>
          <w:color w:val="1D2228"/>
          <w:lang w:val="hy-AM"/>
        </w:rPr>
        <w:t>Առաջիկա տարիներին արտաքին քաղաքականության ոլորտում ՀՀ արտաքին գործերի նախարարությունը շարունակելու է իրականացնել արտաքին գործերի, դիվանագիտական ծառայության, միջազգային հարաբերություններում Հայաստանի Հանրապետության շահերի և իրավունքների ներկայացման, օտարերկրյա պետություններում Հայաստանի Հանրապետության քաղաքացիների և իրավաբանական անձանց իրավունքների ու օրինական շահերի պաշտպանության, Հայաստանի Հանրապետության միջազգային իրավապայմանագրային հարաբերությունների, օտարերկրյա պետությունների և միջազգային կազմակերպությունների հետ դիվանագիտական կամ հյուպատոսական հարաբերությունների իրականացման, համաշխարհային քաղաքական և տնտեսական իրադրության, օտարերկրյա պետությունների արտաքին ու ներքին քաղաքականության, միջազգային կազմակերպությունների գործունեության վերլուծության հիման վրա համապատասխան առաջարկությունների ներկայացման, համաշխարհային և տարածաշրջանային հիմնախնդիրների լուծման գործում Հայաստանի Հանրապետության դերի բարձրացման, Հայաստանի Հանրապետության պետական արարողակարգի ապահովման, պետական մարմիններին իրենց գործունեության համար արտաքին քաղաքականության վերաբերյալ անհրաժեշտ տեղեկատվությամբ ապահովման ոլորտներում Կառավարության քաղաքականությունը:</w:t>
      </w:r>
    </w:p>
    <w:p w14:paraId="5DE6230E" w14:textId="77777777" w:rsidR="009D2825" w:rsidRPr="009A7904" w:rsidRDefault="009D2825" w:rsidP="009A7904">
      <w:pPr>
        <w:spacing w:line="276" w:lineRule="auto"/>
        <w:rPr>
          <w:rFonts w:eastAsia="GHEA Grapalat" w:cs="GHEA Grapalat"/>
          <w:color w:val="1D2228"/>
          <w:lang w:val="hy-AM"/>
        </w:rPr>
      </w:pPr>
      <w:r w:rsidRPr="009A7904">
        <w:rPr>
          <w:rFonts w:eastAsia="GHEA Grapalat" w:cs="GHEA Grapalat"/>
          <w:color w:val="1D2228"/>
          <w:lang w:val="hy-AM"/>
        </w:rPr>
        <w:t>Համաձայն Հայաստանի Հանրապետության կառավարության ծրագրի (8 փետրվարի, 2019 թվական, որոշում N 65 – Ա) ՀՀ արտաքին քաղաքականությունն ուղղված է ՀՀ ինքնիշխանության պաշտպանությանը, Հայաստանի և Արցախի անվտանգության ապահովմանը, Հայաստանի միջազգային հեղինակության բարձրացմանը, բոլոր պետությունների հետ փոխշահավետ և իրավահավասար հարաբերությունների շարունակական զարգացմանը, միջազգային և տարածաշրջանային գործընթացներին Հայաստանի ներգրավվածության ավելացմանը, երկկողմ և բազմակողմ ձևաչափերում համագործակցության խորացմանը՝ Հայաստանի կայուն զարգացմանը և տնտեսության արդիականացմանը, նոր շուկաներ մուտքի ապահովմանը, դեպի Հայաստան և Արցախ օտարերկրյա ներդրումների ավելացմանը:</w:t>
      </w:r>
    </w:p>
    <w:p w14:paraId="60DBB52A" w14:textId="77777777" w:rsidR="009D2825" w:rsidRPr="009A7904" w:rsidRDefault="009D2825" w:rsidP="009A7904">
      <w:pPr>
        <w:spacing w:line="276" w:lineRule="auto"/>
        <w:rPr>
          <w:rFonts w:eastAsia="GHEA Grapalat" w:cs="GHEA Grapalat"/>
          <w:color w:val="1D2228"/>
          <w:lang w:val="hy-AM"/>
        </w:rPr>
      </w:pPr>
      <w:r w:rsidRPr="009A7904">
        <w:rPr>
          <w:rFonts w:eastAsia="GHEA Grapalat" w:cs="GHEA Grapalat"/>
          <w:color w:val="1D2228"/>
          <w:lang w:val="hy-AM"/>
        </w:rPr>
        <w:t>Համաձայն կառավարության ծրագրի և նրանից բխող հնգամյա միջոցառումների ցանկի՝ ՀՀ ԱԳՆ գործունեության նպատակներն ու հիմնական թիրախներն են՝</w:t>
      </w:r>
    </w:p>
    <w:p w14:paraId="67C1E75E" w14:textId="77777777" w:rsidR="009D2825" w:rsidRPr="009A7904" w:rsidRDefault="009D2825" w:rsidP="009A7904">
      <w:pPr>
        <w:pStyle w:val="ColorfulList-Accent11"/>
        <w:numPr>
          <w:ilvl w:val="0"/>
          <w:numId w:val="60"/>
        </w:numPr>
        <w:spacing w:before="0" w:after="0"/>
        <w:ind w:left="0" w:right="3" w:firstLine="720"/>
        <w:rPr>
          <w:spacing w:val="-6"/>
          <w:lang w:val="hy-AM"/>
        </w:rPr>
      </w:pPr>
      <w:r w:rsidRPr="009A7904">
        <w:rPr>
          <w:rFonts w:cs="Tahoma"/>
          <w:lang w:val="hy-AM" w:eastAsia="hy-AM"/>
        </w:rPr>
        <w:t xml:space="preserve"> ԵԱՀԿ Մինսկի խմբի համանախագահության ձևաչափում ղարաբաղյան հիմնախնդրի բացառապես խաղաղ կարգավորումը՝ հիմնված միջազգային իրավունքի հիմնարար սկզբունքների, մասնավորապես` ժողովուրդների իրավահավասարության և ինքնորոշման իրավունքի վրա։ </w:t>
      </w:r>
      <w:r w:rsidRPr="009A7904">
        <w:rPr>
          <w:rFonts w:cs="Tahoma"/>
          <w:lang w:eastAsia="hy-AM"/>
        </w:rPr>
        <w:t xml:space="preserve">Արցախի կարգավիճակը և անվտանգությունը բանակցային գործընթացում առաջնային գերակայություններ են: </w:t>
      </w:r>
    </w:p>
    <w:p w14:paraId="14D5FC8F" w14:textId="77777777" w:rsidR="009D2825" w:rsidRPr="009A7904" w:rsidRDefault="009D2825" w:rsidP="009A7904">
      <w:pPr>
        <w:pStyle w:val="ColorfulList-Accent11"/>
        <w:numPr>
          <w:ilvl w:val="0"/>
          <w:numId w:val="60"/>
        </w:numPr>
        <w:spacing w:before="0" w:after="0"/>
        <w:ind w:left="0" w:right="3" w:firstLine="720"/>
        <w:rPr>
          <w:rFonts w:cs="Tahoma"/>
          <w:lang w:val="hy-AM" w:eastAsia="hy-AM"/>
        </w:rPr>
      </w:pPr>
      <w:r w:rsidRPr="009A7904">
        <w:rPr>
          <w:rFonts w:cs="Tahoma"/>
          <w:lang w:val="hy-AM" w:eastAsia="hy-AM"/>
        </w:rPr>
        <w:t xml:space="preserve">Հայոց ցեղասպանության միջազգային ճանաչում և դատապարտում։ </w:t>
      </w:r>
    </w:p>
    <w:p w14:paraId="7046B3A4" w14:textId="77777777" w:rsidR="009D2825" w:rsidRPr="009A7904" w:rsidRDefault="009D2825" w:rsidP="009A7904">
      <w:pPr>
        <w:pStyle w:val="ColorfulList-Accent11"/>
        <w:numPr>
          <w:ilvl w:val="0"/>
          <w:numId w:val="60"/>
        </w:numPr>
        <w:spacing w:before="0" w:after="0"/>
        <w:ind w:left="0" w:right="3" w:firstLine="720"/>
        <w:rPr>
          <w:rFonts w:cs="Tahoma"/>
          <w:lang w:val="hy-AM" w:eastAsia="hy-AM"/>
        </w:rPr>
      </w:pPr>
      <w:r w:rsidRPr="009A7904">
        <w:rPr>
          <w:rFonts w:cs="Tahoma"/>
          <w:lang w:val="hy-AM" w:eastAsia="hy-AM"/>
        </w:rPr>
        <w:t xml:space="preserve">Երկկողմ և բազմակողմ կապերի ակտիվացում՝ ելնելով Հայաստանի տնտեսական զարգացման օրակարգից. աշխատանք նպատակաուղղված օտարերկրյա ուղղակի ներդրումների աճին, միջազգային լավագույն օրինակների և փորձի փոխառմանը, հայրենական արտադրանքի </w:t>
      </w:r>
      <w:r w:rsidRPr="009A7904">
        <w:rPr>
          <w:rFonts w:cs="Tahoma"/>
          <w:lang w:val="hy-AM" w:eastAsia="hy-AM"/>
        </w:rPr>
        <w:lastRenderedPageBreak/>
        <w:t xml:space="preserve">համար նոր շուկաների բացահայտմանը և արտահանման ավելացմանը, դեպի Հայաստան զբոսաշրջության խթանմանը, սփյուռքի գործարար ներուժի լիարժեք ներգրավմանը, միջազգային տնտեսական ինտեգրացիոն կառույցների շրջանակում ՀՀ տնտեսական շահերի առաջմղմանը: </w:t>
      </w:r>
    </w:p>
    <w:p w14:paraId="63669589" w14:textId="77777777" w:rsidR="009D2825" w:rsidRPr="009A7904" w:rsidRDefault="009D2825" w:rsidP="009A7904">
      <w:pPr>
        <w:pStyle w:val="ColorfulList-Accent11"/>
        <w:numPr>
          <w:ilvl w:val="0"/>
          <w:numId w:val="60"/>
        </w:numPr>
        <w:spacing w:before="0" w:after="0"/>
        <w:ind w:left="0" w:right="3" w:firstLine="720"/>
        <w:rPr>
          <w:rFonts w:cs="Tahoma"/>
          <w:lang w:val="hy-AM" w:eastAsia="hy-AM"/>
        </w:rPr>
      </w:pPr>
      <w:r w:rsidRPr="009A7904">
        <w:rPr>
          <w:rFonts w:cs="Tahoma"/>
          <w:lang w:val="hy-AM" w:eastAsia="hy-AM"/>
        </w:rPr>
        <w:t xml:space="preserve">Հայաստանում և միջազգային ասպարեզում ժողովրդավարական կառույցների առավել ամրապնդում, մարդու իրավունքների և հիմնարար ազատությունների պաշտպանության, իրավունքի գերակայության և արդյունավետ կառավարման  բնագավառներում միջազգային կազմակերպությունների և կառույցների  հետ սերտ համագործակցություն: </w:t>
      </w:r>
    </w:p>
    <w:p w14:paraId="71838574" w14:textId="77777777" w:rsidR="009D2825" w:rsidRPr="009A7904" w:rsidRDefault="009D2825" w:rsidP="009A7904">
      <w:pPr>
        <w:pStyle w:val="ColorfulList-Accent11"/>
        <w:numPr>
          <w:ilvl w:val="0"/>
          <w:numId w:val="60"/>
        </w:numPr>
        <w:spacing w:before="0" w:after="0"/>
        <w:ind w:left="0" w:right="3" w:firstLine="720"/>
        <w:rPr>
          <w:rFonts w:cs="Tahoma"/>
          <w:lang w:val="hy-AM" w:eastAsia="hy-AM"/>
        </w:rPr>
      </w:pPr>
      <w:r w:rsidRPr="009A7904">
        <w:rPr>
          <w:rFonts w:cs="Tahoma"/>
          <w:lang w:val="hy-AM" w:eastAsia="hy-AM"/>
        </w:rPr>
        <w:t xml:space="preserve">Ակտիվ մասնակցություն գլոբալ խաղաղության և անվտանգության ապահովման ուղղությամբ միջազգային հանրության ջանքերին, այդ թվում՝ չտարածման և սպառազինությունների վերահսկման, ահաբեկչության և անդրազգային սպառնալիքների դեմ պայքարի, միջազգային խաղաղության ամրապնդմանն ուղղված գործողությունների շրջանակում: </w:t>
      </w:r>
    </w:p>
    <w:p w14:paraId="5DA3A76E" w14:textId="77777777" w:rsidR="009D2825" w:rsidRPr="009A7904" w:rsidRDefault="009D2825" w:rsidP="009A7904">
      <w:pPr>
        <w:pStyle w:val="ColorfulList-Accent11"/>
        <w:numPr>
          <w:ilvl w:val="0"/>
          <w:numId w:val="60"/>
        </w:numPr>
        <w:spacing w:before="0" w:after="0"/>
        <w:ind w:left="0" w:right="3" w:firstLine="720"/>
        <w:rPr>
          <w:rFonts w:cs="Tahoma"/>
          <w:lang w:val="hy-AM" w:eastAsia="hy-AM"/>
        </w:rPr>
      </w:pPr>
      <w:r w:rsidRPr="009A7904">
        <w:rPr>
          <w:rFonts w:cs="Tahoma"/>
          <w:lang w:val="hy-AM" w:eastAsia="hy-AM"/>
        </w:rPr>
        <w:t xml:space="preserve">Ցեղասպանության և մարդկության դեմ հանցագործությունների կանխարգելմանն ուղղված ակտիվ գործունեություն միջազգային ասպարեզում, այդ թվում՝ էթնիկ, կրոնական, ռասայական հողի վրա խտրականության և անհանդուրժողականության դեմ պայքարի ուղղությամբ: </w:t>
      </w:r>
    </w:p>
    <w:p w14:paraId="6A5AFD33" w14:textId="77777777" w:rsidR="009D2825" w:rsidRPr="009A7904" w:rsidRDefault="009D2825" w:rsidP="009A7904">
      <w:pPr>
        <w:pStyle w:val="ColorfulList-Accent11"/>
        <w:numPr>
          <w:ilvl w:val="0"/>
          <w:numId w:val="60"/>
        </w:numPr>
        <w:spacing w:before="0" w:after="0"/>
        <w:ind w:left="0" w:right="3" w:firstLine="720"/>
        <w:rPr>
          <w:rFonts w:cs="Tahoma"/>
          <w:lang w:val="hy-AM" w:eastAsia="hy-AM"/>
        </w:rPr>
      </w:pPr>
      <w:r w:rsidRPr="009A7904">
        <w:rPr>
          <w:rFonts w:cs="Tahoma"/>
          <w:lang w:val="hy-AM" w:eastAsia="hy-AM"/>
        </w:rPr>
        <w:t xml:space="preserve">Հայ ժողովրդի ինքնության պահպանման, քաղաքակրթական արժեքների և ժառանգության պաշտպանություն և հանրահռչակում։ </w:t>
      </w:r>
    </w:p>
    <w:p w14:paraId="3FB0905A" w14:textId="77777777" w:rsidR="009D2825" w:rsidRPr="009A7904" w:rsidRDefault="009D2825" w:rsidP="009A7904">
      <w:pPr>
        <w:pStyle w:val="ColorfulList-Accent11"/>
        <w:numPr>
          <w:ilvl w:val="0"/>
          <w:numId w:val="60"/>
        </w:numPr>
        <w:spacing w:before="0" w:after="0"/>
        <w:ind w:left="0" w:right="3" w:firstLine="720"/>
        <w:rPr>
          <w:rFonts w:cs="Tahoma"/>
          <w:lang w:val="hy-AM" w:eastAsia="hy-AM"/>
        </w:rPr>
      </w:pPr>
      <w:r w:rsidRPr="009A7904">
        <w:rPr>
          <w:rFonts w:cs="Tahoma"/>
          <w:lang w:val="hy-AM" w:eastAsia="hy-AM"/>
        </w:rPr>
        <w:t>Օտարերկրյա պետություններում Հայաստանի քաղաքացիների և իրավաբանական անձանց իրավունքների ու շահերի պաշտպանություն։ Արտակարգ իրավիճակներում հայտնված հայրենակիցներին աջակցության ցուցաբերում:</w:t>
      </w:r>
    </w:p>
    <w:p w14:paraId="739EAC14" w14:textId="77777777" w:rsidR="009D2825" w:rsidRPr="009A7904" w:rsidRDefault="009D2825" w:rsidP="009A7904">
      <w:pPr>
        <w:pStyle w:val="ColorfulList-Accent11"/>
        <w:numPr>
          <w:ilvl w:val="0"/>
          <w:numId w:val="60"/>
        </w:numPr>
        <w:spacing w:before="0" w:after="0"/>
        <w:ind w:left="0" w:right="3" w:firstLine="720"/>
        <w:rPr>
          <w:rFonts w:cs="Tahoma"/>
          <w:lang w:val="hy-AM" w:eastAsia="hy-AM"/>
        </w:rPr>
      </w:pPr>
      <w:r w:rsidRPr="009A7904">
        <w:rPr>
          <w:rFonts w:cs="Tahoma"/>
          <w:lang w:val="hy-AM" w:eastAsia="hy-AM"/>
        </w:rPr>
        <w:t>Համագործակցության բազմակողմ ձևաչափերում.</w:t>
      </w:r>
    </w:p>
    <w:p w14:paraId="293C5DDF" w14:textId="77777777" w:rsidR="009D2825" w:rsidRPr="009A7904" w:rsidRDefault="009D2825" w:rsidP="009A7904">
      <w:pPr>
        <w:pStyle w:val="ColorfulList-Accent11"/>
        <w:spacing w:after="0"/>
        <w:ind w:left="0" w:right="-87" w:firstLine="720"/>
        <w:rPr>
          <w:rFonts w:cs="Sylfaen"/>
          <w:lang w:val="hy-AM"/>
        </w:rPr>
      </w:pPr>
      <w:r w:rsidRPr="009A7904">
        <w:rPr>
          <w:rFonts w:cs="Sylfaen"/>
          <w:lang w:val="hy-AM"/>
        </w:rPr>
        <w:t xml:space="preserve">- Եվրասիական տնտեսական միությանը և Հավաքական անվտանգության պայմանագրի կազմակերպությանը Հայաստանի անդամակցության արդյունավետության բարձրացում, </w:t>
      </w:r>
    </w:p>
    <w:p w14:paraId="0BEA0F5A" w14:textId="77777777" w:rsidR="009D2825" w:rsidRPr="009A7904" w:rsidRDefault="009D2825" w:rsidP="009A7904">
      <w:pPr>
        <w:pStyle w:val="ColorfulList-Accent11"/>
        <w:numPr>
          <w:ilvl w:val="0"/>
          <w:numId w:val="61"/>
        </w:numPr>
        <w:spacing w:before="0" w:after="0"/>
        <w:ind w:left="0" w:right="-87" w:firstLine="720"/>
        <w:rPr>
          <w:rFonts w:cs="Sylfaen"/>
          <w:lang w:val="hy-AM"/>
        </w:rPr>
      </w:pPr>
      <w:r w:rsidRPr="009A7904">
        <w:rPr>
          <w:rFonts w:cs="Tahoma"/>
          <w:lang w:val="hy-AM" w:eastAsia="hy-AM"/>
        </w:rPr>
        <w:t>ՄԱԿ-ում, ԵԱՀԿ-ում, ԵԽ-ում և միջազգային այլ կառույցներում Հայաստանի առավել ակտիվ ներգրավվածություն,</w:t>
      </w:r>
    </w:p>
    <w:p w14:paraId="2D5BB348" w14:textId="77777777" w:rsidR="009D2825" w:rsidRPr="009A7904" w:rsidRDefault="009D2825" w:rsidP="009A7904">
      <w:pPr>
        <w:pStyle w:val="ColorfulList-Accent11"/>
        <w:numPr>
          <w:ilvl w:val="0"/>
          <w:numId w:val="61"/>
        </w:numPr>
        <w:spacing w:before="0" w:after="0"/>
        <w:ind w:left="0" w:right="-87" w:firstLine="720"/>
        <w:rPr>
          <w:rFonts w:cs="Sylfaen"/>
          <w:lang w:val="hy-AM"/>
        </w:rPr>
      </w:pPr>
      <w:r w:rsidRPr="009A7904">
        <w:rPr>
          <w:rFonts w:cs="Tahoma"/>
          <w:lang w:val="hy-AM" w:eastAsia="hy-AM"/>
        </w:rPr>
        <w:t>ԱՊՀ շրջանակներում համագործակցությանն ակտիվ մասնակցություն։ ԱՊՀ երկրների հետ երկկողմ հարաբերությունների զարգացում,</w:t>
      </w:r>
    </w:p>
    <w:p w14:paraId="31F9A4DA" w14:textId="77777777" w:rsidR="009D2825" w:rsidRPr="009A7904" w:rsidRDefault="009D2825" w:rsidP="009A7904">
      <w:pPr>
        <w:pStyle w:val="ColorfulList-Accent11"/>
        <w:numPr>
          <w:ilvl w:val="0"/>
          <w:numId w:val="61"/>
        </w:numPr>
        <w:spacing w:before="0" w:after="0"/>
        <w:ind w:left="0" w:right="-87" w:firstLine="720"/>
        <w:rPr>
          <w:rFonts w:cs="Sylfaen"/>
          <w:lang w:val="hy-AM"/>
        </w:rPr>
      </w:pPr>
      <w:r w:rsidRPr="009A7904">
        <w:rPr>
          <w:rFonts w:cs="Sylfaen"/>
          <w:lang w:val="hy-AM"/>
        </w:rPr>
        <w:t>ՆԱՏՕ-ի հետ քաղաքական երկխոսության շարունակում, Անհատական գործընկերության ծրագրի հետևողական իրագործում,</w:t>
      </w:r>
    </w:p>
    <w:p w14:paraId="513614EA" w14:textId="77777777" w:rsidR="009D2825" w:rsidRPr="009A7904" w:rsidRDefault="009D2825" w:rsidP="009A7904">
      <w:pPr>
        <w:pStyle w:val="ListParagraph"/>
        <w:numPr>
          <w:ilvl w:val="0"/>
          <w:numId w:val="61"/>
        </w:numPr>
        <w:spacing w:before="0" w:after="0" w:line="276" w:lineRule="auto"/>
        <w:ind w:left="0" w:right="-87" w:firstLine="720"/>
        <w:rPr>
          <w:rFonts w:cs="Sylfaen"/>
          <w:lang w:val="hy-AM"/>
        </w:rPr>
      </w:pPr>
      <w:r w:rsidRPr="009A7904">
        <w:rPr>
          <w:rFonts w:cs="Sylfaen"/>
          <w:lang w:val="hy-AM"/>
        </w:rPr>
        <w:t>Ֆրանկոֆոնիայի միջազգային կազմակերպությանը Հայաստանի ներգրավվածության խորացում, ՖՄԿ–ում Հայաստանի նախագահության բարձր մակարդակի իրականացում։</w:t>
      </w:r>
    </w:p>
    <w:p w14:paraId="22CD270E" w14:textId="77777777" w:rsidR="009D2825" w:rsidRPr="009A7904" w:rsidRDefault="009D2825" w:rsidP="009A7904">
      <w:pPr>
        <w:pStyle w:val="ColorfulList-Accent11"/>
        <w:numPr>
          <w:ilvl w:val="0"/>
          <w:numId w:val="60"/>
        </w:numPr>
        <w:spacing w:before="0" w:after="0"/>
        <w:ind w:left="0" w:right="-87" w:firstLine="720"/>
        <w:rPr>
          <w:spacing w:val="-6"/>
          <w:lang w:val="hy-AM"/>
        </w:rPr>
      </w:pPr>
      <w:r w:rsidRPr="009A7904">
        <w:rPr>
          <w:spacing w:val="-6"/>
          <w:lang w:val="hy-AM"/>
        </w:rPr>
        <w:t>Երկկողմ հարաբերություններում</w:t>
      </w:r>
      <w:r w:rsidRPr="009A7904">
        <w:rPr>
          <w:spacing w:val="-6"/>
        </w:rPr>
        <w:t>.</w:t>
      </w:r>
    </w:p>
    <w:p w14:paraId="336019F4" w14:textId="77777777" w:rsidR="009D2825" w:rsidRPr="009A7904" w:rsidRDefault="009D2825" w:rsidP="009A7904">
      <w:pPr>
        <w:pStyle w:val="ListParagraph"/>
        <w:numPr>
          <w:ilvl w:val="0"/>
          <w:numId w:val="61"/>
        </w:numPr>
        <w:autoSpaceDE w:val="0"/>
        <w:autoSpaceDN w:val="0"/>
        <w:adjustRightInd w:val="0"/>
        <w:spacing w:before="0" w:after="0" w:line="276" w:lineRule="auto"/>
        <w:ind w:left="0" w:right="-87" w:firstLine="720"/>
        <w:rPr>
          <w:spacing w:val="-6"/>
          <w:lang w:val="hy-AM"/>
        </w:rPr>
      </w:pPr>
      <w:r w:rsidRPr="009A7904">
        <w:rPr>
          <w:spacing w:val="-6"/>
          <w:lang w:val="hy-AM"/>
        </w:rPr>
        <w:t>Ռուսաստանի Դաշնության հետ ամենատարբեր բնագավառներում ռազմավարական-դաշնակցային հարաբերությունների զարգացում,</w:t>
      </w:r>
    </w:p>
    <w:p w14:paraId="08D085A1" w14:textId="77777777" w:rsidR="009D2825" w:rsidRPr="009A7904" w:rsidRDefault="009D2825" w:rsidP="009A7904">
      <w:pPr>
        <w:pStyle w:val="ColorfulList-Accent11"/>
        <w:numPr>
          <w:ilvl w:val="0"/>
          <w:numId w:val="61"/>
        </w:numPr>
        <w:spacing w:before="0" w:after="0"/>
        <w:ind w:left="0" w:right="-87" w:firstLine="720"/>
        <w:rPr>
          <w:spacing w:val="-6"/>
          <w:lang w:val="hy-AM"/>
        </w:rPr>
      </w:pPr>
      <w:r w:rsidRPr="009A7904">
        <w:rPr>
          <w:rFonts w:cs="Tahoma"/>
          <w:lang w:val="hy-AM" w:eastAsia="hy-AM"/>
        </w:rPr>
        <w:t>ԱՄՆ-ի հետ տարբեր ոլորտներում բարեկամական գործընկերության հետևողական ամրապնդում և խորացում,</w:t>
      </w:r>
    </w:p>
    <w:p w14:paraId="42A318C0" w14:textId="77777777" w:rsidR="009D2825" w:rsidRPr="009A7904" w:rsidRDefault="009D2825" w:rsidP="009A7904">
      <w:pPr>
        <w:pStyle w:val="ColorfulList-Accent11"/>
        <w:numPr>
          <w:ilvl w:val="0"/>
          <w:numId w:val="61"/>
        </w:numPr>
        <w:spacing w:before="0" w:after="0"/>
        <w:ind w:left="0" w:right="-87" w:firstLine="720"/>
        <w:rPr>
          <w:spacing w:val="-6"/>
          <w:lang w:val="hy-AM"/>
        </w:rPr>
      </w:pPr>
      <w:r w:rsidRPr="009A7904">
        <w:rPr>
          <w:lang w:val="hy-AM" w:eastAsia="hy-AM"/>
        </w:rPr>
        <w:lastRenderedPageBreak/>
        <w:t>Եվրոպական երկրների հետ բարեկամական և գործընկերական հարաբերությունների խորացում և ընդլայնում։ ԵՄ</w:t>
      </w:r>
      <w:r w:rsidRPr="009A7904">
        <w:rPr>
          <w:rFonts w:cs="Tahoma"/>
          <w:lang w:val="hy-AM" w:eastAsia="hy-AM"/>
        </w:rPr>
        <w:t>-</w:t>
      </w:r>
      <w:r w:rsidRPr="009A7904">
        <w:rPr>
          <w:lang w:val="hy-AM" w:eastAsia="hy-AM"/>
        </w:rPr>
        <w:t>ի</w:t>
      </w:r>
      <w:r w:rsidRPr="009A7904">
        <w:rPr>
          <w:rFonts w:cs="Tahoma"/>
          <w:lang w:val="hy-AM" w:eastAsia="hy-AM"/>
        </w:rPr>
        <w:t xml:space="preserve"> </w:t>
      </w:r>
      <w:r w:rsidRPr="009A7904">
        <w:rPr>
          <w:lang w:val="hy-AM" w:eastAsia="hy-AM"/>
        </w:rPr>
        <w:t>հետ</w:t>
      </w:r>
      <w:r w:rsidRPr="009A7904">
        <w:rPr>
          <w:rFonts w:cs="Tahoma"/>
          <w:lang w:val="hy-AM" w:eastAsia="hy-AM"/>
        </w:rPr>
        <w:t xml:space="preserve"> </w:t>
      </w:r>
      <w:r w:rsidRPr="009A7904">
        <w:rPr>
          <w:lang w:val="hy-AM" w:eastAsia="hy-AM"/>
        </w:rPr>
        <w:t>Համապարփակ</w:t>
      </w:r>
      <w:r w:rsidRPr="009A7904">
        <w:rPr>
          <w:rFonts w:cs="Tahoma"/>
          <w:lang w:val="hy-AM" w:eastAsia="hy-AM"/>
        </w:rPr>
        <w:t xml:space="preserve"> </w:t>
      </w:r>
      <w:r w:rsidRPr="009A7904">
        <w:rPr>
          <w:lang w:val="hy-AM" w:eastAsia="hy-AM"/>
        </w:rPr>
        <w:t>և</w:t>
      </w:r>
      <w:r w:rsidRPr="009A7904">
        <w:rPr>
          <w:rFonts w:cs="Tahoma"/>
          <w:lang w:val="hy-AM" w:eastAsia="hy-AM"/>
        </w:rPr>
        <w:t xml:space="preserve"> </w:t>
      </w:r>
      <w:r w:rsidRPr="009A7904">
        <w:rPr>
          <w:lang w:val="hy-AM" w:eastAsia="hy-AM"/>
        </w:rPr>
        <w:t>ընդլայնված</w:t>
      </w:r>
      <w:r w:rsidRPr="009A7904">
        <w:rPr>
          <w:rFonts w:cs="Tahoma"/>
          <w:lang w:val="hy-AM" w:eastAsia="hy-AM"/>
        </w:rPr>
        <w:t xml:space="preserve"> </w:t>
      </w:r>
      <w:r w:rsidRPr="009A7904">
        <w:rPr>
          <w:lang w:val="hy-AM" w:eastAsia="hy-AM"/>
        </w:rPr>
        <w:t>գործընկերության</w:t>
      </w:r>
      <w:r w:rsidRPr="009A7904">
        <w:rPr>
          <w:rFonts w:cs="Tahoma"/>
          <w:lang w:val="hy-AM" w:eastAsia="hy-AM"/>
        </w:rPr>
        <w:t xml:space="preserve"> </w:t>
      </w:r>
      <w:r w:rsidRPr="009A7904">
        <w:rPr>
          <w:lang w:val="hy-AM" w:eastAsia="hy-AM"/>
        </w:rPr>
        <w:t>համաձայնագրի</w:t>
      </w:r>
      <w:r w:rsidRPr="009A7904">
        <w:rPr>
          <w:rFonts w:cs="Tahoma"/>
          <w:lang w:val="hy-AM" w:eastAsia="hy-AM"/>
        </w:rPr>
        <w:t xml:space="preserve"> ամբողջական </w:t>
      </w:r>
      <w:r w:rsidRPr="009A7904">
        <w:rPr>
          <w:lang w:val="hy-AM" w:eastAsia="hy-AM"/>
        </w:rPr>
        <w:t>կիրարկում,</w:t>
      </w:r>
    </w:p>
    <w:p w14:paraId="05F95E7C" w14:textId="77777777" w:rsidR="009D2825" w:rsidRPr="009A7904" w:rsidRDefault="009D2825" w:rsidP="009A7904">
      <w:pPr>
        <w:pStyle w:val="ListParagraph"/>
        <w:numPr>
          <w:ilvl w:val="0"/>
          <w:numId w:val="61"/>
        </w:numPr>
        <w:autoSpaceDE w:val="0"/>
        <w:autoSpaceDN w:val="0"/>
        <w:adjustRightInd w:val="0"/>
        <w:spacing w:before="0" w:after="0" w:line="276" w:lineRule="auto"/>
        <w:ind w:left="0" w:right="-87" w:firstLine="720"/>
        <w:rPr>
          <w:rFonts w:cs="Sylfaen"/>
          <w:lang w:val="hy-AM"/>
        </w:rPr>
      </w:pPr>
      <w:r w:rsidRPr="009A7904">
        <w:rPr>
          <w:lang w:val="hy-AM" w:eastAsia="hy-AM"/>
        </w:rPr>
        <w:t>Իրանի և Վրաստանի հետ առանձնահատուկ բարիդրացիական հարաբերությունների զարգացում՝ փորձելով դրանք զերծ պահել աշխարհաքաղաքական գործընթացների ազդեցությունից,</w:t>
      </w:r>
    </w:p>
    <w:p w14:paraId="4AAA81A1" w14:textId="77777777" w:rsidR="009D2825" w:rsidRPr="009A7904" w:rsidRDefault="009D2825" w:rsidP="009A7904">
      <w:pPr>
        <w:pStyle w:val="ColorfulList-Accent11"/>
        <w:numPr>
          <w:ilvl w:val="0"/>
          <w:numId w:val="61"/>
        </w:numPr>
        <w:spacing w:before="0" w:after="0"/>
        <w:ind w:left="0" w:right="-87" w:firstLine="720"/>
        <w:rPr>
          <w:rFonts w:cs="Tahoma"/>
          <w:lang w:val="hy-AM" w:eastAsia="hy-AM"/>
        </w:rPr>
      </w:pPr>
      <w:r w:rsidRPr="009A7904">
        <w:rPr>
          <w:rFonts w:cs="Tahoma"/>
          <w:lang w:val="hy-AM" w:eastAsia="hy-AM"/>
        </w:rPr>
        <w:t>Չինաստանի հետ բարեկամական հարաբերություններին բնորոշ բազմաոլորտ լայն համագործակցության զարգացում,</w:t>
      </w:r>
    </w:p>
    <w:p w14:paraId="0A3BDB61" w14:textId="77777777" w:rsidR="009D2825" w:rsidRPr="009A7904" w:rsidRDefault="009D2825" w:rsidP="009A7904">
      <w:pPr>
        <w:pStyle w:val="ColorfulList-Accent11"/>
        <w:numPr>
          <w:ilvl w:val="0"/>
          <w:numId w:val="61"/>
        </w:numPr>
        <w:spacing w:before="0" w:after="0"/>
        <w:ind w:left="0" w:right="3" w:firstLine="720"/>
        <w:rPr>
          <w:spacing w:val="-6"/>
          <w:lang w:val="hy-AM"/>
        </w:rPr>
      </w:pPr>
      <w:r w:rsidRPr="009A7904">
        <w:rPr>
          <w:rFonts w:cs="Tahoma"/>
          <w:lang w:val="hy-AM" w:eastAsia="hy-AM"/>
        </w:rPr>
        <w:t>Հնդկաստանի և Ճապոնիայի հետ բարեկամական և փոխշահավետ փոխգործակցության զարգացում և խորացում,</w:t>
      </w:r>
    </w:p>
    <w:p w14:paraId="355BBC34" w14:textId="77777777" w:rsidR="009D2825" w:rsidRPr="009A7904" w:rsidRDefault="009D2825" w:rsidP="009A7904">
      <w:pPr>
        <w:pStyle w:val="ColorfulList-Accent11"/>
        <w:numPr>
          <w:ilvl w:val="0"/>
          <w:numId w:val="61"/>
        </w:numPr>
        <w:spacing w:before="0" w:after="0"/>
        <w:ind w:left="0" w:right="3" w:firstLine="720"/>
        <w:rPr>
          <w:spacing w:val="-6"/>
          <w:lang w:val="hy-AM"/>
        </w:rPr>
      </w:pPr>
      <w:r w:rsidRPr="009A7904">
        <w:rPr>
          <w:rFonts w:cs="Tahoma"/>
          <w:lang w:val="hy-AM" w:eastAsia="hy-AM"/>
        </w:rPr>
        <w:t>Փոխգործակցության ընդլայնում Մերձավոր Արեւելքի գործընկեր երկրների հետ,</w:t>
      </w:r>
      <w:r w:rsidRPr="009A7904">
        <w:rPr>
          <w:spacing w:val="-6"/>
          <w:lang w:val="hy-AM"/>
        </w:rPr>
        <w:t xml:space="preserve"> </w:t>
      </w:r>
    </w:p>
    <w:p w14:paraId="1B4FF7ED" w14:textId="77777777" w:rsidR="009D2825" w:rsidRPr="009A7904" w:rsidRDefault="009D2825" w:rsidP="009A7904">
      <w:pPr>
        <w:pStyle w:val="ColorfulList-Accent11"/>
        <w:numPr>
          <w:ilvl w:val="0"/>
          <w:numId w:val="61"/>
        </w:numPr>
        <w:spacing w:before="0" w:after="0"/>
        <w:ind w:left="0" w:right="3" w:firstLine="720"/>
        <w:rPr>
          <w:rFonts w:cs="Sylfaen"/>
          <w:lang w:val="hy-AM"/>
        </w:rPr>
      </w:pPr>
      <w:r w:rsidRPr="009A7904">
        <w:rPr>
          <w:rFonts w:cs="Tahoma"/>
          <w:lang w:val="hy-AM" w:eastAsia="hy-AM"/>
        </w:rPr>
        <w:t>Համագործակցության զարգացում Ամերիկայի, Ասիայի, Աֆրիկայի եւ Օվկիանիայի պետությունների հետ</w:t>
      </w:r>
      <w:r w:rsidRPr="009A7904">
        <w:rPr>
          <w:spacing w:val="-6"/>
          <w:lang w:val="hy-AM"/>
        </w:rPr>
        <w:t>:</w:t>
      </w:r>
    </w:p>
    <w:p w14:paraId="65E6FB30" w14:textId="77777777" w:rsidR="009D2825" w:rsidRPr="009A7904" w:rsidRDefault="009D2825" w:rsidP="009A7904">
      <w:pPr>
        <w:pStyle w:val="ColorfulList-Accent11"/>
        <w:spacing w:after="0"/>
        <w:ind w:left="0" w:right="-720" w:firstLine="720"/>
        <w:rPr>
          <w:b/>
          <w:spacing w:val="-6"/>
          <w:lang w:val="hy-AM"/>
        </w:rPr>
      </w:pPr>
      <w:r w:rsidRPr="009A7904">
        <w:rPr>
          <w:b/>
          <w:spacing w:val="-6"/>
          <w:lang w:val="hy-AM"/>
        </w:rPr>
        <w:t xml:space="preserve">ՈԼՈՐՏԱՅԻՆ ԾԱԽՍԱՅԻՆ ԾՐԱԳՐԵՐԸ </w:t>
      </w:r>
    </w:p>
    <w:p w14:paraId="693F5433" w14:textId="77777777" w:rsidR="009D2825" w:rsidRPr="009A7904" w:rsidRDefault="009D2825" w:rsidP="009A7904">
      <w:pPr>
        <w:pStyle w:val="ColorfulList-Accent11"/>
        <w:spacing w:after="0"/>
        <w:ind w:left="0" w:right="3" w:firstLine="720"/>
        <w:rPr>
          <w:b/>
          <w:spacing w:val="-6"/>
          <w:lang w:val="hy-AM"/>
        </w:rPr>
      </w:pPr>
      <w:r w:rsidRPr="009A7904">
        <w:rPr>
          <w:b/>
          <w:spacing w:val="-6"/>
          <w:lang w:val="hy-AM"/>
        </w:rPr>
        <w:t>1</w:t>
      </w:r>
      <w:r w:rsidRPr="009A7904">
        <w:rPr>
          <w:rFonts w:ascii="MS Mincho" w:eastAsia="MS Mincho" w:hAnsi="MS Mincho" w:cs="MS Mincho" w:hint="eastAsia"/>
          <w:b/>
          <w:spacing w:val="-6"/>
          <w:lang w:val="hy-AM"/>
        </w:rPr>
        <w:t>․</w:t>
      </w:r>
      <w:r w:rsidRPr="009A7904">
        <w:rPr>
          <w:b/>
          <w:spacing w:val="-6"/>
          <w:lang w:val="hy-AM"/>
        </w:rPr>
        <w:t xml:space="preserve"> </w:t>
      </w:r>
      <w:r w:rsidRPr="009A7904">
        <w:rPr>
          <w:rFonts w:cs="GHEA Grapalat"/>
          <w:b/>
          <w:spacing w:val="-6"/>
          <w:lang w:val="hy-AM"/>
        </w:rPr>
        <w:t>Արտաքին</w:t>
      </w:r>
      <w:r w:rsidRPr="009A7904">
        <w:rPr>
          <w:b/>
          <w:spacing w:val="-6"/>
          <w:lang w:val="hy-AM"/>
        </w:rPr>
        <w:t xml:space="preserve"> </w:t>
      </w:r>
      <w:r w:rsidRPr="009A7904">
        <w:rPr>
          <w:rFonts w:cs="GHEA Grapalat"/>
          <w:b/>
          <w:spacing w:val="-6"/>
          <w:lang w:val="hy-AM"/>
        </w:rPr>
        <w:t>գործերի</w:t>
      </w:r>
      <w:r w:rsidRPr="009A7904">
        <w:rPr>
          <w:b/>
          <w:spacing w:val="-6"/>
          <w:lang w:val="hy-AM"/>
        </w:rPr>
        <w:t xml:space="preserve"> </w:t>
      </w:r>
      <w:r w:rsidRPr="009A7904">
        <w:rPr>
          <w:rFonts w:cs="GHEA Grapalat"/>
          <w:b/>
          <w:spacing w:val="-6"/>
          <w:lang w:val="hy-AM"/>
        </w:rPr>
        <w:t>ոլորտում</w:t>
      </w:r>
      <w:r w:rsidRPr="009A7904">
        <w:rPr>
          <w:b/>
          <w:spacing w:val="-6"/>
          <w:lang w:val="hy-AM"/>
        </w:rPr>
        <w:t xml:space="preserve"> </w:t>
      </w:r>
      <w:r w:rsidRPr="009A7904">
        <w:rPr>
          <w:rFonts w:cs="GHEA Grapalat"/>
          <w:b/>
          <w:spacing w:val="-6"/>
          <w:lang w:val="hy-AM"/>
        </w:rPr>
        <w:t>Կառավարության</w:t>
      </w:r>
      <w:r w:rsidRPr="009A7904">
        <w:rPr>
          <w:b/>
          <w:spacing w:val="-6"/>
          <w:lang w:val="hy-AM"/>
        </w:rPr>
        <w:t xml:space="preserve"> </w:t>
      </w:r>
      <w:r w:rsidRPr="009A7904">
        <w:rPr>
          <w:rFonts w:cs="GHEA Grapalat"/>
          <w:b/>
          <w:spacing w:val="-6"/>
          <w:lang w:val="hy-AM"/>
        </w:rPr>
        <w:t>քաղաքականության</w:t>
      </w:r>
      <w:r w:rsidRPr="009A7904">
        <w:rPr>
          <w:b/>
          <w:spacing w:val="-6"/>
          <w:lang w:val="hy-AM"/>
        </w:rPr>
        <w:t xml:space="preserve"> </w:t>
      </w:r>
      <w:r w:rsidRPr="009A7904">
        <w:rPr>
          <w:rFonts w:cs="GHEA Grapalat"/>
          <w:b/>
          <w:spacing w:val="-6"/>
          <w:lang w:val="hy-AM"/>
        </w:rPr>
        <w:t>մշակում</w:t>
      </w:r>
      <w:r w:rsidRPr="009A7904">
        <w:rPr>
          <w:b/>
          <w:spacing w:val="-6"/>
          <w:lang w:val="hy-AM"/>
        </w:rPr>
        <w:t xml:space="preserve"> </w:t>
      </w:r>
      <w:r w:rsidRPr="009A7904">
        <w:rPr>
          <w:rFonts w:cs="GHEA Grapalat"/>
          <w:b/>
          <w:spacing w:val="-6"/>
          <w:lang w:val="hy-AM"/>
        </w:rPr>
        <w:t>և</w:t>
      </w:r>
      <w:r w:rsidRPr="009A7904">
        <w:rPr>
          <w:b/>
          <w:spacing w:val="-6"/>
          <w:lang w:val="hy-AM"/>
        </w:rPr>
        <w:t xml:space="preserve"> </w:t>
      </w:r>
      <w:r w:rsidRPr="009A7904">
        <w:rPr>
          <w:rFonts w:cs="GHEA Grapalat"/>
          <w:b/>
          <w:spacing w:val="-6"/>
          <w:lang w:val="hy-AM"/>
        </w:rPr>
        <w:t>իրականացում</w:t>
      </w:r>
      <w:r w:rsidRPr="009A7904">
        <w:rPr>
          <w:b/>
          <w:spacing w:val="-6"/>
          <w:lang w:val="hy-AM"/>
        </w:rPr>
        <w:t xml:space="preserve"> </w:t>
      </w:r>
      <w:r w:rsidRPr="009A7904">
        <w:rPr>
          <w:rFonts w:cs="GHEA Grapalat"/>
          <w:b/>
          <w:spacing w:val="-6"/>
          <w:lang w:val="hy-AM"/>
        </w:rPr>
        <w:t>ծրագիր</w:t>
      </w:r>
      <w:r w:rsidRPr="009A7904">
        <w:rPr>
          <w:b/>
          <w:spacing w:val="-6"/>
          <w:lang w:val="hy-AM"/>
        </w:rPr>
        <w:t>.</w:t>
      </w:r>
    </w:p>
    <w:p w14:paraId="3D8E1AB8" w14:textId="77777777" w:rsidR="009D2825" w:rsidRPr="009A7904" w:rsidRDefault="009D2825" w:rsidP="009A7904">
      <w:pPr>
        <w:pStyle w:val="ColorfulList-Accent11"/>
        <w:spacing w:after="0"/>
        <w:ind w:left="0" w:right="3" w:firstLine="720"/>
        <w:rPr>
          <w:spacing w:val="-6"/>
          <w:lang w:val="hy-AM"/>
        </w:rPr>
      </w:pPr>
      <w:r w:rsidRPr="009A7904">
        <w:rPr>
          <w:spacing w:val="-6"/>
          <w:lang w:val="hy-AM"/>
        </w:rPr>
        <w:t>Ծրագրի նպատակն է՝ ՀՀ ինքնիշխանության պաշտպանությունը, Հայաստանի և Արցախի անվտանգության ապահովումը, ՀՀ միջազգային հեղինակության բարձրացումը, ՀՀ կայուն զարգացմանն ուղղված միջազգային և տարածաշրջանային համագործակցության ապահովումը, ինչպես նաև միջազգային իրավունքի հիման վրա՝ բոլոր պետությունների հետ բարիդրացիական, փոխշահավետ հարաբերությունների հաստատումն ու զարգացումը, միջազգային հարաբերություններում Հայաստանի Հանրապետության շահերի և իրավունքների ներկայացումը, որի ուղղությամբ 2021-2023թթ. նախատեսվում է հատկացնել համապատասխանաբար՝ 1,990</w:t>
      </w:r>
      <w:r w:rsidR="00B20DFC" w:rsidRPr="009A7904">
        <w:rPr>
          <w:rFonts w:hint="eastAsia"/>
          <w:spacing w:val="-6"/>
          <w:lang w:val="hy-AM"/>
        </w:rPr>
        <w:t>.</w:t>
      </w:r>
      <w:r w:rsidRPr="009A7904">
        <w:rPr>
          <w:spacing w:val="-6"/>
          <w:lang w:val="hy-AM"/>
        </w:rPr>
        <w:t>4 մլն դրամ, 2,010</w:t>
      </w:r>
      <w:r w:rsidR="00B20DFC" w:rsidRPr="009A7904">
        <w:rPr>
          <w:rFonts w:hint="eastAsia"/>
          <w:spacing w:val="-6"/>
          <w:lang w:val="hy-AM"/>
        </w:rPr>
        <w:t>.</w:t>
      </w:r>
      <w:r w:rsidRPr="009A7904">
        <w:rPr>
          <w:spacing w:val="-6"/>
          <w:lang w:val="hy-AM"/>
        </w:rPr>
        <w:t>8 մլն դրամ և 2,032</w:t>
      </w:r>
      <w:r w:rsidR="00B20DFC" w:rsidRPr="009A7904">
        <w:rPr>
          <w:rFonts w:hint="eastAsia"/>
          <w:spacing w:val="-6"/>
          <w:lang w:val="hy-AM"/>
        </w:rPr>
        <w:t>.</w:t>
      </w:r>
      <w:r w:rsidRPr="009A7904">
        <w:rPr>
          <w:spacing w:val="-6"/>
          <w:lang w:val="hy-AM"/>
        </w:rPr>
        <w:t xml:space="preserve">1 մլն դրամ, </w:t>
      </w:r>
    </w:p>
    <w:p w14:paraId="0FA3D7CB" w14:textId="77777777" w:rsidR="009D2825" w:rsidRPr="009A7904" w:rsidRDefault="009D2825" w:rsidP="009A7904">
      <w:pPr>
        <w:pStyle w:val="ColorfulList-Accent11"/>
        <w:spacing w:after="0"/>
        <w:ind w:left="0" w:right="3" w:firstLine="720"/>
        <w:rPr>
          <w:b/>
          <w:spacing w:val="-6"/>
          <w:lang w:val="hy-AM"/>
        </w:rPr>
      </w:pPr>
      <w:r w:rsidRPr="009A7904">
        <w:rPr>
          <w:b/>
          <w:spacing w:val="-6"/>
          <w:lang w:val="hy-AM"/>
        </w:rPr>
        <w:t>2</w:t>
      </w:r>
      <w:r w:rsidRPr="009A7904">
        <w:rPr>
          <w:rFonts w:ascii="MS Mincho" w:eastAsia="MS Mincho" w:hAnsi="MS Mincho" w:cs="MS Mincho" w:hint="eastAsia"/>
          <w:b/>
          <w:spacing w:val="-6"/>
          <w:lang w:val="hy-AM"/>
        </w:rPr>
        <w:t>․</w:t>
      </w:r>
      <w:r w:rsidRPr="009A7904">
        <w:rPr>
          <w:b/>
          <w:spacing w:val="-6"/>
          <w:lang w:val="hy-AM"/>
        </w:rPr>
        <w:t xml:space="preserve"> </w:t>
      </w:r>
      <w:r w:rsidRPr="009A7904">
        <w:rPr>
          <w:rFonts w:cs="GHEA Grapalat"/>
          <w:b/>
          <w:spacing w:val="-6"/>
          <w:lang w:val="hy-AM"/>
        </w:rPr>
        <w:t>Համագործակցություն</w:t>
      </w:r>
      <w:r w:rsidRPr="009A7904">
        <w:rPr>
          <w:b/>
          <w:spacing w:val="-6"/>
          <w:lang w:val="hy-AM"/>
        </w:rPr>
        <w:t xml:space="preserve"> </w:t>
      </w:r>
      <w:r w:rsidRPr="009A7904">
        <w:rPr>
          <w:rFonts w:cs="GHEA Grapalat"/>
          <w:b/>
          <w:spacing w:val="-6"/>
          <w:lang w:val="hy-AM"/>
        </w:rPr>
        <w:t>միջազգային</w:t>
      </w:r>
      <w:r w:rsidRPr="009A7904">
        <w:rPr>
          <w:b/>
          <w:spacing w:val="-6"/>
          <w:lang w:val="hy-AM"/>
        </w:rPr>
        <w:t xml:space="preserve"> </w:t>
      </w:r>
      <w:r w:rsidRPr="009A7904">
        <w:rPr>
          <w:rFonts w:cs="GHEA Grapalat"/>
          <w:b/>
          <w:spacing w:val="-6"/>
          <w:lang w:val="hy-AM"/>
        </w:rPr>
        <w:t>կազմակերպությունների</w:t>
      </w:r>
      <w:r w:rsidRPr="009A7904">
        <w:rPr>
          <w:b/>
          <w:spacing w:val="-6"/>
          <w:lang w:val="hy-AM"/>
        </w:rPr>
        <w:t xml:space="preserve"> </w:t>
      </w:r>
      <w:r w:rsidRPr="009A7904">
        <w:rPr>
          <w:rFonts w:cs="GHEA Grapalat"/>
          <w:b/>
          <w:spacing w:val="-6"/>
          <w:lang w:val="hy-AM"/>
        </w:rPr>
        <w:t>հետ</w:t>
      </w:r>
      <w:r w:rsidRPr="009A7904">
        <w:rPr>
          <w:b/>
          <w:spacing w:val="-6"/>
          <w:lang w:val="hy-AM"/>
        </w:rPr>
        <w:t xml:space="preserve"> </w:t>
      </w:r>
      <w:r w:rsidRPr="009A7904">
        <w:rPr>
          <w:rFonts w:cs="GHEA Grapalat"/>
          <w:b/>
          <w:spacing w:val="-6"/>
          <w:lang w:val="hy-AM"/>
        </w:rPr>
        <w:t>ծրագիր</w:t>
      </w:r>
      <w:r w:rsidRPr="009A7904">
        <w:rPr>
          <w:b/>
          <w:spacing w:val="-6"/>
          <w:lang w:val="hy-AM"/>
        </w:rPr>
        <w:t>.</w:t>
      </w:r>
    </w:p>
    <w:p w14:paraId="1B9A3D26" w14:textId="77777777" w:rsidR="009D2825" w:rsidRPr="009A7904" w:rsidRDefault="009D2825" w:rsidP="009A7904">
      <w:pPr>
        <w:pStyle w:val="ColorfulList-Accent11"/>
        <w:spacing w:after="0"/>
        <w:ind w:left="0" w:right="3"/>
        <w:rPr>
          <w:spacing w:val="-6"/>
          <w:lang w:val="hy-AM"/>
        </w:rPr>
      </w:pPr>
      <w:r w:rsidRPr="009A7904">
        <w:rPr>
          <w:spacing w:val="-6"/>
          <w:lang w:val="hy-AM"/>
        </w:rPr>
        <w:t xml:space="preserve"> </w:t>
      </w:r>
      <w:r w:rsidRPr="009A7904">
        <w:rPr>
          <w:spacing w:val="-6"/>
          <w:lang w:val="hy-AM"/>
        </w:rPr>
        <w:tab/>
        <w:t>Ծրագրի նպատակն է՝ միջազգային համագործակցության բազմակողմ ձևաչափերում ՀՀ ակտիվ ներգրավվածության միջոցով ՀՀ արտաքին քաղաքականության գերակայությունների իրագործումը, ինչպես նաև միջազգային կազմակերպությունների հետ և դրանց շրջանակներում բնականոն փոխհարաբերությունների ու արդյունավետ համագործակցության ապահովումն ու ընդլայնումը, որի ուղղությամբ 2021-2023թթ</w:t>
      </w:r>
      <w:r w:rsidR="00B20DFC" w:rsidRPr="009A7904">
        <w:rPr>
          <w:spacing w:val="-6"/>
          <w:lang w:val="hy-AM"/>
        </w:rPr>
        <w:t>.</w:t>
      </w:r>
      <w:r w:rsidRPr="009A7904">
        <w:rPr>
          <w:spacing w:val="-6"/>
          <w:lang w:val="hy-AM"/>
        </w:rPr>
        <w:t xml:space="preserve"> նախատեսվում է յուրաքանչյուր տարի հատկացնել 2,183</w:t>
      </w:r>
      <w:r w:rsidR="00B20DFC" w:rsidRPr="009A7904">
        <w:rPr>
          <w:rFonts w:hint="eastAsia"/>
          <w:spacing w:val="-6"/>
          <w:lang w:val="hy-AM"/>
        </w:rPr>
        <w:t>.</w:t>
      </w:r>
      <w:r w:rsidRPr="009A7904">
        <w:rPr>
          <w:spacing w:val="-6"/>
          <w:lang w:val="hy-AM"/>
        </w:rPr>
        <w:t xml:space="preserve">9 մլն դրամ, </w:t>
      </w:r>
    </w:p>
    <w:p w14:paraId="07288957" w14:textId="77777777" w:rsidR="009D2825" w:rsidRPr="009A7904" w:rsidRDefault="009D2825" w:rsidP="009A7904">
      <w:pPr>
        <w:pStyle w:val="ColorfulList-Accent11"/>
        <w:spacing w:after="0"/>
        <w:ind w:left="0" w:right="3" w:firstLine="720"/>
        <w:rPr>
          <w:b/>
          <w:spacing w:val="-6"/>
          <w:lang w:val="hy-AM"/>
        </w:rPr>
      </w:pPr>
      <w:r w:rsidRPr="009A7904">
        <w:rPr>
          <w:b/>
          <w:spacing w:val="-6"/>
          <w:lang w:val="hy-AM"/>
        </w:rPr>
        <w:t>3</w:t>
      </w:r>
      <w:r w:rsidRPr="009A7904">
        <w:rPr>
          <w:rFonts w:ascii="MS Mincho" w:eastAsia="MS Mincho" w:hAnsi="MS Mincho" w:cs="MS Mincho" w:hint="eastAsia"/>
          <w:b/>
          <w:spacing w:val="-6"/>
          <w:lang w:val="hy-AM"/>
        </w:rPr>
        <w:t>․</w:t>
      </w:r>
      <w:r w:rsidRPr="009A7904">
        <w:rPr>
          <w:b/>
          <w:spacing w:val="-6"/>
          <w:lang w:val="hy-AM"/>
        </w:rPr>
        <w:t xml:space="preserve"> </w:t>
      </w:r>
      <w:r w:rsidRPr="009A7904">
        <w:rPr>
          <w:rFonts w:cs="GHEA Grapalat"/>
          <w:b/>
          <w:spacing w:val="-6"/>
          <w:lang w:val="hy-AM"/>
        </w:rPr>
        <w:t>Օտարերկրյա</w:t>
      </w:r>
      <w:r w:rsidRPr="009A7904">
        <w:rPr>
          <w:b/>
          <w:spacing w:val="-6"/>
          <w:lang w:val="hy-AM"/>
        </w:rPr>
        <w:t xml:space="preserve"> </w:t>
      </w:r>
      <w:r w:rsidRPr="009A7904">
        <w:rPr>
          <w:rFonts w:cs="GHEA Grapalat"/>
          <w:b/>
          <w:spacing w:val="-6"/>
          <w:lang w:val="hy-AM"/>
        </w:rPr>
        <w:t>պետություններում</w:t>
      </w:r>
      <w:r w:rsidRPr="009A7904">
        <w:rPr>
          <w:b/>
          <w:spacing w:val="-6"/>
          <w:lang w:val="hy-AM"/>
        </w:rPr>
        <w:t xml:space="preserve"> </w:t>
      </w:r>
      <w:r w:rsidRPr="009A7904">
        <w:rPr>
          <w:rFonts w:cs="GHEA Grapalat"/>
          <w:b/>
          <w:spacing w:val="-6"/>
          <w:lang w:val="hy-AM"/>
        </w:rPr>
        <w:t>ՀՀ</w:t>
      </w:r>
      <w:r w:rsidRPr="009A7904">
        <w:rPr>
          <w:b/>
          <w:spacing w:val="-6"/>
          <w:lang w:val="hy-AM"/>
        </w:rPr>
        <w:t xml:space="preserve"> </w:t>
      </w:r>
      <w:r w:rsidRPr="009A7904">
        <w:rPr>
          <w:rFonts w:cs="GHEA Grapalat"/>
          <w:b/>
          <w:spacing w:val="-6"/>
          <w:lang w:val="hy-AM"/>
        </w:rPr>
        <w:t>դիվանագիտական</w:t>
      </w:r>
      <w:r w:rsidRPr="009A7904">
        <w:rPr>
          <w:b/>
          <w:spacing w:val="-6"/>
          <w:lang w:val="hy-AM"/>
        </w:rPr>
        <w:t xml:space="preserve"> </w:t>
      </w:r>
      <w:r w:rsidRPr="009A7904">
        <w:rPr>
          <w:rFonts w:cs="GHEA Grapalat"/>
          <w:b/>
          <w:spacing w:val="-6"/>
          <w:lang w:val="hy-AM"/>
        </w:rPr>
        <w:t>ծառայության</w:t>
      </w:r>
      <w:r w:rsidRPr="009A7904">
        <w:rPr>
          <w:b/>
          <w:spacing w:val="-6"/>
          <w:lang w:val="hy-AM"/>
        </w:rPr>
        <w:t xml:space="preserve"> </w:t>
      </w:r>
      <w:r w:rsidRPr="009A7904">
        <w:rPr>
          <w:rFonts w:cs="GHEA Grapalat"/>
          <w:b/>
          <w:spacing w:val="-6"/>
          <w:lang w:val="hy-AM"/>
        </w:rPr>
        <w:t>մարմինների</w:t>
      </w:r>
      <w:r w:rsidRPr="009A7904">
        <w:rPr>
          <w:b/>
          <w:spacing w:val="-6"/>
          <w:lang w:val="hy-AM"/>
        </w:rPr>
        <w:t xml:space="preserve"> </w:t>
      </w:r>
      <w:r w:rsidRPr="009A7904">
        <w:rPr>
          <w:rFonts w:cs="GHEA Grapalat"/>
          <w:b/>
          <w:spacing w:val="-6"/>
          <w:lang w:val="hy-AM"/>
        </w:rPr>
        <w:t>գործունեության</w:t>
      </w:r>
      <w:r w:rsidRPr="009A7904">
        <w:rPr>
          <w:b/>
          <w:spacing w:val="-6"/>
          <w:lang w:val="hy-AM"/>
        </w:rPr>
        <w:t xml:space="preserve"> </w:t>
      </w:r>
      <w:r w:rsidRPr="009A7904">
        <w:rPr>
          <w:rFonts w:cs="GHEA Grapalat"/>
          <w:b/>
          <w:spacing w:val="-6"/>
          <w:lang w:val="hy-AM"/>
        </w:rPr>
        <w:t>կազմակերպում</w:t>
      </w:r>
      <w:r w:rsidRPr="009A7904">
        <w:rPr>
          <w:b/>
          <w:spacing w:val="-6"/>
          <w:lang w:val="hy-AM"/>
        </w:rPr>
        <w:t xml:space="preserve"> </w:t>
      </w:r>
      <w:r w:rsidRPr="009A7904">
        <w:rPr>
          <w:rFonts w:cs="GHEA Grapalat"/>
          <w:b/>
          <w:spacing w:val="-6"/>
          <w:lang w:val="hy-AM"/>
        </w:rPr>
        <w:t>և</w:t>
      </w:r>
      <w:r w:rsidRPr="009A7904">
        <w:rPr>
          <w:b/>
          <w:spacing w:val="-6"/>
          <w:lang w:val="hy-AM"/>
        </w:rPr>
        <w:t xml:space="preserve"> </w:t>
      </w:r>
      <w:r w:rsidRPr="009A7904">
        <w:rPr>
          <w:rFonts w:cs="GHEA Grapalat"/>
          <w:b/>
          <w:spacing w:val="-6"/>
          <w:lang w:val="hy-AM"/>
        </w:rPr>
        <w:t>իրականացում</w:t>
      </w:r>
      <w:r w:rsidRPr="009A7904">
        <w:rPr>
          <w:b/>
          <w:spacing w:val="-6"/>
          <w:lang w:val="hy-AM"/>
        </w:rPr>
        <w:t xml:space="preserve"> </w:t>
      </w:r>
      <w:r w:rsidRPr="009A7904">
        <w:rPr>
          <w:rFonts w:cs="GHEA Grapalat"/>
          <w:b/>
          <w:spacing w:val="-6"/>
          <w:lang w:val="hy-AM"/>
        </w:rPr>
        <w:t>ծրագիր</w:t>
      </w:r>
      <w:r w:rsidRPr="009A7904">
        <w:rPr>
          <w:b/>
          <w:spacing w:val="-6"/>
          <w:lang w:val="hy-AM"/>
        </w:rPr>
        <w:t>.</w:t>
      </w:r>
    </w:p>
    <w:p w14:paraId="39297A5D" w14:textId="77777777" w:rsidR="009D2825" w:rsidRPr="009A7904" w:rsidRDefault="009D2825" w:rsidP="009A7904">
      <w:pPr>
        <w:pStyle w:val="ColorfulList-Accent11"/>
        <w:spacing w:after="0"/>
        <w:ind w:left="0" w:right="3"/>
        <w:rPr>
          <w:spacing w:val="-6"/>
          <w:lang w:val="hy-AM"/>
        </w:rPr>
      </w:pPr>
      <w:r w:rsidRPr="009A7904">
        <w:rPr>
          <w:spacing w:val="-6"/>
          <w:lang w:val="hy-AM"/>
        </w:rPr>
        <w:t xml:space="preserve"> </w:t>
      </w:r>
      <w:r w:rsidRPr="009A7904">
        <w:rPr>
          <w:spacing w:val="-6"/>
          <w:lang w:val="hy-AM"/>
        </w:rPr>
        <w:tab/>
        <w:t xml:space="preserve">Ծրագրի նպատակն է՝ ապահովել ՀՀ պաշտոնական ներկայությունն արտերկրում՝ նպաստելով ՀՀ ինքնիշխանության և շահերի պաշտպանությանը, Հայաստանի և Արցախի անվտանգության ապահովմանը, հակահայկական քարոզչության հակազդմանը, միջազգային և տարածաշրջանային գործընթացներին ՀՀ ներգրավվածության ավելացմանը, ՀՀ կայուն զարգացման և տնտեսական արդիականացման համար նպաստավոր պայմանների ձևավորմանը, արտերկրում ՀՀ քաղաքացիների </w:t>
      </w:r>
      <w:r w:rsidRPr="009A7904">
        <w:rPr>
          <w:lang w:val="hy-AM"/>
        </w:rPr>
        <w:t>և</w:t>
      </w:r>
      <w:r w:rsidRPr="009A7904">
        <w:rPr>
          <w:lang w:val="af-ZA"/>
        </w:rPr>
        <w:t xml:space="preserve"> </w:t>
      </w:r>
      <w:r w:rsidRPr="009A7904">
        <w:rPr>
          <w:lang w:val="hy-AM"/>
        </w:rPr>
        <w:t>իրավաբանական</w:t>
      </w:r>
      <w:r w:rsidRPr="009A7904">
        <w:rPr>
          <w:lang w:val="af-ZA"/>
        </w:rPr>
        <w:t xml:space="preserve"> </w:t>
      </w:r>
      <w:r w:rsidRPr="009A7904">
        <w:rPr>
          <w:lang w:val="hy-AM"/>
        </w:rPr>
        <w:t>անձանց</w:t>
      </w:r>
      <w:r w:rsidRPr="009A7904">
        <w:rPr>
          <w:lang w:val="af-ZA"/>
        </w:rPr>
        <w:t xml:space="preserve"> </w:t>
      </w:r>
      <w:r w:rsidRPr="009A7904">
        <w:rPr>
          <w:spacing w:val="-6"/>
          <w:lang w:val="hy-AM"/>
        </w:rPr>
        <w:t>շահերի պաշտպանությանը, որի ուղղությամբ 2021-2023թթ. նախատեսվում է հատկացնել համապատասխանաբար՝ 12,977</w:t>
      </w:r>
      <w:r w:rsidRPr="009A7904">
        <w:rPr>
          <w:rFonts w:ascii="MS Mincho" w:eastAsia="MS Mincho" w:hAnsi="MS Mincho" w:cs="MS Mincho" w:hint="eastAsia"/>
          <w:spacing w:val="-6"/>
          <w:lang w:val="hy-AM"/>
        </w:rPr>
        <w:t>․</w:t>
      </w:r>
      <w:r w:rsidRPr="009A7904">
        <w:rPr>
          <w:spacing w:val="-6"/>
          <w:lang w:val="hy-AM"/>
        </w:rPr>
        <w:t xml:space="preserve">1 </w:t>
      </w:r>
      <w:r w:rsidRPr="009A7904">
        <w:rPr>
          <w:rFonts w:cs="GHEA Grapalat"/>
          <w:spacing w:val="-6"/>
          <w:lang w:val="hy-AM"/>
        </w:rPr>
        <w:t>մլն</w:t>
      </w:r>
      <w:r w:rsidRPr="009A7904">
        <w:rPr>
          <w:spacing w:val="-6"/>
          <w:lang w:val="hy-AM"/>
        </w:rPr>
        <w:t xml:space="preserve"> </w:t>
      </w:r>
      <w:r w:rsidRPr="009A7904">
        <w:rPr>
          <w:rFonts w:cs="GHEA Grapalat"/>
          <w:spacing w:val="-6"/>
          <w:lang w:val="hy-AM"/>
        </w:rPr>
        <w:t>դրամ</w:t>
      </w:r>
      <w:r w:rsidRPr="009A7904">
        <w:rPr>
          <w:spacing w:val="-6"/>
          <w:lang w:val="hy-AM"/>
        </w:rPr>
        <w:t>, 12,943</w:t>
      </w:r>
      <w:r w:rsidRPr="009A7904">
        <w:rPr>
          <w:rFonts w:ascii="MS Mincho" w:eastAsia="MS Mincho" w:hAnsi="MS Mincho" w:cs="MS Mincho" w:hint="eastAsia"/>
          <w:spacing w:val="-6"/>
          <w:lang w:val="hy-AM"/>
        </w:rPr>
        <w:t>․</w:t>
      </w:r>
      <w:r w:rsidRPr="009A7904">
        <w:rPr>
          <w:spacing w:val="-6"/>
          <w:lang w:val="hy-AM"/>
        </w:rPr>
        <w:t xml:space="preserve">5 </w:t>
      </w:r>
      <w:r w:rsidRPr="009A7904">
        <w:rPr>
          <w:rFonts w:cs="GHEA Grapalat"/>
          <w:spacing w:val="-6"/>
          <w:lang w:val="hy-AM"/>
        </w:rPr>
        <w:t>մլն</w:t>
      </w:r>
      <w:r w:rsidRPr="009A7904">
        <w:rPr>
          <w:spacing w:val="-6"/>
          <w:lang w:val="hy-AM"/>
        </w:rPr>
        <w:t xml:space="preserve"> </w:t>
      </w:r>
      <w:r w:rsidRPr="009A7904">
        <w:rPr>
          <w:rFonts w:cs="GHEA Grapalat"/>
          <w:spacing w:val="-6"/>
          <w:lang w:val="hy-AM"/>
        </w:rPr>
        <w:t>դրամ</w:t>
      </w:r>
      <w:r w:rsidRPr="009A7904">
        <w:rPr>
          <w:spacing w:val="-6"/>
          <w:lang w:val="hy-AM"/>
        </w:rPr>
        <w:t xml:space="preserve"> </w:t>
      </w:r>
      <w:r w:rsidRPr="009A7904">
        <w:rPr>
          <w:rFonts w:cs="GHEA Grapalat"/>
          <w:spacing w:val="-6"/>
          <w:lang w:val="hy-AM"/>
        </w:rPr>
        <w:t>և</w:t>
      </w:r>
      <w:r w:rsidRPr="009A7904">
        <w:rPr>
          <w:spacing w:val="-6"/>
          <w:lang w:val="hy-AM"/>
        </w:rPr>
        <w:t xml:space="preserve"> 12,943</w:t>
      </w:r>
      <w:r w:rsidRPr="009A7904">
        <w:rPr>
          <w:rFonts w:ascii="MS Mincho" w:eastAsia="MS Mincho" w:hAnsi="MS Mincho" w:cs="MS Mincho" w:hint="eastAsia"/>
          <w:spacing w:val="-6"/>
          <w:lang w:val="hy-AM"/>
        </w:rPr>
        <w:t>․</w:t>
      </w:r>
      <w:r w:rsidRPr="009A7904">
        <w:rPr>
          <w:spacing w:val="-6"/>
          <w:lang w:val="hy-AM"/>
        </w:rPr>
        <w:t xml:space="preserve">5 </w:t>
      </w:r>
      <w:r w:rsidRPr="009A7904">
        <w:rPr>
          <w:rFonts w:cs="GHEA Grapalat"/>
          <w:spacing w:val="-6"/>
          <w:lang w:val="hy-AM"/>
        </w:rPr>
        <w:t>մլն</w:t>
      </w:r>
      <w:r w:rsidRPr="009A7904">
        <w:rPr>
          <w:spacing w:val="-6"/>
          <w:lang w:val="hy-AM"/>
        </w:rPr>
        <w:t xml:space="preserve"> </w:t>
      </w:r>
      <w:r w:rsidRPr="009A7904">
        <w:rPr>
          <w:rFonts w:cs="GHEA Grapalat"/>
          <w:spacing w:val="-6"/>
          <w:lang w:val="hy-AM"/>
        </w:rPr>
        <w:t>դրամ</w:t>
      </w:r>
      <w:r w:rsidRPr="009A7904">
        <w:rPr>
          <w:spacing w:val="-6"/>
          <w:lang w:val="hy-AM"/>
        </w:rPr>
        <w:t xml:space="preserve">, </w:t>
      </w:r>
    </w:p>
    <w:p w14:paraId="07481EA0" w14:textId="77777777" w:rsidR="009D2825" w:rsidRPr="009A7904" w:rsidRDefault="009D2825" w:rsidP="009A7904">
      <w:pPr>
        <w:pStyle w:val="ColorfulList-Accent11"/>
        <w:spacing w:after="0"/>
        <w:ind w:left="0" w:right="3" w:firstLine="720"/>
        <w:rPr>
          <w:b/>
          <w:spacing w:val="-6"/>
          <w:lang w:val="hy-AM"/>
        </w:rPr>
      </w:pPr>
      <w:r w:rsidRPr="009A7904">
        <w:rPr>
          <w:b/>
          <w:spacing w:val="-6"/>
          <w:lang w:val="hy-AM"/>
        </w:rPr>
        <w:lastRenderedPageBreak/>
        <w:t>4</w:t>
      </w:r>
      <w:r w:rsidRPr="009A7904">
        <w:rPr>
          <w:rFonts w:ascii="MS Mincho" w:eastAsia="MS Mincho" w:hAnsi="MS Mincho" w:cs="MS Mincho" w:hint="eastAsia"/>
          <w:b/>
          <w:spacing w:val="-6"/>
          <w:lang w:val="hy-AM"/>
        </w:rPr>
        <w:t>․</w:t>
      </w:r>
      <w:r w:rsidRPr="009A7904">
        <w:rPr>
          <w:b/>
          <w:spacing w:val="-6"/>
          <w:lang w:val="hy-AM"/>
        </w:rPr>
        <w:t xml:space="preserve"> </w:t>
      </w:r>
      <w:r w:rsidRPr="009A7904">
        <w:rPr>
          <w:rFonts w:cs="GHEA Grapalat"/>
          <w:b/>
          <w:spacing w:val="-6"/>
          <w:lang w:val="hy-AM"/>
        </w:rPr>
        <w:t>Միջազգային</w:t>
      </w:r>
      <w:r w:rsidRPr="009A7904">
        <w:rPr>
          <w:b/>
          <w:spacing w:val="-6"/>
          <w:lang w:val="hy-AM"/>
        </w:rPr>
        <w:t xml:space="preserve"> </w:t>
      </w:r>
      <w:r w:rsidRPr="009A7904">
        <w:rPr>
          <w:rFonts w:cs="GHEA Grapalat"/>
          <w:b/>
          <w:spacing w:val="-6"/>
          <w:lang w:val="hy-AM"/>
        </w:rPr>
        <w:t>հարաբերությունների</w:t>
      </w:r>
      <w:r w:rsidRPr="009A7904">
        <w:rPr>
          <w:b/>
          <w:spacing w:val="-6"/>
          <w:lang w:val="hy-AM"/>
        </w:rPr>
        <w:t xml:space="preserve"> </w:t>
      </w:r>
      <w:r w:rsidRPr="009A7904">
        <w:rPr>
          <w:rFonts w:cs="GHEA Grapalat"/>
          <w:b/>
          <w:spacing w:val="-6"/>
          <w:lang w:val="hy-AM"/>
        </w:rPr>
        <w:t>և</w:t>
      </w:r>
      <w:r w:rsidRPr="009A7904">
        <w:rPr>
          <w:b/>
          <w:spacing w:val="-6"/>
          <w:lang w:val="hy-AM"/>
        </w:rPr>
        <w:t xml:space="preserve"> </w:t>
      </w:r>
      <w:r w:rsidRPr="009A7904">
        <w:rPr>
          <w:rFonts w:cs="GHEA Grapalat"/>
          <w:b/>
          <w:spacing w:val="-6"/>
          <w:lang w:val="hy-AM"/>
        </w:rPr>
        <w:t>դիվանագիտության</w:t>
      </w:r>
      <w:r w:rsidRPr="009A7904">
        <w:rPr>
          <w:b/>
          <w:spacing w:val="-6"/>
          <w:lang w:val="hy-AM"/>
        </w:rPr>
        <w:t xml:space="preserve"> </w:t>
      </w:r>
      <w:r w:rsidRPr="009A7904">
        <w:rPr>
          <w:rFonts w:cs="GHEA Grapalat"/>
          <w:b/>
          <w:spacing w:val="-6"/>
          <w:lang w:val="hy-AM"/>
        </w:rPr>
        <w:t>ո</w:t>
      </w:r>
      <w:r w:rsidRPr="009A7904">
        <w:rPr>
          <w:b/>
          <w:spacing w:val="-6"/>
          <w:lang w:val="hy-AM"/>
        </w:rPr>
        <w:t>լորտում մասնագետների պատրաստում և վերապատրաստում ծրագիր.</w:t>
      </w:r>
    </w:p>
    <w:p w14:paraId="74CB959F" w14:textId="77777777" w:rsidR="009D2825" w:rsidRPr="009A7904" w:rsidRDefault="009D2825" w:rsidP="009A7904">
      <w:pPr>
        <w:pStyle w:val="ColorfulList-Accent11"/>
        <w:spacing w:after="0"/>
        <w:ind w:left="0" w:right="3" w:firstLine="720"/>
        <w:rPr>
          <w:spacing w:val="-6"/>
          <w:lang w:val="hy-AM"/>
        </w:rPr>
      </w:pPr>
      <w:r w:rsidRPr="009A7904">
        <w:rPr>
          <w:spacing w:val="-6"/>
          <w:lang w:val="hy-AM"/>
        </w:rPr>
        <w:t xml:space="preserve"> Ծրագրի նպատակն է՝  դիվանագիտական և պետական ծառայության արդյունավետության բարձրացումը, դիվանագիտական ծառայության համալրումը նոր և որակյալ մասնագետներով, պետական ծառայողների, այդ թվում` դիվանագիտական ծառայողների վերապատրաստումը, որի ուղղությամբ 2021-2023թթ. նախատեսվում է յուրաքանչյուր տարի հատկացնել 224</w:t>
      </w:r>
      <w:r w:rsidR="00B20DFC" w:rsidRPr="009A7904">
        <w:rPr>
          <w:rFonts w:hint="eastAsia"/>
          <w:spacing w:val="-6"/>
          <w:lang w:val="hy-AM"/>
        </w:rPr>
        <w:t>.</w:t>
      </w:r>
      <w:r w:rsidRPr="009A7904">
        <w:rPr>
          <w:spacing w:val="-6"/>
          <w:lang w:val="hy-AM"/>
        </w:rPr>
        <w:t xml:space="preserve">5 մլն դրամ, </w:t>
      </w:r>
    </w:p>
    <w:p w14:paraId="4137E920" w14:textId="77777777" w:rsidR="009D2825" w:rsidRPr="009A7904" w:rsidRDefault="009D2825" w:rsidP="009A7904">
      <w:pPr>
        <w:pStyle w:val="ColorfulList-Accent11"/>
        <w:spacing w:after="0"/>
        <w:ind w:left="0" w:right="3" w:firstLine="720"/>
        <w:rPr>
          <w:b/>
          <w:spacing w:val="-6"/>
          <w:lang w:val="hy-AM"/>
        </w:rPr>
      </w:pPr>
      <w:r w:rsidRPr="009A7904">
        <w:rPr>
          <w:b/>
          <w:spacing w:val="-6"/>
          <w:lang w:val="hy-AM"/>
        </w:rPr>
        <w:t>5</w:t>
      </w:r>
      <w:r w:rsidR="00B20DFC" w:rsidRPr="009A7904">
        <w:rPr>
          <w:rFonts w:ascii="MS Mincho" w:eastAsia="MS Mincho" w:hAnsi="MS Mincho" w:cs="MS Mincho" w:hint="eastAsia"/>
          <w:b/>
          <w:spacing w:val="-6"/>
          <w:lang w:val="hy-AM"/>
        </w:rPr>
        <w:t>.</w:t>
      </w:r>
      <w:r w:rsidRPr="009A7904">
        <w:rPr>
          <w:b/>
          <w:spacing w:val="-6"/>
          <w:lang w:val="hy-AM"/>
        </w:rPr>
        <w:t xml:space="preserve"> </w:t>
      </w:r>
      <w:r w:rsidRPr="009A7904">
        <w:rPr>
          <w:rFonts w:cs="GHEA Grapalat"/>
          <w:b/>
          <w:spacing w:val="-6"/>
          <w:lang w:val="hy-AM"/>
        </w:rPr>
        <w:t>Հայաստանի</w:t>
      </w:r>
      <w:r w:rsidRPr="009A7904">
        <w:rPr>
          <w:b/>
          <w:spacing w:val="-6"/>
          <w:lang w:val="hy-AM"/>
        </w:rPr>
        <w:t xml:space="preserve"> </w:t>
      </w:r>
      <w:r w:rsidRPr="009A7904">
        <w:rPr>
          <w:rFonts w:cs="GHEA Grapalat"/>
          <w:b/>
          <w:spacing w:val="-6"/>
          <w:lang w:val="hy-AM"/>
        </w:rPr>
        <w:t>Հանրապետությունում</w:t>
      </w:r>
      <w:r w:rsidRPr="009A7904">
        <w:rPr>
          <w:b/>
          <w:spacing w:val="-6"/>
          <w:lang w:val="hy-AM"/>
        </w:rPr>
        <w:t xml:space="preserve"> </w:t>
      </w:r>
      <w:r w:rsidRPr="009A7904">
        <w:rPr>
          <w:rFonts w:cs="GHEA Grapalat"/>
          <w:b/>
          <w:spacing w:val="-6"/>
          <w:lang w:val="hy-AM"/>
        </w:rPr>
        <w:t>և</w:t>
      </w:r>
      <w:r w:rsidRPr="009A7904">
        <w:rPr>
          <w:b/>
          <w:spacing w:val="-6"/>
          <w:lang w:val="hy-AM"/>
        </w:rPr>
        <w:t xml:space="preserve"> </w:t>
      </w:r>
      <w:r w:rsidRPr="009A7904">
        <w:rPr>
          <w:rFonts w:cs="GHEA Grapalat"/>
          <w:b/>
          <w:spacing w:val="-6"/>
          <w:lang w:val="hy-AM"/>
        </w:rPr>
        <w:t>օտարերկրյա</w:t>
      </w:r>
      <w:r w:rsidRPr="009A7904">
        <w:rPr>
          <w:b/>
          <w:spacing w:val="-6"/>
          <w:lang w:val="hy-AM"/>
        </w:rPr>
        <w:t xml:space="preserve"> </w:t>
      </w:r>
      <w:r w:rsidRPr="009A7904">
        <w:rPr>
          <w:rFonts w:cs="GHEA Grapalat"/>
          <w:b/>
          <w:spacing w:val="-6"/>
          <w:lang w:val="hy-AM"/>
        </w:rPr>
        <w:t>պետություններում</w:t>
      </w:r>
      <w:r w:rsidRPr="009A7904">
        <w:rPr>
          <w:b/>
          <w:spacing w:val="-6"/>
          <w:lang w:val="hy-AM"/>
        </w:rPr>
        <w:t xml:space="preserve"> </w:t>
      </w:r>
      <w:r w:rsidRPr="009A7904">
        <w:rPr>
          <w:rFonts w:cs="GHEA Grapalat"/>
          <w:b/>
          <w:spacing w:val="-6"/>
          <w:lang w:val="hy-AM"/>
        </w:rPr>
        <w:t>արարողակարգային</w:t>
      </w:r>
      <w:r w:rsidRPr="009A7904">
        <w:rPr>
          <w:b/>
          <w:spacing w:val="-6"/>
          <w:lang w:val="hy-AM"/>
        </w:rPr>
        <w:t xml:space="preserve"> </w:t>
      </w:r>
      <w:r w:rsidRPr="009A7904">
        <w:rPr>
          <w:rFonts w:cs="GHEA Grapalat"/>
          <w:b/>
          <w:spacing w:val="-6"/>
          <w:lang w:val="hy-AM"/>
        </w:rPr>
        <w:t>միջոցառումների</w:t>
      </w:r>
      <w:r w:rsidRPr="009A7904">
        <w:rPr>
          <w:b/>
          <w:spacing w:val="-6"/>
          <w:lang w:val="hy-AM"/>
        </w:rPr>
        <w:t xml:space="preserve"> </w:t>
      </w:r>
      <w:r w:rsidRPr="009A7904">
        <w:rPr>
          <w:rFonts w:cs="GHEA Grapalat"/>
          <w:b/>
          <w:spacing w:val="-6"/>
          <w:lang w:val="hy-AM"/>
        </w:rPr>
        <w:t>իրականացում</w:t>
      </w:r>
      <w:r w:rsidRPr="009A7904">
        <w:rPr>
          <w:b/>
          <w:spacing w:val="-6"/>
          <w:lang w:val="hy-AM"/>
        </w:rPr>
        <w:t xml:space="preserve"> </w:t>
      </w:r>
      <w:r w:rsidRPr="009A7904">
        <w:rPr>
          <w:rFonts w:cs="GHEA Grapalat"/>
          <w:b/>
          <w:spacing w:val="-6"/>
          <w:lang w:val="hy-AM"/>
        </w:rPr>
        <w:t>ծրագիր</w:t>
      </w:r>
      <w:r w:rsidRPr="009A7904">
        <w:rPr>
          <w:b/>
          <w:spacing w:val="-6"/>
          <w:lang w:val="hy-AM"/>
        </w:rPr>
        <w:t>.</w:t>
      </w:r>
    </w:p>
    <w:p w14:paraId="18F74DEA" w14:textId="77777777" w:rsidR="009D2825" w:rsidRPr="009A7904" w:rsidRDefault="009D2825" w:rsidP="009A7904">
      <w:pPr>
        <w:pStyle w:val="ColorfulList-Accent11"/>
        <w:spacing w:after="0"/>
        <w:ind w:left="0" w:firstLine="720"/>
        <w:rPr>
          <w:spacing w:val="-6"/>
          <w:lang w:val="hy-AM"/>
        </w:rPr>
      </w:pPr>
      <w:r w:rsidRPr="009A7904">
        <w:rPr>
          <w:spacing w:val="-6"/>
          <w:lang w:val="hy-AM"/>
        </w:rPr>
        <w:t>Ծրագրի նպատակն է՝  Հայաստանի Հանրապետությունում և ՀՀ միջազգային հարաբերություններում պետական արարողակարգային կանոնների միասնական կիրառումն ու ապահովումը, ինչպես նաև միջազգային արարողակարգային չափանիշներին համապատասխան միջոցառումների կազմակերպումն ու իրականացումը, որի ուղղությամբ 2021-2023թթ. նախատեսվում է հատկացնել համապատասխանաբար՝ 204</w:t>
      </w:r>
      <w:r w:rsidR="00BF13A2" w:rsidRPr="009A7904">
        <w:rPr>
          <w:rFonts w:ascii="Cambria Math" w:hAnsi="Cambria Math" w:cs="Cambria Math"/>
          <w:spacing w:val="-6"/>
          <w:lang w:val="hy-AM"/>
        </w:rPr>
        <w:t>.</w:t>
      </w:r>
      <w:r w:rsidRPr="009A7904">
        <w:rPr>
          <w:spacing w:val="-6"/>
          <w:lang w:val="hy-AM"/>
        </w:rPr>
        <w:t>4 մլն դրամ, 188</w:t>
      </w:r>
      <w:r w:rsidR="00BF13A2" w:rsidRPr="009A7904">
        <w:rPr>
          <w:rFonts w:ascii="Cambria Math" w:hAnsi="Cambria Math" w:cs="Cambria Math"/>
          <w:spacing w:val="-6"/>
          <w:lang w:val="hy-AM"/>
        </w:rPr>
        <w:t>.</w:t>
      </w:r>
      <w:r w:rsidRPr="009A7904">
        <w:rPr>
          <w:spacing w:val="-6"/>
          <w:lang w:val="hy-AM"/>
        </w:rPr>
        <w:t>9 մլն դրամ և 190</w:t>
      </w:r>
      <w:r w:rsidR="00BF13A2" w:rsidRPr="009A7904">
        <w:rPr>
          <w:rFonts w:ascii="Cambria Math" w:hAnsi="Cambria Math" w:cs="Cambria Math"/>
          <w:spacing w:val="-6"/>
          <w:lang w:val="hy-AM"/>
        </w:rPr>
        <w:t>.</w:t>
      </w:r>
      <w:r w:rsidRPr="009A7904">
        <w:rPr>
          <w:spacing w:val="-6"/>
          <w:lang w:val="hy-AM"/>
        </w:rPr>
        <w:t xml:space="preserve">1 մլն դրամ: </w:t>
      </w:r>
    </w:p>
    <w:p w14:paraId="6274C2F4" w14:textId="77777777" w:rsidR="009D2825" w:rsidRPr="009A7904" w:rsidRDefault="009D2825" w:rsidP="009A7904">
      <w:pPr>
        <w:pStyle w:val="ColorfulList-Accent11"/>
        <w:spacing w:after="0"/>
        <w:ind w:left="0" w:firstLine="720"/>
        <w:rPr>
          <w:spacing w:val="-6"/>
          <w:lang w:val="hy-AM"/>
        </w:rPr>
      </w:pPr>
      <w:r w:rsidRPr="009A7904">
        <w:rPr>
          <w:spacing w:val="-6"/>
          <w:lang w:val="hy-AM"/>
        </w:rPr>
        <w:t>Ստորև ներկայացված են արտաքին քաղաքականության ոլորտի 2021-2023թթ</w:t>
      </w:r>
      <w:r w:rsidR="00BF13A2" w:rsidRPr="009A7904">
        <w:rPr>
          <w:rFonts w:ascii="Cambria Math" w:hAnsi="Cambria Math" w:cs="Cambria Math"/>
          <w:spacing w:val="-6"/>
          <w:lang w:val="hy-AM"/>
        </w:rPr>
        <w:t>.</w:t>
      </w:r>
      <w:r w:rsidRPr="009A7904">
        <w:rPr>
          <w:spacing w:val="-6"/>
          <w:lang w:val="hy-AM"/>
        </w:rPr>
        <w:t xml:space="preserve"> յուրաքանչյուր տարվա համար նախատեսված չափաքանակները. </w:t>
      </w:r>
    </w:p>
    <w:p w14:paraId="3467E647" w14:textId="77777777" w:rsidR="009D2825" w:rsidRPr="009A7904" w:rsidRDefault="009D2825" w:rsidP="009A7904">
      <w:pPr>
        <w:pStyle w:val="ColorfulList-Accent11"/>
        <w:spacing w:after="0"/>
        <w:ind w:left="0" w:right="3" w:firstLine="720"/>
        <w:rPr>
          <w:spacing w:val="-6"/>
          <w:lang w:val="hy-AM"/>
        </w:rPr>
      </w:pPr>
      <w:r w:rsidRPr="009A7904">
        <w:rPr>
          <w:spacing w:val="-6"/>
          <w:lang w:val="hy-AM"/>
        </w:rPr>
        <w:t>2021 թվականի համար՝   17,580</w:t>
      </w:r>
      <w:r w:rsidR="00BF13A2" w:rsidRPr="009A7904">
        <w:rPr>
          <w:rFonts w:ascii="Cambria Math" w:hAnsi="Cambria Math" w:cs="Cambria Math"/>
          <w:spacing w:val="-6"/>
          <w:lang w:val="hy-AM"/>
        </w:rPr>
        <w:t>.</w:t>
      </w:r>
      <w:r w:rsidRPr="009A7904">
        <w:rPr>
          <w:spacing w:val="-6"/>
          <w:lang w:val="hy-AM"/>
        </w:rPr>
        <w:t>3 մլն դրամ,</w:t>
      </w:r>
    </w:p>
    <w:p w14:paraId="10FA1141" w14:textId="77777777" w:rsidR="009D2825" w:rsidRPr="009A7904" w:rsidRDefault="009D2825" w:rsidP="009A7904">
      <w:pPr>
        <w:pStyle w:val="ColorfulList-Accent11"/>
        <w:spacing w:after="0"/>
        <w:ind w:left="0" w:right="3" w:firstLine="720"/>
        <w:rPr>
          <w:spacing w:val="-6"/>
          <w:lang w:val="hy-AM"/>
        </w:rPr>
      </w:pPr>
      <w:r w:rsidRPr="009A7904">
        <w:rPr>
          <w:spacing w:val="-6"/>
          <w:lang w:val="hy-AM"/>
        </w:rPr>
        <w:t>2022 թվականի համար՝   17,551</w:t>
      </w:r>
      <w:r w:rsidR="00BF13A2" w:rsidRPr="009A7904">
        <w:rPr>
          <w:rFonts w:ascii="Cambria Math" w:hAnsi="Cambria Math" w:cs="Cambria Math"/>
          <w:spacing w:val="-6"/>
          <w:lang w:val="hy-AM"/>
        </w:rPr>
        <w:t>.</w:t>
      </w:r>
      <w:r w:rsidRPr="009A7904">
        <w:rPr>
          <w:spacing w:val="-6"/>
          <w:lang w:val="hy-AM"/>
        </w:rPr>
        <w:t>6 մլն դրամ,</w:t>
      </w:r>
    </w:p>
    <w:p w14:paraId="6474ADD2" w14:textId="77777777" w:rsidR="00B20DFC" w:rsidRPr="009A7904" w:rsidRDefault="009D2825" w:rsidP="009A7904">
      <w:pPr>
        <w:pStyle w:val="ColorfulList-Accent11"/>
        <w:spacing w:after="0"/>
        <w:ind w:left="0" w:right="3" w:firstLine="720"/>
        <w:rPr>
          <w:spacing w:val="-6"/>
          <w:lang w:val="hy-AM"/>
        </w:rPr>
      </w:pPr>
      <w:r w:rsidRPr="009A7904">
        <w:rPr>
          <w:spacing w:val="-6"/>
          <w:lang w:val="hy-AM"/>
        </w:rPr>
        <w:t>2023 թվականի համար՝   17,574</w:t>
      </w:r>
      <w:r w:rsidR="00BF13A2" w:rsidRPr="009A7904">
        <w:rPr>
          <w:rFonts w:ascii="Cambria Math" w:eastAsia="MS Mincho" w:hAnsi="Cambria Math" w:cs="Cambria Math"/>
          <w:spacing w:val="-6"/>
          <w:lang w:val="hy-AM"/>
        </w:rPr>
        <w:t>.</w:t>
      </w:r>
      <w:r w:rsidRPr="009A7904">
        <w:rPr>
          <w:spacing w:val="-6"/>
          <w:lang w:val="hy-AM"/>
        </w:rPr>
        <w:t>1 մլն դրամ:</w:t>
      </w:r>
      <w:bookmarkStart w:id="356" w:name="_Toc45637527"/>
      <w:bookmarkStart w:id="357" w:name="_Toc45838551"/>
    </w:p>
    <w:p w14:paraId="6B3D4EDE" w14:textId="77777777" w:rsidR="009858E4" w:rsidRPr="009A7904" w:rsidRDefault="00B20DFC" w:rsidP="009A7904">
      <w:pPr>
        <w:spacing w:before="0" w:after="200" w:line="276" w:lineRule="auto"/>
        <w:ind w:firstLine="0"/>
        <w:jc w:val="left"/>
        <w:rPr>
          <w:rFonts w:eastAsia="Calibri"/>
          <w:spacing w:val="-6"/>
          <w:lang w:val="hy-AM"/>
        </w:rPr>
      </w:pPr>
      <w:r w:rsidRPr="009A7904">
        <w:rPr>
          <w:spacing w:val="-6"/>
          <w:lang w:val="hy-AM"/>
        </w:rPr>
        <w:br w:type="page"/>
      </w:r>
    </w:p>
    <w:p w14:paraId="2A0784F9" w14:textId="77777777" w:rsidR="009D2825" w:rsidRPr="009A7904" w:rsidRDefault="009D2825"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358" w:name="_Toc46154379"/>
      <w:r w:rsidRPr="009A7904">
        <w:rPr>
          <w:rFonts w:eastAsia="Times New Roman" w:cs="Times New Roman"/>
          <w:caps w:val="0"/>
          <w:color w:val="1F497D" w:themeColor="text2"/>
          <w:sz w:val="28"/>
          <w:szCs w:val="28"/>
        </w:rPr>
        <w:lastRenderedPageBreak/>
        <w:t>12</w:t>
      </w:r>
      <w:r w:rsidR="009858E4" w:rsidRPr="009A7904">
        <w:rPr>
          <w:rFonts w:eastAsia="Times New Roman" w:cs="Times New Roman"/>
          <w:caps w:val="0"/>
          <w:color w:val="1F497D" w:themeColor="text2"/>
          <w:sz w:val="28"/>
          <w:szCs w:val="28"/>
        </w:rPr>
        <w:t>.</w:t>
      </w:r>
      <w:r w:rsidRPr="009A7904">
        <w:rPr>
          <w:rFonts w:eastAsia="Times New Roman" w:cs="Times New Roman"/>
          <w:caps w:val="0"/>
          <w:color w:val="1F497D" w:themeColor="text2"/>
          <w:sz w:val="28"/>
          <w:szCs w:val="28"/>
        </w:rPr>
        <w:t xml:space="preserve"> ՖԻՆԱՆՍՆԵՐ</w:t>
      </w:r>
      <w:bookmarkEnd w:id="356"/>
      <w:bookmarkEnd w:id="357"/>
      <w:bookmarkEnd w:id="358"/>
    </w:p>
    <w:p w14:paraId="7D8514B4" w14:textId="77777777" w:rsidR="009D2825" w:rsidRPr="009A7904" w:rsidRDefault="009D2825" w:rsidP="009A7904">
      <w:pPr>
        <w:spacing w:after="100" w:afterAutospacing="1" w:line="276" w:lineRule="auto"/>
        <w:ind w:firstLine="720"/>
        <w:rPr>
          <w:rFonts w:cs="Sylfaen"/>
          <w:kern w:val="16"/>
          <w:lang w:val="hy-AM"/>
        </w:rPr>
      </w:pPr>
      <w:r w:rsidRPr="009A7904">
        <w:rPr>
          <w:rFonts w:cs="Sylfaen"/>
          <w:kern w:val="16"/>
          <w:lang w:val="hy-AM"/>
        </w:rPr>
        <w:t>Առաջիկա տարիներին ֆինանսների ոլորտում հիմնական նպատակը լինելու է կառավարության միասնական պետական քաղաքականության ապահովումը, պետական ֆինանսների և պետական պարտքի արդյունավետ կառավարումը, հարկաբյուջետային քաղաքականության մշակումը և իրականացման ապահովումը, ներառյալ՝ բյուջետային գործընթացի կառավարումը, պետական գնումների արդյունավետության բարձրացմանն ուղղված շարունակական բարեփոխումների իրականացումը։</w:t>
      </w:r>
    </w:p>
    <w:p w14:paraId="75782BD5" w14:textId="77777777" w:rsidR="009D2825" w:rsidRPr="009A7904" w:rsidRDefault="009D2825" w:rsidP="009A7904">
      <w:pPr>
        <w:shd w:val="clear" w:color="auto" w:fill="FFFFFF"/>
        <w:spacing w:after="0" w:line="276" w:lineRule="auto"/>
        <w:rPr>
          <w:rFonts w:cs="Sylfaen"/>
          <w:b/>
          <w:kern w:val="16"/>
          <w:lang w:val="hy-AM"/>
        </w:rPr>
      </w:pPr>
      <w:r w:rsidRPr="009A7904">
        <w:rPr>
          <w:rFonts w:cs="Sylfaen"/>
          <w:b/>
          <w:kern w:val="16"/>
          <w:lang w:val="hy-AM"/>
        </w:rPr>
        <w:t>ՈԼՈՐՏԱՅԻՆ ԾԱԽՍԱՅԻՆ ԾՐԱԳՐԵՐԸ</w:t>
      </w:r>
    </w:p>
    <w:p w14:paraId="1E3680B1" w14:textId="77777777" w:rsidR="009D2825" w:rsidRPr="009A7904" w:rsidRDefault="009D2825" w:rsidP="009A7904">
      <w:pPr>
        <w:spacing w:line="276" w:lineRule="auto"/>
        <w:rPr>
          <w:rFonts w:cs="Sylfaen"/>
          <w:kern w:val="16"/>
          <w:lang w:val="hy-AM"/>
        </w:rPr>
      </w:pPr>
      <w:r w:rsidRPr="009A7904">
        <w:rPr>
          <w:rFonts w:cs="Sylfaen"/>
          <w:kern w:val="16"/>
          <w:lang w:val="hy-AM"/>
        </w:rPr>
        <w:t>«Պետական պարտքի կառավարում» ծրագրի նպատակն է կառավարության ֆինանսական կարիքների բավարարման մշտական հնարավորության ապահովումը՝ երկարաժամկետ հատվածում նվազեցնելով պարտքի սպասարկման մեծությունը: Ծրագրի վերջնական արդյունքն է կառավարության պարտքի օպտիմալ կառուցվածքի ձևավորումը՝ հաշվի առնելով պոտենցիալ ռիսկերը, որի ուղղությամբ 2021-2023թթ. նախատեսվում է հատկացնել համապատասխանաբար՝ 185,567.1 մլն դրամ, 211,285.6 մլն դրամ և 236,633.1 մլն դրամ:</w:t>
      </w:r>
    </w:p>
    <w:p w14:paraId="2BF3D8F3" w14:textId="77777777" w:rsidR="009D2825" w:rsidRPr="009A7904" w:rsidRDefault="009D2825" w:rsidP="009A7904">
      <w:pPr>
        <w:shd w:val="clear" w:color="auto" w:fill="FFFFFF"/>
        <w:spacing w:line="276" w:lineRule="auto"/>
        <w:rPr>
          <w:lang w:val="hy-AM"/>
        </w:rPr>
      </w:pPr>
      <w:r w:rsidRPr="009A7904">
        <w:rPr>
          <w:rFonts w:cs="Sylfaen"/>
          <w:kern w:val="16"/>
          <w:lang w:val="hy-AM"/>
        </w:rPr>
        <w:t xml:space="preserve">«Հանրային հատվածի ֆինանսական ոլորտի մասնագետների վերապատրաստում» ծրագրի նպատակն է հանրային հատվածի ֆինանսական ոլորտի մասնագետների աշխատանքի  արդյունավետության բարելավումը, հանրային ֆինանսների կառավարման նոր գիտելիքների և փորձի յուրացումը: Նախատեսվում է, որ ծրագրի շրջանակներում շարունակական վերապատրաստում կանցնեն և արդյունքում կապահովվի որակավորված ներքին աուդիտորների, ֆինանսական և ծրագրային մասնագետների, ինչպես նաև գնումների համակարգողների ամբողջական ընդգրկվածություն համապատասխան վերապատրաստման միջոցառումներում, որի ուղղությամբ 2021-2023թթ. նախատեսվում է հատկացնել համապատասխանաբար՝ 30.4 մլն դրամ, 32.9 մլն դրամ և 43.1 մլն դրամ::   </w:t>
      </w:r>
    </w:p>
    <w:p w14:paraId="44D6A32A" w14:textId="77777777" w:rsidR="009D2825" w:rsidRPr="009A7904" w:rsidRDefault="009D2825" w:rsidP="009A7904">
      <w:pPr>
        <w:spacing w:line="276" w:lineRule="auto"/>
        <w:rPr>
          <w:rFonts w:cs="Sylfaen"/>
          <w:kern w:val="16"/>
          <w:lang w:val="hy-AM"/>
        </w:rPr>
      </w:pPr>
      <w:r w:rsidRPr="009A7904">
        <w:rPr>
          <w:rFonts w:cs="Sylfaen"/>
          <w:kern w:val="16"/>
          <w:lang w:val="hy-AM"/>
        </w:rPr>
        <w:t>«Հանրային ֆինանսների կառավարման բնագավառում պետական քաղաքականության մշակում, ծրագրերի համակարգում և մոնիտորինգ»</w:t>
      </w:r>
      <w:r w:rsidRPr="009A7904">
        <w:rPr>
          <w:lang w:val="hy-AM"/>
        </w:rPr>
        <w:t xml:space="preserve"> </w:t>
      </w:r>
      <w:r w:rsidRPr="009A7904">
        <w:rPr>
          <w:rFonts w:cs="Sylfaen"/>
          <w:kern w:val="16"/>
          <w:lang w:val="hy-AM"/>
        </w:rPr>
        <w:t>ծրագրի նպատակն է</w:t>
      </w:r>
      <w:r w:rsidRPr="009A7904">
        <w:rPr>
          <w:lang w:val="hy-AM"/>
        </w:rPr>
        <w:t xml:space="preserve"> </w:t>
      </w:r>
      <w:r w:rsidRPr="009A7904">
        <w:rPr>
          <w:rFonts w:cs="Sylfaen"/>
          <w:kern w:val="16"/>
          <w:lang w:val="hy-AM"/>
        </w:rPr>
        <w:t>հարկաբյուջետային քաղաքականության մշակումը և իրականացման ապահովումը, հանրային ֆինանսների արդյունավետ կառավարումը, որի ուղղությամբ 2021-2023թթ. նախատեսվում է հատկացնել համապատասխանաբար՝ 2,892.9 մլն դրամ, 2,929.6 մլն դրամ և 2,966.9 մլն դրամ:</w:t>
      </w:r>
    </w:p>
    <w:p w14:paraId="793E67A2" w14:textId="77777777" w:rsidR="009D2825" w:rsidRPr="009A7904" w:rsidRDefault="009D2825" w:rsidP="009A7904">
      <w:pPr>
        <w:shd w:val="clear" w:color="auto" w:fill="FFFFFF"/>
        <w:spacing w:line="276" w:lineRule="auto"/>
        <w:rPr>
          <w:lang w:val="hy-AM"/>
        </w:rPr>
      </w:pPr>
      <w:r w:rsidRPr="009A7904">
        <w:rPr>
          <w:rFonts w:cs="Sylfaen"/>
          <w:iCs/>
          <w:kern w:val="16"/>
          <w:lang w:val="hy-AM"/>
        </w:rPr>
        <w:t>«Գնումների գործընթացի կարգավորում և համակարգում</w:t>
      </w:r>
      <w:r w:rsidRPr="009A7904">
        <w:rPr>
          <w:rFonts w:cs="Sylfaen"/>
          <w:kern w:val="16"/>
          <w:lang w:val="hy-AM"/>
        </w:rPr>
        <w:t>» ծրագրի նպատակն է</w:t>
      </w:r>
      <w:r w:rsidRPr="009A7904">
        <w:rPr>
          <w:rFonts w:cs="Calibri"/>
          <w:iCs/>
          <w:lang w:val="hy-AM"/>
        </w:rPr>
        <w:t xml:space="preserve"> </w:t>
      </w:r>
      <w:r w:rsidRPr="009A7904">
        <w:rPr>
          <w:rFonts w:cs="Sylfaen"/>
          <w:iCs/>
          <w:kern w:val="16"/>
          <w:lang w:val="hy-AM"/>
        </w:rPr>
        <w:t>հանրային միջոցների ծախսման արդյունավետության բարձրացումը և կոռուպցիոն ռիսկերի նվազեցումը:</w:t>
      </w:r>
      <w:r w:rsidRPr="009A7904">
        <w:rPr>
          <w:rFonts w:cs="Sylfaen"/>
          <w:kern w:val="16"/>
          <w:lang w:val="hy-AM"/>
        </w:rPr>
        <w:t xml:space="preserve"> </w:t>
      </w:r>
      <w:r w:rsidRPr="009A7904">
        <w:rPr>
          <w:rFonts w:cs="Sylfaen"/>
          <w:iCs/>
          <w:kern w:val="16"/>
          <w:lang w:val="hy-AM"/>
        </w:rPr>
        <w:t>Ծրագրի գծով 2021-2023թթ. համար սահմանվել են հետևյալ թիրախային ցուցանիշներ որոնք բխում են կառավարության ՀՀ կառավարության ծրագրից, որի ուղղությամբ 2021-2023թթ. նախատեսվում է յուրաքանչյուր տարի հատկացնել 119.6 մլն դրամ:</w:t>
      </w:r>
    </w:p>
    <w:p w14:paraId="6A1AA8D6" w14:textId="77777777" w:rsidR="009D2825" w:rsidRPr="009A7904" w:rsidRDefault="009D2825" w:rsidP="009A7904">
      <w:pPr>
        <w:overflowPunct w:val="0"/>
        <w:autoSpaceDE w:val="0"/>
        <w:autoSpaceDN w:val="0"/>
        <w:adjustRightInd w:val="0"/>
        <w:spacing w:after="0" w:line="276" w:lineRule="auto"/>
        <w:ind w:firstLine="540"/>
        <w:textAlignment w:val="baseline"/>
        <w:rPr>
          <w:rFonts w:cs="Times Armenian"/>
          <w:kern w:val="16"/>
          <w:lang w:val="hy-AM"/>
        </w:rPr>
      </w:pPr>
      <w:r w:rsidRPr="009A7904">
        <w:rPr>
          <w:rFonts w:cs="Times Armenian"/>
          <w:kern w:val="16"/>
          <w:lang w:val="hy-AM"/>
        </w:rPr>
        <w:t>Ստորև ներկայացված են ֆինանսների բնագավառի 2021-2023 թթ</w:t>
      </w:r>
      <w:r w:rsidRPr="009A7904">
        <w:rPr>
          <w:rFonts w:ascii="Cambria Math" w:hAnsi="Cambria Math" w:cs="Cambria Math"/>
          <w:kern w:val="16"/>
          <w:lang w:val="hy-AM"/>
        </w:rPr>
        <w:t xml:space="preserve"> </w:t>
      </w:r>
      <w:r w:rsidRPr="009A7904">
        <w:rPr>
          <w:rFonts w:cs="Times Armenian"/>
          <w:kern w:val="16"/>
          <w:lang w:val="hy-AM"/>
        </w:rPr>
        <w:t xml:space="preserve"> </w:t>
      </w:r>
      <w:r w:rsidRPr="009A7904">
        <w:rPr>
          <w:rFonts w:cs="GHEA Grapalat"/>
          <w:kern w:val="16"/>
          <w:lang w:val="hy-AM"/>
        </w:rPr>
        <w:t>յուրաքանչյուր</w:t>
      </w:r>
      <w:r w:rsidRPr="009A7904">
        <w:rPr>
          <w:rFonts w:cs="Times Armenian"/>
          <w:kern w:val="16"/>
          <w:lang w:val="hy-AM"/>
        </w:rPr>
        <w:t xml:space="preserve"> </w:t>
      </w:r>
      <w:r w:rsidRPr="009A7904">
        <w:rPr>
          <w:rFonts w:cs="GHEA Grapalat"/>
          <w:kern w:val="16"/>
          <w:lang w:val="hy-AM"/>
        </w:rPr>
        <w:t>տարվա</w:t>
      </w:r>
      <w:r w:rsidRPr="009A7904">
        <w:rPr>
          <w:rFonts w:cs="Times Armenian"/>
          <w:kern w:val="16"/>
          <w:lang w:val="hy-AM"/>
        </w:rPr>
        <w:t xml:space="preserve"> </w:t>
      </w:r>
      <w:r w:rsidRPr="009A7904">
        <w:rPr>
          <w:rFonts w:cs="GHEA Grapalat"/>
          <w:kern w:val="16"/>
          <w:lang w:val="hy-AM"/>
        </w:rPr>
        <w:t>համար</w:t>
      </w:r>
      <w:r w:rsidRPr="009A7904">
        <w:rPr>
          <w:rFonts w:cs="Times Armenian"/>
          <w:kern w:val="16"/>
          <w:lang w:val="hy-AM"/>
        </w:rPr>
        <w:t xml:space="preserve"> </w:t>
      </w:r>
      <w:r w:rsidRPr="009A7904">
        <w:rPr>
          <w:rFonts w:cs="GHEA Grapalat"/>
          <w:kern w:val="16"/>
          <w:lang w:val="hy-AM"/>
        </w:rPr>
        <w:t>նախատեսված</w:t>
      </w:r>
      <w:r w:rsidRPr="009A7904">
        <w:rPr>
          <w:rFonts w:cs="Times Armenian"/>
          <w:kern w:val="16"/>
          <w:lang w:val="hy-AM"/>
        </w:rPr>
        <w:t xml:space="preserve"> </w:t>
      </w:r>
      <w:r w:rsidRPr="009A7904">
        <w:rPr>
          <w:rFonts w:cs="GHEA Grapalat"/>
          <w:kern w:val="16"/>
          <w:lang w:val="hy-AM"/>
        </w:rPr>
        <w:t>չափաքանակները</w:t>
      </w:r>
      <w:r w:rsidRPr="009A7904">
        <w:rPr>
          <w:rFonts w:cs="Times Armenian"/>
          <w:kern w:val="16"/>
          <w:lang w:val="hy-AM"/>
        </w:rPr>
        <w:t>.</w:t>
      </w:r>
    </w:p>
    <w:p w14:paraId="1BCC04AB" w14:textId="77777777" w:rsidR="009D2825" w:rsidRPr="009A7904" w:rsidRDefault="009D2825" w:rsidP="009A7904">
      <w:pPr>
        <w:spacing w:after="0" w:line="276" w:lineRule="auto"/>
        <w:ind w:firstLine="720"/>
        <w:rPr>
          <w:lang w:val="hy-AM"/>
        </w:rPr>
      </w:pPr>
      <w:r w:rsidRPr="009A7904">
        <w:rPr>
          <w:lang w:val="hy-AM"/>
        </w:rPr>
        <w:lastRenderedPageBreak/>
        <w:t>2021 թվականի համար՝                  188,609.9 մլն դրամ,</w:t>
      </w:r>
    </w:p>
    <w:p w14:paraId="7CDBCF50" w14:textId="77777777" w:rsidR="009D2825" w:rsidRPr="009A7904" w:rsidRDefault="009D2825" w:rsidP="009A7904">
      <w:pPr>
        <w:spacing w:after="0" w:line="276" w:lineRule="auto"/>
        <w:ind w:firstLine="720"/>
        <w:rPr>
          <w:lang w:val="hy-AM"/>
        </w:rPr>
      </w:pPr>
      <w:r w:rsidRPr="009A7904">
        <w:rPr>
          <w:lang w:val="hy-AM"/>
        </w:rPr>
        <w:t xml:space="preserve">2022 թվականի համար՝                  214,367.7 </w:t>
      </w:r>
      <w:r w:rsidRPr="009A7904">
        <w:rPr>
          <w:rFonts w:cs="Sylfaen"/>
          <w:kern w:val="16"/>
          <w:lang w:val="hy-AM"/>
        </w:rPr>
        <w:t>մլն</w:t>
      </w:r>
      <w:r w:rsidRPr="009A7904">
        <w:rPr>
          <w:lang w:val="hy-AM"/>
        </w:rPr>
        <w:t xml:space="preserve"> դրամ,</w:t>
      </w:r>
    </w:p>
    <w:p w14:paraId="17AD1CF0" w14:textId="77777777" w:rsidR="009D2825" w:rsidRPr="009A7904" w:rsidRDefault="009D2825" w:rsidP="009A7904">
      <w:pPr>
        <w:spacing w:after="0" w:line="276" w:lineRule="auto"/>
        <w:ind w:firstLine="720"/>
        <w:rPr>
          <w:lang w:val="hy-AM"/>
        </w:rPr>
      </w:pPr>
      <w:r w:rsidRPr="009A7904">
        <w:rPr>
          <w:lang w:val="hy-AM"/>
        </w:rPr>
        <w:t xml:space="preserve">2023 թվականի համար՝                 239,762.8 </w:t>
      </w:r>
      <w:r w:rsidRPr="009A7904">
        <w:rPr>
          <w:rFonts w:cs="Sylfaen"/>
          <w:kern w:val="16"/>
          <w:lang w:val="hy-AM"/>
        </w:rPr>
        <w:t>մլն</w:t>
      </w:r>
      <w:r w:rsidRPr="009A7904">
        <w:rPr>
          <w:lang w:val="hy-AM"/>
        </w:rPr>
        <w:t xml:space="preserve"> դրամ:</w:t>
      </w:r>
    </w:p>
    <w:p w14:paraId="673BD3D0" w14:textId="77777777" w:rsidR="009D2825" w:rsidRPr="009A7904" w:rsidRDefault="009D2825" w:rsidP="009A7904">
      <w:pPr>
        <w:spacing w:after="200" w:line="276" w:lineRule="auto"/>
        <w:rPr>
          <w:i/>
          <w:lang w:val="hy-AM"/>
        </w:rPr>
      </w:pPr>
    </w:p>
    <w:p w14:paraId="7D39CE57" w14:textId="77777777" w:rsidR="009D2825" w:rsidRPr="009A7904" w:rsidRDefault="009D2825" w:rsidP="009A7904">
      <w:pPr>
        <w:spacing w:after="200" w:line="276" w:lineRule="auto"/>
        <w:rPr>
          <w:i/>
          <w:lang w:val="hy-AM"/>
        </w:rPr>
      </w:pPr>
    </w:p>
    <w:p w14:paraId="2DADE282" w14:textId="77777777" w:rsidR="009A7904" w:rsidRDefault="009A7904">
      <w:pPr>
        <w:spacing w:before="0" w:after="200" w:line="276" w:lineRule="auto"/>
        <w:ind w:firstLine="0"/>
        <w:jc w:val="left"/>
        <w:rPr>
          <w:rFonts w:eastAsia="Times New Roman" w:cs="Times New Roman"/>
          <w:b/>
          <w:color w:val="1F497D" w:themeColor="text2"/>
          <w:sz w:val="28"/>
          <w:szCs w:val="28"/>
          <w:lang w:val="hy-AM"/>
        </w:rPr>
      </w:pPr>
      <w:bookmarkStart w:id="359" w:name="_Toc45637528"/>
      <w:bookmarkStart w:id="360" w:name="_Toc45838552"/>
      <w:r w:rsidRPr="00BE7F99">
        <w:rPr>
          <w:rFonts w:eastAsia="Times New Roman" w:cs="Times New Roman"/>
          <w:caps/>
          <w:color w:val="1F497D" w:themeColor="text2"/>
          <w:sz w:val="28"/>
          <w:szCs w:val="28"/>
          <w:lang w:val="hy-AM"/>
        </w:rPr>
        <w:br w:type="page"/>
      </w:r>
    </w:p>
    <w:p w14:paraId="02D7554B" w14:textId="77777777" w:rsidR="009D2825" w:rsidRPr="009A7904" w:rsidRDefault="009D2825" w:rsidP="009A7904">
      <w:pPr>
        <w:pStyle w:val="Heading3"/>
        <w:numPr>
          <w:ilvl w:val="0"/>
          <w:numId w:val="0"/>
        </w:numPr>
        <w:spacing w:before="0" w:after="120" w:line="276" w:lineRule="auto"/>
        <w:jc w:val="both"/>
        <w:rPr>
          <w:rFonts w:eastAsia="Times New Roman" w:cs="Times New Roman"/>
          <w:caps w:val="0"/>
          <w:color w:val="1F497D" w:themeColor="text2"/>
          <w:sz w:val="28"/>
          <w:szCs w:val="28"/>
        </w:rPr>
      </w:pPr>
      <w:bookmarkStart w:id="361" w:name="_Toc46154380"/>
      <w:r w:rsidRPr="009A7904">
        <w:rPr>
          <w:rFonts w:eastAsia="Times New Roman" w:cs="Times New Roman"/>
          <w:caps w:val="0"/>
          <w:color w:val="1F497D" w:themeColor="text2"/>
          <w:sz w:val="28"/>
          <w:szCs w:val="28"/>
        </w:rPr>
        <w:lastRenderedPageBreak/>
        <w:t>13</w:t>
      </w:r>
      <w:r w:rsidR="009858E4" w:rsidRPr="009A7904">
        <w:rPr>
          <w:rFonts w:eastAsia="Times New Roman" w:cs="Times New Roman"/>
          <w:caps w:val="0"/>
          <w:color w:val="1F497D" w:themeColor="text2"/>
          <w:sz w:val="28"/>
          <w:szCs w:val="28"/>
        </w:rPr>
        <w:t>.</w:t>
      </w:r>
      <w:r w:rsidR="003C4F35" w:rsidRPr="009A7904">
        <w:rPr>
          <w:rFonts w:eastAsia="Times New Roman" w:cs="Times New Roman"/>
          <w:caps w:val="0"/>
          <w:color w:val="1F497D" w:themeColor="text2"/>
          <w:sz w:val="28"/>
          <w:szCs w:val="28"/>
        </w:rPr>
        <w:t xml:space="preserve"> </w:t>
      </w:r>
      <w:r w:rsidRPr="009A7904">
        <w:rPr>
          <w:rFonts w:eastAsia="Times New Roman" w:cs="Times New Roman"/>
          <w:caps w:val="0"/>
          <w:color w:val="1F497D" w:themeColor="text2"/>
          <w:sz w:val="28"/>
          <w:szCs w:val="28"/>
        </w:rPr>
        <w:t>ՊԵՏԱԿԱՆ ԵԿԱՄՈՒՏՆԵՐ</w:t>
      </w:r>
      <w:bookmarkEnd w:id="359"/>
      <w:bookmarkEnd w:id="360"/>
      <w:bookmarkEnd w:id="361"/>
    </w:p>
    <w:p w14:paraId="19EFDD57" w14:textId="77777777" w:rsidR="00203660" w:rsidRPr="009A7904" w:rsidRDefault="00203660" w:rsidP="009A7904">
      <w:pPr>
        <w:spacing w:line="276" w:lineRule="auto"/>
        <w:rPr>
          <w:rFonts w:eastAsia="Times New Roman" w:cs="Calibri"/>
          <w:lang w:val="af-ZA"/>
        </w:rPr>
      </w:pPr>
      <w:r w:rsidRPr="009A7904">
        <w:rPr>
          <w:rFonts w:eastAsia="GHEA Grapalat" w:cs="GHEA Grapalat"/>
          <w:color w:val="1D2228"/>
          <w:lang w:val="hy-AM"/>
        </w:rPr>
        <w:t>Առաջիկա տարիներին ՊԵԿ-ի կողմից իրականացվող հիմնական նպատակն է լինելու</w:t>
      </w:r>
    </w:p>
    <w:p w14:paraId="220B03D6" w14:textId="77777777" w:rsidR="00203660" w:rsidRPr="009A7904" w:rsidRDefault="00203660" w:rsidP="009A7904">
      <w:pPr>
        <w:spacing w:line="276" w:lineRule="auto"/>
        <w:rPr>
          <w:rFonts w:eastAsia="GHEA Grapalat" w:cs="GHEA Grapalat"/>
          <w:color w:val="1D2228"/>
          <w:lang w:val="hy-AM"/>
        </w:rPr>
      </w:pPr>
      <w:r w:rsidRPr="009A7904">
        <w:rPr>
          <w:rFonts w:eastAsia="GHEA Grapalat" w:cs="GHEA Grapalat"/>
          <w:color w:val="1D2228"/>
          <w:lang w:val="hy-AM"/>
        </w:rPr>
        <w:t>1) որակյալ ծառայությունների մատուցման և էլեկտրոնային կառավարման համակարգերի կիրառման միջոցով ապահովել հասցեական և արդյունավետ հարկային վարչարարություն, որի իրականացման արդյունքում կապահովվի հարկային ստվերի կրճատում և հարկային եկամուտների կայուն աճ՝ նպաստելով հարկեր վճարելու պատրաստակամության նոր մշակույթի ձևավորմանը և հարկ վճարողների շրջանում օրինապահության մակարդակի բարձրացմանը:</w:t>
      </w:r>
    </w:p>
    <w:p w14:paraId="1B9F0030" w14:textId="77777777" w:rsidR="00203660" w:rsidRPr="009A7904" w:rsidRDefault="00203660" w:rsidP="009A7904">
      <w:pPr>
        <w:spacing w:line="276" w:lineRule="auto"/>
        <w:rPr>
          <w:rFonts w:eastAsia="GHEA Grapalat" w:cs="GHEA Grapalat"/>
          <w:color w:val="1D2228"/>
          <w:lang w:val="hy-AM"/>
        </w:rPr>
      </w:pPr>
      <w:r w:rsidRPr="009A7904">
        <w:rPr>
          <w:rFonts w:eastAsia="GHEA Grapalat" w:cs="GHEA Grapalat"/>
          <w:color w:val="1D2228"/>
          <w:lang w:val="hy-AM"/>
        </w:rPr>
        <w:t>2) մաքսային ծառայության մասով ևս որակյալ ծառայությունների մատուցմամբ աջակցել ՀՀ տնտեսության կայուն զարգացմանը` արտաքին առևտրաշրջանառության խթանման, մաքսային վարչարարության դյուրինացման և ներքին շուկայի անվտանգության ապահովման միջոցով:</w:t>
      </w:r>
    </w:p>
    <w:p w14:paraId="3DD6E3F1" w14:textId="77777777" w:rsidR="009D2825" w:rsidRPr="009A7904" w:rsidRDefault="009D2825" w:rsidP="009A7904">
      <w:pPr>
        <w:tabs>
          <w:tab w:val="left" w:pos="1134"/>
        </w:tabs>
        <w:spacing w:after="0" w:line="276" w:lineRule="auto"/>
        <w:ind w:firstLine="630"/>
        <w:rPr>
          <w:lang w:val="hy-AM"/>
        </w:rPr>
      </w:pPr>
    </w:p>
    <w:p w14:paraId="77F3585C" w14:textId="77777777" w:rsidR="009D2825" w:rsidRPr="009A7904" w:rsidRDefault="009D2825" w:rsidP="009A7904">
      <w:pPr>
        <w:spacing w:line="276" w:lineRule="auto"/>
        <w:ind w:firstLine="630"/>
        <w:rPr>
          <w:b/>
          <w:lang w:val="hy-AM"/>
        </w:rPr>
      </w:pPr>
      <w:r w:rsidRPr="009A7904">
        <w:rPr>
          <w:b/>
          <w:lang w:val="hy-AM"/>
        </w:rPr>
        <w:t>Ոլորտային ծախսային ծրագրերը</w:t>
      </w:r>
    </w:p>
    <w:p w14:paraId="4D91AA05" w14:textId="77777777" w:rsidR="009D2825" w:rsidRPr="009A7904" w:rsidRDefault="009D2825" w:rsidP="009A7904">
      <w:pPr>
        <w:spacing w:line="276" w:lineRule="auto"/>
        <w:ind w:firstLine="630"/>
        <w:rPr>
          <w:lang w:val="hy-AM"/>
        </w:rPr>
      </w:pPr>
      <w:r w:rsidRPr="009A7904">
        <w:rPr>
          <w:lang w:val="hy-AM"/>
        </w:rPr>
        <w:t>«Հարկային և մաքսային ծառայություններ»</w:t>
      </w:r>
    </w:p>
    <w:p w14:paraId="68347188" w14:textId="77777777" w:rsidR="009D2825" w:rsidRPr="009A7904" w:rsidRDefault="009D2825" w:rsidP="009A7904">
      <w:pPr>
        <w:spacing w:after="0" w:line="276" w:lineRule="auto"/>
        <w:ind w:firstLine="630"/>
      </w:pPr>
      <w:r w:rsidRPr="009A7904">
        <w:t>Ծրագրի նպատակն է՝</w:t>
      </w:r>
    </w:p>
    <w:p w14:paraId="3EF467F1" w14:textId="77777777" w:rsidR="009D2825" w:rsidRPr="009A7904" w:rsidRDefault="009D2825" w:rsidP="009A7904">
      <w:pPr>
        <w:numPr>
          <w:ilvl w:val="0"/>
          <w:numId w:val="21"/>
        </w:numPr>
        <w:tabs>
          <w:tab w:val="left" w:pos="1080"/>
        </w:tabs>
        <w:spacing w:before="0" w:after="0" w:line="276" w:lineRule="auto"/>
        <w:ind w:left="0" w:firstLine="630"/>
      </w:pPr>
      <w:r w:rsidRPr="009A7904">
        <w:t>Հարկային և մաքսային միասնական քաղաքականության մշակումը, պլանավորումը, մոնիտորինգը, հարկային և մաքսային օրենսդրության ամբողջական և համահավասար կիրառում, ծրագրերի համակարգումը, գանձման, վերահսկողության և աջակցության ծառայություները, որոնք նպաստում են ՀՀ-ում արդյունավետ հարկային և մաքսային վարչարարության իրականացմանը:</w:t>
      </w:r>
    </w:p>
    <w:p w14:paraId="414453DB" w14:textId="77777777" w:rsidR="009D2825" w:rsidRPr="009A7904" w:rsidRDefault="009D2825" w:rsidP="009A7904">
      <w:pPr>
        <w:numPr>
          <w:ilvl w:val="0"/>
          <w:numId w:val="21"/>
        </w:numPr>
        <w:tabs>
          <w:tab w:val="left" w:pos="1080"/>
        </w:tabs>
        <w:spacing w:before="0" w:after="0" w:line="276" w:lineRule="auto"/>
        <w:ind w:left="0" w:firstLine="630"/>
        <w:rPr>
          <w:lang w:val="hy-AM"/>
        </w:rPr>
      </w:pPr>
      <w:r w:rsidRPr="009A7904">
        <w:rPr>
          <w:lang w:val="hy-AM"/>
        </w:rPr>
        <w:t xml:space="preserve">ՀՀ հարկային օրենսգրքի համաձայն ակցիզային հարկով հարկման ենթակա ապրանքների համար տնտեսվարող սուբյեկտներին ակցիզային դրոշմանիշերով ապահովման դերը էական է հարկային եկամուտների հավաքագրման տեսանկյունից: Ինչպես նաև «Առևտրի և ծառայությունների մասին» ՀՀ օրենքի և Եվրասիական տնտեսական միության մաքսային օրենսգրքի համաձայն պարտադիր դրոշմավորման ենթակա ապրանքների համար դրոշմապիտակների տրամադրումն ունի ռազմավարական նշանակություն հարկերի հավաքագրման և բյուջետային եկամուտների ապահովման տեսանկյունից: </w:t>
      </w:r>
    </w:p>
    <w:p w14:paraId="7551C116" w14:textId="77777777" w:rsidR="009D2825" w:rsidRPr="009A7904" w:rsidRDefault="009D2825" w:rsidP="009A7904">
      <w:pPr>
        <w:numPr>
          <w:ilvl w:val="0"/>
          <w:numId w:val="21"/>
        </w:numPr>
        <w:tabs>
          <w:tab w:val="left" w:pos="1080"/>
        </w:tabs>
        <w:spacing w:before="0" w:after="0" w:line="276" w:lineRule="auto"/>
        <w:ind w:left="0" w:firstLine="630"/>
        <w:rPr>
          <w:lang w:val="hy-AM"/>
        </w:rPr>
      </w:pPr>
      <w:r w:rsidRPr="009A7904">
        <w:rPr>
          <w:lang w:val="hy-AM"/>
        </w:rPr>
        <w:t>Հարկային և մաքսային ծառայությունների համար անհրաժեշտ նյութատեխնիկական բազայով ապահովումը նպաստում է ՀՀ ՊԵԿ բնականոն գործունեության անխափան ընթացքին: Իսկ ռենտգենյան սարքավորումների կիրառումը կանխում է մաքսանենգության ցանկացած փորձ:</w:t>
      </w:r>
    </w:p>
    <w:p w14:paraId="5C696299" w14:textId="60C3F6EB" w:rsidR="009D2825" w:rsidRPr="009A7904" w:rsidRDefault="009D2825" w:rsidP="009A7904">
      <w:pPr>
        <w:numPr>
          <w:ilvl w:val="0"/>
          <w:numId w:val="21"/>
        </w:numPr>
        <w:tabs>
          <w:tab w:val="left" w:pos="1080"/>
        </w:tabs>
        <w:spacing w:before="0" w:after="0" w:line="276" w:lineRule="auto"/>
        <w:ind w:left="0" w:firstLine="630"/>
        <w:rPr>
          <w:lang w:val="hy-AM"/>
        </w:rPr>
      </w:pPr>
      <w:r w:rsidRPr="009A7904">
        <w:rPr>
          <w:lang w:val="hy-AM"/>
        </w:rPr>
        <w:t>Յուրաքանչյուր ոք ունի իրավաբանական օգնություն ստանալու իրավունք: Համաձայն ՀՀ Սա</w:t>
      </w:r>
      <w:r w:rsidR="007724F4">
        <w:rPr>
          <w:lang w:val="hy-AM"/>
        </w:rPr>
        <w:t>հ</w:t>
      </w:r>
      <w:r w:rsidRPr="009A7904">
        <w:rPr>
          <w:lang w:val="hy-AM"/>
        </w:rPr>
        <w:t>մանադրության իրավաբանական օգնությունը ցույց է տրվում պետական միջոցների հաշվին։ Յուրաքանչյուր տարի հարկային և մաքսային ծառայողների առնվազն մեկ երրորդը ենթակա է պարտադիր վերապատրաստման: Վերջիններիս մասնագիտական որակների կատարելագործումը միմիայն կնպաստի առավել որակյալ կադրային ապահովվածության իրականացմանը և որակյալ ծառայությունների մատուցմանը հասարակությանը:</w:t>
      </w:r>
    </w:p>
    <w:p w14:paraId="51F8804A" w14:textId="77777777" w:rsidR="009D2825" w:rsidRPr="009A7904" w:rsidRDefault="009D2825" w:rsidP="009A7904">
      <w:pPr>
        <w:numPr>
          <w:ilvl w:val="0"/>
          <w:numId w:val="21"/>
        </w:numPr>
        <w:tabs>
          <w:tab w:val="left" w:pos="1080"/>
        </w:tabs>
        <w:spacing w:before="0" w:after="0" w:line="276" w:lineRule="auto"/>
        <w:ind w:left="0" w:firstLine="630"/>
        <w:rPr>
          <w:lang w:val="hy-AM"/>
        </w:rPr>
      </w:pPr>
      <w:r w:rsidRPr="009A7904">
        <w:rPr>
          <w:lang w:val="hy-AM"/>
        </w:rPr>
        <w:lastRenderedPageBreak/>
        <w:t>ՀՀ ՊԵԿ-ի նոր շենքերի և շինությունների շինարարությունը (նախագծումը) նպաստում է համակարգի գործունեության ընդլայնմանը, կապիտալ վերանորոգումը բարելավում է աշխատակիցների աշխատանքային պայմանները, իսկ ազատ տնտեսական գոտիների ընդլայնումը խթան է հանդիսանում ՀՀ-ում ներդրումային միջավայրի գրավչության բարձրացման համար:</w:t>
      </w:r>
    </w:p>
    <w:p w14:paraId="455E88A0" w14:textId="77777777" w:rsidR="009D2825" w:rsidRPr="009A7904" w:rsidRDefault="009D2825" w:rsidP="009A7904">
      <w:pPr>
        <w:spacing w:after="0" w:line="276" w:lineRule="auto"/>
        <w:ind w:firstLine="630"/>
        <w:rPr>
          <w:lang w:val="hy-AM"/>
        </w:rPr>
      </w:pPr>
      <w:r w:rsidRPr="009A7904">
        <w:rPr>
          <w:lang w:val="hy-AM"/>
        </w:rPr>
        <w:t>Ծրագրի համար 2021-2023թթ-ին նախատեսվում է հատկացնել համապա</w:t>
      </w:r>
      <w:r w:rsidRPr="009A7904">
        <w:rPr>
          <w:lang w:val="hy-AM"/>
        </w:rPr>
        <w:softHyphen/>
        <w:t>տասխանաբար 32,496,730.8 հազ. դրամ, 36,207,266.6 հազ. դրամ և 34,420,130.7 հազ. դրամ: Եռամյա ցուցանիշները ՀՀ 2020 թվականի պետական բյուջեի ցուցանիշի նկատմամբ ավել են նախատեսվել համապատասխանաբար 13.2%, 26.1%, և 19.9%, ինչը պայմանավորված է ոլորտում վարվող քաղաքականության արդյունա</w:t>
      </w:r>
      <w:r w:rsidRPr="009A7904">
        <w:rPr>
          <w:lang w:val="hy-AM"/>
        </w:rPr>
        <w:softHyphen/>
        <w:t>վետության բարձրացմանը միտված գործոններով: Նշված գործոններում իր կարևոր դերն ունի սահմանային անցակետերում վերափոխված շենքային պայմանների բարելավումը, որը հնարավորություն կստեղծի ժամանակակից չափանիշներին համապատասխան ընթացակարգեր կիրառելուն` խթանելով բեռնափոխադրումների արագ սպասարկումը. «Մեղրիի անցակետի արդիականացմամբ կգործի «մեկ պատուհան» համակարգը, ինչի արդյունքում բեռնափոխադրողները և սահմանային անցակետը հատողները կշփվեն մեկ մարմնի հետ:</w:t>
      </w:r>
    </w:p>
    <w:p w14:paraId="56AC319F" w14:textId="77777777" w:rsidR="009858E4" w:rsidRPr="009A7904" w:rsidRDefault="009858E4" w:rsidP="009A7904">
      <w:pPr>
        <w:pStyle w:val="Heading3"/>
        <w:numPr>
          <w:ilvl w:val="0"/>
          <w:numId w:val="0"/>
        </w:numPr>
        <w:spacing w:before="0" w:after="120" w:line="276" w:lineRule="auto"/>
        <w:jc w:val="both"/>
        <w:rPr>
          <w:rFonts w:eastAsia="Times New Roman" w:cs="Times New Roman"/>
          <w:caps w:val="0"/>
          <w:color w:val="1F497D" w:themeColor="text2"/>
        </w:rPr>
      </w:pPr>
      <w:bookmarkStart w:id="362" w:name="_Toc45637529"/>
      <w:bookmarkStart w:id="363" w:name="_Toc45838553"/>
    </w:p>
    <w:p w14:paraId="26F89640" w14:textId="77777777" w:rsidR="009858E4" w:rsidRPr="009A7904" w:rsidRDefault="009858E4" w:rsidP="009A7904">
      <w:pPr>
        <w:pStyle w:val="Heading3"/>
        <w:numPr>
          <w:ilvl w:val="0"/>
          <w:numId w:val="0"/>
        </w:numPr>
        <w:spacing w:before="0" w:after="120" w:line="276" w:lineRule="auto"/>
        <w:jc w:val="both"/>
        <w:rPr>
          <w:rFonts w:eastAsia="Times New Roman" w:cs="Times New Roman"/>
          <w:caps w:val="0"/>
          <w:color w:val="1F497D" w:themeColor="text2"/>
        </w:rPr>
      </w:pPr>
    </w:p>
    <w:p w14:paraId="29A8E7E6" w14:textId="77777777" w:rsidR="009A7904" w:rsidRDefault="009A7904">
      <w:pPr>
        <w:spacing w:before="0" w:after="200" w:line="276" w:lineRule="auto"/>
        <w:ind w:firstLine="0"/>
        <w:jc w:val="left"/>
        <w:rPr>
          <w:rFonts w:eastAsia="Times New Roman" w:cs="Times New Roman"/>
          <w:b/>
          <w:color w:val="1F497D" w:themeColor="text2"/>
          <w:sz w:val="28"/>
          <w:szCs w:val="28"/>
          <w:lang w:val="hy-AM"/>
        </w:rPr>
      </w:pPr>
      <w:r w:rsidRPr="00BE7F99">
        <w:rPr>
          <w:rFonts w:eastAsia="Times New Roman" w:cs="Times New Roman"/>
          <w:caps/>
          <w:color w:val="1F497D" w:themeColor="text2"/>
          <w:sz w:val="28"/>
          <w:szCs w:val="28"/>
          <w:lang w:val="hy-AM"/>
        </w:rPr>
        <w:br w:type="page"/>
      </w:r>
    </w:p>
    <w:p w14:paraId="4FD52371" w14:textId="77777777" w:rsidR="009D2825" w:rsidRPr="009A7904" w:rsidRDefault="009D2825" w:rsidP="009A7904">
      <w:pPr>
        <w:pStyle w:val="Heading3"/>
        <w:numPr>
          <w:ilvl w:val="0"/>
          <w:numId w:val="0"/>
        </w:numPr>
        <w:spacing w:before="0" w:after="120" w:line="276" w:lineRule="auto"/>
        <w:jc w:val="both"/>
        <w:rPr>
          <w:sz w:val="28"/>
          <w:szCs w:val="28"/>
        </w:rPr>
      </w:pPr>
      <w:bookmarkStart w:id="364" w:name="_Toc46154381"/>
      <w:r w:rsidRPr="009A7904">
        <w:rPr>
          <w:rFonts w:eastAsia="Times New Roman" w:cs="Times New Roman"/>
          <w:caps w:val="0"/>
          <w:color w:val="1F497D" w:themeColor="text2"/>
          <w:sz w:val="28"/>
          <w:szCs w:val="28"/>
        </w:rPr>
        <w:lastRenderedPageBreak/>
        <w:t>14</w:t>
      </w:r>
      <w:r w:rsidR="009858E4" w:rsidRPr="009A7904">
        <w:rPr>
          <w:rFonts w:eastAsia="Times New Roman" w:cs="Times New Roman"/>
          <w:caps w:val="0"/>
          <w:color w:val="1F497D" w:themeColor="text2"/>
          <w:sz w:val="28"/>
          <w:szCs w:val="28"/>
        </w:rPr>
        <w:t>.</w:t>
      </w:r>
      <w:r w:rsidRPr="009A7904">
        <w:rPr>
          <w:rFonts w:eastAsia="Times New Roman" w:cs="Times New Roman"/>
          <w:caps w:val="0"/>
          <w:color w:val="1F497D" w:themeColor="text2"/>
          <w:sz w:val="28"/>
          <w:szCs w:val="28"/>
        </w:rPr>
        <w:t xml:space="preserve"> ԱՆՇԱՐԺ ԳՈՒՅՔԻ ԿԱԴԱՍՏՐ</w:t>
      </w:r>
      <w:bookmarkEnd w:id="362"/>
      <w:bookmarkEnd w:id="363"/>
      <w:bookmarkEnd w:id="364"/>
    </w:p>
    <w:p w14:paraId="3EBD8B6E" w14:textId="77777777" w:rsidR="009D2825" w:rsidRPr="009A7904" w:rsidRDefault="009D2825" w:rsidP="009A7904">
      <w:pPr>
        <w:spacing w:after="0" w:line="276" w:lineRule="auto"/>
        <w:rPr>
          <w:rFonts w:cs="Sylfaen"/>
          <w:color w:val="000000"/>
          <w:lang w:val="hy-AM"/>
        </w:rPr>
      </w:pPr>
    </w:p>
    <w:p w14:paraId="089ACB96" w14:textId="77777777" w:rsidR="009D2825" w:rsidRPr="009A7904" w:rsidRDefault="009D2825" w:rsidP="009A7904">
      <w:pPr>
        <w:spacing w:after="0" w:line="276" w:lineRule="auto"/>
        <w:rPr>
          <w:rFonts w:cs="Sylfaen"/>
          <w:color w:val="000000"/>
          <w:lang w:val="hy-AM"/>
        </w:rPr>
      </w:pPr>
      <w:r w:rsidRPr="009A7904">
        <w:rPr>
          <w:rFonts w:cs="Sylfaen"/>
          <w:color w:val="000000"/>
          <w:lang w:val="hy-AM"/>
        </w:rPr>
        <w:t xml:space="preserve">   Վերջին տարիներին անշարժ գույքի կադաստրի վարման միջազգային առաջադեմ փորձի ուսումնասիրությունը ցույց տվեց, որ ուսումնասիրված երկրներում կադաստրի համակարգերի անվիճելի առավելությունը դրանց վարման գործընթացներում տեղեկատվական տեխնոլոգիաների կիրառման չափազանց բարձր մակարդակն է և համոզված լինելով, որ համակարգի հետագա զարգացումը, գործառույթների իրականացման որակի բարձրացումը և համակարգի գործունեության թափանցիկության ապահովումը, համակարգում կոռուպցիոն ռիսկերի նվազեցումը հնարավոր չէ առանց համակարգում արմատական բարեփոխումների իրականացման:</w:t>
      </w:r>
    </w:p>
    <w:p w14:paraId="3580FE0D" w14:textId="77777777" w:rsidR="009D2825" w:rsidRPr="009A7904" w:rsidRDefault="009D2825" w:rsidP="009A7904">
      <w:pPr>
        <w:spacing w:line="276" w:lineRule="auto"/>
        <w:ind w:firstLine="630"/>
        <w:rPr>
          <w:b/>
          <w:lang w:val="hy-AM"/>
        </w:rPr>
      </w:pPr>
      <w:r w:rsidRPr="009A7904">
        <w:rPr>
          <w:rFonts w:cs="Sylfaen"/>
          <w:color w:val="000000"/>
          <w:lang w:val="hy-AM"/>
        </w:rPr>
        <w:t xml:space="preserve">   </w:t>
      </w:r>
      <w:r w:rsidRPr="009A7904">
        <w:rPr>
          <w:b/>
          <w:lang w:val="hy-AM"/>
        </w:rPr>
        <w:t xml:space="preserve">ՈԼՈՐՏԱՅԻՆ ԾԱԽՍԱՅԻՆ ԾՐԱԳՐԵՐԸ </w:t>
      </w:r>
    </w:p>
    <w:p w14:paraId="309F1A48" w14:textId="77777777" w:rsidR="009D2825" w:rsidRPr="009A7904" w:rsidRDefault="009D2825" w:rsidP="009A7904">
      <w:pPr>
        <w:pStyle w:val="ListParagraph"/>
        <w:spacing w:after="0" w:line="276" w:lineRule="auto"/>
        <w:rPr>
          <w:b/>
          <w:bCs/>
          <w:noProof/>
          <w:color w:val="000000"/>
          <w:lang w:val="hy-AM"/>
        </w:rPr>
      </w:pPr>
      <w:r w:rsidRPr="009A7904">
        <w:rPr>
          <w:rFonts w:cs="Sylfaen"/>
          <w:noProof/>
          <w:lang w:val="hy-AM"/>
        </w:rPr>
        <w:t>«</w:t>
      </w:r>
      <w:r w:rsidRPr="009A7904">
        <w:rPr>
          <w:b/>
          <w:bCs/>
          <w:noProof/>
          <w:color w:val="000000"/>
          <w:lang w:val="hy-AM"/>
        </w:rPr>
        <w:t>Անշարժ գույքի կադաստրի վարման բնագավառում պետական քաղաքականության իրականացում</w:t>
      </w:r>
      <w:r w:rsidRPr="009A7904">
        <w:rPr>
          <w:rFonts w:cs="Arial"/>
          <w:noProof/>
          <w:lang w:val="hy-AM"/>
        </w:rPr>
        <w:t>»</w:t>
      </w:r>
      <w:r w:rsidRPr="009A7904">
        <w:rPr>
          <w:b/>
          <w:bCs/>
          <w:noProof/>
          <w:color w:val="000000"/>
          <w:lang w:val="hy-AM"/>
        </w:rPr>
        <w:t>.</w:t>
      </w:r>
    </w:p>
    <w:p w14:paraId="62C002A9" w14:textId="77777777" w:rsidR="009D2825" w:rsidRPr="009A7904" w:rsidRDefault="009D2825" w:rsidP="009A7904">
      <w:pPr>
        <w:pStyle w:val="ListParagraph"/>
        <w:spacing w:after="0" w:line="276" w:lineRule="auto"/>
        <w:ind w:left="0" w:firstLine="567"/>
        <w:rPr>
          <w:rFonts w:cs="GHEA Grapalat"/>
          <w:color w:val="000000"/>
          <w:lang w:val="hy-AM"/>
        </w:rPr>
      </w:pPr>
      <w:r w:rsidRPr="009A7904">
        <w:rPr>
          <w:rFonts w:cs="Sylfaen"/>
          <w:color w:val="000000"/>
          <w:lang w:val="hy-AM"/>
        </w:rPr>
        <w:t>Հասարակության</w:t>
      </w:r>
      <w:r w:rsidRPr="009A7904">
        <w:rPr>
          <w:color w:val="000000"/>
          <w:lang w:val="hy-AM"/>
        </w:rPr>
        <w:t xml:space="preserve"> </w:t>
      </w:r>
      <w:r w:rsidRPr="009A7904">
        <w:rPr>
          <w:rFonts w:cs="Sylfaen"/>
          <w:color w:val="000000"/>
          <w:lang w:val="hy-AM"/>
        </w:rPr>
        <w:t>տեղեկատվական</w:t>
      </w:r>
      <w:r w:rsidRPr="009A7904">
        <w:rPr>
          <w:color w:val="000000"/>
          <w:lang w:val="hy-AM"/>
        </w:rPr>
        <w:t xml:space="preserve"> </w:t>
      </w:r>
      <w:r w:rsidRPr="009A7904">
        <w:rPr>
          <w:rFonts w:cs="Sylfaen"/>
          <w:color w:val="000000"/>
          <w:lang w:val="hy-AM"/>
        </w:rPr>
        <w:t>պահանջները</w:t>
      </w:r>
      <w:r w:rsidRPr="009A7904">
        <w:rPr>
          <w:color w:val="000000"/>
          <w:lang w:val="hy-AM"/>
        </w:rPr>
        <w:t xml:space="preserve"> </w:t>
      </w:r>
      <w:r w:rsidRPr="009A7904">
        <w:rPr>
          <w:rFonts w:cs="Sylfaen"/>
          <w:color w:val="000000"/>
          <w:lang w:val="hy-AM"/>
        </w:rPr>
        <w:t>բավարարելու</w:t>
      </w:r>
      <w:r w:rsidRPr="009A7904">
        <w:rPr>
          <w:color w:val="000000"/>
          <w:lang w:val="hy-AM"/>
        </w:rPr>
        <w:t xml:space="preserve"> </w:t>
      </w:r>
      <w:r w:rsidRPr="009A7904">
        <w:rPr>
          <w:rFonts w:cs="Sylfaen"/>
          <w:color w:val="000000"/>
          <w:lang w:val="hy-AM"/>
        </w:rPr>
        <w:t>նպատակով</w:t>
      </w:r>
      <w:r w:rsidRPr="009A7904">
        <w:rPr>
          <w:color w:val="000000"/>
          <w:lang w:val="hy-AM"/>
        </w:rPr>
        <w:t xml:space="preserve"> </w:t>
      </w:r>
      <w:r w:rsidRPr="009A7904">
        <w:rPr>
          <w:rFonts w:cs="Sylfaen"/>
          <w:color w:val="000000"/>
          <w:lang w:val="hy-AM"/>
        </w:rPr>
        <w:t>կոմիտեն</w:t>
      </w:r>
      <w:r w:rsidRPr="009A7904">
        <w:rPr>
          <w:color w:val="000000"/>
          <w:lang w:val="hy-AM"/>
        </w:rPr>
        <w:t xml:space="preserve"> 2021-2023 թվականների զարգացման հատվածում </w:t>
      </w:r>
      <w:r w:rsidRPr="009A7904">
        <w:rPr>
          <w:rFonts w:cs="Sylfaen"/>
          <w:color w:val="000000"/>
          <w:lang w:val="hy-AM"/>
        </w:rPr>
        <w:t>կփորձի</w:t>
      </w:r>
      <w:r w:rsidRPr="009A7904">
        <w:rPr>
          <w:color w:val="000000"/>
          <w:lang w:val="hy-AM"/>
        </w:rPr>
        <w:t xml:space="preserve"> </w:t>
      </w:r>
      <w:r w:rsidRPr="009A7904">
        <w:rPr>
          <w:rFonts w:cs="Sylfaen"/>
          <w:color w:val="000000"/>
          <w:lang w:val="hy-AM"/>
        </w:rPr>
        <w:t>ամբողջապես</w:t>
      </w:r>
      <w:r w:rsidRPr="009A7904">
        <w:rPr>
          <w:color w:val="000000"/>
          <w:lang w:val="hy-AM"/>
        </w:rPr>
        <w:t xml:space="preserve"> </w:t>
      </w:r>
      <w:r w:rsidRPr="009A7904">
        <w:rPr>
          <w:rFonts w:cs="Sylfaen"/>
          <w:color w:val="000000"/>
          <w:lang w:val="hy-AM"/>
        </w:rPr>
        <w:t>անցնել</w:t>
      </w:r>
      <w:r w:rsidRPr="009A7904">
        <w:rPr>
          <w:color w:val="000000"/>
          <w:lang w:val="hy-AM"/>
        </w:rPr>
        <w:t xml:space="preserve"> </w:t>
      </w:r>
      <w:r w:rsidRPr="009A7904">
        <w:rPr>
          <w:rFonts w:cs="Sylfaen"/>
          <w:color w:val="000000"/>
          <w:lang w:val="hy-AM"/>
        </w:rPr>
        <w:t>առցանց</w:t>
      </w:r>
      <w:r w:rsidRPr="009A7904">
        <w:rPr>
          <w:color w:val="000000"/>
          <w:lang w:val="hy-AM"/>
        </w:rPr>
        <w:t xml:space="preserve"> </w:t>
      </w:r>
      <w:r w:rsidRPr="009A7904">
        <w:rPr>
          <w:rFonts w:cs="Sylfaen"/>
          <w:color w:val="000000"/>
          <w:lang w:val="hy-AM"/>
        </w:rPr>
        <w:t>ծառայությունների</w:t>
      </w:r>
      <w:r w:rsidRPr="009A7904">
        <w:rPr>
          <w:color w:val="000000"/>
          <w:lang w:val="hy-AM"/>
        </w:rPr>
        <w:t xml:space="preserve"> </w:t>
      </w:r>
      <w:r w:rsidRPr="009A7904">
        <w:rPr>
          <w:rFonts w:cs="Sylfaen"/>
          <w:color w:val="000000"/>
          <w:lang w:val="hy-AM"/>
        </w:rPr>
        <w:t>ինքնաշխատ</w:t>
      </w:r>
      <w:r w:rsidRPr="009A7904">
        <w:rPr>
          <w:color w:val="000000"/>
          <w:lang w:val="hy-AM"/>
        </w:rPr>
        <w:t xml:space="preserve"> </w:t>
      </w:r>
      <w:r w:rsidRPr="009A7904">
        <w:rPr>
          <w:rFonts w:cs="Sylfaen"/>
          <w:color w:val="000000"/>
          <w:lang w:val="hy-AM"/>
        </w:rPr>
        <w:t>համակարգի՝</w:t>
      </w:r>
      <w:r w:rsidRPr="009A7904">
        <w:rPr>
          <w:color w:val="000000"/>
          <w:lang w:val="hy-AM"/>
        </w:rPr>
        <w:t xml:space="preserve"> </w:t>
      </w:r>
      <w:r w:rsidRPr="009A7904">
        <w:rPr>
          <w:rFonts w:cs="Sylfaen"/>
          <w:color w:val="000000"/>
          <w:lang w:val="hy-AM"/>
        </w:rPr>
        <w:t>հրաժարվելով</w:t>
      </w:r>
      <w:r w:rsidRPr="009A7904">
        <w:rPr>
          <w:color w:val="000000"/>
          <w:lang w:val="hy-AM"/>
        </w:rPr>
        <w:t xml:space="preserve"> </w:t>
      </w:r>
      <w:r w:rsidRPr="009A7904">
        <w:rPr>
          <w:rFonts w:cs="Sylfaen"/>
          <w:color w:val="000000"/>
          <w:lang w:val="hy-AM"/>
        </w:rPr>
        <w:t>թղթային</w:t>
      </w:r>
      <w:r w:rsidRPr="009A7904">
        <w:rPr>
          <w:color w:val="000000"/>
          <w:lang w:val="hy-AM"/>
        </w:rPr>
        <w:t xml:space="preserve"> </w:t>
      </w:r>
      <w:r w:rsidRPr="009A7904">
        <w:rPr>
          <w:rFonts w:cs="Sylfaen"/>
          <w:color w:val="000000"/>
          <w:lang w:val="hy-AM"/>
        </w:rPr>
        <w:t>փաստաթղթաշրջանառությունից։</w:t>
      </w:r>
      <w:r w:rsidRPr="009A7904">
        <w:rPr>
          <w:color w:val="000000"/>
          <w:lang w:val="hy-AM"/>
        </w:rPr>
        <w:t xml:space="preserve"> </w:t>
      </w:r>
      <w:r w:rsidRPr="009A7904">
        <w:rPr>
          <w:rFonts w:cs="Sylfaen"/>
          <w:color w:val="000000"/>
          <w:lang w:val="hy-AM"/>
        </w:rPr>
        <w:t>Այս</w:t>
      </w:r>
      <w:r w:rsidRPr="009A7904">
        <w:rPr>
          <w:color w:val="000000"/>
          <w:lang w:val="hy-AM"/>
        </w:rPr>
        <w:t xml:space="preserve">, </w:t>
      </w:r>
      <w:r w:rsidRPr="009A7904">
        <w:rPr>
          <w:rFonts w:cs="Sylfaen"/>
          <w:color w:val="000000"/>
          <w:lang w:val="hy-AM"/>
        </w:rPr>
        <w:t>ինչպես</w:t>
      </w:r>
      <w:r w:rsidRPr="009A7904">
        <w:rPr>
          <w:color w:val="000000"/>
          <w:lang w:val="hy-AM"/>
        </w:rPr>
        <w:t xml:space="preserve"> </w:t>
      </w:r>
      <w:r w:rsidRPr="009A7904">
        <w:rPr>
          <w:rFonts w:cs="Sylfaen"/>
          <w:color w:val="000000"/>
          <w:lang w:val="hy-AM"/>
        </w:rPr>
        <w:t>նաև</w:t>
      </w:r>
      <w:r w:rsidRPr="009A7904">
        <w:rPr>
          <w:color w:val="000000"/>
          <w:lang w:val="hy-AM"/>
        </w:rPr>
        <w:t xml:space="preserve"> </w:t>
      </w:r>
      <w:r w:rsidRPr="009A7904">
        <w:rPr>
          <w:rFonts w:cs="Sylfaen"/>
          <w:color w:val="000000"/>
          <w:lang w:val="hy-AM"/>
        </w:rPr>
        <w:t>համակարգում</w:t>
      </w:r>
      <w:r w:rsidRPr="009A7904">
        <w:rPr>
          <w:color w:val="000000"/>
          <w:lang w:val="hy-AM"/>
        </w:rPr>
        <w:t xml:space="preserve"> </w:t>
      </w:r>
      <w:r w:rsidRPr="009A7904">
        <w:rPr>
          <w:rFonts w:cs="Sylfaen"/>
          <w:color w:val="000000"/>
          <w:lang w:val="hy-AM"/>
        </w:rPr>
        <w:t>առկա</w:t>
      </w:r>
      <w:r w:rsidRPr="009A7904">
        <w:rPr>
          <w:color w:val="000000"/>
          <w:lang w:val="hy-AM"/>
        </w:rPr>
        <w:t xml:space="preserve"> </w:t>
      </w:r>
      <w:r w:rsidRPr="009A7904">
        <w:rPr>
          <w:rFonts w:cs="Sylfaen"/>
          <w:color w:val="000000"/>
          <w:lang w:val="hy-AM"/>
        </w:rPr>
        <w:t>կոռուպցիոն</w:t>
      </w:r>
      <w:r w:rsidRPr="009A7904">
        <w:rPr>
          <w:color w:val="000000"/>
          <w:lang w:val="hy-AM"/>
        </w:rPr>
        <w:t xml:space="preserve"> </w:t>
      </w:r>
      <w:r w:rsidRPr="009A7904">
        <w:rPr>
          <w:rFonts w:cs="Sylfaen"/>
          <w:color w:val="000000"/>
          <w:lang w:val="hy-AM"/>
        </w:rPr>
        <w:t>ռիսկերը</w:t>
      </w:r>
      <w:r w:rsidRPr="009A7904">
        <w:rPr>
          <w:color w:val="000000"/>
          <w:lang w:val="hy-AM"/>
        </w:rPr>
        <w:t xml:space="preserve"> </w:t>
      </w:r>
      <w:r w:rsidRPr="009A7904">
        <w:rPr>
          <w:rFonts w:cs="Sylfaen"/>
          <w:color w:val="000000"/>
          <w:lang w:val="hy-AM"/>
        </w:rPr>
        <w:t>նվազեցնելու</w:t>
      </w:r>
      <w:r w:rsidRPr="009A7904">
        <w:rPr>
          <w:color w:val="000000"/>
          <w:lang w:val="hy-AM"/>
        </w:rPr>
        <w:t xml:space="preserve"> </w:t>
      </w:r>
      <w:r w:rsidRPr="009A7904">
        <w:rPr>
          <w:rFonts w:cs="Sylfaen"/>
          <w:color w:val="000000"/>
          <w:lang w:val="hy-AM"/>
        </w:rPr>
        <w:t>նպատակով</w:t>
      </w:r>
      <w:r w:rsidRPr="009A7904">
        <w:rPr>
          <w:color w:val="000000"/>
          <w:lang w:val="hy-AM"/>
        </w:rPr>
        <w:t xml:space="preserve"> </w:t>
      </w:r>
      <w:r w:rsidRPr="009A7904">
        <w:rPr>
          <w:rFonts w:cs="Sylfaen"/>
          <w:color w:val="000000"/>
          <w:lang w:val="hy-AM"/>
        </w:rPr>
        <w:t>կիրականացվեն</w:t>
      </w:r>
      <w:r w:rsidRPr="009A7904">
        <w:rPr>
          <w:color w:val="000000"/>
          <w:lang w:val="hy-AM"/>
        </w:rPr>
        <w:t xml:space="preserve"> </w:t>
      </w:r>
      <w:r w:rsidRPr="009A7904">
        <w:rPr>
          <w:rFonts w:cs="Sylfaen"/>
          <w:color w:val="000000"/>
          <w:lang w:val="hy-AM"/>
        </w:rPr>
        <w:t>կառուցվածքային</w:t>
      </w:r>
      <w:r w:rsidRPr="009A7904">
        <w:rPr>
          <w:color w:val="000000"/>
          <w:lang w:val="hy-AM"/>
        </w:rPr>
        <w:t xml:space="preserve"> </w:t>
      </w:r>
      <w:r w:rsidRPr="009A7904">
        <w:rPr>
          <w:rFonts w:cs="Sylfaen"/>
          <w:color w:val="000000"/>
          <w:lang w:val="hy-AM"/>
        </w:rPr>
        <w:t>բարեփոխումներ</w:t>
      </w:r>
      <w:r w:rsidRPr="009A7904">
        <w:rPr>
          <w:color w:val="000000"/>
          <w:lang w:val="hy-AM"/>
        </w:rPr>
        <w:t xml:space="preserve">, որի </w:t>
      </w:r>
      <w:r w:rsidRPr="009A7904">
        <w:rPr>
          <w:rFonts w:cs="GHEA Grapalat"/>
          <w:color w:val="000000"/>
          <w:lang w:val="de-AT"/>
        </w:rPr>
        <w:t xml:space="preserve"> ռազմավարական նպատակները և գերակա վերջնական արդյունքները </w:t>
      </w:r>
      <w:r w:rsidRPr="009A7904">
        <w:rPr>
          <w:rFonts w:cs="GHEA Grapalat"/>
          <w:color w:val="000000"/>
          <w:lang w:val="hy-AM"/>
        </w:rPr>
        <w:t>ա</w:t>
      </w:r>
      <w:r w:rsidRPr="009A7904">
        <w:rPr>
          <w:rFonts w:cs="GHEA Grapalat"/>
          <w:color w:val="000000"/>
          <w:lang w:val="de-AT"/>
        </w:rPr>
        <w:t>ռցանց, ինքնաշխատ, անթուղթ անշարժ գույքի կադաստրի ստեղծում</w:t>
      </w:r>
      <w:r w:rsidRPr="009A7904">
        <w:rPr>
          <w:rFonts w:cs="GHEA Grapalat"/>
          <w:color w:val="000000"/>
          <w:lang w:val="hy-AM"/>
        </w:rPr>
        <w:t xml:space="preserve">ն է։ </w:t>
      </w:r>
    </w:p>
    <w:p w14:paraId="7B330AAC" w14:textId="77777777" w:rsidR="009D2825" w:rsidRPr="009A7904" w:rsidRDefault="009D2825" w:rsidP="009A7904">
      <w:pPr>
        <w:pStyle w:val="ListParagraph"/>
        <w:spacing w:after="0" w:line="276" w:lineRule="auto"/>
        <w:ind w:left="0" w:firstLine="567"/>
        <w:rPr>
          <w:rFonts w:cs="GHEA Grapalat"/>
          <w:color w:val="000000"/>
          <w:lang w:val="de-AT"/>
        </w:rPr>
      </w:pPr>
      <w:r w:rsidRPr="009A7904">
        <w:rPr>
          <w:rFonts w:cs="GHEA Grapalat"/>
          <w:color w:val="000000"/>
          <w:lang w:val="de-AT"/>
        </w:rPr>
        <w:t xml:space="preserve">Անշարժ գույքի հարկման համակարգի բարեփոխումների շրջանակներում Հայաստանի Հանրապետությունում կներդրվի անշարժ գույքի միասնական գնահատման և հարկման համակարգ, որը հնարավորություն կընձեռի անշարժ գույքի հարկով արդարացի հարկման մեխանիզմների ներդրման, ապահովել անշարժ գույքի շուկայի գնային իրավիճակի վերաբերյալ վերլուծական տեղեկատվական բազայի ստեղծումը։ </w:t>
      </w:r>
    </w:p>
    <w:p w14:paraId="702D5D4C" w14:textId="77777777" w:rsidR="009D2825" w:rsidRPr="009A7904" w:rsidRDefault="009D2825" w:rsidP="009A7904">
      <w:pPr>
        <w:pStyle w:val="ListParagraph"/>
        <w:spacing w:after="0" w:line="276" w:lineRule="auto"/>
        <w:ind w:left="0" w:firstLine="567"/>
        <w:rPr>
          <w:rFonts w:cs="Sylfaen"/>
          <w:color w:val="FF0000"/>
          <w:lang w:val="hy-AM" w:eastAsia="hy-AM"/>
        </w:rPr>
      </w:pPr>
      <w:r w:rsidRPr="009A7904">
        <w:rPr>
          <w:rFonts w:cs="Sylfaen"/>
          <w:bCs/>
          <w:iCs/>
          <w:color w:val="000000"/>
          <w:lang w:val="de-AT"/>
        </w:rPr>
        <w:t xml:space="preserve">Բարեփոխումներ են նախատեսվում իրականացնել նաև գույքի շուկայական գնահատման ոլորտում, մասնավորապես օրենսդրական փոփոխություններով կկարգավորվի ոչ միայն անշարժ գույքի այլ նաև գույքի մյուս տեսակների՝ շարժական, բիզնեսի, ոչ նյութական ակտիվների և այլն շուկայական գնահատությունը: </w:t>
      </w:r>
    </w:p>
    <w:p w14:paraId="17610D58" w14:textId="77777777" w:rsidR="009D2825" w:rsidRPr="009A7904" w:rsidRDefault="009D2825" w:rsidP="009A7904">
      <w:pPr>
        <w:spacing w:after="0" w:line="276" w:lineRule="auto"/>
        <w:rPr>
          <w:rFonts w:cs="Sylfaen"/>
          <w:color w:val="000000"/>
          <w:lang w:val="af-ZA" w:eastAsia="hy-AM"/>
        </w:rPr>
      </w:pPr>
      <w:r w:rsidRPr="009A7904">
        <w:rPr>
          <w:rFonts w:cs="Sylfaen"/>
          <w:color w:val="000000"/>
          <w:lang w:val="de-AT" w:eastAsia="hy-AM"/>
        </w:rPr>
        <w:t xml:space="preserve"> </w:t>
      </w:r>
      <w:r w:rsidRPr="009A7904">
        <w:rPr>
          <w:rFonts w:cs="Sylfaen"/>
          <w:color w:val="000000"/>
          <w:lang w:val="hy-AM" w:eastAsia="hy-AM"/>
        </w:rPr>
        <w:t xml:space="preserve">Նշված ռազմավարության պահանջների խթանումը գեոդեզիական, </w:t>
      </w:r>
      <w:r w:rsidRPr="009A7904">
        <w:rPr>
          <w:rFonts w:cs="Sylfaen"/>
          <w:color w:val="000000"/>
          <w:lang w:val="hy-AM"/>
        </w:rPr>
        <w:t>քարտեզագրական</w:t>
      </w:r>
      <w:r w:rsidRPr="009A7904">
        <w:rPr>
          <w:color w:val="000000"/>
          <w:lang w:val="hy-AM"/>
        </w:rPr>
        <w:t xml:space="preserve"> </w:t>
      </w:r>
      <w:r w:rsidRPr="009A7904">
        <w:rPr>
          <w:rFonts w:cs="Sylfaen"/>
          <w:color w:val="000000"/>
          <w:lang w:val="hy-AM"/>
        </w:rPr>
        <w:t>և</w:t>
      </w:r>
      <w:r w:rsidRPr="009A7904">
        <w:rPr>
          <w:color w:val="000000"/>
          <w:lang w:val="hy-AM"/>
        </w:rPr>
        <w:t xml:space="preserve"> </w:t>
      </w:r>
      <w:r w:rsidRPr="009A7904">
        <w:rPr>
          <w:rFonts w:cs="Sylfaen"/>
          <w:color w:val="000000"/>
          <w:lang w:val="hy-AM"/>
        </w:rPr>
        <w:t>երկրատեղեկատվական</w:t>
      </w:r>
      <w:r w:rsidRPr="009A7904">
        <w:rPr>
          <w:color w:val="000000"/>
          <w:lang w:val="hy-AM"/>
        </w:rPr>
        <w:t xml:space="preserve"> </w:t>
      </w:r>
      <w:r w:rsidRPr="009A7904">
        <w:rPr>
          <w:rFonts w:cs="Sylfaen"/>
          <w:color w:val="000000"/>
          <w:lang w:val="hy-AM"/>
        </w:rPr>
        <w:t>համակարգի</w:t>
      </w:r>
      <w:r w:rsidRPr="009A7904">
        <w:rPr>
          <w:color w:val="000000"/>
          <w:lang w:val="hy-AM"/>
        </w:rPr>
        <w:t xml:space="preserve"> </w:t>
      </w:r>
      <w:r w:rsidRPr="009A7904">
        <w:rPr>
          <w:rFonts w:cs="Sylfaen"/>
          <w:color w:val="000000"/>
          <w:lang w:val="hy-AM"/>
        </w:rPr>
        <w:t>հիման</w:t>
      </w:r>
      <w:r w:rsidRPr="009A7904">
        <w:rPr>
          <w:color w:val="000000"/>
          <w:lang w:val="hy-AM"/>
        </w:rPr>
        <w:t xml:space="preserve"> </w:t>
      </w:r>
      <w:r w:rsidRPr="009A7904">
        <w:rPr>
          <w:rFonts w:cs="Sylfaen"/>
          <w:color w:val="000000"/>
          <w:lang w:val="hy-AM"/>
        </w:rPr>
        <w:t>վրա</w:t>
      </w:r>
      <w:r w:rsidRPr="009A7904">
        <w:rPr>
          <w:color w:val="000000"/>
          <w:lang w:val="hy-AM"/>
        </w:rPr>
        <w:t xml:space="preserve"> </w:t>
      </w:r>
      <w:r w:rsidRPr="009A7904">
        <w:rPr>
          <w:rFonts w:cs="Sylfaen"/>
          <w:color w:val="000000"/>
          <w:lang w:val="hy-AM"/>
        </w:rPr>
        <w:t>ՀՀ</w:t>
      </w:r>
      <w:r w:rsidRPr="009A7904">
        <w:rPr>
          <w:color w:val="000000"/>
          <w:lang w:val="hy-AM"/>
        </w:rPr>
        <w:t xml:space="preserve"> </w:t>
      </w:r>
      <w:r w:rsidRPr="009A7904">
        <w:rPr>
          <w:rFonts w:cs="Sylfaen"/>
          <w:color w:val="000000"/>
          <w:lang w:val="hy-AM"/>
        </w:rPr>
        <w:t>ինտեգրված</w:t>
      </w:r>
      <w:r w:rsidRPr="009A7904">
        <w:rPr>
          <w:color w:val="000000"/>
          <w:lang w:val="hy-AM"/>
        </w:rPr>
        <w:t xml:space="preserve">, </w:t>
      </w:r>
      <w:r w:rsidRPr="009A7904">
        <w:rPr>
          <w:rFonts w:cs="Sylfaen"/>
          <w:color w:val="000000"/>
          <w:lang w:val="hy-AM"/>
        </w:rPr>
        <w:t>միասնական</w:t>
      </w:r>
      <w:r w:rsidRPr="009A7904">
        <w:rPr>
          <w:color w:val="000000"/>
          <w:lang w:val="hy-AM"/>
        </w:rPr>
        <w:t xml:space="preserve"> </w:t>
      </w:r>
      <w:r w:rsidRPr="009A7904">
        <w:rPr>
          <w:rFonts w:cs="Sylfaen"/>
          <w:color w:val="000000"/>
          <w:lang w:val="hy-AM"/>
        </w:rPr>
        <w:t xml:space="preserve">կադաստրի ստեղծումն է։ </w:t>
      </w:r>
    </w:p>
    <w:p w14:paraId="0149AFA1" w14:textId="77777777" w:rsidR="009D2825" w:rsidRPr="009A7904" w:rsidRDefault="009D2825" w:rsidP="009A7904">
      <w:pPr>
        <w:spacing w:after="0" w:line="276" w:lineRule="auto"/>
        <w:rPr>
          <w:rFonts w:cs="Arial Armenian"/>
          <w:bCs/>
          <w:iCs/>
          <w:lang w:val="hy-AM"/>
        </w:rPr>
      </w:pPr>
      <w:r w:rsidRPr="009A7904">
        <w:rPr>
          <w:rFonts w:cs="Sylfaen"/>
          <w:color w:val="000000"/>
          <w:lang w:val="hy-AM" w:eastAsia="hy-AM"/>
        </w:rPr>
        <w:t>Ստեղծված քարտեզագեոդեզիական հիմքով երկրատեղեկատվական համակարգը հանդիսանալու է գերատեսչական տարբեր ոլորտների և առանձին տարածքների զարգացման ու արդյունավետ պլանավորման համար որպես բազա</w:t>
      </w:r>
      <w:r w:rsidRPr="009A7904">
        <w:rPr>
          <w:rFonts w:cs="Sylfaen"/>
          <w:color w:val="000000"/>
          <w:lang w:eastAsia="hy-AM"/>
        </w:rPr>
        <w:t>։</w:t>
      </w:r>
      <w:r w:rsidRPr="009A7904">
        <w:rPr>
          <w:rFonts w:cs="Sylfaen"/>
          <w:color w:val="000000"/>
          <w:lang w:val="de-AT" w:eastAsia="hy-AM"/>
        </w:rPr>
        <w:t xml:space="preserve"> </w:t>
      </w:r>
      <w:r w:rsidRPr="009A7904">
        <w:rPr>
          <w:rFonts w:cs="Arial Armenian"/>
          <w:bCs/>
          <w:iCs/>
          <w:lang w:val="hy-AM"/>
        </w:rPr>
        <w:t>Գեոդեզիայի ու քարտեզագրության բնագավառի զարգացման նպատակով նախատեսվում</w:t>
      </w:r>
      <w:r w:rsidRPr="009A7904">
        <w:rPr>
          <w:rFonts w:cs="Arial Armenian"/>
          <w:bCs/>
          <w:iCs/>
          <w:lang w:val="de-AT"/>
        </w:rPr>
        <w:t xml:space="preserve"> </w:t>
      </w:r>
      <w:r w:rsidRPr="009A7904">
        <w:rPr>
          <w:rFonts w:cs="Arial Armenian"/>
          <w:bCs/>
          <w:iCs/>
          <w:lang w:val="hy-AM"/>
        </w:rPr>
        <w:t>է</w:t>
      </w:r>
      <w:r w:rsidRPr="009A7904">
        <w:rPr>
          <w:rFonts w:cs="Arial Armenian"/>
          <w:bCs/>
          <w:iCs/>
          <w:lang w:val="de-AT"/>
        </w:rPr>
        <w:t xml:space="preserve"> </w:t>
      </w:r>
      <w:r w:rsidRPr="009A7904">
        <w:rPr>
          <w:rFonts w:cs="Arial Armenian"/>
          <w:bCs/>
          <w:iCs/>
          <w:lang w:val="hy-AM"/>
        </w:rPr>
        <w:t>ավարտել</w:t>
      </w:r>
      <w:r w:rsidRPr="009A7904">
        <w:rPr>
          <w:rFonts w:cs="Arial Armenian"/>
          <w:bCs/>
          <w:iCs/>
          <w:lang w:val="de-AT"/>
        </w:rPr>
        <w:t xml:space="preserve"> </w:t>
      </w:r>
      <w:r w:rsidRPr="009A7904">
        <w:rPr>
          <w:rFonts w:cs="Arial Armenian"/>
          <w:bCs/>
          <w:iCs/>
          <w:lang w:val="hy-AM"/>
        </w:rPr>
        <w:t>հանրապետության ամբողջ տարածքի օդալուսանկարահանման աշխատանքները</w:t>
      </w:r>
      <w:r w:rsidRPr="009A7904">
        <w:rPr>
          <w:rFonts w:cs="Arial Armenian"/>
          <w:bCs/>
          <w:iCs/>
        </w:rPr>
        <w:t>։</w:t>
      </w:r>
    </w:p>
    <w:p w14:paraId="02E371FC" w14:textId="77777777" w:rsidR="009D2825" w:rsidRPr="009A7904" w:rsidRDefault="009D2825" w:rsidP="009A7904">
      <w:pPr>
        <w:spacing w:after="0" w:line="276" w:lineRule="auto"/>
        <w:rPr>
          <w:rFonts w:cs="Tahoma"/>
          <w:noProof/>
          <w:lang w:val="hy-AM"/>
        </w:rPr>
      </w:pPr>
      <w:r w:rsidRPr="009A7904">
        <w:rPr>
          <w:rFonts w:cs="Tahoma"/>
          <w:noProof/>
          <w:lang w:val="hy-AM"/>
        </w:rPr>
        <w:lastRenderedPageBreak/>
        <w:t>Ծրագրի համար 2021-2023թթ. նախատեսվում է հատկացնել համապատասխանաբար 4,645,431.1 հազար,  4,394,155.5 հազ և 3,834,351.0 հազ. դրամ, կամ 2020 թվականի պետական բյուջեի ցուցանիշից համապատասխանաբար 10.7%  15.5% և 26.3% պակաս որը պայմանավորված է գործող օրենսդրությամբ սահմանված կարգավորումներով։</w:t>
      </w:r>
    </w:p>
    <w:p w14:paraId="6A987064" w14:textId="77777777" w:rsidR="009D2825" w:rsidRPr="009A7904" w:rsidRDefault="009D2825" w:rsidP="009A7904">
      <w:pPr>
        <w:spacing w:after="0" w:line="276" w:lineRule="auto"/>
        <w:rPr>
          <w:lang w:val="hy-AM"/>
        </w:rPr>
      </w:pPr>
    </w:p>
    <w:p w14:paraId="751C993B" w14:textId="77777777" w:rsidR="009D2825" w:rsidRPr="00671282" w:rsidRDefault="009D2825" w:rsidP="009D2825">
      <w:pPr>
        <w:spacing w:after="0" w:line="360" w:lineRule="auto"/>
        <w:ind w:left="720"/>
        <w:rPr>
          <w:shd w:val="clear" w:color="auto" w:fill="FFFFFF"/>
          <w:lang w:val="hy-AM"/>
        </w:rPr>
      </w:pPr>
    </w:p>
    <w:p w14:paraId="652F6969" w14:textId="77777777" w:rsidR="009D2825" w:rsidRDefault="009D2825" w:rsidP="009D2825">
      <w:pPr>
        <w:pStyle w:val="StyleHeading1SectionSectionHeadingText11Chapterhead3"/>
      </w:pPr>
    </w:p>
    <w:p w14:paraId="66EBE072" w14:textId="77777777" w:rsidR="002F446D" w:rsidRDefault="009D2825" w:rsidP="00E426B8">
      <w:pPr>
        <w:pStyle w:val="Heading2"/>
        <w:numPr>
          <w:ilvl w:val="0"/>
          <w:numId w:val="32"/>
        </w:numPr>
      </w:pPr>
      <w:r>
        <w:br w:type="page"/>
      </w:r>
    </w:p>
    <w:p w14:paraId="020E668F" w14:textId="77777777" w:rsidR="002F446D" w:rsidRPr="00B45D8B" w:rsidRDefault="002F446D" w:rsidP="002F446D">
      <w:pPr>
        <w:pStyle w:val="StyleHeading1SectionSectionHeadingText11Chapterhead3"/>
        <w:rPr>
          <w:lang w:val="hy-AM"/>
        </w:rPr>
      </w:pPr>
    </w:p>
    <w:p w14:paraId="7D813A10" w14:textId="77777777" w:rsidR="002F446D" w:rsidRPr="00B45D8B" w:rsidRDefault="002F446D" w:rsidP="002F446D">
      <w:pPr>
        <w:pStyle w:val="StyleHeading1SectionSectionHeadingText11Chapterhead3"/>
        <w:rPr>
          <w:lang w:val="hy-AM"/>
        </w:rPr>
      </w:pPr>
    </w:p>
    <w:p w14:paraId="619D67E8" w14:textId="77777777" w:rsidR="002F446D" w:rsidRPr="00B45D8B" w:rsidRDefault="002F446D" w:rsidP="002F446D">
      <w:pPr>
        <w:pStyle w:val="StyleHeading1SectionSectionHeadingText11Chapterhead3"/>
        <w:rPr>
          <w:lang w:val="hy-AM"/>
        </w:rPr>
      </w:pPr>
    </w:p>
    <w:p w14:paraId="6EA81601" w14:textId="77777777" w:rsidR="002F446D" w:rsidRPr="00B45D8B" w:rsidRDefault="002F446D" w:rsidP="002F446D">
      <w:pPr>
        <w:pStyle w:val="StyleHeading1SectionSectionHeadingText11Chapterhead3"/>
        <w:rPr>
          <w:lang w:val="hy-AM"/>
        </w:rPr>
      </w:pPr>
    </w:p>
    <w:p w14:paraId="416125B1" w14:textId="77777777" w:rsidR="002F446D" w:rsidRPr="00B45D8B" w:rsidRDefault="002F446D" w:rsidP="002F446D">
      <w:pPr>
        <w:pStyle w:val="StyleHeading1SectionSectionHeadingText11Chapterhead3"/>
        <w:rPr>
          <w:lang w:val="hy-AM"/>
        </w:rPr>
      </w:pPr>
    </w:p>
    <w:p w14:paraId="46EFBE8F" w14:textId="77777777" w:rsidR="00AA3B49" w:rsidRDefault="00AA3B49" w:rsidP="002F446D">
      <w:pPr>
        <w:pStyle w:val="StyleHeading1SectionSectionHeadingText11Chapterhead3"/>
        <w:rPr>
          <w:lang w:val="hy-AM"/>
        </w:rPr>
      </w:pPr>
    </w:p>
    <w:p w14:paraId="766E43D2" w14:textId="77777777" w:rsidR="00AA3B49" w:rsidRDefault="00AA3B49" w:rsidP="002F446D">
      <w:pPr>
        <w:pStyle w:val="StyleHeading1SectionSectionHeadingText11Chapterhead3"/>
        <w:rPr>
          <w:lang w:val="hy-AM"/>
        </w:rPr>
      </w:pPr>
    </w:p>
    <w:p w14:paraId="7F2CC140" w14:textId="77777777" w:rsidR="00AA3B49" w:rsidRDefault="00AA3B49" w:rsidP="002F446D">
      <w:pPr>
        <w:pStyle w:val="StyleHeading1SectionSectionHeadingText11Chapterhead3"/>
        <w:rPr>
          <w:lang w:val="hy-AM"/>
        </w:rPr>
      </w:pPr>
    </w:p>
    <w:p w14:paraId="72FEBF17" w14:textId="77777777" w:rsidR="00AA3B49" w:rsidRDefault="00AA3B49" w:rsidP="002F446D">
      <w:pPr>
        <w:pStyle w:val="StyleHeading1SectionSectionHeadingText11Chapterhead3"/>
        <w:rPr>
          <w:lang w:val="hy-AM"/>
        </w:rPr>
      </w:pPr>
    </w:p>
    <w:p w14:paraId="31F5C586" w14:textId="77777777" w:rsidR="00AA3B49" w:rsidRDefault="00AA3B49" w:rsidP="002F446D">
      <w:pPr>
        <w:pStyle w:val="StyleHeading1SectionSectionHeadingText11Chapterhead3"/>
        <w:rPr>
          <w:lang w:val="hy-AM"/>
        </w:rPr>
      </w:pPr>
    </w:p>
    <w:p w14:paraId="3CA77C5F" w14:textId="77777777" w:rsidR="00AA3B49" w:rsidRDefault="00AA3B49" w:rsidP="002F446D">
      <w:pPr>
        <w:pStyle w:val="StyleHeading1SectionSectionHeadingText11Chapterhead3"/>
        <w:rPr>
          <w:lang w:val="hy-AM"/>
        </w:rPr>
      </w:pPr>
    </w:p>
    <w:p w14:paraId="005B286D" w14:textId="77777777" w:rsidR="00AA3B49" w:rsidRDefault="00AA3B49" w:rsidP="002F446D">
      <w:pPr>
        <w:pStyle w:val="StyleHeading1SectionSectionHeadingText11Chapterhead3"/>
        <w:rPr>
          <w:lang w:val="hy-AM"/>
        </w:rPr>
      </w:pPr>
    </w:p>
    <w:p w14:paraId="442A7DE4" w14:textId="77777777" w:rsidR="00AA3B49" w:rsidRDefault="00AA3B49" w:rsidP="002F446D">
      <w:pPr>
        <w:pStyle w:val="StyleHeading1SectionSectionHeadingText11Chapterhead3"/>
        <w:rPr>
          <w:lang w:val="hy-AM"/>
        </w:rPr>
      </w:pPr>
    </w:p>
    <w:p w14:paraId="2D2C78AF" w14:textId="77777777" w:rsidR="00AA3B49" w:rsidRDefault="00AA3B49" w:rsidP="002F446D">
      <w:pPr>
        <w:pStyle w:val="StyleHeading1SectionSectionHeadingText11Chapterhead3"/>
        <w:rPr>
          <w:lang w:val="hy-AM"/>
        </w:rPr>
      </w:pPr>
    </w:p>
    <w:p w14:paraId="1E1EA62C" w14:textId="77777777" w:rsidR="00AA3B49" w:rsidRDefault="00AA3B49" w:rsidP="002F446D">
      <w:pPr>
        <w:pStyle w:val="StyleHeading1SectionSectionHeadingText11Chapterhead3"/>
        <w:rPr>
          <w:lang w:val="hy-AM"/>
        </w:rPr>
      </w:pPr>
    </w:p>
    <w:p w14:paraId="18D99C3C" w14:textId="77777777" w:rsidR="00AA3B49" w:rsidRDefault="00AA3B49" w:rsidP="002F446D">
      <w:pPr>
        <w:pStyle w:val="StyleHeading1SectionSectionHeadingText11Chapterhead3"/>
        <w:rPr>
          <w:lang w:val="hy-AM"/>
        </w:rPr>
      </w:pPr>
    </w:p>
    <w:p w14:paraId="6F4B70C0" w14:textId="77777777" w:rsidR="002F446D" w:rsidRPr="00EB1197" w:rsidRDefault="002F446D" w:rsidP="00122C6D">
      <w:pPr>
        <w:pStyle w:val="Heading1"/>
        <w:rPr>
          <w:lang w:val="hy-AM"/>
        </w:rPr>
      </w:pPr>
      <w:bookmarkStart w:id="365" w:name="_Toc45838556"/>
      <w:bookmarkStart w:id="366" w:name="_Toc46154382"/>
      <w:r w:rsidRPr="00EB1197">
        <w:rPr>
          <w:lang w:val="hy-AM"/>
        </w:rPr>
        <w:t>ՎԵՐԼՈՒԾՈՒԹՅՈՒՆՆԵՐ</w:t>
      </w:r>
      <w:bookmarkEnd w:id="365"/>
      <w:bookmarkEnd w:id="366"/>
    </w:p>
    <w:p w14:paraId="3C31767A" w14:textId="77777777" w:rsidR="001E7EBB" w:rsidRDefault="001E7EBB" w:rsidP="00EF2F74">
      <w:pPr>
        <w:keepNext/>
        <w:spacing w:line="360" w:lineRule="auto"/>
        <w:outlineLvl w:val="0"/>
        <w:rPr>
          <w:b/>
          <w:bCs/>
          <w:spacing w:val="40"/>
          <w:kern w:val="32"/>
          <w:lang w:val="es-ES"/>
        </w:rPr>
      </w:pPr>
    </w:p>
    <w:p w14:paraId="509B028E" w14:textId="77777777" w:rsidR="001E7EBB" w:rsidRDefault="001E7EBB" w:rsidP="00EF2F74">
      <w:pPr>
        <w:keepNext/>
        <w:spacing w:line="360" w:lineRule="auto"/>
        <w:outlineLvl w:val="0"/>
        <w:rPr>
          <w:b/>
          <w:bCs/>
          <w:spacing w:val="40"/>
          <w:kern w:val="32"/>
          <w:lang w:val="es-ES"/>
        </w:rPr>
      </w:pPr>
    </w:p>
    <w:p w14:paraId="65BDF26D" w14:textId="77777777" w:rsidR="001E7EBB" w:rsidRDefault="001E7EBB" w:rsidP="00EF2F74">
      <w:pPr>
        <w:keepNext/>
        <w:spacing w:line="360" w:lineRule="auto"/>
        <w:outlineLvl w:val="0"/>
        <w:rPr>
          <w:b/>
          <w:bCs/>
          <w:spacing w:val="40"/>
          <w:kern w:val="32"/>
          <w:lang w:val="es-ES"/>
        </w:rPr>
      </w:pPr>
    </w:p>
    <w:p w14:paraId="430A2E91" w14:textId="77777777" w:rsidR="001E7EBB" w:rsidRDefault="001E7EBB" w:rsidP="00EF2F74">
      <w:pPr>
        <w:keepNext/>
        <w:spacing w:line="360" w:lineRule="auto"/>
        <w:outlineLvl w:val="0"/>
        <w:rPr>
          <w:b/>
          <w:bCs/>
          <w:spacing w:val="40"/>
          <w:kern w:val="32"/>
          <w:lang w:val="es-ES"/>
        </w:rPr>
      </w:pPr>
    </w:p>
    <w:p w14:paraId="78A94AE3" w14:textId="77777777" w:rsidR="001E7EBB" w:rsidRDefault="001E7EBB" w:rsidP="00EF2F74">
      <w:pPr>
        <w:keepNext/>
        <w:spacing w:line="360" w:lineRule="auto"/>
        <w:outlineLvl w:val="0"/>
        <w:rPr>
          <w:b/>
          <w:bCs/>
          <w:spacing w:val="40"/>
          <w:kern w:val="32"/>
          <w:lang w:val="es-ES"/>
        </w:rPr>
      </w:pPr>
    </w:p>
    <w:p w14:paraId="11AADAFB" w14:textId="77777777" w:rsidR="001E7EBB" w:rsidRDefault="001E7EBB" w:rsidP="00EF2F74">
      <w:pPr>
        <w:keepNext/>
        <w:spacing w:line="360" w:lineRule="auto"/>
        <w:outlineLvl w:val="0"/>
        <w:rPr>
          <w:b/>
          <w:bCs/>
          <w:spacing w:val="40"/>
          <w:kern w:val="32"/>
          <w:lang w:val="es-ES"/>
        </w:rPr>
      </w:pPr>
    </w:p>
    <w:p w14:paraId="629F940A" w14:textId="77777777" w:rsidR="001E7EBB" w:rsidRDefault="001E7EBB" w:rsidP="00EF2F74">
      <w:pPr>
        <w:keepNext/>
        <w:spacing w:line="360" w:lineRule="auto"/>
        <w:outlineLvl w:val="0"/>
        <w:rPr>
          <w:b/>
          <w:bCs/>
          <w:spacing w:val="40"/>
          <w:kern w:val="32"/>
          <w:lang w:val="es-ES"/>
        </w:rPr>
      </w:pPr>
    </w:p>
    <w:p w14:paraId="1EFF4111" w14:textId="77777777" w:rsidR="00ED192E" w:rsidRDefault="001E7EBB" w:rsidP="00EF2F74">
      <w:pPr>
        <w:keepNext/>
        <w:spacing w:line="360" w:lineRule="auto"/>
        <w:outlineLvl w:val="0"/>
        <w:rPr>
          <w:b/>
          <w:bCs/>
          <w:spacing w:val="40"/>
          <w:kern w:val="32"/>
          <w:lang w:val="hy-AM"/>
        </w:rPr>
      </w:pPr>
      <w:r>
        <w:rPr>
          <w:b/>
          <w:bCs/>
          <w:spacing w:val="40"/>
          <w:kern w:val="32"/>
          <w:lang w:val="es-ES"/>
        </w:rPr>
        <w:br w:type="page"/>
      </w:r>
    </w:p>
    <w:p w14:paraId="416FDF33" w14:textId="77777777" w:rsidR="00F1465E" w:rsidRPr="00C35116" w:rsidRDefault="00F1465E" w:rsidP="00F1465E">
      <w:pPr>
        <w:pStyle w:val="Heading3"/>
        <w:numPr>
          <w:ilvl w:val="0"/>
          <w:numId w:val="0"/>
        </w:numPr>
        <w:spacing w:before="0" w:after="120"/>
        <w:jc w:val="both"/>
        <w:rPr>
          <w:rFonts w:eastAsia="Times New Roman" w:cs="Times New Roman"/>
          <w:caps w:val="0"/>
          <w:color w:val="1F497D" w:themeColor="text2"/>
          <w:sz w:val="32"/>
          <w:szCs w:val="32"/>
        </w:rPr>
      </w:pPr>
      <w:bookmarkStart w:id="367" w:name="_Toc45838557"/>
      <w:bookmarkStart w:id="368" w:name="_Toc45898777"/>
      <w:bookmarkStart w:id="369" w:name="_Toc46154383"/>
      <w:bookmarkStart w:id="370" w:name="_Toc45838558"/>
      <w:bookmarkEnd w:id="284"/>
      <w:bookmarkEnd w:id="285"/>
      <w:bookmarkEnd w:id="286"/>
      <w:r w:rsidRPr="00C35116">
        <w:rPr>
          <w:rFonts w:eastAsia="Times New Roman" w:cs="Times New Roman"/>
          <w:caps w:val="0"/>
          <w:color w:val="1F497D" w:themeColor="text2"/>
          <w:sz w:val="32"/>
          <w:szCs w:val="32"/>
        </w:rPr>
        <w:lastRenderedPageBreak/>
        <w:t>1. ՀՀ ԿԱՌԱՎԱՐՈՒԹՅԱՆ ՊԱՐՏՔԻ ԿԱՌԱՎԱՐՄԱՆ 2021-2023 ԹՎԱԿԱՆՆԵՐԻ ՌԱԶՄԱՎԱՐԱԿԱՆ ԾՐԱԳԻՐ</w:t>
      </w:r>
      <w:bookmarkEnd w:id="367"/>
      <w:bookmarkEnd w:id="368"/>
      <w:bookmarkEnd w:id="369"/>
      <w:r w:rsidRPr="00C35116">
        <w:rPr>
          <w:rFonts w:eastAsia="Times New Roman" w:cs="Times New Roman"/>
          <w:caps w:val="0"/>
          <w:color w:val="1F497D" w:themeColor="text2"/>
          <w:sz w:val="32"/>
          <w:szCs w:val="32"/>
        </w:rPr>
        <w:t xml:space="preserve"> </w:t>
      </w:r>
    </w:p>
    <w:p w14:paraId="7BD27FF0" w14:textId="77777777" w:rsidR="00F1465E" w:rsidRPr="00C35116" w:rsidRDefault="00F1465E" w:rsidP="00F1465E">
      <w:pPr>
        <w:spacing w:after="0" w:line="360" w:lineRule="auto"/>
        <w:ind w:firstLine="709"/>
        <w:rPr>
          <w:rFonts w:cs="Times Unicode"/>
          <w:lang w:val="hy-AM"/>
        </w:rPr>
      </w:pPr>
    </w:p>
    <w:p w14:paraId="55832747" w14:textId="77777777" w:rsidR="00F1465E" w:rsidRPr="00AC67B2" w:rsidRDefault="00F1465E" w:rsidP="009A7904">
      <w:pPr>
        <w:spacing w:after="0" w:line="276" w:lineRule="auto"/>
        <w:ind w:firstLine="709"/>
        <w:rPr>
          <w:rFonts w:cs="Times Unicode"/>
          <w:lang w:val="hy-AM"/>
        </w:rPr>
      </w:pPr>
      <w:r w:rsidRPr="009E1493">
        <w:rPr>
          <w:rFonts w:cs="Times Unicode"/>
          <w:lang w:val="hy-AM"/>
        </w:rPr>
        <w:t xml:space="preserve">ՀՀ կառավարության պարտքի </w:t>
      </w:r>
      <w:r w:rsidRPr="00AC67B2">
        <w:rPr>
          <w:rFonts w:cs="Times Unicode"/>
          <w:lang w:val="hy-AM"/>
        </w:rPr>
        <w:t>կառավարման ռազմավարական ծրագիրը ներկայացնում է ՀՀ պետական բյուջեի դեֆիցիտի ֆինանսավորման համար անհրա</w:t>
      </w:r>
      <w:r w:rsidRPr="00AC67B2">
        <w:rPr>
          <w:rFonts w:cs="Times Unicode"/>
          <w:lang w:val="hy-AM"/>
        </w:rPr>
        <w:softHyphen/>
        <w:t>ժեշտ փոխառու միջոցների ներգրավման, ինչպես նաև ՀՀ կառավարության պարտքի պորտֆելի ռիսկերի կառավարման ռազմավարությունը: Այն եռամյա ծրագիր է, որը վերանայվում և հրապարակվում է տարեկան պարբերականությամբ՝ նպաստելով կառավարության պարտքի կանխատեսելի և թափանցիկ կառավարման ապահովմանը:</w:t>
      </w:r>
    </w:p>
    <w:p w14:paraId="2386A9D5" w14:textId="77777777" w:rsidR="00F1465E" w:rsidRPr="00AC67B2" w:rsidRDefault="00F1465E" w:rsidP="009A7904">
      <w:pPr>
        <w:spacing w:line="276" w:lineRule="auto"/>
        <w:ind w:firstLine="720"/>
        <w:rPr>
          <w:rFonts w:cs="Times Unicode"/>
          <w:lang w:val="hy-AM"/>
        </w:rPr>
      </w:pPr>
      <w:r w:rsidRPr="00AC67B2">
        <w:rPr>
          <w:rFonts w:cs="Times Unicode"/>
          <w:lang w:val="hy-AM"/>
        </w:rPr>
        <w:t>ՀՀ կառավարության պարտքի կառավարման ռազմավարությունը պարզաբանում է պարտք ներգրավելու քաղաքականությունը՝ ներառելով կառավարության պարտքի կառավարման ուղենշային ցուցանիշ</w:t>
      </w:r>
      <w:r w:rsidRPr="00AC67B2">
        <w:rPr>
          <w:rFonts w:cs="Times Unicode"/>
          <w:lang w:val="hy-AM"/>
        </w:rPr>
        <w:softHyphen/>
        <w:t>ները, բացահայտում և գնահատում է կառավարության պարտ</w:t>
      </w:r>
      <w:r w:rsidRPr="00AC67B2">
        <w:rPr>
          <w:rFonts w:cs="Times Unicode"/>
          <w:lang w:val="hy-AM"/>
        </w:rPr>
        <w:softHyphen/>
        <w:t>քի կառավարման հետ կապված ռիսկերը, ինչպես նաև նախանշում է այն սկզբունքները, նպատակադրումներն ու իրականացվելիք միջոցառումները, որոնց ներքո կառավարությունը չի վտանգի հարկա</w:t>
      </w:r>
      <w:r w:rsidRPr="00AC67B2">
        <w:rPr>
          <w:rFonts w:cs="Times Unicode"/>
          <w:lang w:val="hy-AM"/>
        </w:rPr>
        <w:softHyphen/>
        <w:t>բյուջետային  կայունությունը:</w:t>
      </w:r>
    </w:p>
    <w:p w14:paraId="002E1E75" w14:textId="77777777" w:rsidR="00F1465E" w:rsidRPr="00AC67B2" w:rsidRDefault="00F1465E" w:rsidP="009A7904">
      <w:pPr>
        <w:spacing w:line="276" w:lineRule="auto"/>
        <w:ind w:firstLine="720"/>
        <w:rPr>
          <w:lang w:val="hy-AM"/>
        </w:rPr>
      </w:pPr>
      <w:r w:rsidRPr="00AC67B2">
        <w:rPr>
          <w:rFonts w:cs="Times Unicode"/>
          <w:lang w:val="hy-AM"/>
        </w:rPr>
        <w:t>Պարտքի</w:t>
      </w:r>
      <w:r w:rsidRPr="00AC67B2">
        <w:rPr>
          <w:lang w:val="hy-AM"/>
        </w:rPr>
        <w:t xml:space="preserve"> </w:t>
      </w:r>
      <w:r w:rsidRPr="00AC67B2">
        <w:rPr>
          <w:rFonts w:cs="Times Unicode"/>
          <w:lang w:val="hy-AM"/>
        </w:rPr>
        <w:t>կառավարումը նշանակալի տեղ ունի պետական</w:t>
      </w:r>
      <w:r w:rsidRPr="00AC67B2">
        <w:rPr>
          <w:lang w:val="hy-AM"/>
        </w:rPr>
        <w:t xml:space="preserve"> </w:t>
      </w:r>
      <w:r w:rsidRPr="00AC67B2">
        <w:rPr>
          <w:rFonts w:cs="Times Unicode"/>
          <w:lang w:val="hy-AM"/>
        </w:rPr>
        <w:t>հատվածի</w:t>
      </w:r>
      <w:r w:rsidRPr="00AC67B2">
        <w:rPr>
          <w:lang w:val="hy-AM"/>
        </w:rPr>
        <w:t xml:space="preserve"> </w:t>
      </w:r>
      <w:r w:rsidRPr="00AC67B2">
        <w:rPr>
          <w:rFonts w:cs="Times Unicode"/>
          <w:lang w:val="hy-AM"/>
        </w:rPr>
        <w:t>ֆինանսների</w:t>
      </w:r>
      <w:r w:rsidRPr="00AC67B2">
        <w:rPr>
          <w:lang w:val="hy-AM"/>
        </w:rPr>
        <w:t xml:space="preserve"> </w:t>
      </w:r>
      <w:r w:rsidRPr="00AC67B2">
        <w:rPr>
          <w:rFonts w:cs="Times Unicode"/>
          <w:lang w:val="hy-AM"/>
        </w:rPr>
        <w:t>կառա</w:t>
      </w:r>
      <w:r w:rsidRPr="00AC67B2">
        <w:rPr>
          <w:rFonts w:cs="Times Unicode"/>
          <w:lang w:val="hy-AM"/>
        </w:rPr>
        <w:softHyphen/>
        <w:t>վարման</w:t>
      </w:r>
      <w:r w:rsidRPr="00AC67B2">
        <w:rPr>
          <w:lang w:val="hy-AM"/>
        </w:rPr>
        <w:t xml:space="preserve"> </w:t>
      </w:r>
      <w:r w:rsidRPr="00AC67B2">
        <w:rPr>
          <w:rFonts w:cs="Times Unicode"/>
          <w:lang w:val="hy-AM"/>
        </w:rPr>
        <w:t>գործընթացում, որտեղ ռեսուրսների սահմանափակության պայման</w:t>
      </w:r>
      <w:r w:rsidRPr="00AC67B2">
        <w:rPr>
          <w:rFonts w:cs="Times Unicode"/>
          <w:lang w:val="hy-AM"/>
        </w:rPr>
        <w:softHyphen/>
        <w:t>ներում կառա</w:t>
      </w:r>
      <w:r w:rsidRPr="00AC67B2">
        <w:rPr>
          <w:rFonts w:cs="Times Unicode"/>
          <w:lang w:val="hy-AM"/>
        </w:rPr>
        <w:softHyphen/>
        <w:t>վարու</w:t>
      </w:r>
      <w:r w:rsidRPr="00AC67B2">
        <w:rPr>
          <w:rFonts w:cs="Times Unicode"/>
          <w:lang w:val="hy-AM"/>
        </w:rPr>
        <w:softHyphen/>
        <w:t>թյունը պարտք է ներգրավում</w:t>
      </w:r>
      <w:r w:rsidRPr="00A205DB">
        <w:rPr>
          <w:rFonts w:cs="Times Unicode"/>
          <w:lang w:val="hy-AM"/>
        </w:rPr>
        <w:t>`</w:t>
      </w:r>
      <w:r w:rsidRPr="00AC67B2">
        <w:rPr>
          <w:rFonts w:cs="Times Unicode"/>
          <w:lang w:val="hy-AM"/>
        </w:rPr>
        <w:t xml:space="preserve"> </w:t>
      </w:r>
      <w:r w:rsidRPr="006466FC">
        <w:rPr>
          <w:rFonts w:cs="Times Unicode"/>
          <w:lang w:val="hy-AM"/>
        </w:rPr>
        <w:t xml:space="preserve">երկարաժամկետ և կայուն </w:t>
      </w:r>
      <w:r w:rsidRPr="00AC67B2">
        <w:rPr>
          <w:rFonts w:cs="Times Unicode"/>
          <w:lang w:val="hy-AM"/>
        </w:rPr>
        <w:t>տնտեսական աճին նպաստող հարկաբյուջետային քաղաքակա</w:t>
      </w:r>
      <w:r w:rsidRPr="00AC67B2">
        <w:rPr>
          <w:rFonts w:cs="Times Unicode"/>
          <w:lang w:val="hy-AM"/>
        </w:rPr>
        <w:softHyphen/>
        <w:t>նություն իրա</w:t>
      </w:r>
      <w:r w:rsidRPr="00AC67B2">
        <w:rPr>
          <w:rFonts w:cs="Times Unicode"/>
          <w:lang w:val="hy-AM"/>
        </w:rPr>
        <w:softHyphen/>
        <w:t>կա</w:t>
      </w:r>
      <w:r w:rsidRPr="00AC67B2">
        <w:rPr>
          <w:rFonts w:cs="Times Unicode"/>
          <w:lang w:val="hy-AM"/>
        </w:rPr>
        <w:softHyphen/>
        <w:t xml:space="preserve">նացնելու նպատակով: </w:t>
      </w:r>
    </w:p>
    <w:p w14:paraId="04532C53" w14:textId="77777777" w:rsidR="00F1465E" w:rsidRPr="00AC67B2" w:rsidRDefault="00F1465E" w:rsidP="009A7904">
      <w:pPr>
        <w:spacing w:line="276" w:lineRule="auto"/>
        <w:ind w:firstLine="720"/>
        <w:rPr>
          <w:lang w:val="hy-AM"/>
        </w:rPr>
      </w:pPr>
      <w:r w:rsidRPr="00AC67B2">
        <w:rPr>
          <w:lang w:val="hy-AM"/>
        </w:rPr>
        <w:t xml:space="preserve">ՀՀ կառավարության պարտքի ընդունելի պորտֆելի ձևավորման նպատակով ՀՀ ֆինանսների նախարարության կողմից իրականացվում են ծախսերի և ռիսկերի վերլուծություններ՝ կիրառելով նաև </w:t>
      </w:r>
      <w:r w:rsidRPr="006466FC">
        <w:rPr>
          <w:lang w:val="hy-AM"/>
        </w:rPr>
        <w:t xml:space="preserve">միջազգային լավագույն փորձի հիման վրա հեղինակավոր միջազգային ֆինանսական կառույցների </w:t>
      </w:r>
      <w:r w:rsidRPr="00AC67B2">
        <w:rPr>
          <w:lang w:val="hy-AM"/>
        </w:rPr>
        <w:t>կողմից մշակված մոտեցումներ</w:t>
      </w:r>
      <w:r w:rsidRPr="006466FC">
        <w:rPr>
          <w:lang w:val="hy-AM"/>
        </w:rPr>
        <w:t>ը</w:t>
      </w:r>
      <w:r w:rsidRPr="00AC67B2">
        <w:rPr>
          <w:lang w:val="hy-AM"/>
        </w:rPr>
        <w:t xml:space="preserve">: Վերլուծությունները հնարավորություն են ընձեռում գնահատել ՀՀ կառավարության պարտքի պորտֆելի ծախսերի ու ռիսկերի ցուցանիշները և դրանց վրա հնարավոր շոկերի ազդեցությունները: </w:t>
      </w:r>
      <w:r w:rsidRPr="00AC67B2">
        <w:rPr>
          <w:rFonts w:cs="Times Unicode"/>
          <w:lang w:val="hy-AM"/>
        </w:rPr>
        <w:t>ՀՀ</w:t>
      </w:r>
      <w:r w:rsidRPr="00AC67B2">
        <w:rPr>
          <w:lang w:val="hy-AM"/>
        </w:rPr>
        <w:t xml:space="preserve"> </w:t>
      </w:r>
      <w:r w:rsidRPr="00AC67B2">
        <w:rPr>
          <w:rFonts w:cs="Times Unicode"/>
          <w:lang w:val="hy-AM"/>
        </w:rPr>
        <w:t>կառավարության</w:t>
      </w:r>
      <w:r w:rsidRPr="00AC67B2">
        <w:rPr>
          <w:lang w:val="hy-AM"/>
        </w:rPr>
        <w:t xml:space="preserve"> </w:t>
      </w:r>
      <w:r w:rsidRPr="00AC67B2">
        <w:rPr>
          <w:rFonts w:cs="Times Unicode"/>
          <w:lang w:val="hy-AM"/>
        </w:rPr>
        <w:t>պարտքի</w:t>
      </w:r>
      <w:r w:rsidRPr="00AC67B2">
        <w:rPr>
          <w:lang w:val="hy-AM"/>
        </w:rPr>
        <w:t xml:space="preserve"> </w:t>
      </w:r>
      <w:r w:rsidRPr="00AC67B2">
        <w:rPr>
          <w:rFonts w:cs="Times Unicode"/>
          <w:lang w:val="hy-AM"/>
        </w:rPr>
        <w:t>կառավարման ռազմավարությունում ներկայացվում և վերլուծվում են ՀՀ կառավարության պարտքի պորտֆելի շուկայական՝ փոխարժեքի</w:t>
      </w:r>
      <w:r w:rsidRPr="00A205DB">
        <w:rPr>
          <w:rFonts w:cs="Times Unicode"/>
          <w:lang w:val="hy-AM"/>
        </w:rPr>
        <w:t xml:space="preserve"> և</w:t>
      </w:r>
      <w:r w:rsidRPr="00AC67B2">
        <w:rPr>
          <w:rFonts w:cs="Times Unicode"/>
          <w:lang w:val="hy-AM"/>
        </w:rPr>
        <w:t xml:space="preserve"> տոկոսադրույքի ռիսկերը, վերաֆինանսա</w:t>
      </w:r>
      <w:r w:rsidRPr="00AC67B2">
        <w:rPr>
          <w:rFonts w:cs="Times Unicode"/>
          <w:lang w:val="hy-AM"/>
        </w:rPr>
        <w:softHyphen/>
        <w:t>վորման</w:t>
      </w:r>
      <w:r w:rsidRPr="00A205DB">
        <w:rPr>
          <w:rFonts w:cs="Times Unicode"/>
          <w:lang w:val="hy-AM"/>
        </w:rPr>
        <w:t xml:space="preserve"> ռիսկը</w:t>
      </w:r>
      <w:r w:rsidRPr="00AC67B2">
        <w:rPr>
          <w:rFonts w:cs="Times Unicode"/>
          <w:lang w:val="hy-AM"/>
        </w:rPr>
        <w:t>,</w:t>
      </w:r>
      <w:r w:rsidRPr="00A205DB">
        <w:rPr>
          <w:rFonts w:cs="Times Unicode"/>
          <w:lang w:val="hy-AM"/>
        </w:rPr>
        <w:t xml:space="preserve"> </w:t>
      </w:r>
      <w:r w:rsidRPr="00AC67B2">
        <w:rPr>
          <w:rFonts w:cs="Times Unicode"/>
          <w:lang w:val="hy-AM"/>
        </w:rPr>
        <w:t>ինչպես նաև ոչ շուկայական՝ գործառնական ռիսկը:</w:t>
      </w:r>
      <w:r w:rsidRPr="00A205DB">
        <w:rPr>
          <w:rFonts w:cs="Times Unicode"/>
          <w:lang w:val="hy-AM"/>
        </w:rPr>
        <w:t xml:space="preserve"> </w:t>
      </w:r>
      <w:r w:rsidRPr="00AC67B2">
        <w:rPr>
          <w:lang w:val="hy-AM"/>
        </w:rPr>
        <w:t xml:space="preserve">Ռազմավարությունը կազմելիս հաշվի են առնվել նաև </w:t>
      </w:r>
      <w:r w:rsidRPr="00AC67B2">
        <w:rPr>
          <w:rFonts w:cs="Times Unicode"/>
          <w:lang w:val="hy-AM"/>
        </w:rPr>
        <w:t>ՀՀ</w:t>
      </w:r>
      <w:r w:rsidRPr="00AC67B2">
        <w:rPr>
          <w:lang w:val="hy-AM"/>
        </w:rPr>
        <w:t xml:space="preserve"> </w:t>
      </w:r>
      <w:r w:rsidRPr="00AC67B2">
        <w:rPr>
          <w:rFonts w:cs="Times Unicode"/>
          <w:lang w:val="hy-AM"/>
        </w:rPr>
        <w:t>կառավարության</w:t>
      </w:r>
      <w:r w:rsidRPr="00AC67B2">
        <w:rPr>
          <w:lang w:val="hy-AM"/>
        </w:rPr>
        <w:t xml:space="preserve"> </w:t>
      </w:r>
      <w:r w:rsidRPr="00AC67B2">
        <w:rPr>
          <w:rFonts w:cs="Times Unicode"/>
          <w:lang w:val="hy-AM"/>
        </w:rPr>
        <w:t>պարտքի</w:t>
      </w:r>
      <w:r w:rsidRPr="00AC67B2">
        <w:rPr>
          <w:lang w:val="hy-AM"/>
        </w:rPr>
        <w:t xml:space="preserve"> </w:t>
      </w:r>
      <w:r w:rsidRPr="00AC67B2">
        <w:rPr>
          <w:rFonts w:cs="Times Unicode"/>
          <w:lang w:val="hy-AM"/>
        </w:rPr>
        <w:t>կառավարման այնպիսի սահմանափակումներ, ինչպիսիք են ներքին շուկայի կարողությունը կամ արտաքին վարկերից օգտվելու հնարավորությունները:</w:t>
      </w:r>
    </w:p>
    <w:p w14:paraId="05D81A04" w14:textId="77777777" w:rsidR="00F1465E" w:rsidRPr="00AC67B2" w:rsidRDefault="00F1465E" w:rsidP="009A7904">
      <w:pPr>
        <w:spacing w:line="276" w:lineRule="auto"/>
        <w:ind w:firstLine="720"/>
        <w:rPr>
          <w:rFonts w:cs="Times Unicode"/>
          <w:b/>
          <w:lang w:val="hy-AM"/>
        </w:rPr>
      </w:pPr>
      <w:r w:rsidRPr="00AC67B2">
        <w:rPr>
          <w:lang w:val="hy-AM"/>
        </w:rPr>
        <w:t xml:space="preserve">Ընդհանուր առմամբ, </w:t>
      </w:r>
      <w:r w:rsidRPr="00AC67B2">
        <w:rPr>
          <w:rFonts w:cs="Times Unicode"/>
          <w:lang w:val="hy-AM"/>
        </w:rPr>
        <w:t>ՀՀ</w:t>
      </w:r>
      <w:r w:rsidRPr="00AC67B2">
        <w:rPr>
          <w:lang w:val="hy-AM"/>
        </w:rPr>
        <w:t xml:space="preserve"> </w:t>
      </w:r>
      <w:r w:rsidRPr="00AC67B2">
        <w:rPr>
          <w:rFonts w:cs="Times Unicode"/>
          <w:lang w:val="hy-AM"/>
        </w:rPr>
        <w:t>կառավարության</w:t>
      </w:r>
      <w:r w:rsidRPr="00AC67B2">
        <w:rPr>
          <w:lang w:val="hy-AM"/>
        </w:rPr>
        <w:t xml:space="preserve"> </w:t>
      </w:r>
      <w:r w:rsidRPr="00AC67B2">
        <w:rPr>
          <w:rFonts w:cs="Times Unicode"/>
          <w:lang w:val="hy-AM"/>
        </w:rPr>
        <w:t>պարտքի</w:t>
      </w:r>
      <w:r w:rsidRPr="00AC67B2">
        <w:rPr>
          <w:lang w:val="hy-AM"/>
        </w:rPr>
        <w:t xml:space="preserve"> </w:t>
      </w:r>
      <w:r w:rsidRPr="00AC67B2">
        <w:rPr>
          <w:rFonts w:cs="Times Unicode"/>
          <w:lang w:val="hy-AM"/>
        </w:rPr>
        <w:t>կառավարման</w:t>
      </w:r>
      <w:r w:rsidRPr="00AC67B2">
        <w:rPr>
          <w:lang w:val="hy-AM"/>
        </w:rPr>
        <w:t xml:space="preserve"> </w:t>
      </w:r>
      <w:r w:rsidRPr="00AC67B2">
        <w:rPr>
          <w:rFonts w:cs="Times Unicode"/>
          <w:lang w:val="hy-AM"/>
        </w:rPr>
        <w:t>ռազմավարությունը</w:t>
      </w:r>
      <w:r w:rsidRPr="00AC67B2">
        <w:rPr>
          <w:lang w:val="hy-AM"/>
        </w:rPr>
        <w:t xml:space="preserve"> ներկայացնում է ծախսերի և ռիսկերի համադրման հնարավոր տարբերակներից նախընտրելին, որի ընտրության հիմքում ընկած է ընդունելի ծախսերով ֆինանսական կարիքի բավարարումը: </w:t>
      </w:r>
    </w:p>
    <w:p w14:paraId="4E6AAD3B" w14:textId="77777777" w:rsidR="00F1465E" w:rsidRPr="00AC67B2" w:rsidRDefault="00F1465E" w:rsidP="009A7904">
      <w:pPr>
        <w:tabs>
          <w:tab w:val="left" w:pos="993"/>
        </w:tabs>
        <w:spacing w:line="276" w:lineRule="auto"/>
        <w:rPr>
          <w:rFonts w:cs="Sylfaen"/>
          <w:b/>
          <w:lang w:val="hy-AM"/>
        </w:rPr>
      </w:pPr>
      <w:r w:rsidRPr="00AC67B2">
        <w:rPr>
          <w:rFonts w:cs="Times Unicode"/>
          <w:b/>
          <w:color w:val="FF0000"/>
          <w:lang w:val="hy-AM"/>
        </w:rPr>
        <w:br w:type="page"/>
      </w:r>
      <w:r w:rsidRPr="00AC67B2">
        <w:rPr>
          <w:rFonts w:cs="Sylfaen"/>
          <w:b/>
          <w:lang w:val="hy-AM"/>
        </w:rPr>
        <w:lastRenderedPageBreak/>
        <w:t>ՀՀ կառավարության պարտքի կառավարման ռազմավարության նպատակները և ընդգրկման շրջանակը</w:t>
      </w:r>
    </w:p>
    <w:p w14:paraId="6D8496AD" w14:textId="77777777" w:rsidR="00F1465E" w:rsidRPr="00C35116" w:rsidRDefault="00F1465E" w:rsidP="009A7904">
      <w:pPr>
        <w:spacing w:line="276" w:lineRule="auto"/>
        <w:ind w:firstLine="720"/>
        <w:rPr>
          <w:rFonts w:cs="Times Unicode"/>
          <w:lang w:val="hy-AM"/>
        </w:rPr>
      </w:pPr>
    </w:p>
    <w:p w14:paraId="129559AB" w14:textId="77777777" w:rsidR="00F1465E" w:rsidRPr="00AC67B2" w:rsidRDefault="00F1465E" w:rsidP="009A7904">
      <w:pPr>
        <w:spacing w:line="276" w:lineRule="auto"/>
        <w:ind w:firstLine="720"/>
        <w:rPr>
          <w:lang w:val="hy-AM"/>
        </w:rPr>
      </w:pPr>
      <w:r w:rsidRPr="00AC67B2">
        <w:rPr>
          <w:rFonts w:cs="Times Unicode"/>
          <w:lang w:val="hy-AM"/>
        </w:rPr>
        <w:t>ՀՀ</w:t>
      </w:r>
      <w:r w:rsidRPr="00AC67B2">
        <w:rPr>
          <w:lang w:val="hy-AM"/>
        </w:rPr>
        <w:t xml:space="preserve"> </w:t>
      </w:r>
      <w:r w:rsidRPr="00AC67B2">
        <w:rPr>
          <w:rFonts w:cs="Times Unicode"/>
          <w:lang w:val="hy-AM"/>
        </w:rPr>
        <w:t>կառավարության</w:t>
      </w:r>
      <w:r w:rsidRPr="00AC67B2">
        <w:rPr>
          <w:lang w:val="hy-AM"/>
        </w:rPr>
        <w:t xml:space="preserve"> </w:t>
      </w:r>
      <w:r w:rsidRPr="00AC67B2">
        <w:rPr>
          <w:rFonts w:cs="Times Unicode"/>
          <w:lang w:val="hy-AM"/>
        </w:rPr>
        <w:t>պարտքի</w:t>
      </w:r>
      <w:r w:rsidRPr="00AC67B2">
        <w:rPr>
          <w:lang w:val="hy-AM"/>
        </w:rPr>
        <w:t xml:space="preserve"> </w:t>
      </w:r>
      <w:r w:rsidRPr="00AC67B2">
        <w:rPr>
          <w:rFonts w:cs="Times Unicode"/>
          <w:lang w:val="hy-AM"/>
        </w:rPr>
        <w:t>կառավարման</w:t>
      </w:r>
      <w:r w:rsidRPr="00AC67B2">
        <w:rPr>
          <w:lang w:val="hy-AM"/>
        </w:rPr>
        <w:t xml:space="preserve"> </w:t>
      </w:r>
      <w:r w:rsidRPr="00AC67B2">
        <w:rPr>
          <w:rFonts w:cs="Times Unicode"/>
          <w:lang w:val="hy-AM"/>
        </w:rPr>
        <w:t>ռազմավարությունը</w:t>
      </w:r>
      <w:r w:rsidRPr="00AC67B2">
        <w:rPr>
          <w:lang w:val="hy-AM"/>
        </w:rPr>
        <w:t xml:space="preserve"> </w:t>
      </w:r>
      <w:r w:rsidRPr="00AC67B2">
        <w:rPr>
          <w:rFonts w:cs="Times Unicode"/>
          <w:lang w:val="hy-AM"/>
        </w:rPr>
        <w:t xml:space="preserve">մշակվում է </w:t>
      </w:r>
      <w:r w:rsidRPr="00AC67B2">
        <w:rPr>
          <w:lang w:val="hy-AM"/>
        </w:rPr>
        <w:t>2008</w:t>
      </w:r>
      <w:r w:rsidRPr="00AC67B2">
        <w:rPr>
          <w:rFonts w:cs="Times Unicode"/>
          <w:lang w:val="hy-AM"/>
        </w:rPr>
        <w:t>թ</w:t>
      </w:r>
      <w:r w:rsidRPr="00AC67B2">
        <w:rPr>
          <w:lang w:val="hy-AM"/>
        </w:rPr>
        <w:t xml:space="preserve">. </w:t>
      </w:r>
      <w:r w:rsidRPr="00AC67B2">
        <w:rPr>
          <w:rFonts w:cs="Times Unicode"/>
          <w:lang w:val="hy-AM"/>
        </w:rPr>
        <w:t>ընդունված</w:t>
      </w:r>
      <w:r w:rsidRPr="00AC67B2">
        <w:rPr>
          <w:lang w:val="hy-AM"/>
        </w:rPr>
        <w:t xml:space="preserve"> </w:t>
      </w:r>
      <w:r w:rsidRPr="00AC67B2">
        <w:rPr>
          <w:rFonts w:cs="Times Unicode"/>
          <w:lang w:val="hy-AM"/>
        </w:rPr>
        <w:t>«Պետական</w:t>
      </w:r>
      <w:r w:rsidRPr="00AC67B2">
        <w:rPr>
          <w:lang w:val="hy-AM"/>
        </w:rPr>
        <w:t xml:space="preserve"> </w:t>
      </w:r>
      <w:r w:rsidRPr="00AC67B2">
        <w:rPr>
          <w:rFonts w:cs="Times Unicode"/>
          <w:lang w:val="hy-AM"/>
        </w:rPr>
        <w:t>պարտքի</w:t>
      </w:r>
      <w:r w:rsidRPr="00AC67B2">
        <w:rPr>
          <w:lang w:val="hy-AM"/>
        </w:rPr>
        <w:t xml:space="preserve"> </w:t>
      </w:r>
      <w:r w:rsidRPr="00AC67B2">
        <w:rPr>
          <w:rFonts w:cs="Times Unicode"/>
          <w:lang w:val="hy-AM"/>
        </w:rPr>
        <w:t>մասին»</w:t>
      </w:r>
      <w:r w:rsidRPr="00AC67B2">
        <w:rPr>
          <w:lang w:val="hy-AM"/>
        </w:rPr>
        <w:t xml:space="preserve"> </w:t>
      </w:r>
      <w:r w:rsidRPr="00AC67B2">
        <w:rPr>
          <w:rFonts w:cs="Times Unicode"/>
          <w:lang w:val="hy-AM"/>
        </w:rPr>
        <w:t>Հայաստանի</w:t>
      </w:r>
      <w:r w:rsidRPr="00AC67B2">
        <w:rPr>
          <w:lang w:val="hy-AM"/>
        </w:rPr>
        <w:t xml:space="preserve"> </w:t>
      </w:r>
      <w:r w:rsidRPr="00AC67B2">
        <w:rPr>
          <w:rFonts w:cs="Times Unicode"/>
          <w:lang w:val="hy-AM"/>
        </w:rPr>
        <w:t>Հանրապետության</w:t>
      </w:r>
      <w:r w:rsidRPr="00AC67B2">
        <w:rPr>
          <w:lang w:val="hy-AM"/>
        </w:rPr>
        <w:t xml:space="preserve"> </w:t>
      </w:r>
      <w:r w:rsidRPr="00AC67B2">
        <w:rPr>
          <w:rFonts w:cs="Times Unicode"/>
          <w:lang w:val="hy-AM"/>
        </w:rPr>
        <w:t>օրենքի դրույթներին համապատասխան</w:t>
      </w:r>
      <w:r w:rsidRPr="00AC67B2">
        <w:rPr>
          <w:lang w:val="hy-AM"/>
        </w:rPr>
        <w:t xml:space="preserve">: </w:t>
      </w:r>
    </w:p>
    <w:p w14:paraId="069DC17A" w14:textId="77777777" w:rsidR="00F1465E" w:rsidRPr="00AC67B2" w:rsidDel="0018173E" w:rsidRDefault="00F1465E" w:rsidP="009A7904">
      <w:pPr>
        <w:spacing w:line="276" w:lineRule="auto"/>
        <w:ind w:firstLine="720"/>
        <w:rPr>
          <w:rFonts w:cs="Times Unicode"/>
          <w:lang w:val="hy-AM"/>
        </w:rPr>
      </w:pPr>
      <w:r w:rsidRPr="00AC67B2">
        <w:rPr>
          <w:rFonts w:cs="Times Unicode"/>
          <w:lang w:val="hy-AM"/>
        </w:rPr>
        <w:t>«Պետական պարտքի մասին» ՀՀ օրենքի համաձայն, ՀՀ կառավարության պարտքի կառավարման հիմնական նպատակը կառա</w:t>
      </w:r>
      <w:r w:rsidRPr="00AC67B2">
        <w:rPr>
          <w:rFonts w:cs="Times Unicode"/>
          <w:lang w:val="hy-AM"/>
        </w:rPr>
        <w:softHyphen/>
        <w:t>վարու</w:t>
      </w:r>
      <w:r w:rsidRPr="00AC67B2">
        <w:rPr>
          <w:rFonts w:cs="Times Unicode"/>
          <w:lang w:val="hy-AM"/>
        </w:rPr>
        <w:softHyphen/>
        <w:t>թյան ֆինանսական կարիքի բավարարման մշտական հնարավորության ապահովումն է` երկարաժամ</w:t>
      </w:r>
      <w:r w:rsidRPr="00AC67B2">
        <w:rPr>
          <w:rFonts w:cs="Times Unicode"/>
          <w:lang w:val="hy-AM"/>
        </w:rPr>
        <w:softHyphen/>
        <w:t xml:space="preserve">կետ հատվածում նվազեցնելով պարտքի սպասարկման մեծությունը: </w:t>
      </w:r>
      <w:r w:rsidRPr="0018173E">
        <w:rPr>
          <w:rFonts w:cs="Times Unicode"/>
          <w:lang w:val="hy-AM"/>
        </w:rPr>
        <w:t xml:space="preserve">Քանի որ </w:t>
      </w:r>
      <w:r w:rsidRPr="00AC67B2">
        <w:rPr>
          <w:rFonts w:cs="Times Unicode"/>
          <w:lang w:val="hy-AM"/>
        </w:rPr>
        <w:t>ՀՀ կառավարության պարտքի կառավարման հիմնական նպատակ</w:t>
      </w:r>
      <w:r w:rsidRPr="00A205DB">
        <w:rPr>
          <w:rFonts w:cs="Times Unicode"/>
          <w:lang w:val="hy-AM"/>
        </w:rPr>
        <w:t xml:space="preserve">ի երկրորդ հատվածը ենթադրում </w:t>
      </w:r>
      <w:r w:rsidRPr="0018173E">
        <w:rPr>
          <w:rFonts w:cs="Times Unicode"/>
          <w:lang w:val="hy-AM"/>
        </w:rPr>
        <w:t xml:space="preserve">է </w:t>
      </w:r>
      <w:r w:rsidRPr="00A205DB">
        <w:rPr>
          <w:rFonts w:cs="Times Unicode"/>
          <w:lang w:val="hy-AM"/>
        </w:rPr>
        <w:t xml:space="preserve">նաև </w:t>
      </w:r>
      <w:r w:rsidRPr="0018173E">
        <w:rPr>
          <w:rFonts w:cs="Times Unicode"/>
          <w:lang w:val="hy-AM"/>
        </w:rPr>
        <w:t xml:space="preserve">գնահատել այն հավանական ռիսկերը, որոնք կարող են </w:t>
      </w:r>
      <w:r w:rsidRPr="00A205DB">
        <w:rPr>
          <w:rFonts w:cs="Times Unicode"/>
          <w:lang w:val="hy-AM"/>
        </w:rPr>
        <w:t>ազդ</w:t>
      </w:r>
      <w:r w:rsidRPr="0018173E">
        <w:rPr>
          <w:rFonts w:cs="Times Unicode"/>
          <w:lang w:val="hy-AM"/>
        </w:rPr>
        <w:t>ել երկարաժամկետ կտրվածքով պարտքի սպասարկման կրճատման</w:t>
      </w:r>
      <w:r w:rsidRPr="00A205DB">
        <w:rPr>
          <w:rFonts w:cs="Times Unicode"/>
          <w:lang w:val="hy-AM"/>
        </w:rPr>
        <w:t xml:space="preserve"> վրա</w:t>
      </w:r>
      <w:r w:rsidRPr="0018173E">
        <w:rPr>
          <w:rFonts w:cs="Times Unicode"/>
          <w:lang w:val="hy-AM"/>
        </w:rPr>
        <w:t xml:space="preserve">, </w:t>
      </w:r>
      <w:r w:rsidRPr="00A205DB">
        <w:rPr>
          <w:rFonts w:cs="Times Unicode"/>
          <w:lang w:val="hy-AM"/>
        </w:rPr>
        <w:t xml:space="preserve">ապա այն </w:t>
      </w:r>
      <w:r w:rsidRPr="0018173E">
        <w:rPr>
          <w:rFonts w:cs="Times Unicode"/>
          <w:lang w:val="hy-AM"/>
        </w:rPr>
        <w:t>կար</w:t>
      </w:r>
      <w:r w:rsidRPr="00A205DB">
        <w:rPr>
          <w:rFonts w:cs="Times Unicode"/>
          <w:lang w:val="hy-AM"/>
        </w:rPr>
        <w:t xml:space="preserve">ելի </w:t>
      </w:r>
      <w:r w:rsidRPr="0018173E">
        <w:rPr>
          <w:rFonts w:cs="Times Unicode"/>
          <w:lang w:val="hy-AM"/>
        </w:rPr>
        <w:t>է վերա</w:t>
      </w:r>
      <w:r w:rsidRPr="00A205DB">
        <w:rPr>
          <w:rFonts w:cs="Times Unicode"/>
          <w:lang w:val="hy-AM"/>
        </w:rPr>
        <w:t>ձևակերպել`</w:t>
      </w:r>
      <w:r w:rsidRPr="0018173E">
        <w:rPr>
          <w:rFonts w:cs="Times Unicode"/>
          <w:lang w:val="hy-AM"/>
        </w:rPr>
        <w:t xml:space="preserve"> որպես պարտքի պորտֆ</w:t>
      </w:r>
      <w:r w:rsidRPr="00A205DB">
        <w:rPr>
          <w:rFonts w:cs="Times Unicode"/>
          <w:lang w:val="hy-AM"/>
        </w:rPr>
        <w:t>ելի</w:t>
      </w:r>
      <w:r w:rsidRPr="0018173E">
        <w:rPr>
          <w:rFonts w:cs="Times Unicode"/>
          <w:lang w:val="hy-AM"/>
        </w:rPr>
        <w:t xml:space="preserve"> </w:t>
      </w:r>
      <w:r w:rsidRPr="00A205DB">
        <w:rPr>
          <w:rFonts w:cs="Times Unicode"/>
          <w:lang w:val="hy-AM"/>
        </w:rPr>
        <w:t>այնպիսի</w:t>
      </w:r>
      <w:r w:rsidRPr="0018173E">
        <w:rPr>
          <w:rFonts w:cs="Times Unicode"/>
          <w:lang w:val="hy-AM"/>
        </w:rPr>
        <w:t xml:space="preserve"> կառուցվածքի </w:t>
      </w:r>
      <w:r w:rsidRPr="00A205DB">
        <w:rPr>
          <w:rFonts w:cs="Times Unicode"/>
          <w:lang w:val="hy-AM"/>
        </w:rPr>
        <w:t>ձևավորում</w:t>
      </w:r>
      <w:r w:rsidRPr="0018173E">
        <w:rPr>
          <w:rFonts w:cs="Times Unicode"/>
          <w:lang w:val="hy-AM"/>
        </w:rPr>
        <w:t>, որը</w:t>
      </w:r>
      <w:r w:rsidRPr="00A205DB">
        <w:rPr>
          <w:rFonts w:cs="Times Unicode"/>
          <w:lang w:val="hy-AM"/>
        </w:rPr>
        <w:t>,</w:t>
      </w:r>
      <w:r w:rsidRPr="0018173E">
        <w:rPr>
          <w:rFonts w:cs="Times Unicode"/>
          <w:lang w:val="hy-AM"/>
        </w:rPr>
        <w:t xml:space="preserve"> հաշվի առնելով ֆինանսական ռիսկերը</w:t>
      </w:r>
      <w:r w:rsidRPr="00A205DB">
        <w:rPr>
          <w:rFonts w:cs="Times Unicode"/>
          <w:lang w:val="hy-AM"/>
        </w:rPr>
        <w:t>,</w:t>
      </w:r>
      <w:r w:rsidRPr="0018173E">
        <w:rPr>
          <w:rFonts w:cs="Times Unicode"/>
          <w:lang w:val="hy-AM"/>
        </w:rPr>
        <w:t xml:space="preserve"> նվազագույնի է հասցնում կառավարության</w:t>
      </w:r>
      <w:r w:rsidRPr="003F3B54">
        <w:rPr>
          <w:rFonts w:cs="Times Unicode"/>
          <w:lang w:val="hy-AM"/>
        </w:rPr>
        <w:t xml:space="preserve"> կողմից փոխառություններ ներգրավելու</w:t>
      </w:r>
      <w:r w:rsidRPr="00A205DB">
        <w:rPr>
          <w:rFonts w:cs="Times Unicode"/>
          <w:lang w:val="hy-AM"/>
        </w:rPr>
        <w:t xml:space="preserve"> </w:t>
      </w:r>
      <w:r w:rsidRPr="0018173E">
        <w:rPr>
          <w:rFonts w:cs="Times Unicode"/>
          <w:lang w:val="hy-AM"/>
        </w:rPr>
        <w:t>ծախսերը</w:t>
      </w:r>
      <w:r w:rsidRPr="00A205DB">
        <w:rPr>
          <w:rFonts w:cs="Times Unicode"/>
          <w:lang w:val="hy-AM"/>
        </w:rPr>
        <w:t xml:space="preserve">: </w:t>
      </w:r>
    </w:p>
    <w:p w14:paraId="6D141C51" w14:textId="77777777" w:rsidR="00F1465E" w:rsidRPr="00AC67B2" w:rsidRDefault="00F1465E" w:rsidP="009A7904">
      <w:pPr>
        <w:spacing w:line="276" w:lineRule="auto"/>
        <w:ind w:firstLine="720"/>
        <w:rPr>
          <w:rFonts w:cs="Times Unicode"/>
          <w:lang w:val="hy-AM"/>
        </w:rPr>
      </w:pPr>
      <w:r w:rsidRPr="00AC67B2">
        <w:rPr>
          <w:rFonts w:cs="Times Unicode"/>
          <w:lang w:val="hy-AM"/>
        </w:rPr>
        <w:t xml:space="preserve">«Պետական պարտքի մասին» ՀՀ օրենքով սահմանվել են նաև պետական պարտքի ներգրավման </w:t>
      </w:r>
      <w:r w:rsidRPr="00A205DB">
        <w:rPr>
          <w:rFonts w:cs="Times Unicode"/>
          <w:lang w:val="hy-AM"/>
        </w:rPr>
        <w:t xml:space="preserve">այնպիսի </w:t>
      </w:r>
      <w:r w:rsidRPr="00AC67B2">
        <w:rPr>
          <w:rFonts w:cs="Times Unicode"/>
          <w:lang w:val="hy-AM"/>
        </w:rPr>
        <w:t>նպատակներ</w:t>
      </w:r>
      <w:r w:rsidRPr="00A205DB">
        <w:rPr>
          <w:rFonts w:cs="Times Unicode"/>
          <w:lang w:val="hy-AM"/>
        </w:rPr>
        <w:t xml:space="preserve">, ինչպիսիք են </w:t>
      </w:r>
      <w:r w:rsidRPr="00AC67B2">
        <w:rPr>
          <w:rFonts w:cs="Times Unicode"/>
          <w:lang w:val="hy-AM"/>
        </w:rPr>
        <w:t>պետական բյուջեի դեֆիցիտի ֆինանսավորումը և ընթացիկ իրացվելիության ապահովումը,</w:t>
      </w:r>
      <w:r w:rsidRPr="00A205DB">
        <w:rPr>
          <w:rFonts w:cs="Times Unicode"/>
          <w:lang w:val="hy-AM"/>
        </w:rPr>
        <w:t xml:space="preserve"> </w:t>
      </w:r>
      <w:r w:rsidRPr="00AC67B2">
        <w:rPr>
          <w:rFonts w:cs="Times Unicode"/>
          <w:lang w:val="hy-AM"/>
        </w:rPr>
        <w:t>ներքին պետական պարտքի շուկայի պահպանումը և զարգացումը:</w:t>
      </w:r>
    </w:p>
    <w:p w14:paraId="378F35B4" w14:textId="77777777" w:rsidR="009A7904" w:rsidRDefault="00F1465E" w:rsidP="009A7904">
      <w:pPr>
        <w:spacing w:line="276" w:lineRule="auto"/>
        <w:ind w:firstLine="720"/>
        <w:rPr>
          <w:rFonts w:cs="Times Unicode"/>
          <w:lang w:val="hy-AM"/>
        </w:rPr>
      </w:pPr>
      <w:r w:rsidRPr="00AC67B2">
        <w:rPr>
          <w:rFonts w:cs="Times Unicode"/>
          <w:lang w:val="hy-AM"/>
        </w:rPr>
        <w:t>ՀՀ</w:t>
      </w:r>
      <w:r w:rsidRPr="00AC67B2">
        <w:rPr>
          <w:lang w:val="hy-AM"/>
        </w:rPr>
        <w:t xml:space="preserve"> </w:t>
      </w:r>
      <w:r w:rsidRPr="00AC67B2">
        <w:rPr>
          <w:rFonts w:cs="Times Unicode"/>
          <w:lang w:val="hy-AM"/>
        </w:rPr>
        <w:t>կառավարության</w:t>
      </w:r>
      <w:r w:rsidRPr="00AC67B2">
        <w:rPr>
          <w:lang w:val="hy-AM"/>
        </w:rPr>
        <w:t xml:space="preserve"> </w:t>
      </w:r>
      <w:r w:rsidRPr="00AC67B2">
        <w:rPr>
          <w:rFonts w:cs="Times Unicode"/>
          <w:lang w:val="hy-AM"/>
        </w:rPr>
        <w:t>պարտքի</w:t>
      </w:r>
      <w:r w:rsidRPr="00AC67B2">
        <w:rPr>
          <w:lang w:val="hy-AM"/>
        </w:rPr>
        <w:t xml:space="preserve"> </w:t>
      </w:r>
      <w:r w:rsidRPr="00AC67B2">
        <w:rPr>
          <w:rFonts w:cs="Times Unicode"/>
          <w:lang w:val="hy-AM"/>
        </w:rPr>
        <w:t>կառավարման ռազմավարությունն ընդգրկում է միայն ՀՀ կառավարության պարտքը (ներառյալ ՀՀ կառավարության կողմից տրամադրված երաշխիքները), և կատարված վերլուծությունները չեն ներառում ՀՀ կենտրոնական բանկի արտաքին պարտքը: Վերջինս ստանձնվում է ՀՀ կենտրոնական բանկի անունից և կողմից: Ավելին, «Պետական պարտքի մասին» ՀՀ օրենքի համաձայն Կենտրոնական բանկի պարտքի կառավարման նպատակները սահմանվում են «ՀՀ կենտրոնական բանկի մասին» ՀՀ օրենքով:</w:t>
      </w:r>
    </w:p>
    <w:p w14:paraId="0C0C11FC" w14:textId="77777777" w:rsidR="009A7904" w:rsidRDefault="009A7904" w:rsidP="009A7904">
      <w:pPr>
        <w:spacing w:line="276" w:lineRule="auto"/>
        <w:ind w:firstLine="720"/>
        <w:rPr>
          <w:rFonts w:cs="Times Unicode"/>
          <w:lang w:val="hy-AM"/>
        </w:rPr>
      </w:pPr>
    </w:p>
    <w:p w14:paraId="461AB0FC" w14:textId="77777777" w:rsidR="00F1465E" w:rsidRPr="00C35116" w:rsidRDefault="00F1465E" w:rsidP="009A7904">
      <w:pPr>
        <w:spacing w:line="276" w:lineRule="auto"/>
        <w:ind w:firstLine="720"/>
        <w:rPr>
          <w:rFonts w:cs="Sylfaen"/>
          <w:b/>
          <w:lang w:val="hy-AM"/>
        </w:rPr>
      </w:pPr>
      <w:r w:rsidRPr="00AC67B2">
        <w:rPr>
          <w:rFonts w:cs="Sylfaen"/>
          <w:b/>
          <w:lang w:val="hy-AM"/>
        </w:rPr>
        <w:t>ՀՀ կառավարության պարտքի կառավարման ոլորտում 201</w:t>
      </w:r>
      <w:r w:rsidRPr="00A205DB">
        <w:rPr>
          <w:rFonts w:cs="Sylfaen"/>
          <w:b/>
          <w:lang w:val="hy-AM"/>
        </w:rPr>
        <w:t>9</w:t>
      </w:r>
      <w:r w:rsidRPr="00AC67B2">
        <w:rPr>
          <w:rFonts w:cs="Sylfaen"/>
          <w:b/>
          <w:lang w:val="hy-AM"/>
        </w:rPr>
        <w:t>թ. տարեսկզբից արձանագրված զարգացումները</w:t>
      </w:r>
    </w:p>
    <w:p w14:paraId="0904957B" w14:textId="77777777" w:rsidR="00F1465E" w:rsidRPr="00C35116" w:rsidRDefault="00F1465E" w:rsidP="009A7904">
      <w:pPr>
        <w:spacing w:line="276" w:lineRule="auto"/>
        <w:rPr>
          <w:rFonts w:cs="Sylfaen"/>
          <w:b/>
          <w:lang w:val="hy-AM"/>
        </w:rPr>
      </w:pPr>
    </w:p>
    <w:p w14:paraId="0FE752AC" w14:textId="77777777" w:rsidR="00F1465E" w:rsidRPr="00AC67B2" w:rsidRDefault="00F1465E" w:rsidP="009A7904">
      <w:pPr>
        <w:numPr>
          <w:ilvl w:val="0"/>
          <w:numId w:val="10"/>
        </w:numPr>
        <w:spacing w:before="0" w:after="100" w:afterAutospacing="1" w:line="276" w:lineRule="auto"/>
        <w:ind w:left="357" w:hanging="357"/>
        <w:rPr>
          <w:rFonts w:cs="Times Unicode"/>
          <w:lang w:val="hy-AM"/>
        </w:rPr>
      </w:pPr>
      <w:r w:rsidRPr="00AC67B2">
        <w:rPr>
          <w:rFonts w:cs="Times Unicode"/>
          <w:lang w:val="hy-AM"/>
        </w:rPr>
        <w:t>201</w:t>
      </w:r>
      <w:r w:rsidRPr="00A205DB">
        <w:rPr>
          <w:rFonts w:cs="Times Unicode"/>
          <w:lang w:val="hy-AM"/>
        </w:rPr>
        <w:t>9</w:t>
      </w:r>
      <w:r w:rsidRPr="00AC67B2">
        <w:rPr>
          <w:rFonts w:cs="Times Unicode"/>
          <w:lang w:val="hy-AM"/>
        </w:rPr>
        <w:t>թ. տարե</w:t>
      </w:r>
      <w:r w:rsidRPr="00AC67B2">
        <w:rPr>
          <w:rFonts w:cs="Times Unicode"/>
          <w:lang w:val="hy-AM"/>
        </w:rPr>
        <w:softHyphen/>
        <w:t xml:space="preserve">վերջին ՀՀ կառավարության պարտք/ՀՆԱ ցուցանիշը կազմել է </w:t>
      </w:r>
      <w:r w:rsidRPr="00A205DB">
        <w:rPr>
          <w:rFonts w:cs="Times Unicode"/>
          <w:lang w:val="hy-AM"/>
        </w:rPr>
        <w:t>49</w:t>
      </w:r>
      <w:r w:rsidRPr="00AC67B2">
        <w:rPr>
          <w:rFonts w:cs="Times Unicode"/>
          <w:lang w:val="hy-AM"/>
        </w:rPr>
        <w:t>.</w:t>
      </w:r>
      <w:r w:rsidRPr="00A205DB">
        <w:rPr>
          <w:rFonts w:cs="Times Unicode"/>
          <w:lang w:val="hy-AM"/>
        </w:rPr>
        <w:t>9</w:t>
      </w:r>
      <w:r w:rsidRPr="00AC67B2">
        <w:rPr>
          <w:rFonts w:cs="Times Unicode"/>
          <w:lang w:val="hy-AM"/>
        </w:rPr>
        <w:t>%, որը պակաս է ծրագրային ցուցանիշից 2.</w:t>
      </w:r>
      <w:r w:rsidRPr="00A205DB">
        <w:rPr>
          <w:rFonts w:cs="Times Unicode"/>
          <w:lang w:val="hy-AM"/>
        </w:rPr>
        <w:t>3</w:t>
      </w:r>
      <w:r w:rsidRPr="00AC67B2">
        <w:rPr>
          <w:rFonts w:cs="Times Unicode"/>
          <w:lang w:val="hy-AM"/>
        </w:rPr>
        <w:t xml:space="preserve"> տոկոսային կետով</w:t>
      </w:r>
      <w:r w:rsidRPr="00A205DB">
        <w:rPr>
          <w:rFonts w:cs="Times Unicode"/>
          <w:lang w:val="hy-AM"/>
        </w:rPr>
        <w:t>: Այն նաև նվազել է հարկաբյուջետային կանոններով սահմանված 50% շեմային մակարդակից` անցում կատարելով 40% շեմային մակարդակն անցնելու սահմանափակումների ավելի մեղմ տիրույթ:</w:t>
      </w:r>
    </w:p>
    <w:p w14:paraId="385B52CC" w14:textId="77777777" w:rsidR="00F1465E" w:rsidRPr="009A7904" w:rsidRDefault="00F1465E" w:rsidP="009A7904">
      <w:pPr>
        <w:numPr>
          <w:ilvl w:val="0"/>
          <w:numId w:val="10"/>
        </w:numPr>
        <w:spacing w:before="0" w:after="0" w:line="276" w:lineRule="auto"/>
        <w:ind w:left="357" w:hanging="357"/>
        <w:rPr>
          <w:sz w:val="20"/>
          <w:szCs w:val="20"/>
          <w:lang w:val="hy-AM"/>
        </w:rPr>
      </w:pPr>
      <w:r w:rsidRPr="00AC67B2">
        <w:rPr>
          <w:lang w:val="hy-AM"/>
        </w:rPr>
        <w:t>ՀՀ կառավարության պարտքի կառավարման արդյունքում 20</w:t>
      </w:r>
      <w:r w:rsidRPr="00A205DB">
        <w:rPr>
          <w:lang w:val="hy-AM"/>
        </w:rPr>
        <w:t>20</w:t>
      </w:r>
      <w:r w:rsidRPr="00AC67B2">
        <w:rPr>
          <w:lang w:val="hy-AM"/>
        </w:rPr>
        <w:t>-202</w:t>
      </w:r>
      <w:r w:rsidRPr="00A205DB">
        <w:rPr>
          <w:lang w:val="hy-AM"/>
        </w:rPr>
        <w:t>2</w:t>
      </w:r>
      <w:r w:rsidRPr="00AC67B2">
        <w:rPr>
          <w:lang w:val="hy-AM"/>
        </w:rPr>
        <w:t xml:space="preserve">թթ. ռազմավարական ծրագրով սահմանված </w:t>
      </w:r>
      <w:r w:rsidRPr="00A205DB">
        <w:rPr>
          <w:lang w:val="hy-AM"/>
        </w:rPr>
        <w:t xml:space="preserve">բոլոր </w:t>
      </w:r>
      <w:r w:rsidRPr="00AC67B2">
        <w:rPr>
          <w:lang w:val="hy-AM"/>
        </w:rPr>
        <w:t xml:space="preserve">ուղենշային ցուցանիշները գտնվել են նախանշված միջակայքերում. </w:t>
      </w:r>
    </w:p>
    <w:p w14:paraId="22842C6F" w14:textId="77777777" w:rsidR="009A7904" w:rsidRPr="00AC67B2" w:rsidRDefault="009A7904" w:rsidP="009A7904">
      <w:pPr>
        <w:spacing w:before="0" w:after="0" w:line="276" w:lineRule="auto"/>
        <w:ind w:left="357" w:firstLine="0"/>
        <w:rPr>
          <w:sz w:val="20"/>
          <w:szCs w:val="20"/>
          <w:lang w:val="hy-A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9"/>
        <w:gridCol w:w="2325"/>
        <w:gridCol w:w="2127"/>
      </w:tblGrid>
      <w:tr w:rsidR="00F1465E" w:rsidRPr="00BA003B" w14:paraId="5CCF29DA" w14:textId="77777777" w:rsidTr="00231073">
        <w:trPr>
          <w:tblHeader/>
          <w:jc w:val="center"/>
        </w:trPr>
        <w:tc>
          <w:tcPr>
            <w:tcW w:w="5669" w:type="dxa"/>
            <w:tcBorders>
              <w:top w:val="thinThickThinSmallGap" w:sz="24" w:space="0" w:color="auto"/>
              <w:left w:val="nil"/>
              <w:bottom w:val="thinThickSmallGap" w:sz="24" w:space="0" w:color="auto"/>
              <w:right w:val="nil"/>
            </w:tcBorders>
            <w:shd w:val="clear" w:color="auto" w:fill="0B70B5"/>
          </w:tcPr>
          <w:p w14:paraId="43A96D60" w14:textId="77777777" w:rsidR="00F1465E" w:rsidRPr="00C35116" w:rsidRDefault="00F1465E" w:rsidP="00231073">
            <w:pPr>
              <w:spacing w:before="0" w:after="0" w:line="240" w:lineRule="auto"/>
              <w:rPr>
                <w:b/>
                <w:color w:val="FFFFFF" w:themeColor="background1"/>
                <w:sz w:val="20"/>
                <w:szCs w:val="20"/>
                <w:lang w:val="hy-AM"/>
              </w:rPr>
            </w:pPr>
          </w:p>
        </w:tc>
        <w:tc>
          <w:tcPr>
            <w:tcW w:w="2325" w:type="dxa"/>
            <w:tcBorders>
              <w:top w:val="thinThickThinSmallGap" w:sz="24" w:space="0" w:color="auto"/>
              <w:left w:val="nil"/>
              <w:bottom w:val="thinThickSmallGap" w:sz="24" w:space="0" w:color="auto"/>
              <w:right w:val="nil"/>
            </w:tcBorders>
            <w:shd w:val="clear" w:color="auto" w:fill="0B70B5"/>
            <w:vAlign w:val="center"/>
          </w:tcPr>
          <w:p w14:paraId="55D5C78D" w14:textId="77777777" w:rsidR="00F1465E" w:rsidRPr="00C35116" w:rsidRDefault="00F1465E" w:rsidP="00231073">
            <w:pPr>
              <w:spacing w:before="0" w:after="0" w:line="240" w:lineRule="auto"/>
              <w:jc w:val="center"/>
              <w:rPr>
                <w:b/>
                <w:color w:val="FFFFFF" w:themeColor="background1"/>
                <w:sz w:val="20"/>
                <w:szCs w:val="20"/>
                <w:lang w:val="hy-AM"/>
              </w:rPr>
            </w:pPr>
            <w:r w:rsidRPr="00C35116">
              <w:rPr>
                <w:rFonts w:cs="Times Unicode"/>
                <w:b/>
                <w:color w:val="FFFFFF" w:themeColor="background1"/>
                <w:sz w:val="20"/>
                <w:szCs w:val="20"/>
                <w:lang w:val="hy-AM"/>
              </w:rPr>
              <w:t>Ուղենիշ</w:t>
            </w:r>
          </w:p>
        </w:tc>
        <w:tc>
          <w:tcPr>
            <w:tcW w:w="2127" w:type="dxa"/>
            <w:tcBorders>
              <w:top w:val="thinThickThinSmallGap" w:sz="24" w:space="0" w:color="auto"/>
              <w:left w:val="nil"/>
              <w:bottom w:val="thinThickSmallGap" w:sz="24" w:space="0" w:color="auto"/>
              <w:right w:val="nil"/>
            </w:tcBorders>
            <w:shd w:val="clear" w:color="auto" w:fill="0B70B5"/>
          </w:tcPr>
          <w:p w14:paraId="05555799" w14:textId="77777777" w:rsidR="00F1465E" w:rsidRPr="00C35116" w:rsidRDefault="00F1465E" w:rsidP="00231073">
            <w:pPr>
              <w:spacing w:before="0" w:after="0" w:line="240" w:lineRule="auto"/>
              <w:jc w:val="center"/>
              <w:rPr>
                <w:rFonts w:cs="Times Unicode"/>
                <w:b/>
                <w:color w:val="FFFFFF" w:themeColor="background1"/>
                <w:sz w:val="20"/>
                <w:szCs w:val="20"/>
                <w:lang w:val="hy-AM"/>
              </w:rPr>
            </w:pPr>
            <w:r w:rsidRPr="00C35116">
              <w:rPr>
                <w:rFonts w:cs="Times Unicode"/>
                <w:b/>
                <w:color w:val="FFFFFF" w:themeColor="background1"/>
                <w:sz w:val="20"/>
                <w:szCs w:val="20"/>
                <w:lang w:val="hy-AM"/>
              </w:rPr>
              <w:t>31.12.201</w:t>
            </w:r>
            <w:r w:rsidRPr="00C35116">
              <w:rPr>
                <w:rFonts w:cs="Times Unicode"/>
                <w:b/>
                <w:color w:val="FFFFFF" w:themeColor="background1"/>
                <w:sz w:val="20"/>
                <w:szCs w:val="20"/>
              </w:rPr>
              <w:t>9</w:t>
            </w:r>
            <w:r w:rsidRPr="00C35116">
              <w:rPr>
                <w:rFonts w:cs="Times Unicode"/>
                <w:b/>
                <w:color w:val="FFFFFF" w:themeColor="background1"/>
                <w:sz w:val="20"/>
                <w:szCs w:val="20"/>
                <w:lang w:val="hy-AM"/>
              </w:rPr>
              <w:t>թ.</w:t>
            </w:r>
          </w:p>
          <w:p w14:paraId="360E4739" w14:textId="77777777" w:rsidR="00F1465E" w:rsidRPr="00C35116" w:rsidRDefault="00F1465E" w:rsidP="00231073">
            <w:pPr>
              <w:spacing w:before="0" w:after="0" w:line="240" w:lineRule="auto"/>
              <w:jc w:val="center"/>
              <w:rPr>
                <w:rFonts w:cs="Times Unicode"/>
                <w:b/>
                <w:color w:val="FFFFFF" w:themeColor="background1"/>
                <w:sz w:val="20"/>
                <w:szCs w:val="20"/>
                <w:lang w:val="hy-AM"/>
              </w:rPr>
            </w:pPr>
            <w:r w:rsidRPr="00C35116">
              <w:rPr>
                <w:rFonts w:cs="Times Unicode"/>
                <w:b/>
                <w:color w:val="FFFFFF" w:themeColor="background1"/>
                <w:sz w:val="20"/>
                <w:szCs w:val="20"/>
                <w:lang w:val="hy-AM"/>
              </w:rPr>
              <w:t>փաստ</w:t>
            </w:r>
          </w:p>
        </w:tc>
      </w:tr>
      <w:tr w:rsidR="00F1465E" w:rsidRPr="00AC67B2" w14:paraId="215B83F4" w14:textId="77777777" w:rsidTr="00231073">
        <w:trPr>
          <w:jc w:val="center"/>
        </w:trPr>
        <w:tc>
          <w:tcPr>
            <w:tcW w:w="5669" w:type="dxa"/>
            <w:tcBorders>
              <w:top w:val="thinThickSmallGap" w:sz="24" w:space="0" w:color="auto"/>
              <w:left w:val="nil"/>
              <w:right w:val="nil"/>
            </w:tcBorders>
          </w:tcPr>
          <w:p w14:paraId="1285695D" w14:textId="77777777" w:rsidR="00F1465E" w:rsidRPr="00AC67B2" w:rsidRDefault="00F1465E" w:rsidP="00231073">
            <w:pPr>
              <w:spacing w:before="0" w:after="0" w:line="240" w:lineRule="auto"/>
              <w:ind w:firstLine="60"/>
              <w:rPr>
                <w:rFonts w:cs="Times Unicode"/>
                <w:b/>
                <w:sz w:val="20"/>
                <w:szCs w:val="20"/>
                <w:lang w:val="hy-AM"/>
              </w:rPr>
            </w:pPr>
            <w:r w:rsidRPr="00AC67B2">
              <w:rPr>
                <w:rFonts w:cs="Times Unicode"/>
                <w:b/>
                <w:sz w:val="20"/>
                <w:szCs w:val="20"/>
                <w:lang w:val="hy-AM"/>
              </w:rPr>
              <w:t>Վերաֆինանսավորման ռիսկ</w:t>
            </w:r>
          </w:p>
        </w:tc>
        <w:tc>
          <w:tcPr>
            <w:tcW w:w="2325" w:type="dxa"/>
            <w:tcBorders>
              <w:top w:val="thinThickSmallGap" w:sz="24" w:space="0" w:color="auto"/>
              <w:left w:val="nil"/>
              <w:right w:val="nil"/>
            </w:tcBorders>
            <w:vAlign w:val="center"/>
          </w:tcPr>
          <w:p w14:paraId="2327CE1B" w14:textId="77777777" w:rsidR="00F1465E" w:rsidRPr="00AC67B2" w:rsidRDefault="00F1465E" w:rsidP="00231073">
            <w:pPr>
              <w:spacing w:line="240" w:lineRule="auto"/>
              <w:jc w:val="center"/>
              <w:rPr>
                <w:sz w:val="20"/>
                <w:szCs w:val="20"/>
                <w:lang w:val="hy-AM"/>
              </w:rPr>
            </w:pPr>
          </w:p>
        </w:tc>
        <w:tc>
          <w:tcPr>
            <w:tcW w:w="2127" w:type="dxa"/>
            <w:tcBorders>
              <w:top w:val="thinThickSmallGap" w:sz="24" w:space="0" w:color="auto"/>
              <w:left w:val="nil"/>
              <w:right w:val="nil"/>
            </w:tcBorders>
          </w:tcPr>
          <w:p w14:paraId="491AB9ED" w14:textId="77777777" w:rsidR="00F1465E" w:rsidRPr="00AC67B2" w:rsidRDefault="00F1465E" w:rsidP="00231073">
            <w:pPr>
              <w:spacing w:line="240" w:lineRule="auto"/>
              <w:jc w:val="center"/>
              <w:rPr>
                <w:sz w:val="20"/>
                <w:szCs w:val="20"/>
                <w:lang w:val="hy-AM"/>
              </w:rPr>
            </w:pPr>
          </w:p>
        </w:tc>
      </w:tr>
      <w:tr w:rsidR="00F1465E" w:rsidRPr="00AC67B2" w14:paraId="5C8D92D6" w14:textId="77777777" w:rsidTr="00231073">
        <w:trPr>
          <w:jc w:val="center"/>
        </w:trPr>
        <w:tc>
          <w:tcPr>
            <w:tcW w:w="5669" w:type="dxa"/>
            <w:tcBorders>
              <w:left w:val="nil"/>
              <w:right w:val="nil"/>
            </w:tcBorders>
          </w:tcPr>
          <w:p w14:paraId="4EE1ECB9" w14:textId="77777777" w:rsidR="00F1465E" w:rsidRPr="00AC67B2" w:rsidRDefault="00F1465E" w:rsidP="00231073">
            <w:pPr>
              <w:spacing w:before="0" w:after="0" w:line="240" w:lineRule="auto"/>
              <w:ind w:left="607" w:firstLine="60"/>
              <w:jc w:val="left"/>
              <w:rPr>
                <w:rFonts w:cs="Times Unicode"/>
                <w:sz w:val="20"/>
                <w:szCs w:val="20"/>
                <w:lang w:val="hy-AM"/>
              </w:rPr>
            </w:pPr>
            <w:r w:rsidRPr="00AC67B2">
              <w:rPr>
                <w:rFonts w:cs="Times Unicode"/>
                <w:sz w:val="20"/>
                <w:szCs w:val="20"/>
                <w:lang w:val="hy-AM"/>
              </w:rPr>
              <w:t xml:space="preserve">Մինչև մարում միջին ժամկետը </w:t>
            </w:r>
          </w:p>
        </w:tc>
        <w:tc>
          <w:tcPr>
            <w:tcW w:w="2325" w:type="dxa"/>
            <w:tcBorders>
              <w:left w:val="nil"/>
              <w:right w:val="nil"/>
            </w:tcBorders>
            <w:vAlign w:val="center"/>
          </w:tcPr>
          <w:p w14:paraId="4C43612E" w14:textId="77777777" w:rsidR="00F1465E" w:rsidRPr="00AC67B2" w:rsidRDefault="00F1465E" w:rsidP="00231073">
            <w:pPr>
              <w:spacing w:before="0" w:after="0" w:line="240" w:lineRule="auto"/>
              <w:jc w:val="center"/>
              <w:rPr>
                <w:sz w:val="20"/>
                <w:szCs w:val="20"/>
                <w:lang w:val="hy-AM"/>
              </w:rPr>
            </w:pPr>
            <w:r w:rsidRPr="00AC67B2">
              <w:rPr>
                <w:sz w:val="20"/>
                <w:szCs w:val="20"/>
                <w:lang w:val="hy-AM"/>
              </w:rPr>
              <w:t>8 – 11 տարի</w:t>
            </w:r>
          </w:p>
        </w:tc>
        <w:tc>
          <w:tcPr>
            <w:tcW w:w="2127" w:type="dxa"/>
            <w:tcBorders>
              <w:left w:val="nil"/>
              <w:right w:val="nil"/>
            </w:tcBorders>
            <w:vAlign w:val="center"/>
          </w:tcPr>
          <w:p w14:paraId="4FF3F1BC" w14:textId="77777777" w:rsidR="00F1465E" w:rsidRPr="00AC67B2" w:rsidRDefault="00F1465E" w:rsidP="00231073">
            <w:pPr>
              <w:spacing w:before="0" w:after="0" w:line="240" w:lineRule="auto"/>
              <w:jc w:val="center"/>
              <w:rPr>
                <w:sz w:val="20"/>
                <w:szCs w:val="20"/>
                <w:lang w:val="hy-AM"/>
              </w:rPr>
            </w:pPr>
            <w:r>
              <w:rPr>
                <w:sz w:val="20"/>
                <w:szCs w:val="20"/>
              </w:rPr>
              <w:t>9.1</w:t>
            </w:r>
            <w:r w:rsidRPr="00AC67B2">
              <w:rPr>
                <w:sz w:val="20"/>
                <w:szCs w:val="20"/>
                <w:lang w:val="hy-AM"/>
              </w:rPr>
              <w:t xml:space="preserve"> տարի</w:t>
            </w:r>
          </w:p>
        </w:tc>
      </w:tr>
      <w:tr w:rsidR="00F1465E" w:rsidRPr="00AC67B2" w14:paraId="497925CC" w14:textId="77777777" w:rsidTr="00231073">
        <w:trPr>
          <w:jc w:val="center"/>
        </w:trPr>
        <w:tc>
          <w:tcPr>
            <w:tcW w:w="5669" w:type="dxa"/>
            <w:tcBorders>
              <w:left w:val="nil"/>
              <w:right w:val="nil"/>
            </w:tcBorders>
          </w:tcPr>
          <w:p w14:paraId="3E46F7E8" w14:textId="77777777" w:rsidR="00F1465E" w:rsidRPr="00AC67B2" w:rsidRDefault="00F1465E" w:rsidP="00231073">
            <w:pPr>
              <w:spacing w:before="0" w:after="0" w:line="240" w:lineRule="auto"/>
              <w:ind w:left="607" w:firstLine="60"/>
              <w:jc w:val="left"/>
              <w:rPr>
                <w:rFonts w:cs="Times Unicode"/>
                <w:sz w:val="20"/>
                <w:szCs w:val="20"/>
                <w:lang w:val="hy-AM"/>
              </w:rPr>
            </w:pPr>
            <w:r w:rsidRPr="00AC67B2">
              <w:rPr>
                <w:rFonts w:cs="Times Unicode"/>
                <w:sz w:val="20"/>
                <w:szCs w:val="20"/>
                <w:lang w:val="hy-AM"/>
              </w:rPr>
              <w:t>Առաջիկա տարվա ընթացքում մարվող պետական գանձապետական պարտատոմսերի (ՊԳՊ) կշիռը ՊԳՊ-երի ծավալի մեջ (տարեվերջին)</w:t>
            </w:r>
          </w:p>
        </w:tc>
        <w:tc>
          <w:tcPr>
            <w:tcW w:w="2325" w:type="dxa"/>
            <w:tcBorders>
              <w:left w:val="nil"/>
              <w:right w:val="nil"/>
            </w:tcBorders>
            <w:vAlign w:val="center"/>
          </w:tcPr>
          <w:p w14:paraId="43A142CB" w14:textId="77777777" w:rsidR="00F1465E" w:rsidRPr="00AC67B2" w:rsidRDefault="00F1465E" w:rsidP="00231073">
            <w:pPr>
              <w:spacing w:before="0" w:after="0" w:line="240" w:lineRule="auto"/>
              <w:jc w:val="center"/>
              <w:rPr>
                <w:sz w:val="20"/>
                <w:szCs w:val="20"/>
                <w:lang w:val="hy-AM"/>
              </w:rPr>
            </w:pPr>
            <w:r w:rsidRPr="00AC67B2">
              <w:rPr>
                <w:sz w:val="20"/>
                <w:szCs w:val="20"/>
                <w:lang w:val="hy-AM"/>
              </w:rPr>
              <w:t>առավելագույնը 20%</w:t>
            </w:r>
          </w:p>
        </w:tc>
        <w:tc>
          <w:tcPr>
            <w:tcW w:w="2127" w:type="dxa"/>
            <w:tcBorders>
              <w:left w:val="nil"/>
              <w:right w:val="nil"/>
            </w:tcBorders>
            <w:vAlign w:val="center"/>
          </w:tcPr>
          <w:p w14:paraId="1C8C327A" w14:textId="77777777" w:rsidR="00F1465E" w:rsidRPr="00AC67B2" w:rsidRDefault="00F1465E" w:rsidP="00231073">
            <w:pPr>
              <w:spacing w:before="0" w:after="0" w:line="240" w:lineRule="auto"/>
              <w:jc w:val="center"/>
              <w:rPr>
                <w:sz w:val="20"/>
                <w:szCs w:val="20"/>
                <w:lang w:val="hy-AM"/>
              </w:rPr>
            </w:pPr>
            <w:r>
              <w:rPr>
                <w:sz w:val="20"/>
                <w:szCs w:val="20"/>
              </w:rPr>
              <w:t>12.7</w:t>
            </w:r>
            <w:r w:rsidRPr="00AC67B2">
              <w:rPr>
                <w:sz w:val="20"/>
                <w:szCs w:val="20"/>
                <w:lang w:val="hy-AM"/>
              </w:rPr>
              <w:t xml:space="preserve"> %</w:t>
            </w:r>
          </w:p>
        </w:tc>
      </w:tr>
      <w:tr w:rsidR="00F1465E" w:rsidRPr="00AC67B2" w14:paraId="19F13E3F" w14:textId="77777777" w:rsidTr="00231073">
        <w:trPr>
          <w:jc w:val="center"/>
        </w:trPr>
        <w:tc>
          <w:tcPr>
            <w:tcW w:w="5669" w:type="dxa"/>
            <w:tcBorders>
              <w:left w:val="nil"/>
              <w:right w:val="nil"/>
            </w:tcBorders>
          </w:tcPr>
          <w:p w14:paraId="47ABD4C8" w14:textId="77777777" w:rsidR="00F1465E" w:rsidRPr="00AC67B2" w:rsidRDefault="00F1465E" w:rsidP="00231073">
            <w:pPr>
              <w:spacing w:before="0" w:after="0" w:line="240" w:lineRule="auto"/>
              <w:ind w:firstLine="60"/>
              <w:rPr>
                <w:rFonts w:cs="Times Unicode"/>
                <w:b/>
                <w:sz w:val="20"/>
                <w:szCs w:val="20"/>
                <w:lang w:val="hy-AM"/>
              </w:rPr>
            </w:pPr>
            <w:r w:rsidRPr="00AC67B2">
              <w:rPr>
                <w:rFonts w:cs="Times Unicode"/>
                <w:b/>
                <w:sz w:val="20"/>
                <w:szCs w:val="20"/>
                <w:lang w:val="hy-AM"/>
              </w:rPr>
              <w:t>Տոկոսադրույքի ռիսկ</w:t>
            </w:r>
          </w:p>
        </w:tc>
        <w:tc>
          <w:tcPr>
            <w:tcW w:w="2325" w:type="dxa"/>
            <w:tcBorders>
              <w:left w:val="nil"/>
              <w:right w:val="nil"/>
            </w:tcBorders>
            <w:vAlign w:val="center"/>
          </w:tcPr>
          <w:p w14:paraId="260ED60C" w14:textId="77777777" w:rsidR="00F1465E" w:rsidRPr="00AC67B2" w:rsidRDefault="00F1465E" w:rsidP="00231073">
            <w:pPr>
              <w:spacing w:before="0" w:after="0" w:line="240" w:lineRule="auto"/>
              <w:jc w:val="center"/>
              <w:rPr>
                <w:b/>
                <w:sz w:val="20"/>
                <w:szCs w:val="20"/>
                <w:lang w:val="hy-AM"/>
              </w:rPr>
            </w:pPr>
          </w:p>
        </w:tc>
        <w:tc>
          <w:tcPr>
            <w:tcW w:w="2127" w:type="dxa"/>
            <w:tcBorders>
              <w:left w:val="nil"/>
              <w:right w:val="nil"/>
            </w:tcBorders>
            <w:vAlign w:val="center"/>
          </w:tcPr>
          <w:p w14:paraId="22365896" w14:textId="77777777" w:rsidR="00F1465E" w:rsidRPr="00AC67B2" w:rsidRDefault="00F1465E" w:rsidP="00231073">
            <w:pPr>
              <w:spacing w:before="0" w:after="0" w:line="240" w:lineRule="auto"/>
              <w:jc w:val="center"/>
              <w:rPr>
                <w:sz w:val="20"/>
                <w:szCs w:val="20"/>
                <w:lang w:val="hy-AM"/>
              </w:rPr>
            </w:pPr>
          </w:p>
        </w:tc>
      </w:tr>
      <w:tr w:rsidR="00F1465E" w:rsidRPr="00AC67B2" w14:paraId="330BA9B9" w14:textId="77777777" w:rsidTr="00231073">
        <w:trPr>
          <w:jc w:val="center"/>
        </w:trPr>
        <w:tc>
          <w:tcPr>
            <w:tcW w:w="5669" w:type="dxa"/>
            <w:tcBorders>
              <w:left w:val="nil"/>
              <w:right w:val="nil"/>
            </w:tcBorders>
          </w:tcPr>
          <w:p w14:paraId="56EDC2DD" w14:textId="77777777" w:rsidR="00F1465E" w:rsidRPr="00AC67B2" w:rsidRDefault="00F1465E" w:rsidP="00231073">
            <w:pPr>
              <w:spacing w:before="0" w:after="0" w:line="240" w:lineRule="auto"/>
              <w:ind w:left="607" w:firstLine="60"/>
              <w:jc w:val="left"/>
              <w:rPr>
                <w:rFonts w:cs="Times Unicode"/>
                <w:sz w:val="20"/>
                <w:szCs w:val="20"/>
                <w:lang w:val="hy-AM"/>
              </w:rPr>
            </w:pPr>
            <w:r w:rsidRPr="00AC67B2">
              <w:rPr>
                <w:rFonts w:cs="Times Unicode"/>
                <w:sz w:val="20"/>
                <w:szCs w:val="20"/>
                <w:lang w:val="hy-AM"/>
              </w:rPr>
              <w:t>Ֆիքսված տոկոսադրույքով պարտքի կշիռն ընդամենը պարտքի մեջ</w:t>
            </w:r>
          </w:p>
        </w:tc>
        <w:tc>
          <w:tcPr>
            <w:tcW w:w="2325" w:type="dxa"/>
            <w:tcBorders>
              <w:left w:val="nil"/>
              <w:right w:val="nil"/>
            </w:tcBorders>
            <w:vAlign w:val="center"/>
          </w:tcPr>
          <w:p w14:paraId="7A59792A" w14:textId="77777777" w:rsidR="00F1465E" w:rsidRPr="00AC67B2" w:rsidRDefault="00F1465E" w:rsidP="00231073">
            <w:pPr>
              <w:spacing w:before="0" w:after="0" w:line="240" w:lineRule="auto"/>
              <w:jc w:val="center"/>
              <w:rPr>
                <w:sz w:val="20"/>
                <w:szCs w:val="20"/>
                <w:lang w:val="hy-AM"/>
              </w:rPr>
            </w:pPr>
            <w:r w:rsidRPr="00AC67B2">
              <w:rPr>
                <w:sz w:val="20"/>
                <w:szCs w:val="20"/>
                <w:lang w:val="hy-AM"/>
              </w:rPr>
              <w:t>առնվազն 80%</w:t>
            </w:r>
          </w:p>
        </w:tc>
        <w:tc>
          <w:tcPr>
            <w:tcW w:w="2127" w:type="dxa"/>
            <w:tcBorders>
              <w:left w:val="nil"/>
              <w:right w:val="nil"/>
            </w:tcBorders>
            <w:vAlign w:val="center"/>
          </w:tcPr>
          <w:p w14:paraId="558A3B24" w14:textId="77777777" w:rsidR="00F1465E" w:rsidRPr="00AC67B2" w:rsidRDefault="00F1465E" w:rsidP="00231073">
            <w:pPr>
              <w:spacing w:before="0" w:after="0" w:line="240" w:lineRule="auto"/>
              <w:jc w:val="center"/>
              <w:rPr>
                <w:sz w:val="20"/>
                <w:szCs w:val="20"/>
                <w:lang w:val="hy-AM"/>
              </w:rPr>
            </w:pPr>
            <w:r>
              <w:rPr>
                <w:sz w:val="20"/>
                <w:szCs w:val="20"/>
              </w:rPr>
              <w:t>83.8</w:t>
            </w:r>
            <w:r w:rsidRPr="00AC67B2">
              <w:rPr>
                <w:sz w:val="20"/>
                <w:szCs w:val="20"/>
                <w:lang w:val="hy-AM"/>
              </w:rPr>
              <w:t xml:space="preserve"> %</w:t>
            </w:r>
          </w:p>
        </w:tc>
      </w:tr>
      <w:tr w:rsidR="00F1465E" w:rsidRPr="00AC67B2" w14:paraId="4787BBE4" w14:textId="77777777" w:rsidTr="00231073">
        <w:trPr>
          <w:jc w:val="center"/>
        </w:trPr>
        <w:tc>
          <w:tcPr>
            <w:tcW w:w="5669" w:type="dxa"/>
            <w:tcBorders>
              <w:left w:val="nil"/>
              <w:right w:val="nil"/>
            </w:tcBorders>
          </w:tcPr>
          <w:p w14:paraId="617AE949" w14:textId="77777777" w:rsidR="00F1465E" w:rsidRPr="00AC67B2" w:rsidRDefault="00F1465E" w:rsidP="00231073">
            <w:pPr>
              <w:spacing w:before="0" w:after="0" w:line="240" w:lineRule="auto"/>
              <w:ind w:firstLine="60"/>
              <w:rPr>
                <w:rFonts w:cs="Times Unicode"/>
                <w:b/>
                <w:sz w:val="20"/>
                <w:szCs w:val="20"/>
                <w:lang w:val="hy-AM"/>
              </w:rPr>
            </w:pPr>
            <w:r w:rsidRPr="00AC67B2">
              <w:rPr>
                <w:rFonts w:cs="Times Unicode"/>
                <w:b/>
                <w:sz w:val="20"/>
                <w:szCs w:val="20"/>
                <w:lang w:val="hy-AM"/>
              </w:rPr>
              <w:t>Փոխարժեքի ռիսկ</w:t>
            </w:r>
          </w:p>
        </w:tc>
        <w:tc>
          <w:tcPr>
            <w:tcW w:w="2325" w:type="dxa"/>
            <w:tcBorders>
              <w:left w:val="nil"/>
              <w:right w:val="nil"/>
            </w:tcBorders>
            <w:vAlign w:val="center"/>
          </w:tcPr>
          <w:p w14:paraId="43546F82" w14:textId="77777777" w:rsidR="00F1465E" w:rsidRPr="00AC67B2" w:rsidRDefault="00F1465E" w:rsidP="00231073">
            <w:pPr>
              <w:spacing w:before="0" w:after="0" w:line="240" w:lineRule="auto"/>
              <w:jc w:val="center"/>
              <w:rPr>
                <w:b/>
                <w:sz w:val="20"/>
                <w:szCs w:val="20"/>
                <w:lang w:val="hy-AM"/>
              </w:rPr>
            </w:pPr>
          </w:p>
        </w:tc>
        <w:tc>
          <w:tcPr>
            <w:tcW w:w="2127" w:type="dxa"/>
            <w:tcBorders>
              <w:left w:val="nil"/>
              <w:right w:val="nil"/>
            </w:tcBorders>
            <w:vAlign w:val="center"/>
          </w:tcPr>
          <w:p w14:paraId="1946ADD6" w14:textId="77777777" w:rsidR="00F1465E" w:rsidRPr="00AC67B2" w:rsidRDefault="00F1465E" w:rsidP="00231073">
            <w:pPr>
              <w:spacing w:before="0" w:after="0" w:line="240" w:lineRule="auto"/>
              <w:jc w:val="center"/>
              <w:rPr>
                <w:sz w:val="20"/>
                <w:szCs w:val="20"/>
                <w:lang w:val="hy-AM"/>
              </w:rPr>
            </w:pPr>
          </w:p>
        </w:tc>
      </w:tr>
      <w:tr w:rsidR="00F1465E" w:rsidRPr="00AC67B2" w14:paraId="7A822889" w14:textId="77777777" w:rsidTr="00231073">
        <w:trPr>
          <w:jc w:val="center"/>
        </w:trPr>
        <w:tc>
          <w:tcPr>
            <w:tcW w:w="5669" w:type="dxa"/>
            <w:tcBorders>
              <w:left w:val="nil"/>
              <w:right w:val="nil"/>
            </w:tcBorders>
          </w:tcPr>
          <w:p w14:paraId="3D3FE8CE" w14:textId="77777777" w:rsidR="00F1465E" w:rsidRPr="00AC67B2" w:rsidRDefault="00F1465E" w:rsidP="00231073">
            <w:pPr>
              <w:spacing w:before="0" w:after="0" w:line="240" w:lineRule="auto"/>
              <w:ind w:firstLine="627"/>
              <w:jc w:val="left"/>
              <w:rPr>
                <w:rFonts w:cs="Times Unicode"/>
                <w:b/>
                <w:sz w:val="20"/>
                <w:szCs w:val="20"/>
                <w:lang w:val="hy-AM"/>
              </w:rPr>
            </w:pPr>
            <w:r w:rsidRPr="00AC67B2">
              <w:rPr>
                <w:rFonts w:cs="Times Unicode"/>
                <w:sz w:val="20"/>
                <w:szCs w:val="20"/>
                <w:lang w:val="hy-AM"/>
              </w:rPr>
              <w:t>Ներքին պարտքի կշիռն ընդամենը պարտքի մեջ</w:t>
            </w:r>
          </w:p>
        </w:tc>
        <w:tc>
          <w:tcPr>
            <w:tcW w:w="2325" w:type="dxa"/>
            <w:tcBorders>
              <w:left w:val="nil"/>
              <w:right w:val="nil"/>
            </w:tcBorders>
            <w:vAlign w:val="center"/>
          </w:tcPr>
          <w:p w14:paraId="57D2EB8B" w14:textId="77777777" w:rsidR="00F1465E" w:rsidRPr="00AC67B2" w:rsidRDefault="00F1465E" w:rsidP="00231073">
            <w:pPr>
              <w:spacing w:before="0" w:after="0" w:line="240" w:lineRule="auto"/>
              <w:jc w:val="center"/>
              <w:rPr>
                <w:b/>
                <w:sz w:val="20"/>
                <w:szCs w:val="20"/>
                <w:lang w:val="hy-AM"/>
              </w:rPr>
            </w:pPr>
            <w:r w:rsidRPr="00AC67B2">
              <w:rPr>
                <w:rFonts w:cs="Times Unicode"/>
                <w:sz w:val="20"/>
                <w:szCs w:val="20"/>
                <w:lang w:val="hy-AM"/>
              </w:rPr>
              <w:t>առնվազն 20%</w:t>
            </w:r>
          </w:p>
        </w:tc>
        <w:tc>
          <w:tcPr>
            <w:tcW w:w="2127" w:type="dxa"/>
            <w:tcBorders>
              <w:left w:val="nil"/>
              <w:right w:val="nil"/>
            </w:tcBorders>
            <w:vAlign w:val="center"/>
          </w:tcPr>
          <w:p w14:paraId="51A322FD" w14:textId="77777777" w:rsidR="00F1465E" w:rsidRPr="00AC67B2" w:rsidRDefault="00F1465E" w:rsidP="00231073">
            <w:pPr>
              <w:spacing w:before="0" w:after="0" w:line="240" w:lineRule="auto"/>
              <w:jc w:val="center"/>
              <w:rPr>
                <w:sz w:val="20"/>
                <w:szCs w:val="20"/>
                <w:lang w:val="hy-AM"/>
              </w:rPr>
            </w:pPr>
            <w:r>
              <w:rPr>
                <w:sz w:val="20"/>
                <w:szCs w:val="20"/>
              </w:rPr>
              <w:t>22.5</w:t>
            </w:r>
            <w:r w:rsidRPr="00AC67B2">
              <w:rPr>
                <w:sz w:val="20"/>
                <w:szCs w:val="20"/>
                <w:lang w:val="hy-AM"/>
              </w:rPr>
              <w:t xml:space="preserve"> %</w:t>
            </w:r>
          </w:p>
        </w:tc>
      </w:tr>
      <w:tr w:rsidR="00F1465E" w:rsidRPr="00AC67B2" w14:paraId="2D8FB13D" w14:textId="77777777" w:rsidTr="00231073">
        <w:trPr>
          <w:jc w:val="center"/>
        </w:trPr>
        <w:tc>
          <w:tcPr>
            <w:tcW w:w="5669" w:type="dxa"/>
            <w:tcBorders>
              <w:left w:val="nil"/>
              <w:bottom w:val="thickThinSmallGap" w:sz="24" w:space="0" w:color="auto"/>
              <w:right w:val="nil"/>
            </w:tcBorders>
          </w:tcPr>
          <w:p w14:paraId="6E5A0DCC" w14:textId="77777777" w:rsidR="00F1465E" w:rsidRPr="00AC67B2" w:rsidRDefault="00F1465E" w:rsidP="00231073">
            <w:pPr>
              <w:spacing w:before="0" w:after="0" w:line="240" w:lineRule="auto"/>
              <w:ind w:left="607" w:firstLine="60"/>
              <w:jc w:val="left"/>
              <w:rPr>
                <w:rFonts w:cs="Times Unicode"/>
                <w:sz w:val="20"/>
                <w:szCs w:val="20"/>
                <w:lang w:val="hy-AM"/>
              </w:rPr>
            </w:pPr>
            <w:r w:rsidRPr="00AC67B2">
              <w:rPr>
                <w:rFonts w:cs="Times Unicode"/>
                <w:sz w:val="20"/>
                <w:szCs w:val="20"/>
                <w:lang w:val="hy-AM"/>
              </w:rPr>
              <w:t>ՀՀ դրամով ներգրավված պարտքի կշիռն ընդամենը պարտքի մեջ</w:t>
            </w:r>
          </w:p>
        </w:tc>
        <w:tc>
          <w:tcPr>
            <w:tcW w:w="2325" w:type="dxa"/>
            <w:tcBorders>
              <w:left w:val="nil"/>
              <w:bottom w:val="thickThinSmallGap" w:sz="24" w:space="0" w:color="auto"/>
              <w:right w:val="nil"/>
            </w:tcBorders>
            <w:vAlign w:val="center"/>
          </w:tcPr>
          <w:p w14:paraId="0FD03908" w14:textId="77777777" w:rsidR="00F1465E" w:rsidRPr="00AC67B2" w:rsidRDefault="00F1465E" w:rsidP="00231073">
            <w:pPr>
              <w:spacing w:before="0" w:after="0" w:line="240" w:lineRule="auto"/>
              <w:jc w:val="center"/>
              <w:rPr>
                <w:rFonts w:cs="Times Unicode"/>
                <w:sz w:val="20"/>
                <w:szCs w:val="20"/>
                <w:lang w:val="hy-AM"/>
              </w:rPr>
            </w:pPr>
            <w:r w:rsidRPr="00AC67B2">
              <w:rPr>
                <w:rFonts w:cs="Times Unicode"/>
                <w:sz w:val="20"/>
                <w:szCs w:val="20"/>
                <w:lang w:val="hy-AM"/>
              </w:rPr>
              <w:t>առնվազն 20%</w:t>
            </w:r>
          </w:p>
        </w:tc>
        <w:tc>
          <w:tcPr>
            <w:tcW w:w="2127" w:type="dxa"/>
            <w:tcBorders>
              <w:left w:val="nil"/>
              <w:bottom w:val="thickThinSmallGap" w:sz="24" w:space="0" w:color="auto"/>
              <w:right w:val="nil"/>
            </w:tcBorders>
            <w:vAlign w:val="center"/>
          </w:tcPr>
          <w:p w14:paraId="4228AD5D" w14:textId="77777777" w:rsidR="00F1465E" w:rsidRPr="00AC67B2" w:rsidRDefault="00F1465E" w:rsidP="00231073">
            <w:pPr>
              <w:spacing w:before="0" w:after="0" w:line="240" w:lineRule="auto"/>
              <w:jc w:val="center"/>
              <w:rPr>
                <w:sz w:val="20"/>
                <w:szCs w:val="20"/>
                <w:lang w:val="hy-AM"/>
              </w:rPr>
            </w:pPr>
            <w:r>
              <w:rPr>
                <w:sz w:val="20"/>
                <w:szCs w:val="20"/>
              </w:rPr>
              <w:t>20.8</w:t>
            </w:r>
            <w:r w:rsidRPr="00AC67B2">
              <w:rPr>
                <w:sz w:val="20"/>
                <w:szCs w:val="20"/>
                <w:lang w:val="hy-AM"/>
              </w:rPr>
              <w:t xml:space="preserve"> %</w:t>
            </w:r>
          </w:p>
        </w:tc>
      </w:tr>
    </w:tbl>
    <w:p w14:paraId="7C8F2C93" w14:textId="77777777" w:rsidR="00F1465E" w:rsidRPr="00AC67B2" w:rsidRDefault="00F1465E" w:rsidP="00F1465E">
      <w:pPr>
        <w:spacing w:before="0" w:after="0" w:line="360" w:lineRule="auto"/>
        <w:rPr>
          <w:color w:val="FF0000"/>
          <w:sz w:val="10"/>
          <w:szCs w:val="10"/>
          <w:lang w:val="hy-AM"/>
        </w:rPr>
      </w:pPr>
    </w:p>
    <w:p w14:paraId="1BAE052E" w14:textId="77777777" w:rsidR="00F1465E" w:rsidRPr="00687A60" w:rsidRDefault="00F1465E" w:rsidP="009A7904">
      <w:pPr>
        <w:numPr>
          <w:ilvl w:val="0"/>
          <w:numId w:val="10"/>
        </w:numPr>
        <w:spacing w:before="0" w:after="0" w:line="276" w:lineRule="auto"/>
        <w:rPr>
          <w:lang w:val="hy-AM"/>
        </w:rPr>
      </w:pPr>
      <w:r w:rsidRPr="00AC67B2">
        <w:rPr>
          <w:lang w:val="hy-AM"/>
        </w:rPr>
        <w:t>201</w:t>
      </w:r>
      <w:r w:rsidRPr="00A205DB">
        <w:rPr>
          <w:lang w:val="hy-AM"/>
        </w:rPr>
        <w:t>9</w:t>
      </w:r>
      <w:r w:rsidRPr="00AC67B2">
        <w:rPr>
          <w:lang w:val="hy-AM"/>
        </w:rPr>
        <w:t>թ. դեֆիցիտի ֆինանսավորումը ներքին փոխառու զուտ միջոցների հաշվին (առանց մուրհակ</w:t>
      </w:r>
      <w:r w:rsidRPr="00AC67B2">
        <w:rPr>
          <w:lang w:val="hy-AM"/>
        </w:rPr>
        <w:softHyphen/>
        <w:t xml:space="preserve">ների) կազմել է </w:t>
      </w:r>
      <w:r w:rsidRPr="00A205DB">
        <w:rPr>
          <w:lang w:val="hy-AM"/>
        </w:rPr>
        <w:t>101.9</w:t>
      </w:r>
      <w:r w:rsidRPr="00AC67B2">
        <w:rPr>
          <w:lang w:val="hy-AM"/>
        </w:rPr>
        <w:t xml:space="preserve"> մլրդ դրամ</w:t>
      </w:r>
      <w:r w:rsidRPr="00A205DB">
        <w:rPr>
          <w:lang w:val="hy-AM"/>
        </w:rPr>
        <w:t xml:space="preserve"> կամ փոխառու զուտ միջոցների հաշվին դեֆիցիտի ֆինանսավորման 43.4%-ը</w:t>
      </w:r>
      <w:r w:rsidRPr="00AC67B2">
        <w:rPr>
          <w:lang w:val="hy-AM"/>
        </w:rPr>
        <w:t xml:space="preserve">, իսկ արտաքին փոխառու զուտ միջոցների հաշվին՝ </w:t>
      </w:r>
      <w:r w:rsidRPr="00A205DB">
        <w:rPr>
          <w:lang w:val="hy-AM"/>
        </w:rPr>
        <w:t>132.7</w:t>
      </w:r>
      <w:r w:rsidRPr="00AC67B2">
        <w:rPr>
          <w:lang w:val="hy-AM"/>
        </w:rPr>
        <w:t xml:space="preserve"> մլրդ դրամ</w:t>
      </w:r>
      <w:r w:rsidRPr="00A205DB">
        <w:rPr>
          <w:lang w:val="hy-AM"/>
        </w:rPr>
        <w:t xml:space="preserve"> կամ փոխառու զուտ միջոցների հաշվին դեֆիցիտի ֆինանսավորման 56.6%-ը</w:t>
      </w:r>
      <w:r w:rsidRPr="00AC67B2">
        <w:rPr>
          <w:lang w:val="hy-AM"/>
        </w:rPr>
        <w:t xml:space="preserve">: </w:t>
      </w:r>
    </w:p>
    <w:p w14:paraId="7E098043" w14:textId="77777777" w:rsidR="00F1465E" w:rsidRPr="0069177E" w:rsidRDefault="00F1465E" w:rsidP="009A7904">
      <w:pPr>
        <w:numPr>
          <w:ilvl w:val="0"/>
          <w:numId w:val="10"/>
        </w:numPr>
        <w:spacing w:before="0" w:after="0" w:line="276" w:lineRule="auto"/>
        <w:rPr>
          <w:lang w:val="hy-AM"/>
        </w:rPr>
      </w:pPr>
      <w:r w:rsidRPr="00687A60">
        <w:rPr>
          <w:lang w:val="hy-AM"/>
        </w:rPr>
        <w:t xml:space="preserve">2019 թվականի սեպտեմբերի 26-ին Հայաստանի Հանրապետությունը միջազգային կապիտալի շուկայում հաջողությամբ տեղաբաշխեց 500 մլն ԱՄՆ դոլար ծավալով, 10 տարի մարման ժամկետով </w:t>
      </w:r>
      <w:r w:rsidRPr="00A205DB">
        <w:rPr>
          <w:lang w:val="hy-AM"/>
        </w:rPr>
        <w:t xml:space="preserve">և </w:t>
      </w:r>
      <w:r w:rsidRPr="00687A60">
        <w:rPr>
          <w:lang w:val="hy-AM"/>
        </w:rPr>
        <w:t>4.2% եկամտաբերությամբ</w:t>
      </w:r>
      <w:r w:rsidRPr="00A205DB">
        <w:rPr>
          <w:lang w:val="hy-AM"/>
        </w:rPr>
        <w:t xml:space="preserve"> </w:t>
      </w:r>
      <w:r w:rsidRPr="00D74F95">
        <w:rPr>
          <w:lang w:val="hy-AM"/>
        </w:rPr>
        <w:t>եվրա</w:t>
      </w:r>
      <w:r w:rsidRPr="00687A60">
        <w:rPr>
          <w:lang w:val="hy-AM"/>
        </w:rPr>
        <w:t>պարտատոմսեր</w:t>
      </w:r>
      <w:r w:rsidRPr="00D74F95">
        <w:rPr>
          <w:lang w:val="hy-AM"/>
        </w:rPr>
        <w:t xml:space="preserve">, </w:t>
      </w:r>
      <w:r w:rsidR="005A390D" w:rsidRPr="00A205DB">
        <w:rPr>
          <w:lang w:val="hy-AM"/>
        </w:rPr>
        <w:t>որը</w:t>
      </w:r>
      <w:r w:rsidR="005A390D" w:rsidRPr="00687A60">
        <w:rPr>
          <w:lang w:val="hy-AM"/>
        </w:rPr>
        <w:t xml:space="preserve"> </w:t>
      </w:r>
      <w:r w:rsidR="005A390D" w:rsidRPr="00687A60">
        <w:rPr>
          <w:rFonts w:cs="GHEA Grapalat"/>
          <w:lang w:val="hy-AM"/>
        </w:rPr>
        <w:t>զգալիորեն</w:t>
      </w:r>
      <w:r w:rsidR="005A390D" w:rsidRPr="00687A60">
        <w:rPr>
          <w:lang w:val="hy-AM"/>
        </w:rPr>
        <w:t xml:space="preserve"> </w:t>
      </w:r>
      <w:r w:rsidR="005A390D" w:rsidRPr="00687A60">
        <w:rPr>
          <w:rFonts w:cs="GHEA Grapalat"/>
          <w:lang w:val="hy-AM"/>
        </w:rPr>
        <w:t>ցածր</w:t>
      </w:r>
      <w:r w:rsidR="005A390D" w:rsidRPr="00687A60">
        <w:rPr>
          <w:lang w:val="hy-AM"/>
        </w:rPr>
        <w:t xml:space="preserve"> </w:t>
      </w:r>
      <w:r w:rsidR="005A390D" w:rsidRPr="00687A60">
        <w:rPr>
          <w:rFonts w:cs="GHEA Grapalat"/>
          <w:lang w:val="hy-AM"/>
        </w:rPr>
        <w:t>է</w:t>
      </w:r>
      <w:r w:rsidR="005A390D" w:rsidRPr="00687A60">
        <w:rPr>
          <w:lang w:val="hy-AM"/>
        </w:rPr>
        <w:t xml:space="preserve"> 2015 թվականին (7.50%) և 2013 թվականին (6.</w:t>
      </w:r>
      <w:r w:rsidR="005A390D" w:rsidRPr="00912008">
        <w:rPr>
          <w:lang w:val="hy-AM"/>
        </w:rPr>
        <w:t>25</w:t>
      </w:r>
      <w:r w:rsidR="005A390D" w:rsidRPr="00687A60">
        <w:rPr>
          <w:lang w:val="hy-AM"/>
        </w:rPr>
        <w:t>%) թողարկված եվրապարտատոմսերի արժեկտրոնի եկամտաբերություն</w:t>
      </w:r>
      <w:r w:rsidR="005A390D" w:rsidRPr="00A205DB">
        <w:rPr>
          <w:lang w:val="hy-AM"/>
        </w:rPr>
        <w:t>ներ</w:t>
      </w:r>
      <w:r w:rsidR="005A390D" w:rsidRPr="00687A60">
        <w:rPr>
          <w:lang w:val="hy-AM"/>
        </w:rPr>
        <w:t>ից:</w:t>
      </w:r>
      <w:r w:rsidR="003C38A8">
        <w:rPr>
          <w:lang w:val="hy-AM"/>
        </w:rPr>
        <w:t xml:space="preserve"> </w:t>
      </w:r>
      <w:r w:rsidR="005A390D">
        <w:rPr>
          <w:lang w:val="hy-AM"/>
        </w:rPr>
        <w:t>Հ</w:t>
      </w:r>
      <w:r w:rsidRPr="00D74F95">
        <w:rPr>
          <w:lang w:val="hy-AM"/>
        </w:rPr>
        <w:t>ասույթից նույն օրը միջոցներ ուղղեց շրջանառության մեջ առկա 500 մլն ԱՄՆ դոլար ծավալով 2020թ. մարվող եվրապարտատոմսերի 402.4 մլն ԱՄՆ դոլար</w:t>
      </w:r>
      <w:r w:rsidRPr="00A205DB">
        <w:rPr>
          <w:lang w:val="hy-AM"/>
        </w:rPr>
        <w:t xml:space="preserve"> ծավալ</w:t>
      </w:r>
      <w:r w:rsidRPr="00D74F95">
        <w:rPr>
          <w:lang w:val="hy-AM"/>
        </w:rPr>
        <w:t>ի հետգնմանը</w:t>
      </w:r>
      <w:r w:rsidRPr="00687A60">
        <w:rPr>
          <w:lang w:val="hy-AM"/>
        </w:rPr>
        <w:t>: Նոր թողարկված եվրապարտատոմսերի արժեկտրոնի եկամտաբերությունը կազմ</w:t>
      </w:r>
      <w:r w:rsidRPr="00A205DB">
        <w:rPr>
          <w:lang w:val="hy-AM"/>
        </w:rPr>
        <w:t>ել</w:t>
      </w:r>
      <w:r w:rsidRPr="00687A60">
        <w:rPr>
          <w:lang w:val="hy-AM"/>
        </w:rPr>
        <w:t xml:space="preserve"> է 3.95%</w:t>
      </w:r>
      <w:r w:rsidR="005A390D">
        <w:rPr>
          <w:lang w:val="hy-AM"/>
        </w:rPr>
        <w:t>։</w:t>
      </w:r>
    </w:p>
    <w:p w14:paraId="4D8A8047" w14:textId="77777777" w:rsidR="00F1465E" w:rsidRPr="008647DA" w:rsidRDefault="00F1465E" w:rsidP="009A7904">
      <w:pPr>
        <w:numPr>
          <w:ilvl w:val="0"/>
          <w:numId w:val="10"/>
        </w:numPr>
        <w:spacing w:before="0" w:after="0" w:line="276" w:lineRule="auto"/>
        <w:rPr>
          <w:lang w:val="hy-AM"/>
        </w:rPr>
      </w:pPr>
      <w:r w:rsidRPr="008647DA">
        <w:rPr>
          <w:lang w:val="hy-AM"/>
        </w:rPr>
        <w:t>2020 թվականի հունիսի 4-ի</w:t>
      </w:r>
      <w:r w:rsidRPr="00A205DB">
        <w:rPr>
          <w:lang w:val="hy-AM"/>
        </w:rPr>
        <w:t>ն</w:t>
      </w:r>
      <w:r w:rsidRPr="008647DA">
        <w:rPr>
          <w:lang w:val="hy-AM"/>
        </w:rPr>
        <w:t xml:space="preserve"> Համաշխարհային բանկը տեղեկացրել է, որ </w:t>
      </w:r>
      <w:r w:rsidRPr="00FF3C45">
        <w:rPr>
          <w:lang w:val="hy-AM"/>
        </w:rPr>
        <w:t>Զարգացման միջազգային ընկերակցության կողմից Հայաստանին տրամադրված վարկերից շատերի գծով գործող հավելյալ տոկոսադրույք</w:t>
      </w:r>
      <w:r w:rsidRPr="00A205DB">
        <w:rPr>
          <w:lang w:val="hy-AM"/>
        </w:rPr>
        <w:t>ը</w:t>
      </w:r>
      <w:r w:rsidRPr="00FF3C45">
        <w:rPr>
          <w:lang w:val="hy-AM"/>
        </w:rPr>
        <w:t xml:space="preserve"> (1.7% դրույքաչափով)</w:t>
      </w:r>
      <w:r w:rsidRPr="008647DA">
        <w:rPr>
          <w:lang w:val="hy-AM"/>
        </w:rPr>
        <w:t xml:space="preserve"> չի կիրառվելու Համաշխարհային բանկի 2021</w:t>
      </w:r>
      <w:r w:rsidRPr="00A205DB">
        <w:rPr>
          <w:lang w:val="hy-AM"/>
        </w:rPr>
        <w:t>թ.</w:t>
      </w:r>
      <w:r w:rsidRPr="008647DA">
        <w:rPr>
          <w:lang w:val="hy-AM"/>
        </w:rPr>
        <w:t xml:space="preserve"> ֆինանսական տարվա (2020թ</w:t>
      </w:r>
      <w:r w:rsidRPr="00A205DB">
        <w:rPr>
          <w:lang w:val="hy-AM"/>
        </w:rPr>
        <w:t>.</w:t>
      </w:r>
      <w:r w:rsidRPr="008647DA">
        <w:rPr>
          <w:lang w:val="hy-AM"/>
        </w:rPr>
        <w:t xml:space="preserve"> հուլիսի 1-ից մինչև 2021թ</w:t>
      </w:r>
      <w:r w:rsidRPr="00A205DB">
        <w:rPr>
          <w:lang w:val="hy-AM"/>
        </w:rPr>
        <w:t>.</w:t>
      </w:r>
      <w:r w:rsidRPr="008647DA">
        <w:rPr>
          <w:lang w:val="hy-AM"/>
        </w:rPr>
        <w:t xml:space="preserve"> հունիսի 30-ը) ընթացքում:</w:t>
      </w:r>
      <w:r w:rsidRPr="00A205DB">
        <w:rPr>
          <w:lang w:val="hy-AM"/>
        </w:rPr>
        <w:t xml:space="preserve"> </w:t>
      </w:r>
      <w:r w:rsidRPr="003D1BE1">
        <w:rPr>
          <w:lang w:val="hy-AM"/>
        </w:rPr>
        <w:t>Արդյունքում արտաքին տոկոսավճարների գծով ՀՀ պետական բյուջեի տնտեսումը կկազմի մոտ 13 մլն ԱՄՆ դոլար:</w:t>
      </w:r>
    </w:p>
    <w:p w14:paraId="5567FA09" w14:textId="77777777" w:rsidR="00F1465E" w:rsidRPr="00940E35" w:rsidRDefault="00F1465E" w:rsidP="009A7904">
      <w:pPr>
        <w:numPr>
          <w:ilvl w:val="0"/>
          <w:numId w:val="10"/>
        </w:numPr>
        <w:spacing w:before="0" w:after="0" w:line="276" w:lineRule="auto"/>
        <w:rPr>
          <w:lang w:val="hy-AM"/>
        </w:rPr>
      </w:pPr>
      <w:r w:rsidRPr="00A205DB">
        <w:rPr>
          <w:lang w:val="hy-AM"/>
        </w:rPr>
        <w:t xml:space="preserve"> ՀՀ ֆինանսների նախարարի 2020 թվականի փետրվարի 7-ի թիվ 30-Ա հրամանով հաստատվել է &lt;&lt;ՀՀ պետական պարտքի կառավարման կատարողականի բարելավման միջոցառումների ծրագիրը&gt;&gt;, որով նախատեսվում է կանոնակարգել պարտքի կառավարման առանձին գործառույթներ, ինչպես նաև բարձրացնել պարտքի կառավարման հաշվետվողականությունն ու թափանցիկությունը</w:t>
      </w:r>
      <w:r w:rsidRPr="008647DA">
        <w:rPr>
          <w:lang w:val="hy-AM"/>
        </w:rPr>
        <w:t>:</w:t>
      </w:r>
    </w:p>
    <w:p w14:paraId="10F007BC" w14:textId="77777777" w:rsidR="00F1465E" w:rsidRPr="00940E35" w:rsidRDefault="00F1465E" w:rsidP="009A7904">
      <w:pPr>
        <w:numPr>
          <w:ilvl w:val="0"/>
          <w:numId w:val="10"/>
        </w:numPr>
        <w:spacing w:before="0" w:after="0" w:line="276" w:lineRule="auto"/>
        <w:rPr>
          <w:lang w:val="hy-AM"/>
        </w:rPr>
      </w:pPr>
      <w:r w:rsidRPr="00A205DB">
        <w:rPr>
          <w:rFonts w:cs="GHEA Grapalat"/>
          <w:lang w:val="hy-AM"/>
        </w:rPr>
        <w:lastRenderedPageBreak/>
        <w:t xml:space="preserve">Պետական պարտատոմսերի մանրածախ վաճառքի` </w:t>
      </w:r>
      <w:r w:rsidRPr="00940E35">
        <w:rPr>
          <w:rFonts w:cs="GHEA Grapalat"/>
          <w:lang w:val="hy-AM"/>
        </w:rPr>
        <w:t>Գանձապետական պահառուի առցանց gp.minfin.am համակարգը 2019 թվականի հոկտեմբերի 8-ից հասանելի է դարձել նաև Հ</w:t>
      </w:r>
      <w:r w:rsidRPr="00A205DB">
        <w:rPr>
          <w:rFonts w:cs="GHEA Grapalat"/>
          <w:lang w:val="hy-AM"/>
        </w:rPr>
        <w:t xml:space="preserve">այաստանի </w:t>
      </w:r>
      <w:r w:rsidRPr="00940E35">
        <w:rPr>
          <w:rFonts w:cs="GHEA Grapalat"/>
          <w:lang w:val="hy-AM"/>
        </w:rPr>
        <w:t>Հ</w:t>
      </w:r>
      <w:r w:rsidRPr="00A205DB">
        <w:rPr>
          <w:rFonts w:cs="GHEA Grapalat"/>
          <w:lang w:val="hy-AM"/>
        </w:rPr>
        <w:t>անրապետության</w:t>
      </w:r>
      <w:r w:rsidRPr="00940E35">
        <w:rPr>
          <w:rFonts w:cs="GHEA Grapalat"/>
          <w:lang w:val="hy-AM"/>
        </w:rPr>
        <w:t xml:space="preserve"> աշխարհագրական տարածքից դուրս:</w:t>
      </w:r>
    </w:p>
    <w:p w14:paraId="63657051" w14:textId="77777777" w:rsidR="00F1465E" w:rsidRPr="00AC67B2" w:rsidRDefault="00F1465E" w:rsidP="009A7904">
      <w:pPr>
        <w:numPr>
          <w:ilvl w:val="0"/>
          <w:numId w:val="10"/>
        </w:numPr>
        <w:spacing w:before="0" w:after="0" w:line="276" w:lineRule="auto"/>
        <w:rPr>
          <w:rFonts w:cs="Times Unicode"/>
          <w:sz w:val="20"/>
          <w:szCs w:val="20"/>
          <w:lang w:val="hy-AM"/>
        </w:rPr>
      </w:pPr>
      <w:r w:rsidRPr="00AC67B2">
        <w:rPr>
          <w:rFonts w:cs="Times Unicode"/>
          <w:lang w:val="hy-AM"/>
        </w:rPr>
        <w:t>201</w:t>
      </w:r>
      <w:r w:rsidRPr="00A205DB">
        <w:rPr>
          <w:rFonts w:cs="Times Unicode"/>
          <w:lang w:val="hy-AM"/>
        </w:rPr>
        <w:t>9</w:t>
      </w:r>
      <w:r w:rsidRPr="00AC67B2">
        <w:rPr>
          <w:rFonts w:cs="Times Unicode"/>
          <w:lang w:val="hy-AM"/>
        </w:rPr>
        <w:t>թ. ընթացքում պետական գանձա</w:t>
      </w:r>
      <w:r w:rsidRPr="00AC67B2">
        <w:rPr>
          <w:rFonts w:cs="Times Unicode"/>
          <w:lang w:val="hy-AM"/>
        </w:rPr>
        <w:softHyphen/>
        <w:t>պետական պարտատոմսերի գծով իրականացվել են հետևյալ գործառնությունները.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1717"/>
        <w:gridCol w:w="1839"/>
        <w:gridCol w:w="1403"/>
        <w:gridCol w:w="1779"/>
      </w:tblGrid>
      <w:tr w:rsidR="00F1465E" w:rsidRPr="00BA003B" w14:paraId="1C58E104" w14:textId="77777777" w:rsidTr="00231073">
        <w:trPr>
          <w:trHeight w:val="724"/>
          <w:tblHeader/>
          <w:jc w:val="center"/>
        </w:trPr>
        <w:tc>
          <w:tcPr>
            <w:tcW w:w="3076" w:type="dxa"/>
            <w:tcBorders>
              <w:top w:val="thinThickThinSmallGap" w:sz="24" w:space="0" w:color="auto"/>
              <w:left w:val="nil"/>
              <w:bottom w:val="thinThickSmallGap" w:sz="24" w:space="0" w:color="auto"/>
              <w:right w:val="nil"/>
            </w:tcBorders>
            <w:shd w:val="clear" w:color="auto" w:fill="0B70B5"/>
            <w:vAlign w:val="center"/>
          </w:tcPr>
          <w:p w14:paraId="4592B608" w14:textId="77777777" w:rsidR="00F1465E" w:rsidRPr="00C35116" w:rsidRDefault="00F1465E" w:rsidP="00231073">
            <w:pPr>
              <w:spacing w:before="0" w:after="0" w:line="240" w:lineRule="auto"/>
              <w:jc w:val="center"/>
              <w:rPr>
                <w:color w:val="FFFFFF" w:themeColor="background1"/>
                <w:sz w:val="20"/>
                <w:szCs w:val="20"/>
                <w:lang w:val="hy-AM"/>
              </w:rPr>
            </w:pPr>
            <w:r w:rsidRPr="00C35116">
              <w:rPr>
                <w:color w:val="FFFFFF" w:themeColor="background1"/>
                <w:sz w:val="20"/>
                <w:szCs w:val="20"/>
                <w:lang w:val="hy-AM"/>
              </w:rPr>
              <w:t>201</w:t>
            </w:r>
            <w:r w:rsidRPr="00C35116">
              <w:rPr>
                <w:color w:val="FFFFFF" w:themeColor="background1"/>
                <w:sz w:val="20"/>
                <w:szCs w:val="20"/>
              </w:rPr>
              <w:t>9</w:t>
            </w:r>
            <w:r w:rsidRPr="00C35116">
              <w:rPr>
                <w:color w:val="FFFFFF" w:themeColor="background1"/>
                <w:sz w:val="20"/>
                <w:szCs w:val="20"/>
                <w:lang w:val="hy-AM"/>
              </w:rPr>
              <w:t>թ.</w:t>
            </w:r>
          </w:p>
        </w:tc>
        <w:tc>
          <w:tcPr>
            <w:tcW w:w="1717" w:type="dxa"/>
            <w:tcBorders>
              <w:top w:val="thinThickThinSmallGap" w:sz="24" w:space="0" w:color="auto"/>
              <w:left w:val="nil"/>
              <w:bottom w:val="thinThickSmallGap" w:sz="24" w:space="0" w:color="auto"/>
              <w:right w:val="nil"/>
            </w:tcBorders>
            <w:shd w:val="clear" w:color="auto" w:fill="0B70B5"/>
            <w:vAlign w:val="center"/>
          </w:tcPr>
          <w:p w14:paraId="285E2C3F" w14:textId="77777777" w:rsidR="00F1465E" w:rsidRPr="00C35116" w:rsidRDefault="00F1465E" w:rsidP="00231073">
            <w:pPr>
              <w:spacing w:before="0" w:after="0" w:line="240" w:lineRule="auto"/>
              <w:ind w:firstLine="46"/>
              <w:jc w:val="center"/>
              <w:rPr>
                <w:color w:val="FFFFFF" w:themeColor="background1"/>
                <w:sz w:val="20"/>
                <w:szCs w:val="20"/>
                <w:lang w:val="hy-AM"/>
              </w:rPr>
            </w:pPr>
            <w:r w:rsidRPr="00C35116">
              <w:rPr>
                <w:color w:val="FFFFFF" w:themeColor="background1"/>
                <w:sz w:val="20"/>
                <w:szCs w:val="20"/>
                <w:lang w:val="hy-AM"/>
              </w:rPr>
              <w:t>Տեղաբաշխված ծավալը</w:t>
            </w:r>
          </w:p>
        </w:tc>
        <w:tc>
          <w:tcPr>
            <w:tcW w:w="1839" w:type="dxa"/>
            <w:tcBorders>
              <w:top w:val="thinThickThinSmallGap" w:sz="24" w:space="0" w:color="auto"/>
              <w:left w:val="nil"/>
              <w:bottom w:val="thinThickSmallGap" w:sz="24" w:space="0" w:color="auto"/>
              <w:right w:val="nil"/>
            </w:tcBorders>
            <w:shd w:val="clear" w:color="auto" w:fill="0B70B5"/>
            <w:vAlign w:val="center"/>
          </w:tcPr>
          <w:p w14:paraId="3FD43079" w14:textId="77777777" w:rsidR="00F1465E" w:rsidRPr="00C35116" w:rsidRDefault="00F1465E" w:rsidP="00231073">
            <w:pPr>
              <w:spacing w:before="0" w:after="0" w:line="240" w:lineRule="auto"/>
              <w:ind w:firstLine="46"/>
              <w:jc w:val="center"/>
              <w:rPr>
                <w:color w:val="FFFFFF" w:themeColor="background1"/>
                <w:sz w:val="20"/>
                <w:szCs w:val="20"/>
                <w:lang w:val="hy-AM"/>
              </w:rPr>
            </w:pPr>
            <w:r w:rsidRPr="00C35116">
              <w:rPr>
                <w:color w:val="FFFFFF" w:themeColor="background1"/>
                <w:sz w:val="20"/>
                <w:szCs w:val="20"/>
                <w:lang w:val="hy-AM"/>
              </w:rPr>
              <w:t>Տեղաբաշխումից մուտքը</w:t>
            </w:r>
          </w:p>
        </w:tc>
        <w:tc>
          <w:tcPr>
            <w:tcW w:w="1403" w:type="dxa"/>
            <w:tcBorders>
              <w:top w:val="thinThickThinSmallGap" w:sz="24" w:space="0" w:color="auto"/>
              <w:left w:val="nil"/>
              <w:bottom w:val="thinThickSmallGap" w:sz="24" w:space="0" w:color="auto"/>
              <w:right w:val="nil"/>
            </w:tcBorders>
            <w:shd w:val="clear" w:color="auto" w:fill="0B70B5"/>
            <w:vAlign w:val="center"/>
          </w:tcPr>
          <w:p w14:paraId="4A5465A7" w14:textId="77777777" w:rsidR="00F1465E" w:rsidRPr="00C35116" w:rsidRDefault="00F1465E" w:rsidP="00231073">
            <w:pPr>
              <w:spacing w:before="0" w:after="0" w:line="240" w:lineRule="auto"/>
              <w:ind w:firstLine="46"/>
              <w:jc w:val="center"/>
              <w:rPr>
                <w:color w:val="FFFFFF" w:themeColor="background1"/>
                <w:sz w:val="20"/>
                <w:szCs w:val="20"/>
                <w:lang w:val="hy-AM"/>
              </w:rPr>
            </w:pPr>
            <w:r w:rsidRPr="00C35116">
              <w:rPr>
                <w:color w:val="FFFFFF" w:themeColor="background1"/>
                <w:sz w:val="20"/>
                <w:szCs w:val="20"/>
                <w:lang w:val="hy-AM"/>
              </w:rPr>
              <w:t>Մարման և հետգնման ծավալը</w:t>
            </w:r>
          </w:p>
        </w:tc>
        <w:tc>
          <w:tcPr>
            <w:tcW w:w="1779" w:type="dxa"/>
            <w:tcBorders>
              <w:top w:val="thinThickThinSmallGap" w:sz="24" w:space="0" w:color="auto"/>
              <w:left w:val="nil"/>
              <w:bottom w:val="thinThickSmallGap" w:sz="24" w:space="0" w:color="auto"/>
              <w:right w:val="nil"/>
            </w:tcBorders>
            <w:shd w:val="clear" w:color="auto" w:fill="0B70B5"/>
            <w:vAlign w:val="center"/>
          </w:tcPr>
          <w:p w14:paraId="22CC8D63" w14:textId="77777777" w:rsidR="00F1465E" w:rsidRPr="00C35116" w:rsidRDefault="00F1465E" w:rsidP="00231073">
            <w:pPr>
              <w:spacing w:before="0" w:after="0" w:line="240" w:lineRule="auto"/>
              <w:ind w:firstLine="46"/>
              <w:jc w:val="center"/>
              <w:rPr>
                <w:color w:val="FFFFFF" w:themeColor="background1"/>
                <w:sz w:val="20"/>
                <w:szCs w:val="20"/>
                <w:lang w:val="hy-AM"/>
              </w:rPr>
            </w:pPr>
            <w:r w:rsidRPr="00C35116">
              <w:rPr>
                <w:color w:val="FFFFFF" w:themeColor="background1"/>
                <w:sz w:val="20"/>
                <w:szCs w:val="20"/>
                <w:lang w:val="hy-AM"/>
              </w:rPr>
              <w:t>Վճարված տոկոսագումարը</w:t>
            </w:r>
          </w:p>
        </w:tc>
      </w:tr>
      <w:tr w:rsidR="00F1465E" w:rsidRPr="00AC67B2" w14:paraId="4841144D" w14:textId="77777777" w:rsidTr="00231073">
        <w:trPr>
          <w:trHeight w:val="485"/>
          <w:jc w:val="center"/>
        </w:trPr>
        <w:tc>
          <w:tcPr>
            <w:tcW w:w="3076" w:type="dxa"/>
            <w:tcBorders>
              <w:top w:val="thinThickSmallGap" w:sz="24" w:space="0" w:color="auto"/>
              <w:left w:val="nil"/>
              <w:bottom w:val="thickThinSmallGap" w:sz="24" w:space="0" w:color="auto"/>
              <w:right w:val="nil"/>
            </w:tcBorders>
          </w:tcPr>
          <w:p w14:paraId="18BD05F6" w14:textId="77777777" w:rsidR="00F1465E" w:rsidRPr="00AC67B2" w:rsidRDefault="00F1465E" w:rsidP="00231073">
            <w:pPr>
              <w:spacing w:before="0" w:after="0" w:line="240" w:lineRule="auto"/>
              <w:ind w:firstLine="0"/>
              <w:jc w:val="left"/>
              <w:rPr>
                <w:sz w:val="20"/>
                <w:szCs w:val="20"/>
                <w:lang w:val="hy-AM"/>
              </w:rPr>
            </w:pPr>
            <w:r w:rsidRPr="00AC67B2">
              <w:rPr>
                <w:rFonts w:cs="Times Unicode"/>
                <w:sz w:val="20"/>
                <w:szCs w:val="20"/>
                <w:lang w:val="hy-AM"/>
              </w:rPr>
              <w:t>Պետական գանձա</w:t>
            </w:r>
            <w:r w:rsidRPr="00AC67B2">
              <w:rPr>
                <w:rFonts w:cs="Times Unicode"/>
                <w:sz w:val="20"/>
                <w:szCs w:val="20"/>
                <w:lang w:val="hy-AM"/>
              </w:rPr>
              <w:softHyphen/>
              <w:t>պետական պարտատոմսեր, մլրդ դրամ</w:t>
            </w:r>
          </w:p>
        </w:tc>
        <w:tc>
          <w:tcPr>
            <w:tcW w:w="1717" w:type="dxa"/>
            <w:tcBorders>
              <w:top w:val="thinThickSmallGap" w:sz="24" w:space="0" w:color="auto"/>
              <w:left w:val="nil"/>
              <w:bottom w:val="thickThinSmallGap" w:sz="24" w:space="0" w:color="auto"/>
              <w:right w:val="nil"/>
            </w:tcBorders>
            <w:vAlign w:val="center"/>
          </w:tcPr>
          <w:p w14:paraId="269A67FD" w14:textId="77777777" w:rsidR="00F1465E" w:rsidRPr="00983263" w:rsidRDefault="00F1465E" w:rsidP="00231073">
            <w:pPr>
              <w:spacing w:before="0" w:after="0" w:line="240" w:lineRule="auto"/>
              <w:jc w:val="center"/>
              <w:rPr>
                <w:sz w:val="20"/>
                <w:szCs w:val="20"/>
              </w:rPr>
            </w:pPr>
            <w:r>
              <w:rPr>
                <w:rFonts w:cs="Times Unicode"/>
                <w:sz w:val="20"/>
                <w:szCs w:val="20"/>
              </w:rPr>
              <w:t>209.9</w:t>
            </w:r>
          </w:p>
        </w:tc>
        <w:tc>
          <w:tcPr>
            <w:tcW w:w="1839" w:type="dxa"/>
            <w:tcBorders>
              <w:top w:val="thinThickSmallGap" w:sz="24" w:space="0" w:color="auto"/>
              <w:left w:val="nil"/>
              <w:bottom w:val="thickThinSmallGap" w:sz="24" w:space="0" w:color="auto"/>
              <w:right w:val="nil"/>
            </w:tcBorders>
            <w:vAlign w:val="center"/>
          </w:tcPr>
          <w:p w14:paraId="0C94228A" w14:textId="77777777" w:rsidR="00F1465E" w:rsidRPr="00DE2EAD" w:rsidRDefault="00F1465E" w:rsidP="00231073">
            <w:pPr>
              <w:spacing w:before="0" w:after="0" w:line="240" w:lineRule="auto"/>
              <w:jc w:val="center"/>
              <w:rPr>
                <w:sz w:val="20"/>
                <w:szCs w:val="20"/>
              </w:rPr>
            </w:pPr>
            <w:r>
              <w:rPr>
                <w:rFonts w:cs="Times Unicode"/>
                <w:sz w:val="20"/>
                <w:szCs w:val="20"/>
              </w:rPr>
              <w:t>217.3</w:t>
            </w:r>
          </w:p>
        </w:tc>
        <w:tc>
          <w:tcPr>
            <w:tcW w:w="1403" w:type="dxa"/>
            <w:tcBorders>
              <w:top w:val="thinThickSmallGap" w:sz="24" w:space="0" w:color="auto"/>
              <w:left w:val="nil"/>
              <w:bottom w:val="thickThinSmallGap" w:sz="24" w:space="0" w:color="auto"/>
              <w:right w:val="nil"/>
            </w:tcBorders>
            <w:vAlign w:val="center"/>
          </w:tcPr>
          <w:p w14:paraId="29FDC281" w14:textId="77777777" w:rsidR="00F1465E" w:rsidRPr="00983263" w:rsidRDefault="00F1465E" w:rsidP="00231073">
            <w:pPr>
              <w:spacing w:before="0" w:after="0" w:line="240" w:lineRule="auto"/>
              <w:jc w:val="center"/>
              <w:rPr>
                <w:sz w:val="20"/>
                <w:szCs w:val="20"/>
              </w:rPr>
            </w:pPr>
            <w:r>
              <w:rPr>
                <w:rFonts w:cs="Times Unicode"/>
                <w:sz w:val="20"/>
                <w:szCs w:val="20"/>
              </w:rPr>
              <w:t>115.3</w:t>
            </w:r>
          </w:p>
        </w:tc>
        <w:tc>
          <w:tcPr>
            <w:tcW w:w="1779" w:type="dxa"/>
            <w:tcBorders>
              <w:top w:val="thinThickSmallGap" w:sz="24" w:space="0" w:color="auto"/>
              <w:left w:val="nil"/>
              <w:bottom w:val="thickThinSmallGap" w:sz="24" w:space="0" w:color="auto"/>
              <w:right w:val="nil"/>
            </w:tcBorders>
            <w:vAlign w:val="center"/>
          </w:tcPr>
          <w:p w14:paraId="071B9573" w14:textId="77777777" w:rsidR="00F1465E" w:rsidRPr="00983263" w:rsidRDefault="00F1465E" w:rsidP="00231073">
            <w:pPr>
              <w:spacing w:before="0" w:after="0" w:line="240" w:lineRule="auto"/>
              <w:jc w:val="center"/>
              <w:rPr>
                <w:sz w:val="20"/>
                <w:szCs w:val="20"/>
              </w:rPr>
            </w:pPr>
            <w:r>
              <w:rPr>
                <w:rFonts w:cs="Times Unicode"/>
                <w:sz w:val="20"/>
                <w:szCs w:val="20"/>
              </w:rPr>
              <w:t>69.7</w:t>
            </w:r>
          </w:p>
        </w:tc>
      </w:tr>
    </w:tbl>
    <w:p w14:paraId="03B4984E" w14:textId="77777777" w:rsidR="00F1465E" w:rsidRDefault="00F1465E" w:rsidP="00F1465E">
      <w:pPr>
        <w:spacing w:before="0" w:after="0" w:line="360" w:lineRule="auto"/>
        <w:ind w:left="357"/>
        <w:rPr>
          <w:rFonts w:cs="Times Unicode"/>
          <w:lang w:val="hy-AM"/>
        </w:rPr>
      </w:pPr>
    </w:p>
    <w:p w14:paraId="4243A301" w14:textId="77777777" w:rsidR="00F1465E" w:rsidRPr="00AC67B2" w:rsidRDefault="00F1465E" w:rsidP="00F1465E">
      <w:pPr>
        <w:numPr>
          <w:ilvl w:val="0"/>
          <w:numId w:val="10"/>
        </w:numPr>
        <w:spacing w:before="120" w:after="0" w:line="360" w:lineRule="auto"/>
        <w:ind w:left="357" w:hanging="357"/>
        <w:rPr>
          <w:rFonts w:cs="Times Unicode"/>
          <w:lang w:val="hy-AM"/>
        </w:rPr>
      </w:pPr>
      <w:r w:rsidRPr="00AC67B2">
        <w:rPr>
          <w:rFonts w:cs="Times Unicode"/>
          <w:lang w:val="hy-AM"/>
        </w:rPr>
        <w:t>201</w:t>
      </w:r>
      <w:r w:rsidRPr="00A205DB">
        <w:rPr>
          <w:rFonts w:cs="Times Unicode"/>
          <w:lang w:val="hy-AM"/>
        </w:rPr>
        <w:t>9</w:t>
      </w:r>
      <w:r w:rsidRPr="00AC67B2">
        <w:rPr>
          <w:rFonts w:cs="Times Unicode"/>
          <w:lang w:val="hy-AM"/>
        </w:rPr>
        <w:t>թ. արտաքին վարկերի գծով կատարված գործառնություններն ունեն հետևյալ տեսքը.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9"/>
        <w:gridCol w:w="1717"/>
        <w:gridCol w:w="1224"/>
        <w:gridCol w:w="1779"/>
      </w:tblGrid>
      <w:tr w:rsidR="00F1465E" w:rsidRPr="00BA003B" w14:paraId="3A190B96" w14:textId="77777777" w:rsidTr="00231073">
        <w:trPr>
          <w:trHeight w:val="479"/>
          <w:tblHeader/>
          <w:jc w:val="center"/>
        </w:trPr>
        <w:tc>
          <w:tcPr>
            <w:tcW w:w="3729" w:type="dxa"/>
            <w:tcBorders>
              <w:top w:val="thinThickThinSmallGap" w:sz="24" w:space="0" w:color="auto"/>
              <w:left w:val="nil"/>
              <w:bottom w:val="thinThickSmallGap" w:sz="24" w:space="0" w:color="auto"/>
              <w:right w:val="nil"/>
            </w:tcBorders>
            <w:shd w:val="clear" w:color="auto" w:fill="0B70B5"/>
            <w:vAlign w:val="center"/>
          </w:tcPr>
          <w:p w14:paraId="37D13FD2"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201</w:t>
            </w:r>
            <w:r w:rsidRPr="00C35116">
              <w:rPr>
                <w:color w:val="FFFFFF" w:themeColor="background1"/>
                <w:sz w:val="20"/>
                <w:szCs w:val="20"/>
              </w:rPr>
              <w:t>9</w:t>
            </w:r>
            <w:r w:rsidRPr="00C35116">
              <w:rPr>
                <w:color w:val="FFFFFF" w:themeColor="background1"/>
                <w:sz w:val="20"/>
                <w:szCs w:val="20"/>
                <w:lang w:val="hy-AM"/>
              </w:rPr>
              <w:t>թ.</w:t>
            </w:r>
          </w:p>
        </w:tc>
        <w:tc>
          <w:tcPr>
            <w:tcW w:w="1717" w:type="dxa"/>
            <w:tcBorders>
              <w:top w:val="thinThickThinSmallGap" w:sz="24" w:space="0" w:color="auto"/>
              <w:left w:val="nil"/>
              <w:bottom w:val="thinThickSmallGap" w:sz="24" w:space="0" w:color="auto"/>
              <w:right w:val="nil"/>
            </w:tcBorders>
            <w:shd w:val="clear" w:color="auto" w:fill="0B70B5"/>
            <w:vAlign w:val="center"/>
          </w:tcPr>
          <w:p w14:paraId="718A28B0" w14:textId="77777777" w:rsidR="00F1465E" w:rsidRPr="00C35116" w:rsidRDefault="00F1465E" w:rsidP="00231073">
            <w:pPr>
              <w:spacing w:before="0" w:after="0" w:line="240" w:lineRule="auto"/>
              <w:ind w:firstLine="0"/>
              <w:jc w:val="center"/>
              <w:rPr>
                <w:color w:val="FFFFFF" w:themeColor="background1"/>
                <w:sz w:val="20"/>
                <w:szCs w:val="20"/>
              </w:rPr>
            </w:pPr>
            <w:r w:rsidRPr="00C35116">
              <w:rPr>
                <w:color w:val="FFFFFF" w:themeColor="background1"/>
                <w:sz w:val="20"/>
                <w:szCs w:val="20"/>
              </w:rPr>
              <w:t>Մասհանման ծավալը</w:t>
            </w:r>
          </w:p>
        </w:tc>
        <w:tc>
          <w:tcPr>
            <w:tcW w:w="1224" w:type="dxa"/>
            <w:tcBorders>
              <w:top w:val="thinThickThinSmallGap" w:sz="24" w:space="0" w:color="auto"/>
              <w:left w:val="nil"/>
              <w:bottom w:val="thinThickSmallGap" w:sz="24" w:space="0" w:color="auto"/>
              <w:right w:val="nil"/>
            </w:tcBorders>
            <w:shd w:val="clear" w:color="auto" w:fill="0B70B5"/>
            <w:vAlign w:val="center"/>
          </w:tcPr>
          <w:p w14:paraId="5C47DA20" w14:textId="77777777" w:rsidR="00F1465E" w:rsidRPr="00C35116" w:rsidRDefault="00F1465E" w:rsidP="00231073">
            <w:pPr>
              <w:spacing w:before="0" w:after="0" w:line="240" w:lineRule="auto"/>
              <w:ind w:firstLine="0"/>
              <w:jc w:val="center"/>
              <w:rPr>
                <w:color w:val="FFFFFF" w:themeColor="background1"/>
                <w:sz w:val="20"/>
                <w:szCs w:val="20"/>
              </w:rPr>
            </w:pPr>
            <w:r w:rsidRPr="00C35116">
              <w:rPr>
                <w:color w:val="FFFFFF" w:themeColor="background1"/>
                <w:sz w:val="20"/>
                <w:szCs w:val="20"/>
                <w:lang w:val="hy-AM"/>
              </w:rPr>
              <w:t>Մարմ</w:t>
            </w:r>
            <w:r w:rsidRPr="00C35116">
              <w:rPr>
                <w:color w:val="FFFFFF" w:themeColor="background1"/>
                <w:sz w:val="20"/>
                <w:szCs w:val="20"/>
              </w:rPr>
              <w:t>ան ծավալը</w:t>
            </w:r>
          </w:p>
        </w:tc>
        <w:tc>
          <w:tcPr>
            <w:tcW w:w="1779" w:type="dxa"/>
            <w:tcBorders>
              <w:top w:val="thinThickThinSmallGap" w:sz="24" w:space="0" w:color="auto"/>
              <w:left w:val="nil"/>
              <w:bottom w:val="thinThickSmallGap" w:sz="24" w:space="0" w:color="auto"/>
              <w:right w:val="nil"/>
            </w:tcBorders>
            <w:shd w:val="clear" w:color="auto" w:fill="0B70B5"/>
            <w:vAlign w:val="center"/>
          </w:tcPr>
          <w:p w14:paraId="4B87F6EF" w14:textId="77777777" w:rsidR="00F1465E" w:rsidRPr="00C35116" w:rsidRDefault="00F1465E" w:rsidP="00231073">
            <w:pPr>
              <w:spacing w:before="0" w:after="0" w:line="240" w:lineRule="auto"/>
              <w:ind w:firstLine="0"/>
              <w:jc w:val="center"/>
              <w:rPr>
                <w:color w:val="FFFFFF" w:themeColor="background1"/>
                <w:sz w:val="20"/>
                <w:szCs w:val="20"/>
              </w:rPr>
            </w:pPr>
            <w:r w:rsidRPr="00C35116">
              <w:rPr>
                <w:color w:val="FFFFFF" w:themeColor="background1"/>
                <w:sz w:val="20"/>
                <w:szCs w:val="20"/>
                <w:lang w:val="hy-AM"/>
              </w:rPr>
              <w:t>Վճարված տոկոսագումար</w:t>
            </w:r>
            <w:r w:rsidRPr="00C35116">
              <w:rPr>
                <w:color w:val="FFFFFF" w:themeColor="background1"/>
                <w:sz w:val="20"/>
                <w:szCs w:val="20"/>
              </w:rPr>
              <w:t>ը</w:t>
            </w:r>
          </w:p>
        </w:tc>
      </w:tr>
      <w:tr w:rsidR="00F1465E" w:rsidRPr="00AC67B2" w14:paraId="1E0603BE" w14:textId="77777777" w:rsidTr="00231073">
        <w:trPr>
          <w:trHeight w:val="335"/>
          <w:jc w:val="center"/>
        </w:trPr>
        <w:tc>
          <w:tcPr>
            <w:tcW w:w="3729" w:type="dxa"/>
            <w:tcBorders>
              <w:top w:val="thinThickSmallGap" w:sz="24" w:space="0" w:color="auto"/>
              <w:left w:val="nil"/>
              <w:bottom w:val="single" w:sz="4" w:space="0" w:color="auto"/>
              <w:right w:val="nil"/>
            </w:tcBorders>
            <w:vAlign w:val="center"/>
          </w:tcPr>
          <w:p w14:paraId="6DDE4E62" w14:textId="77777777" w:rsidR="00F1465E" w:rsidRPr="00AC67B2" w:rsidRDefault="00F1465E" w:rsidP="00231073">
            <w:pPr>
              <w:spacing w:before="0" w:after="0" w:line="240" w:lineRule="auto"/>
              <w:ind w:firstLine="77"/>
              <w:jc w:val="left"/>
              <w:rPr>
                <w:sz w:val="20"/>
                <w:szCs w:val="20"/>
                <w:lang w:val="hy-AM"/>
              </w:rPr>
            </w:pPr>
            <w:r w:rsidRPr="00AC67B2">
              <w:rPr>
                <w:rFonts w:cs="Times Unicode"/>
                <w:sz w:val="20"/>
                <w:szCs w:val="20"/>
                <w:lang w:val="hy-AM"/>
              </w:rPr>
              <w:t>Արտաքին վարկեր, մլն ԱՄՆ դոլար</w:t>
            </w:r>
          </w:p>
        </w:tc>
        <w:tc>
          <w:tcPr>
            <w:tcW w:w="1717" w:type="dxa"/>
            <w:tcBorders>
              <w:top w:val="thinThickSmallGap" w:sz="24" w:space="0" w:color="auto"/>
              <w:left w:val="nil"/>
              <w:bottom w:val="single" w:sz="4" w:space="0" w:color="auto"/>
              <w:right w:val="nil"/>
            </w:tcBorders>
            <w:vAlign w:val="center"/>
          </w:tcPr>
          <w:p w14:paraId="0471FE17" w14:textId="77777777" w:rsidR="00F1465E" w:rsidRPr="00DE2EAD" w:rsidRDefault="00F1465E" w:rsidP="00231073">
            <w:pPr>
              <w:spacing w:before="0" w:after="0" w:line="240" w:lineRule="auto"/>
              <w:ind w:firstLine="77"/>
              <w:jc w:val="center"/>
              <w:rPr>
                <w:sz w:val="20"/>
                <w:szCs w:val="20"/>
              </w:rPr>
            </w:pPr>
            <w:r>
              <w:rPr>
                <w:sz w:val="20"/>
                <w:szCs w:val="20"/>
              </w:rPr>
              <w:t>359.2</w:t>
            </w:r>
          </w:p>
        </w:tc>
        <w:tc>
          <w:tcPr>
            <w:tcW w:w="1224" w:type="dxa"/>
            <w:tcBorders>
              <w:top w:val="thinThickSmallGap" w:sz="24" w:space="0" w:color="auto"/>
              <w:left w:val="nil"/>
              <w:bottom w:val="single" w:sz="4" w:space="0" w:color="auto"/>
              <w:right w:val="nil"/>
            </w:tcBorders>
            <w:vAlign w:val="center"/>
          </w:tcPr>
          <w:p w14:paraId="242D6ED5" w14:textId="77777777" w:rsidR="00F1465E" w:rsidRPr="001C0E74" w:rsidRDefault="00F1465E" w:rsidP="00231073">
            <w:pPr>
              <w:spacing w:before="0" w:after="0" w:line="240" w:lineRule="auto"/>
              <w:ind w:firstLine="77"/>
              <w:jc w:val="center"/>
              <w:rPr>
                <w:sz w:val="20"/>
                <w:szCs w:val="20"/>
              </w:rPr>
            </w:pPr>
            <w:r>
              <w:rPr>
                <w:rFonts w:cs="Times Unicode"/>
                <w:sz w:val="20"/>
                <w:szCs w:val="20"/>
              </w:rPr>
              <w:t>168.2</w:t>
            </w:r>
          </w:p>
        </w:tc>
        <w:tc>
          <w:tcPr>
            <w:tcW w:w="1779" w:type="dxa"/>
            <w:tcBorders>
              <w:top w:val="thinThickSmallGap" w:sz="24" w:space="0" w:color="auto"/>
              <w:left w:val="nil"/>
              <w:bottom w:val="single" w:sz="4" w:space="0" w:color="auto"/>
              <w:right w:val="nil"/>
            </w:tcBorders>
            <w:vAlign w:val="center"/>
          </w:tcPr>
          <w:p w14:paraId="7E0196E0" w14:textId="77777777" w:rsidR="00F1465E" w:rsidRPr="001C0E74" w:rsidRDefault="00F1465E" w:rsidP="00231073">
            <w:pPr>
              <w:spacing w:before="0" w:after="0" w:line="240" w:lineRule="auto"/>
              <w:ind w:firstLine="77"/>
              <w:jc w:val="center"/>
              <w:rPr>
                <w:sz w:val="20"/>
                <w:szCs w:val="20"/>
              </w:rPr>
            </w:pPr>
            <w:r>
              <w:rPr>
                <w:rFonts w:cs="Times Unicode"/>
                <w:sz w:val="20"/>
                <w:szCs w:val="20"/>
              </w:rPr>
              <w:t>102.1</w:t>
            </w:r>
          </w:p>
        </w:tc>
      </w:tr>
      <w:tr w:rsidR="00F1465E" w:rsidRPr="00AC67B2" w14:paraId="1E849D2D" w14:textId="77777777" w:rsidTr="00231073">
        <w:trPr>
          <w:trHeight w:val="335"/>
          <w:jc w:val="center"/>
        </w:trPr>
        <w:tc>
          <w:tcPr>
            <w:tcW w:w="3729" w:type="dxa"/>
            <w:tcBorders>
              <w:top w:val="single" w:sz="4" w:space="0" w:color="auto"/>
              <w:left w:val="nil"/>
              <w:bottom w:val="thickThinSmallGap" w:sz="24" w:space="0" w:color="auto"/>
              <w:right w:val="nil"/>
            </w:tcBorders>
            <w:vAlign w:val="center"/>
          </w:tcPr>
          <w:p w14:paraId="67CA46F2" w14:textId="77777777" w:rsidR="00F1465E" w:rsidRPr="00AC67B2" w:rsidRDefault="00F1465E" w:rsidP="00231073">
            <w:pPr>
              <w:spacing w:before="0" w:after="0" w:line="240" w:lineRule="auto"/>
              <w:ind w:firstLine="77"/>
              <w:jc w:val="left"/>
              <w:rPr>
                <w:sz w:val="20"/>
                <w:szCs w:val="20"/>
                <w:lang w:val="hy-AM"/>
              </w:rPr>
            </w:pPr>
            <w:r w:rsidRPr="00AC67B2">
              <w:rPr>
                <w:rFonts w:cs="Times Unicode"/>
                <w:sz w:val="20"/>
                <w:szCs w:val="20"/>
                <w:lang w:val="hy-AM"/>
              </w:rPr>
              <w:t>Արտաքին վարկեր, մլրդ դրամ</w:t>
            </w:r>
          </w:p>
        </w:tc>
        <w:tc>
          <w:tcPr>
            <w:tcW w:w="1717" w:type="dxa"/>
            <w:tcBorders>
              <w:top w:val="single" w:sz="4" w:space="0" w:color="auto"/>
              <w:left w:val="nil"/>
              <w:bottom w:val="thickThinSmallGap" w:sz="24" w:space="0" w:color="auto"/>
              <w:right w:val="nil"/>
            </w:tcBorders>
            <w:vAlign w:val="center"/>
          </w:tcPr>
          <w:p w14:paraId="56109139" w14:textId="77777777" w:rsidR="00F1465E" w:rsidRPr="00DE2EAD" w:rsidRDefault="00F1465E" w:rsidP="00231073">
            <w:pPr>
              <w:spacing w:before="0" w:after="0" w:line="240" w:lineRule="auto"/>
              <w:ind w:firstLine="77"/>
              <w:jc w:val="center"/>
              <w:rPr>
                <w:sz w:val="20"/>
                <w:szCs w:val="20"/>
              </w:rPr>
            </w:pPr>
            <w:r>
              <w:rPr>
                <w:sz w:val="20"/>
                <w:szCs w:val="20"/>
              </w:rPr>
              <w:t>173.1</w:t>
            </w:r>
          </w:p>
        </w:tc>
        <w:tc>
          <w:tcPr>
            <w:tcW w:w="1224" w:type="dxa"/>
            <w:tcBorders>
              <w:top w:val="single" w:sz="4" w:space="0" w:color="auto"/>
              <w:left w:val="nil"/>
              <w:bottom w:val="thickThinSmallGap" w:sz="24" w:space="0" w:color="auto"/>
              <w:right w:val="nil"/>
            </w:tcBorders>
            <w:vAlign w:val="center"/>
          </w:tcPr>
          <w:p w14:paraId="54A01358" w14:textId="77777777" w:rsidR="00F1465E" w:rsidRPr="001C0E74" w:rsidRDefault="00F1465E" w:rsidP="00231073">
            <w:pPr>
              <w:spacing w:before="0" w:after="0" w:line="240" w:lineRule="auto"/>
              <w:ind w:firstLine="77"/>
              <w:jc w:val="center"/>
              <w:rPr>
                <w:rFonts w:cs="Times Unicode"/>
                <w:sz w:val="20"/>
                <w:szCs w:val="20"/>
              </w:rPr>
            </w:pPr>
            <w:r>
              <w:rPr>
                <w:rFonts w:cs="Times Unicode"/>
                <w:sz w:val="20"/>
                <w:szCs w:val="20"/>
              </w:rPr>
              <w:t>81.6</w:t>
            </w:r>
          </w:p>
        </w:tc>
        <w:tc>
          <w:tcPr>
            <w:tcW w:w="1779" w:type="dxa"/>
            <w:tcBorders>
              <w:top w:val="single" w:sz="4" w:space="0" w:color="auto"/>
              <w:left w:val="nil"/>
              <w:bottom w:val="thickThinSmallGap" w:sz="24" w:space="0" w:color="auto"/>
              <w:right w:val="nil"/>
            </w:tcBorders>
            <w:vAlign w:val="center"/>
          </w:tcPr>
          <w:p w14:paraId="1C12F66E" w14:textId="77777777" w:rsidR="00F1465E" w:rsidRPr="00DE2EAD" w:rsidRDefault="00F1465E" w:rsidP="00231073">
            <w:pPr>
              <w:spacing w:before="0" w:after="0" w:line="240" w:lineRule="auto"/>
              <w:ind w:firstLine="77"/>
              <w:jc w:val="center"/>
              <w:rPr>
                <w:rFonts w:cs="Times Unicode"/>
                <w:sz w:val="20"/>
                <w:szCs w:val="20"/>
              </w:rPr>
            </w:pPr>
            <w:r>
              <w:rPr>
                <w:rFonts w:cs="Times Unicode"/>
                <w:sz w:val="20"/>
                <w:szCs w:val="20"/>
              </w:rPr>
              <w:t>49.6</w:t>
            </w:r>
          </w:p>
        </w:tc>
      </w:tr>
    </w:tbl>
    <w:p w14:paraId="608E7833" w14:textId="77777777" w:rsidR="00F1465E" w:rsidRPr="004A5795" w:rsidRDefault="00F1465E" w:rsidP="00F1465E">
      <w:pPr>
        <w:spacing w:before="0" w:after="0" w:line="360" w:lineRule="auto"/>
        <w:ind w:left="357"/>
        <w:rPr>
          <w:rFonts w:cs="Times Unicode"/>
          <w:lang w:val="hy-AM"/>
        </w:rPr>
      </w:pPr>
    </w:p>
    <w:p w14:paraId="54A626DA" w14:textId="77777777" w:rsidR="00F1465E" w:rsidRPr="00AC67B2" w:rsidRDefault="00F1465E" w:rsidP="00F1465E">
      <w:pPr>
        <w:numPr>
          <w:ilvl w:val="0"/>
          <w:numId w:val="10"/>
        </w:numPr>
        <w:spacing w:before="120" w:after="0" w:line="360" w:lineRule="auto"/>
        <w:ind w:left="357" w:hanging="357"/>
        <w:rPr>
          <w:rFonts w:cs="Times Unicode"/>
          <w:lang w:val="hy-AM"/>
        </w:rPr>
      </w:pPr>
      <w:r w:rsidRPr="00AC67B2">
        <w:rPr>
          <w:rFonts w:cs="Times Unicode"/>
          <w:lang w:val="hy-AM"/>
        </w:rPr>
        <w:t>201</w:t>
      </w:r>
      <w:r w:rsidRPr="00A205DB">
        <w:rPr>
          <w:rFonts w:cs="Times Unicode"/>
          <w:lang w:val="hy-AM"/>
        </w:rPr>
        <w:t>9</w:t>
      </w:r>
      <w:r w:rsidRPr="00AC67B2">
        <w:rPr>
          <w:rFonts w:cs="Times Unicode"/>
          <w:lang w:val="hy-AM"/>
        </w:rPr>
        <w:t xml:space="preserve">թ. </w:t>
      </w:r>
      <w:r w:rsidRPr="006466FC">
        <w:rPr>
          <w:rFonts w:cs="Times Unicode"/>
          <w:lang w:val="hy-AM"/>
        </w:rPr>
        <w:t xml:space="preserve">ընթացքում արտարժութային պետական պարտատոմսերի </w:t>
      </w:r>
      <w:r w:rsidRPr="00AC67B2">
        <w:rPr>
          <w:rFonts w:cs="Times Unicode"/>
          <w:lang w:val="hy-AM"/>
        </w:rPr>
        <w:t xml:space="preserve">գծով </w:t>
      </w:r>
      <w:r w:rsidRPr="006466FC">
        <w:rPr>
          <w:rFonts w:cs="Times Unicode"/>
          <w:lang w:val="hy-AM"/>
        </w:rPr>
        <w:t>իրականացված</w:t>
      </w:r>
      <w:r w:rsidRPr="00AC67B2">
        <w:rPr>
          <w:rFonts w:cs="Times Unicode"/>
          <w:lang w:val="hy-AM"/>
        </w:rPr>
        <w:t xml:space="preserve"> գործառնությունները.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608"/>
        <w:gridCol w:w="1931"/>
        <w:gridCol w:w="1224"/>
        <w:gridCol w:w="1779"/>
      </w:tblGrid>
      <w:tr w:rsidR="00F1465E" w:rsidRPr="00BA003B" w14:paraId="2EE59947" w14:textId="77777777" w:rsidTr="00231073">
        <w:trPr>
          <w:trHeight w:val="479"/>
          <w:tblHeader/>
          <w:jc w:val="center"/>
        </w:trPr>
        <w:tc>
          <w:tcPr>
            <w:tcW w:w="3465" w:type="dxa"/>
            <w:tcBorders>
              <w:top w:val="thinThickThinSmallGap" w:sz="24" w:space="0" w:color="auto"/>
              <w:left w:val="nil"/>
              <w:bottom w:val="thinThickSmallGap" w:sz="24" w:space="0" w:color="auto"/>
              <w:right w:val="nil"/>
            </w:tcBorders>
            <w:shd w:val="clear" w:color="auto" w:fill="0B70B5"/>
            <w:vAlign w:val="center"/>
          </w:tcPr>
          <w:p w14:paraId="052D495F" w14:textId="77777777" w:rsidR="00F1465E" w:rsidRPr="00C35116" w:rsidRDefault="00F1465E" w:rsidP="00231073">
            <w:pPr>
              <w:spacing w:before="0" w:after="0" w:line="240" w:lineRule="auto"/>
              <w:ind w:firstLine="109"/>
              <w:jc w:val="center"/>
              <w:rPr>
                <w:color w:val="FFFFFF" w:themeColor="background1"/>
                <w:sz w:val="20"/>
                <w:szCs w:val="20"/>
                <w:lang w:val="hy-AM"/>
              </w:rPr>
            </w:pPr>
            <w:r w:rsidRPr="00C35116">
              <w:rPr>
                <w:color w:val="FFFFFF" w:themeColor="background1"/>
                <w:sz w:val="20"/>
                <w:szCs w:val="20"/>
                <w:lang w:val="hy-AM"/>
              </w:rPr>
              <w:t>201</w:t>
            </w:r>
            <w:r w:rsidRPr="00C35116">
              <w:rPr>
                <w:color w:val="FFFFFF" w:themeColor="background1"/>
                <w:sz w:val="20"/>
                <w:szCs w:val="20"/>
              </w:rPr>
              <w:t>9</w:t>
            </w:r>
            <w:r w:rsidRPr="00C35116">
              <w:rPr>
                <w:color w:val="FFFFFF" w:themeColor="background1"/>
                <w:sz w:val="20"/>
                <w:szCs w:val="20"/>
                <w:lang w:val="hy-AM"/>
              </w:rPr>
              <w:t>թ.</w:t>
            </w:r>
          </w:p>
        </w:tc>
        <w:tc>
          <w:tcPr>
            <w:tcW w:w="1608" w:type="dxa"/>
            <w:tcBorders>
              <w:top w:val="thinThickThinSmallGap" w:sz="24" w:space="0" w:color="auto"/>
              <w:left w:val="nil"/>
              <w:bottom w:val="thinThickSmallGap" w:sz="24" w:space="0" w:color="auto"/>
              <w:right w:val="nil"/>
            </w:tcBorders>
            <w:shd w:val="clear" w:color="auto" w:fill="0B70B5"/>
            <w:vAlign w:val="center"/>
          </w:tcPr>
          <w:p w14:paraId="356482A0" w14:textId="77777777" w:rsidR="00F1465E" w:rsidRPr="00C35116" w:rsidRDefault="00F1465E" w:rsidP="00231073">
            <w:pPr>
              <w:spacing w:before="0" w:after="0" w:line="240" w:lineRule="auto"/>
              <w:ind w:firstLine="109"/>
              <w:jc w:val="center"/>
              <w:rPr>
                <w:color w:val="FFFFFF" w:themeColor="background1"/>
                <w:sz w:val="20"/>
                <w:szCs w:val="20"/>
                <w:lang w:val="hy-AM"/>
              </w:rPr>
            </w:pPr>
            <w:r w:rsidRPr="00C35116">
              <w:rPr>
                <w:color w:val="FFFFFF" w:themeColor="background1"/>
                <w:sz w:val="20"/>
                <w:szCs w:val="20"/>
              </w:rPr>
              <w:t>Թողարկման ծավալը</w:t>
            </w:r>
          </w:p>
        </w:tc>
        <w:tc>
          <w:tcPr>
            <w:tcW w:w="1931" w:type="dxa"/>
            <w:tcBorders>
              <w:top w:val="thinThickThinSmallGap" w:sz="24" w:space="0" w:color="auto"/>
              <w:left w:val="nil"/>
              <w:bottom w:val="thinThickSmallGap" w:sz="24" w:space="0" w:color="auto"/>
              <w:right w:val="nil"/>
            </w:tcBorders>
            <w:shd w:val="clear" w:color="auto" w:fill="0B70B5"/>
            <w:vAlign w:val="center"/>
          </w:tcPr>
          <w:p w14:paraId="6BF4080B" w14:textId="77777777" w:rsidR="00F1465E" w:rsidRPr="00C35116" w:rsidRDefault="00F1465E" w:rsidP="00231073">
            <w:pPr>
              <w:spacing w:before="0" w:after="0" w:line="240" w:lineRule="auto"/>
              <w:ind w:firstLine="109"/>
              <w:jc w:val="center"/>
              <w:rPr>
                <w:color w:val="FFFFFF" w:themeColor="background1"/>
                <w:sz w:val="20"/>
                <w:szCs w:val="20"/>
                <w:lang w:val="hy-AM"/>
              </w:rPr>
            </w:pPr>
            <w:r w:rsidRPr="00C35116">
              <w:rPr>
                <w:color w:val="FFFFFF" w:themeColor="background1"/>
                <w:sz w:val="20"/>
                <w:szCs w:val="20"/>
                <w:lang w:val="hy-AM"/>
              </w:rPr>
              <w:t>Տեղաբաշխումից մուտքը</w:t>
            </w:r>
          </w:p>
        </w:tc>
        <w:tc>
          <w:tcPr>
            <w:tcW w:w="1224" w:type="dxa"/>
            <w:tcBorders>
              <w:top w:val="thinThickThinSmallGap" w:sz="24" w:space="0" w:color="auto"/>
              <w:left w:val="nil"/>
              <w:bottom w:val="thinThickSmallGap" w:sz="24" w:space="0" w:color="auto"/>
              <w:right w:val="nil"/>
            </w:tcBorders>
            <w:shd w:val="clear" w:color="auto" w:fill="0B70B5"/>
            <w:vAlign w:val="center"/>
          </w:tcPr>
          <w:p w14:paraId="0BE5789F" w14:textId="77777777" w:rsidR="00F1465E" w:rsidRPr="00C35116" w:rsidRDefault="00F1465E" w:rsidP="00231073">
            <w:pPr>
              <w:spacing w:before="0" w:after="0" w:line="240" w:lineRule="auto"/>
              <w:ind w:firstLine="109"/>
              <w:jc w:val="center"/>
              <w:rPr>
                <w:color w:val="FFFFFF" w:themeColor="background1"/>
                <w:sz w:val="20"/>
                <w:szCs w:val="20"/>
              </w:rPr>
            </w:pPr>
            <w:r w:rsidRPr="00C35116">
              <w:rPr>
                <w:color w:val="FFFFFF" w:themeColor="background1"/>
                <w:sz w:val="20"/>
                <w:szCs w:val="20"/>
                <w:lang w:val="hy-AM"/>
              </w:rPr>
              <w:t>Մարման և հետգնման ծավալ</w:t>
            </w:r>
            <w:r w:rsidRPr="00C35116">
              <w:rPr>
                <w:color w:val="FFFFFF" w:themeColor="background1"/>
                <w:sz w:val="20"/>
                <w:szCs w:val="20"/>
              </w:rPr>
              <w:t>ը</w:t>
            </w:r>
          </w:p>
        </w:tc>
        <w:tc>
          <w:tcPr>
            <w:tcW w:w="1779" w:type="dxa"/>
            <w:tcBorders>
              <w:top w:val="thinThickThinSmallGap" w:sz="24" w:space="0" w:color="auto"/>
              <w:left w:val="nil"/>
              <w:bottom w:val="thinThickSmallGap" w:sz="24" w:space="0" w:color="auto"/>
              <w:right w:val="nil"/>
            </w:tcBorders>
            <w:shd w:val="clear" w:color="auto" w:fill="0B70B5"/>
            <w:vAlign w:val="center"/>
          </w:tcPr>
          <w:p w14:paraId="7D513184" w14:textId="77777777" w:rsidR="00F1465E" w:rsidRPr="00C35116" w:rsidRDefault="00F1465E" w:rsidP="00231073">
            <w:pPr>
              <w:spacing w:before="0" w:after="0" w:line="240" w:lineRule="auto"/>
              <w:ind w:firstLine="109"/>
              <w:jc w:val="center"/>
              <w:rPr>
                <w:color w:val="FFFFFF" w:themeColor="background1"/>
                <w:sz w:val="20"/>
                <w:szCs w:val="20"/>
              </w:rPr>
            </w:pPr>
            <w:r w:rsidRPr="00C35116">
              <w:rPr>
                <w:color w:val="FFFFFF" w:themeColor="background1"/>
                <w:sz w:val="20"/>
                <w:szCs w:val="20"/>
                <w:lang w:val="hy-AM"/>
              </w:rPr>
              <w:t>Վճարված տոկոսագումար</w:t>
            </w:r>
            <w:r w:rsidRPr="00C35116">
              <w:rPr>
                <w:color w:val="FFFFFF" w:themeColor="background1"/>
                <w:sz w:val="20"/>
                <w:szCs w:val="20"/>
              </w:rPr>
              <w:t>ը</w:t>
            </w:r>
          </w:p>
        </w:tc>
      </w:tr>
      <w:tr w:rsidR="00F1465E" w:rsidRPr="00AC67B2" w14:paraId="2978E776" w14:textId="77777777" w:rsidTr="00231073">
        <w:trPr>
          <w:trHeight w:val="335"/>
          <w:jc w:val="center"/>
        </w:trPr>
        <w:tc>
          <w:tcPr>
            <w:tcW w:w="3465" w:type="dxa"/>
            <w:tcBorders>
              <w:top w:val="thinThickSmallGap" w:sz="24" w:space="0" w:color="auto"/>
              <w:left w:val="nil"/>
              <w:bottom w:val="single" w:sz="4" w:space="0" w:color="auto"/>
              <w:right w:val="nil"/>
            </w:tcBorders>
            <w:vAlign w:val="center"/>
          </w:tcPr>
          <w:p w14:paraId="39360A3E" w14:textId="77777777" w:rsidR="00F1465E" w:rsidRPr="00BB70F2" w:rsidRDefault="00F1465E" w:rsidP="00231073">
            <w:pPr>
              <w:spacing w:before="0" w:after="0" w:line="240" w:lineRule="auto"/>
              <w:ind w:firstLine="109"/>
              <w:jc w:val="left"/>
              <w:rPr>
                <w:rFonts w:cs="Times Unicode"/>
                <w:sz w:val="20"/>
                <w:szCs w:val="20"/>
                <w:lang w:val="hy-AM"/>
              </w:rPr>
            </w:pPr>
            <w:r w:rsidRPr="00BB70F2">
              <w:rPr>
                <w:rFonts w:cs="Times Unicode"/>
                <w:sz w:val="20"/>
                <w:szCs w:val="20"/>
                <w:lang w:val="hy-AM"/>
              </w:rPr>
              <w:t>Արտարժութային պետական պարտատոմսեր</w:t>
            </w:r>
            <w:r w:rsidRPr="00AC67B2">
              <w:rPr>
                <w:rFonts w:cs="Times Unicode"/>
                <w:sz w:val="20"/>
                <w:szCs w:val="20"/>
                <w:lang w:val="hy-AM"/>
              </w:rPr>
              <w:t>, մլն ԱՄՆ դոլար</w:t>
            </w:r>
          </w:p>
        </w:tc>
        <w:tc>
          <w:tcPr>
            <w:tcW w:w="1608" w:type="dxa"/>
            <w:tcBorders>
              <w:top w:val="thinThickSmallGap" w:sz="24" w:space="0" w:color="auto"/>
              <w:left w:val="nil"/>
              <w:bottom w:val="single" w:sz="4" w:space="0" w:color="auto"/>
              <w:right w:val="nil"/>
            </w:tcBorders>
            <w:vAlign w:val="center"/>
          </w:tcPr>
          <w:p w14:paraId="6933B101" w14:textId="77777777" w:rsidR="00F1465E" w:rsidRPr="00BB70F2" w:rsidRDefault="00F1465E" w:rsidP="00231073">
            <w:pPr>
              <w:spacing w:before="0" w:after="0" w:line="240" w:lineRule="auto"/>
              <w:ind w:firstLine="109"/>
              <w:jc w:val="center"/>
              <w:rPr>
                <w:sz w:val="20"/>
                <w:szCs w:val="20"/>
              </w:rPr>
            </w:pPr>
            <w:r>
              <w:rPr>
                <w:sz w:val="20"/>
                <w:szCs w:val="20"/>
              </w:rPr>
              <w:t>500.0</w:t>
            </w:r>
          </w:p>
        </w:tc>
        <w:tc>
          <w:tcPr>
            <w:tcW w:w="1931" w:type="dxa"/>
            <w:tcBorders>
              <w:top w:val="thinThickSmallGap" w:sz="24" w:space="0" w:color="auto"/>
              <w:left w:val="nil"/>
              <w:bottom w:val="single" w:sz="4" w:space="0" w:color="auto"/>
              <w:right w:val="nil"/>
            </w:tcBorders>
            <w:vAlign w:val="center"/>
          </w:tcPr>
          <w:p w14:paraId="7F1A7450" w14:textId="77777777" w:rsidR="00F1465E" w:rsidRDefault="00F1465E" w:rsidP="00231073">
            <w:pPr>
              <w:spacing w:before="0" w:after="0" w:line="240" w:lineRule="auto"/>
              <w:ind w:firstLine="109"/>
              <w:jc w:val="center"/>
              <w:rPr>
                <w:sz w:val="20"/>
                <w:szCs w:val="20"/>
              </w:rPr>
            </w:pPr>
            <w:r>
              <w:rPr>
                <w:sz w:val="20"/>
                <w:szCs w:val="20"/>
              </w:rPr>
              <w:t>489.9</w:t>
            </w:r>
          </w:p>
        </w:tc>
        <w:tc>
          <w:tcPr>
            <w:tcW w:w="1224" w:type="dxa"/>
            <w:tcBorders>
              <w:top w:val="thinThickSmallGap" w:sz="24" w:space="0" w:color="auto"/>
              <w:left w:val="nil"/>
              <w:bottom w:val="single" w:sz="4" w:space="0" w:color="auto"/>
              <w:right w:val="nil"/>
            </w:tcBorders>
            <w:vAlign w:val="center"/>
          </w:tcPr>
          <w:p w14:paraId="34ED120E" w14:textId="77777777" w:rsidR="00F1465E" w:rsidRPr="00AC67B2" w:rsidRDefault="00F1465E" w:rsidP="00231073">
            <w:pPr>
              <w:spacing w:before="0" w:after="0" w:line="240" w:lineRule="auto"/>
              <w:ind w:firstLine="109"/>
              <w:jc w:val="center"/>
              <w:rPr>
                <w:sz w:val="20"/>
                <w:szCs w:val="20"/>
                <w:lang w:val="hy-AM"/>
              </w:rPr>
            </w:pPr>
            <w:r>
              <w:rPr>
                <w:sz w:val="20"/>
                <w:szCs w:val="20"/>
              </w:rPr>
              <w:t>402.4</w:t>
            </w:r>
          </w:p>
        </w:tc>
        <w:tc>
          <w:tcPr>
            <w:tcW w:w="1779" w:type="dxa"/>
            <w:tcBorders>
              <w:top w:val="thinThickSmallGap" w:sz="24" w:space="0" w:color="auto"/>
              <w:left w:val="nil"/>
              <w:bottom w:val="single" w:sz="4" w:space="0" w:color="auto"/>
              <w:right w:val="nil"/>
            </w:tcBorders>
            <w:vAlign w:val="center"/>
          </w:tcPr>
          <w:p w14:paraId="05DA79A2" w14:textId="77777777" w:rsidR="00F1465E" w:rsidRPr="00E75CDC" w:rsidRDefault="00F1465E" w:rsidP="00231073">
            <w:pPr>
              <w:spacing w:before="0" w:after="0" w:line="240" w:lineRule="auto"/>
              <w:ind w:firstLine="109"/>
              <w:jc w:val="center"/>
              <w:rPr>
                <w:sz w:val="20"/>
                <w:szCs w:val="20"/>
              </w:rPr>
            </w:pPr>
            <w:r w:rsidRPr="00E75CDC">
              <w:rPr>
                <w:rFonts w:cs="Times Unicode"/>
                <w:sz w:val="20"/>
                <w:szCs w:val="20"/>
              </w:rPr>
              <w:t>79.1</w:t>
            </w:r>
          </w:p>
        </w:tc>
      </w:tr>
      <w:tr w:rsidR="00F1465E" w:rsidRPr="00AC67B2" w14:paraId="463D96F9" w14:textId="77777777" w:rsidTr="00231073">
        <w:trPr>
          <w:trHeight w:val="335"/>
          <w:jc w:val="center"/>
        </w:trPr>
        <w:tc>
          <w:tcPr>
            <w:tcW w:w="3465" w:type="dxa"/>
            <w:tcBorders>
              <w:top w:val="single" w:sz="4" w:space="0" w:color="auto"/>
              <w:left w:val="nil"/>
              <w:bottom w:val="thickThinSmallGap" w:sz="24" w:space="0" w:color="auto"/>
              <w:right w:val="nil"/>
            </w:tcBorders>
            <w:vAlign w:val="center"/>
          </w:tcPr>
          <w:p w14:paraId="1E5468C5" w14:textId="77777777" w:rsidR="00F1465E" w:rsidRPr="00AC67B2" w:rsidRDefault="00F1465E" w:rsidP="00231073">
            <w:pPr>
              <w:spacing w:before="0" w:after="0" w:line="240" w:lineRule="auto"/>
              <w:ind w:firstLine="109"/>
              <w:jc w:val="left"/>
              <w:rPr>
                <w:sz w:val="20"/>
                <w:szCs w:val="20"/>
                <w:lang w:val="hy-AM"/>
              </w:rPr>
            </w:pPr>
            <w:r w:rsidRPr="00BB70F2">
              <w:rPr>
                <w:rFonts w:cs="Times Unicode"/>
                <w:sz w:val="20"/>
                <w:szCs w:val="20"/>
                <w:lang w:val="hy-AM"/>
              </w:rPr>
              <w:t>Արտարժութային պետական պարտատոմսեր</w:t>
            </w:r>
            <w:r w:rsidRPr="00AC67B2">
              <w:rPr>
                <w:rFonts w:cs="Times Unicode"/>
                <w:sz w:val="20"/>
                <w:szCs w:val="20"/>
                <w:lang w:val="hy-AM"/>
              </w:rPr>
              <w:t>, մլրդ դրամ</w:t>
            </w:r>
          </w:p>
        </w:tc>
        <w:tc>
          <w:tcPr>
            <w:tcW w:w="1608" w:type="dxa"/>
            <w:tcBorders>
              <w:top w:val="single" w:sz="4" w:space="0" w:color="auto"/>
              <w:left w:val="nil"/>
              <w:bottom w:val="thickThinSmallGap" w:sz="24" w:space="0" w:color="auto"/>
              <w:right w:val="nil"/>
            </w:tcBorders>
            <w:vAlign w:val="center"/>
          </w:tcPr>
          <w:p w14:paraId="27440B4F" w14:textId="77777777" w:rsidR="00F1465E" w:rsidRPr="00E75CDC" w:rsidRDefault="00F1465E" w:rsidP="00231073">
            <w:pPr>
              <w:spacing w:before="0" w:after="0" w:line="240" w:lineRule="auto"/>
              <w:ind w:firstLine="109"/>
              <w:jc w:val="center"/>
              <w:rPr>
                <w:sz w:val="20"/>
                <w:szCs w:val="20"/>
                <w:lang w:val="hy-AM"/>
              </w:rPr>
            </w:pPr>
            <w:r>
              <w:rPr>
                <w:sz w:val="20"/>
                <w:szCs w:val="20"/>
              </w:rPr>
              <w:t>235.8</w:t>
            </w:r>
          </w:p>
        </w:tc>
        <w:tc>
          <w:tcPr>
            <w:tcW w:w="1931" w:type="dxa"/>
            <w:tcBorders>
              <w:top w:val="single" w:sz="4" w:space="0" w:color="auto"/>
              <w:left w:val="nil"/>
              <w:bottom w:val="thickThinSmallGap" w:sz="24" w:space="0" w:color="auto"/>
              <w:right w:val="nil"/>
            </w:tcBorders>
            <w:vAlign w:val="center"/>
          </w:tcPr>
          <w:p w14:paraId="7872A2F2" w14:textId="77777777" w:rsidR="00F1465E" w:rsidRPr="00E75CDC" w:rsidRDefault="00F1465E" w:rsidP="00231073">
            <w:pPr>
              <w:spacing w:before="0" w:after="0" w:line="240" w:lineRule="auto"/>
              <w:ind w:firstLine="109"/>
              <w:jc w:val="center"/>
              <w:rPr>
                <w:sz w:val="20"/>
                <w:szCs w:val="20"/>
              </w:rPr>
            </w:pPr>
            <w:r>
              <w:rPr>
                <w:sz w:val="20"/>
                <w:szCs w:val="20"/>
              </w:rPr>
              <w:t>231.0</w:t>
            </w:r>
          </w:p>
        </w:tc>
        <w:tc>
          <w:tcPr>
            <w:tcW w:w="1224" w:type="dxa"/>
            <w:tcBorders>
              <w:top w:val="single" w:sz="4" w:space="0" w:color="auto"/>
              <w:left w:val="nil"/>
              <w:bottom w:val="thickThinSmallGap" w:sz="24" w:space="0" w:color="auto"/>
              <w:right w:val="nil"/>
            </w:tcBorders>
            <w:vAlign w:val="center"/>
          </w:tcPr>
          <w:p w14:paraId="60E22888" w14:textId="77777777" w:rsidR="00F1465E" w:rsidRPr="00E75CDC" w:rsidRDefault="00F1465E" w:rsidP="00231073">
            <w:pPr>
              <w:spacing w:before="0" w:after="0" w:line="240" w:lineRule="auto"/>
              <w:ind w:firstLine="109"/>
              <w:jc w:val="center"/>
              <w:rPr>
                <w:rFonts w:cs="Times Unicode"/>
                <w:sz w:val="20"/>
                <w:szCs w:val="20"/>
                <w:lang w:val="hy-AM"/>
              </w:rPr>
            </w:pPr>
            <w:r w:rsidRPr="00E75CDC">
              <w:rPr>
                <w:sz w:val="20"/>
                <w:szCs w:val="20"/>
              </w:rPr>
              <w:t>189.8</w:t>
            </w:r>
          </w:p>
        </w:tc>
        <w:tc>
          <w:tcPr>
            <w:tcW w:w="1779" w:type="dxa"/>
            <w:tcBorders>
              <w:top w:val="single" w:sz="4" w:space="0" w:color="auto"/>
              <w:left w:val="nil"/>
              <w:bottom w:val="thickThinSmallGap" w:sz="24" w:space="0" w:color="auto"/>
              <w:right w:val="nil"/>
            </w:tcBorders>
            <w:vAlign w:val="center"/>
          </w:tcPr>
          <w:p w14:paraId="5F39C4BE" w14:textId="77777777" w:rsidR="00F1465E" w:rsidRPr="00DE2EAD" w:rsidRDefault="00F1465E" w:rsidP="00231073">
            <w:pPr>
              <w:spacing w:before="0" w:after="0" w:line="240" w:lineRule="auto"/>
              <w:ind w:firstLine="109"/>
              <w:jc w:val="center"/>
              <w:rPr>
                <w:rFonts w:cs="Times Unicode"/>
                <w:sz w:val="20"/>
                <w:szCs w:val="20"/>
              </w:rPr>
            </w:pPr>
            <w:r>
              <w:rPr>
                <w:rFonts w:cs="Times Unicode"/>
                <w:sz w:val="20"/>
                <w:szCs w:val="20"/>
              </w:rPr>
              <w:t>38.1</w:t>
            </w:r>
          </w:p>
        </w:tc>
      </w:tr>
    </w:tbl>
    <w:p w14:paraId="43D5A227" w14:textId="77777777" w:rsidR="00F1465E" w:rsidRPr="00AC67B2" w:rsidRDefault="00F1465E" w:rsidP="00F1465E">
      <w:pPr>
        <w:spacing w:before="0" w:after="0" w:line="360" w:lineRule="auto"/>
        <w:ind w:left="360"/>
        <w:rPr>
          <w:rFonts w:cs="Times Unicode"/>
          <w:lang w:val="hy-AM"/>
        </w:rPr>
      </w:pPr>
    </w:p>
    <w:p w14:paraId="75BA87E2" w14:textId="77777777" w:rsidR="00F1465E" w:rsidRPr="00AC67B2" w:rsidRDefault="00F1465E" w:rsidP="00F1465E">
      <w:pPr>
        <w:tabs>
          <w:tab w:val="left" w:pos="993"/>
        </w:tabs>
        <w:spacing w:line="360" w:lineRule="auto"/>
        <w:rPr>
          <w:rFonts w:cs="Sylfaen"/>
          <w:b/>
          <w:lang w:val="hy-AM"/>
        </w:rPr>
      </w:pPr>
      <w:r w:rsidRPr="00AC67B2">
        <w:rPr>
          <w:rFonts w:cs="Sylfaen"/>
          <w:b/>
          <w:lang w:val="hy-AM"/>
        </w:rPr>
        <w:br w:type="page"/>
      </w:r>
      <w:r w:rsidRPr="00AC67B2">
        <w:rPr>
          <w:rFonts w:cs="Sylfaen"/>
          <w:b/>
          <w:lang w:val="hy-AM"/>
        </w:rPr>
        <w:lastRenderedPageBreak/>
        <w:t>ՀՀ կառավարության պարտքի պորտֆելի ծախսերի ու ռիսկերի նկարագիրը</w:t>
      </w:r>
    </w:p>
    <w:p w14:paraId="0FFBE184" w14:textId="77777777" w:rsidR="00F1465E" w:rsidRPr="00AC67B2" w:rsidRDefault="00F1465E" w:rsidP="009A7904">
      <w:pPr>
        <w:tabs>
          <w:tab w:val="left" w:pos="993"/>
        </w:tabs>
        <w:spacing w:line="276" w:lineRule="auto"/>
        <w:ind w:firstLine="562"/>
        <w:rPr>
          <w:rFonts w:cs="Sylfaen"/>
          <w:b/>
          <w:lang w:val="hy-AM"/>
        </w:rPr>
      </w:pPr>
    </w:p>
    <w:p w14:paraId="4D073488" w14:textId="77777777" w:rsidR="00F1465E" w:rsidRPr="00AC67B2" w:rsidRDefault="00F1465E" w:rsidP="009A7904">
      <w:pPr>
        <w:spacing w:line="276" w:lineRule="auto"/>
        <w:ind w:firstLine="562"/>
        <w:rPr>
          <w:rFonts w:cs="Times Unicode"/>
          <w:lang w:val="hy-AM"/>
        </w:rPr>
      </w:pPr>
      <w:r w:rsidRPr="00AC67B2">
        <w:rPr>
          <w:rFonts w:cs="Times Unicode"/>
          <w:lang w:val="hy-AM"/>
        </w:rPr>
        <w:t>201</w:t>
      </w:r>
      <w:r w:rsidRPr="00A205DB">
        <w:rPr>
          <w:rFonts w:cs="Times Unicode"/>
          <w:lang w:val="hy-AM"/>
        </w:rPr>
        <w:t>9</w:t>
      </w:r>
      <w:r w:rsidRPr="00AC67B2">
        <w:rPr>
          <w:rFonts w:cs="Times Unicode"/>
          <w:lang w:val="hy-AM"/>
        </w:rPr>
        <w:t>թ. տարեվերջին ՀՀ կառավարության ծախսերի և ռիսկերի ցուցանիշներն ունեցել են հետևյալ տեսքը.</w:t>
      </w:r>
    </w:p>
    <w:p w14:paraId="28772C5C" w14:textId="77777777" w:rsidR="00F1465E" w:rsidRPr="009A7904" w:rsidRDefault="00F1465E" w:rsidP="009A7904">
      <w:pPr>
        <w:spacing w:line="276" w:lineRule="auto"/>
        <w:ind w:firstLine="562"/>
        <w:rPr>
          <w:rFonts w:cs="Times Unicode"/>
          <w:i/>
          <w:sz w:val="20"/>
          <w:szCs w:val="20"/>
          <w:lang w:val="hy-AM"/>
        </w:rPr>
      </w:pPr>
      <w:r w:rsidRPr="009A7904">
        <w:rPr>
          <w:rFonts w:cs="Times Unicode"/>
          <w:b/>
          <w:sz w:val="20"/>
          <w:szCs w:val="20"/>
          <w:lang w:val="hy-AM"/>
        </w:rPr>
        <w:t>Աղյուսակ 1.</w:t>
      </w:r>
      <w:r w:rsidRPr="009A7904">
        <w:rPr>
          <w:rFonts w:cs="Times Unicode"/>
          <w:sz w:val="20"/>
          <w:szCs w:val="20"/>
          <w:lang w:val="hy-AM"/>
        </w:rPr>
        <w:t xml:space="preserve"> </w:t>
      </w:r>
      <w:r w:rsidR="007B05B7" w:rsidRPr="00BE7F99">
        <w:rPr>
          <w:rFonts w:cs="Times Unicode"/>
          <w:sz w:val="20"/>
          <w:szCs w:val="20"/>
          <w:lang w:val="hy-AM"/>
        </w:rPr>
        <w:t xml:space="preserve">1 </w:t>
      </w:r>
      <w:r w:rsidRPr="009A7904">
        <w:rPr>
          <w:rFonts w:cs="Times Unicode"/>
          <w:i/>
          <w:sz w:val="20"/>
          <w:szCs w:val="20"/>
          <w:lang w:val="hy-AM"/>
        </w:rPr>
        <w:t>ՀՀ կառավարության պարտքի ծախսերի և ռիսկերի ցուցանիշները 31.12.2019թ. դրությամբ</w:t>
      </w:r>
    </w:p>
    <w:tbl>
      <w:tblPr>
        <w:tblW w:w="10316" w:type="dxa"/>
        <w:tblInd w:w="108" w:type="dxa"/>
        <w:tblLook w:val="04A0" w:firstRow="1" w:lastRow="0" w:firstColumn="1" w:lastColumn="0" w:noHBand="0" w:noVBand="1"/>
      </w:tblPr>
      <w:tblGrid>
        <w:gridCol w:w="2389"/>
        <w:gridCol w:w="3136"/>
        <w:gridCol w:w="1890"/>
        <w:gridCol w:w="1356"/>
        <w:gridCol w:w="1589"/>
      </w:tblGrid>
      <w:tr w:rsidR="00F1465E" w:rsidRPr="00AC67B2" w14:paraId="0852C2D5" w14:textId="77777777" w:rsidTr="00231073">
        <w:trPr>
          <w:trHeight w:val="312"/>
          <w:tblHeader/>
        </w:trPr>
        <w:tc>
          <w:tcPr>
            <w:tcW w:w="5481" w:type="dxa"/>
            <w:gridSpan w:val="2"/>
            <w:tcBorders>
              <w:top w:val="single" w:sz="4" w:space="0" w:color="auto"/>
              <w:left w:val="single" w:sz="4" w:space="0" w:color="auto"/>
              <w:bottom w:val="single" w:sz="4" w:space="0" w:color="auto"/>
              <w:right w:val="single" w:sz="4" w:space="0" w:color="000000"/>
            </w:tcBorders>
            <w:shd w:val="clear" w:color="auto" w:fill="0B70B5"/>
            <w:noWrap/>
            <w:vAlign w:val="bottom"/>
            <w:hideMark/>
          </w:tcPr>
          <w:p w14:paraId="7EED8EEC" w14:textId="77777777" w:rsidR="00F1465E" w:rsidRPr="00C35116" w:rsidRDefault="00F1465E" w:rsidP="00231073">
            <w:pPr>
              <w:spacing w:before="0" w:after="0" w:line="240" w:lineRule="auto"/>
              <w:rPr>
                <w:rFonts w:cs="Calibri"/>
                <w:color w:val="FFFFFF" w:themeColor="background1"/>
                <w:sz w:val="20"/>
                <w:szCs w:val="20"/>
                <w:lang w:val="hy-AM"/>
              </w:rPr>
            </w:pPr>
          </w:p>
        </w:tc>
        <w:tc>
          <w:tcPr>
            <w:tcW w:w="1890" w:type="dxa"/>
            <w:tcBorders>
              <w:top w:val="single" w:sz="4" w:space="0" w:color="auto"/>
              <w:left w:val="nil"/>
              <w:bottom w:val="single" w:sz="4" w:space="0" w:color="auto"/>
              <w:right w:val="single" w:sz="4" w:space="0" w:color="auto"/>
            </w:tcBorders>
            <w:shd w:val="clear" w:color="auto" w:fill="0B70B5"/>
            <w:noWrap/>
            <w:vAlign w:val="center"/>
            <w:hideMark/>
          </w:tcPr>
          <w:p w14:paraId="7A90FB34" w14:textId="77777777" w:rsidR="00F1465E" w:rsidRPr="00C35116" w:rsidRDefault="00F1465E" w:rsidP="00231073">
            <w:pPr>
              <w:spacing w:before="0" w:after="0" w:line="240" w:lineRule="auto"/>
              <w:ind w:hanging="104"/>
              <w:jc w:val="center"/>
              <w:rPr>
                <w:rFonts w:cs="Arial"/>
                <w:b/>
                <w:bCs/>
                <w:color w:val="FFFFFF" w:themeColor="background1"/>
                <w:sz w:val="20"/>
                <w:szCs w:val="20"/>
                <w:lang w:val="hy-AM"/>
              </w:rPr>
            </w:pPr>
            <w:r w:rsidRPr="00C35116">
              <w:rPr>
                <w:rFonts w:cs="Arial"/>
                <w:b/>
                <w:bCs/>
                <w:color w:val="FFFFFF" w:themeColor="background1"/>
                <w:sz w:val="20"/>
                <w:szCs w:val="20"/>
                <w:lang w:val="hy-AM"/>
              </w:rPr>
              <w:t>Արտարժութային պարտք</w:t>
            </w:r>
          </w:p>
        </w:tc>
        <w:tc>
          <w:tcPr>
            <w:tcW w:w="1356" w:type="dxa"/>
            <w:tcBorders>
              <w:top w:val="single" w:sz="4" w:space="0" w:color="auto"/>
              <w:left w:val="nil"/>
              <w:bottom w:val="single" w:sz="4" w:space="0" w:color="auto"/>
              <w:right w:val="nil"/>
            </w:tcBorders>
            <w:shd w:val="clear" w:color="auto" w:fill="0B70B5"/>
            <w:noWrap/>
            <w:vAlign w:val="center"/>
            <w:hideMark/>
          </w:tcPr>
          <w:p w14:paraId="2701E351" w14:textId="77777777" w:rsidR="00F1465E" w:rsidRPr="00C35116" w:rsidRDefault="00F1465E" w:rsidP="00231073">
            <w:pPr>
              <w:spacing w:before="0" w:after="0" w:line="240" w:lineRule="auto"/>
              <w:ind w:firstLine="55"/>
              <w:jc w:val="center"/>
              <w:rPr>
                <w:rFonts w:cs="Calibri"/>
                <w:b/>
                <w:bCs/>
                <w:color w:val="FFFFFF" w:themeColor="background1"/>
                <w:sz w:val="20"/>
                <w:szCs w:val="20"/>
                <w:lang w:val="hy-AM"/>
              </w:rPr>
            </w:pPr>
            <w:r w:rsidRPr="00C35116">
              <w:rPr>
                <w:rFonts w:cs="Calibri"/>
                <w:b/>
                <w:bCs/>
                <w:color w:val="FFFFFF" w:themeColor="background1"/>
                <w:sz w:val="20"/>
                <w:szCs w:val="20"/>
                <w:lang w:val="hy-AM"/>
              </w:rPr>
              <w:t>Դրամային պարտք</w:t>
            </w:r>
          </w:p>
        </w:tc>
        <w:tc>
          <w:tcPr>
            <w:tcW w:w="1589" w:type="dxa"/>
            <w:tcBorders>
              <w:top w:val="single" w:sz="4" w:space="0" w:color="auto"/>
              <w:left w:val="single" w:sz="4" w:space="0" w:color="auto"/>
              <w:bottom w:val="single" w:sz="4" w:space="0" w:color="auto"/>
              <w:right w:val="single" w:sz="4" w:space="0" w:color="auto"/>
            </w:tcBorders>
            <w:shd w:val="clear" w:color="auto" w:fill="0B70B5"/>
            <w:noWrap/>
            <w:vAlign w:val="center"/>
            <w:hideMark/>
          </w:tcPr>
          <w:p w14:paraId="0E7A63C9" w14:textId="77777777" w:rsidR="00F1465E" w:rsidRPr="00C35116" w:rsidRDefault="00F1465E" w:rsidP="00231073">
            <w:pPr>
              <w:spacing w:before="0" w:after="0" w:line="240" w:lineRule="auto"/>
              <w:ind w:firstLine="55"/>
              <w:jc w:val="center"/>
              <w:rPr>
                <w:rFonts w:cs="Calibri"/>
                <w:b/>
                <w:bCs/>
                <w:color w:val="FFFFFF" w:themeColor="background1"/>
                <w:sz w:val="20"/>
                <w:szCs w:val="20"/>
                <w:lang w:val="hy-AM"/>
              </w:rPr>
            </w:pPr>
            <w:r w:rsidRPr="00C35116">
              <w:rPr>
                <w:rFonts w:cs="Calibri"/>
                <w:b/>
                <w:bCs/>
                <w:color w:val="FFFFFF" w:themeColor="background1"/>
                <w:sz w:val="20"/>
                <w:szCs w:val="20"/>
                <w:lang w:val="hy-AM"/>
              </w:rPr>
              <w:t>Ընդամենը</w:t>
            </w:r>
          </w:p>
        </w:tc>
      </w:tr>
      <w:tr w:rsidR="00F1465E" w:rsidRPr="00AC67B2" w14:paraId="65C160C6" w14:textId="77777777" w:rsidTr="00231073">
        <w:trPr>
          <w:trHeight w:val="312"/>
        </w:trPr>
        <w:tc>
          <w:tcPr>
            <w:tcW w:w="548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090A51" w14:textId="77777777" w:rsidR="00F1465E" w:rsidRPr="00AC67B2" w:rsidRDefault="00F1465E" w:rsidP="00231073">
            <w:pPr>
              <w:spacing w:before="0" w:after="0" w:line="240" w:lineRule="auto"/>
              <w:ind w:firstLine="34"/>
              <w:rPr>
                <w:rFonts w:cs="Calibri"/>
                <w:sz w:val="20"/>
                <w:szCs w:val="20"/>
                <w:lang w:val="hy-AM"/>
              </w:rPr>
            </w:pPr>
            <w:r w:rsidRPr="00AC67B2">
              <w:rPr>
                <w:rFonts w:cs="Times Unicode"/>
                <w:sz w:val="20"/>
                <w:szCs w:val="20"/>
                <w:lang w:val="hy-AM"/>
              </w:rPr>
              <w:t>ՀՀ կառավարության պարտքի</w:t>
            </w:r>
            <w:r w:rsidRPr="00AC67B2">
              <w:rPr>
                <w:rFonts w:cs="Calibri"/>
                <w:sz w:val="20"/>
                <w:szCs w:val="20"/>
                <w:lang w:val="hy-AM"/>
              </w:rPr>
              <w:t xml:space="preserve"> ծավալը (մլրդ դրամ)</w:t>
            </w:r>
          </w:p>
        </w:tc>
        <w:tc>
          <w:tcPr>
            <w:tcW w:w="1890" w:type="dxa"/>
            <w:tcBorders>
              <w:top w:val="nil"/>
              <w:left w:val="nil"/>
              <w:bottom w:val="single" w:sz="4" w:space="0" w:color="auto"/>
              <w:right w:val="nil"/>
            </w:tcBorders>
            <w:shd w:val="clear" w:color="auto" w:fill="auto"/>
            <w:noWrap/>
            <w:vAlign w:val="center"/>
            <w:hideMark/>
          </w:tcPr>
          <w:p w14:paraId="77DDB451" w14:textId="77777777" w:rsidR="00F1465E" w:rsidRPr="00B34C92" w:rsidRDefault="00F1465E" w:rsidP="00231073">
            <w:pPr>
              <w:spacing w:before="0" w:after="0" w:line="240" w:lineRule="auto"/>
              <w:ind w:firstLine="55"/>
              <w:jc w:val="center"/>
              <w:rPr>
                <w:rFonts w:cs="Calibri"/>
                <w:sz w:val="20"/>
                <w:szCs w:val="20"/>
              </w:rPr>
            </w:pPr>
            <w:r>
              <w:rPr>
                <w:rFonts w:cs="Calibri"/>
                <w:sz w:val="20"/>
                <w:szCs w:val="20"/>
              </w:rPr>
              <w:t>2,597.6</w:t>
            </w:r>
          </w:p>
        </w:tc>
        <w:tc>
          <w:tcPr>
            <w:tcW w:w="1356" w:type="dxa"/>
            <w:tcBorders>
              <w:top w:val="nil"/>
              <w:left w:val="single" w:sz="4" w:space="0" w:color="auto"/>
              <w:bottom w:val="single" w:sz="4" w:space="0" w:color="auto"/>
              <w:right w:val="nil"/>
            </w:tcBorders>
            <w:shd w:val="clear" w:color="auto" w:fill="auto"/>
            <w:noWrap/>
            <w:vAlign w:val="center"/>
            <w:hideMark/>
          </w:tcPr>
          <w:p w14:paraId="0F5B810A" w14:textId="77777777" w:rsidR="00F1465E" w:rsidRPr="00B34C92" w:rsidRDefault="00F1465E" w:rsidP="00231073">
            <w:pPr>
              <w:spacing w:before="0" w:after="0" w:line="240" w:lineRule="auto"/>
              <w:ind w:firstLine="55"/>
              <w:jc w:val="center"/>
              <w:rPr>
                <w:rFonts w:cs="Calibri"/>
                <w:sz w:val="20"/>
                <w:szCs w:val="20"/>
              </w:rPr>
            </w:pPr>
            <w:r>
              <w:rPr>
                <w:rFonts w:cs="Calibri"/>
                <w:sz w:val="20"/>
                <w:szCs w:val="20"/>
              </w:rPr>
              <w:t>681.0</w:t>
            </w:r>
          </w:p>
        </w:tc>
        <w:tc>
          <w:tcPr>
            <w:tcW w:w="1589" w:type="dxa"/>
            <w:tcBorders>
              <w:top w:val="nil"/>
              <w:left w:val="single" w:sz="4" w:space="0" w:color="auto"/>
              <w:bottom w:val="single" w:sz="4" w:space="0" w:color="auto"/>
              <w:right w:val="single" w:sz="4" w:space="0" w:color="auto"/>
            </w:tcBorders>
            <w:shd w:val="clear" w:color="auto" w:fill="auto"/>
            <w:noWrap/>
            <w:vAlign w:val="center"/>
            <w:hideMark/>
          </w:tcPr>
          <w:p w14:paraId="4472089E" w14:textId="77777777" w:rsidR="00F1465E" w:rsidRPr="00B34C92" w:rsidRDefault="00F1465E" w:rsidP="00231073">
            <w:pPr>
              <w:spacing w:before="0" w:after="0" w:line="240" w:lineRule="auto"/>
              <w:ind w:firstLine="55"/>
              <w:jc w:val="center"/>
              <w:rPr>
                <w:rFonts w:cs="Calibri"/>
                <w:sz w:val="20"/>
                <w:szCs w:val="20"/>
              </w:rPr>
            </w:pPr>
            <w:r>
              <w:rPr>
                <w:rFonts w:cs="Calibri"/>
                <w:sz w:val="20"/>
                <w:szCs w:val="20"/>
              </w:rPr>
              <w:t>3,278.7</w:t>
            </w:r>
          </w:p>
        </w:tc>
      </w:tr>
      <w:tr w:rsidR="00F1465E" w:rsidRPr="00AC67B2" w14:paraId="227E4B8A" w14:textId="77777777" w:rsidTr="00231073">
        <w:trPr>
          <w:trHeight w:val="312"/>
        </w:trPr>
        <w:tc>
          <w:tcPr>
            <w:tcW w:w="548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AA81CB" w14:textId="77777777" w:rsidR="00F1465E" w:rsidRPr="00AC67B2" w:rsidRDefault="00F1465E" w:rsidP="00231073">
            <w:pPr>
              <w:spacing w:before="0" w:after="0" w:line="240" w:lineRule="auto"/>
              <w:ind w:firstLine="34"/>
              <w:rPr>
                <w:rFonts w:cs="Calibri"/>
                <w:sz w:val="20"/>
                <w:szCs w:val="20"/>
                <w:lang w:val="hy-AM"/>
              </w:rPr>
            </w:pPr>
            <w:r w:rsidRPr="00AC67B2">
              <w:rPr>
                <w:rFonts w:cs="Times Unicode"/>
                <w:sz w:val="20"/>
                <w:szCs w:val="20"/>
                <w:lang w:val="hy-AM"/>
              </w:rPr>
              <w:t>ՀՀ կառավարության պարտքի</w:t>
            </w:r>
            <w:r w:rsidRPr="00AC67B2">
              <w:rPr>
                <w:rFonts w:cs="Calibri"/>
                <w:sz w:val="20"/>
                <w:szCs w:val="20"/>
                <w:lang w:val="hy-AM"/>
              </w:rPr>
              <w:t xml:space="preserve"> ծավալը (մլն ԱՄՆ դոլար)</w:t>
            </w:r>
          </w:p>
        </w:tc>
        <w:tc>
          <w:tcPr>
            <w:tcW w:w="1890" w:type="dxa"/>
            <w:tcBorders>
              <w:top w:val="nil"/>
              <w:left w:val="nil"/>
              <w:bottom w:val="single" w:sz="4" w:space="0" w:color="auto"/>
              <w:right w:val="nil"/>
            </w:tcBorders>
            <w:shd w:val="clear" w:color="auto" w:fill="auto"/>
            <w:noWrap/>
            <w:vAlign w:val="center"/>
            <w:hideMark/>
          </w:tcPr>
          <w:p w14:paraId="164217E0" w14:textId="77777777" w:rsidR="00F1465E" w:rsidRPr="00B34C92" w:rsidRDefault="00F1465E" w:rsidP="00231073">
            <w:pPr>
              <w:spacing w:before="0" w:after="0" w:line="240" w:lineRule="auto"/>
              <w:ind w:firstLine="55"/>
              <w:jc w:val="center"/>
              <w:rPr>
                <w:rFonts w:cs="Calibri"/>
                <w:sz w:val="20"/>
                <w:szCs w:val="20"/>
              </w:rPr>
            </w:pPr>
            <w:r>
              <w:rPr>
                <w:rFonts w:cs="Calibri"/>
                <w:sz w:val="20"/>
                <w:szCs w:val="20"/>
              </w:rPr>
              <w:t>5,415.1</w:t>
            </w:r>
          </w:p>
        </w:tc>
        <w:tc>
          <w:tcPr>
            <w:tcW w:w="1356" w:type="dxa"/>
            <w:tcBorders>
              <w:top w:val="nil"/>
              <w:left w:val="single" w:sz="4" w:space="0" w:color="auto"/>
              <w:bottom w:val="single" w:sz="4" w:space="0" w:color="auto"/>
              <w:right w:val="nil"/>
            </w:tcBorders>
            <w:shd w:val="clear" w:color="auto" w:fill="auto"/>
            <w:noWrap/>
            <w:vAlign w:val="center"/>
            <w:hideMark/>
          </w:tcPr>
          <w:p w14:paraId="009A98A9" w14:textId="77777777" w:rsidR="00F1465E" w:rsidRPr="00B34C92" w:rsidRDefault="00F1465E" w:rsidP="00231073">
            <w:pPr>
              <w:spacing w:before="0" w:after="0" w:line="240" w:lineRule="auto"/>
              <w:ind w:firstLine="55"/>
              <w:jc w:val="center"/>
              <w:rPr>
                <w:rFonts w:cs="Calibri"/>
                <w:sz w:val="20"/>
                <w:szCs w:val="20"/>
              </w:rPr>
            </w:pPr>
            <w:r>
              <w:rPr>
                <w:rFonts w:cs="Calibri"/>
                <w:sz w:val="20"/>
                <w:szCs w:val="20"/>
              </w:rPr>
              <w:t>1,419.7</w:t>
            </w:r>
          </w:p>
        </w:tc>
        <w:tc>
          <w:tcPr>
            <w:tcW w:w="1589" w:type="dxa"/>
            <w:tcBorders>
              <w:top w:val="nil"/>
              <w:left w:val="single" w:sz="4" w:space="0" w:color="auto"/>
              <w:bottom w:val="single" w:sz="4" w:space="0" w:color="auto"/>
              <w:right w:val="single" w:sz="4" w:space="0" w:color="auto"/>
            </w:tcBorders>
            <w:shd w:val="clear" w:color="auto" w:fill="auto"/>
            <w:noWrap/>
            <w:vAlign w:val="center"/>
            <w:hideMark/>
          </w:tcPr>
          <w:p w14:paraId="45DF4C48" w14:textId="77777777" w:rsidR="00F1465E" w:rsidRPr="00B34C92" w:rsidRDefault="00F1465E" w:rsidP="00231073">
            <w:pPr>
              <w:spacing w:before="0" w:after="0" w:line="240" w:lineRule="auto"/>
              <w:ind w:firstLine="55"/>
              <w:jc w:val="center"/>
              <w:rPr>
                <w:rFonts w:cs="Calibri"/>
                <w:sz w:val="20"/>
                <w:szCs w:val="20"/>
              </w:rPr>
            </w:pPr>
            <w:r>
              <w:rPr>
                <w:rFonts w:cs="Calibri"/>
                <w:sz w:val="20"/>
                <w:szCs w:val="20"/>
              </w:rPr>
              <w:t>6,834.9</w:t>
            </w:r>
          </w:p>
        </w:tc>
      </w:tr>
      <w:tr w:rsidR="00F1465E" w:rsidRPr="00AC67B2" w14:paraId="45336F21" w14:textId="77777777" w:rsidTr="00231073">
        <w:trPr>
          <w:trHeight w:val="318"/>
        </w:trPr>
        <w:tc>
          <w:tcPr>
            <w:tcW w:w="5481" w:type="dxa"/>
            <w:gridSpan w:val="2"/>
            <w:tcBorders>
              <w:top w:val="single" w:sz="4" w:space="0" w:color="auto"/>
              <w:left w:val="single" w:sz="4" w:space="0" w:color="auto"/>
              <w:bottom w:val="double" w:sz="6" w:space="0" w:color="auto"/>
              <w:right w:val="single" w:sz="4" w:space="0" w:color="000000"/>
            </w:tcBorders>
            <w:shd w:val="clear" w:color="auto" w:fill="auto"/>
            <w:noWrap/>
            <w:vAlign w:val="center"/>
          </w:tcPr>
          <w:p w14:paraId="6224A2DB" w14:textId="77777777" w:rsidR="00F1465E" w:rsidRPr="00AC67B2" w:rsidRDefault="00F1465E" w:rsidP="00231073">
            <w:pPr>
              <w:spacing w:before="0" w:after="0" w:line="240" w:lineRule="auto"/>
              <w:ind w:firstLine="34"/>
              <w:rPr>
                <w:rFonts w:cs="Calibri"/>
                <w:sz w:val="20"/>
                <w:szCs w:val="20"/>
                <w:lang w:val="hy-AM"/>
              </w:rPr>
            </w:pPr>
            <w:r w:rsidRPr="00AC67B2">
              <w:rPr>
                <w:rFonts w:cs="Times Unicode"/>
                <w:sz w:val="20"/>
                <w:szCs w:val="20"/>
                <w:lang w:val="hy-AM"/>
              </w:rPr>
              <w:t>ՀՀ կառավարության պարտք/ՀՆԱ</w:t>
            </w:r>
            <w:r w:rsidRPr="00AC67B2">
              <w:rPr>
                <w:rFonts w:cs="Calibri"/>
                <w:sz w:val="20"/>
                <w:szCs w:val="20"/>
                <w:lang w:val="hy-AM"/>
              </w:rPr>
              <w:t>, (%)</w:t>
            </w:r>
          </w:p>
        </w:tc>
        <w:tc>
          <w:tcPr>
            <w:tcW w:w="1890" w:type="dxa"/>
            <w:tcBorders>
              <w:top w:val="nil"/>
              <w:left w:val="nil"/>
              <w:bottom w:val="double" w:sz="6" w:space="0" w:color="auto"/>
              <w:right w:val="single" w:sz="4" w:space="0" w:color="auto"/>
            </w:tcBorders>
            <w:shd w:val="clear" w:color="auto" w:fill="auto"/>
            <w:noWrap/>
            <w:vAlign w:val="center"/>
          </w:tcPr>
          <w:p w14:paraId="32888E77" w14:textId="77777777" w:rsidR="00F1465E" w:rsidRPr="00FA2839" w:rsidRDefault="00F1465E" w:rsidP="00231073">
            <w:pPr>
              <w:spacing w:before="0" w:after="0" w:line="240" w:lineRule="auto"/>
              <w:ind w:firstLine="55"/>
              <w:jc w:val="center"/>
              <w:rPr>
                <w:rFonts w:cs="Calibri"/>
                <w:sz w:val="20"/>
                <w:szCs w:val="20"/>
              </w:rPr>
            </w:pPr>
            <w:r>
              <w:rPr>
                <w:rFonts w:cs="Calibri"/>
                <w:sz w:val="20"/>
                <w:szCs w:val="20"/>
              </w:rPr>
              <w:t>39.5</w:t>
            </w:r>
          </w:p>
        </w:tc>
        <w:tc>
          <w:tcPr>
            <w:tcW w:w="1356" w:type="dxa"/>
            <w:tcBorders>
              <w:top w:val="nil"/>
              <w:left w:val="nil"/>
              <w:bottom w:val="double" w:sz="6" w:space="0" w:color="auto"/>
              <w:right w:val="single" w:sz="4" w:space="0" w:color="auto"/>
            </w:tcBorders>
            <w:shd w:val="clear" w:color="auto" w:fill="auto"/>
            <w:noWrap/>
            <w:vAlign w:val="center"/>
          </w:tcPr>
          <w:p w14:paraId="3BCE3C14" w14:textId="77777777" w:rsidR="00F1465E" w:rsidRPr="00FA2839" w:rsidRDefault="00F1465E" w:rsidP="00231073">
            <w:pPr>
              <w:spacing w:before="0" w:after="0" w:line="240" w:lineRule="auto"/>
              <w:ind w:firstLine="55"/>
              <w:jc w:val="center"/>
              <w:rPr>
                <w:rFonts w:cs="Calibri"/>
                <w:sz w:val="20"/>
                <w:szCs w:val="20"/>
              </w:rPr>
            </w:pPr>
            <w:r>
              <w:rPr>
                <w:rFonts w:cs="Calibri"/>
                <w:sz w:val="20"/>
                <w:szCs w:val="20"/>
              </w:rPr>
              <w:t>10.4</w:t>
            </w:r>
          </w:p>
        </w:tc>
        <w:tc>
          <w:tcPr>
            <w:tcW w:w="1589" w:type="dxa"/>
            <w:tcBorders>
              <w:top w:val="nil"/>
              <w:left w:val="nil"/>
              <w:bottom w:val="double" w:sz="6" w:space="0" w:color="auto"/>
              <w:right w:val="single" w:sz="4" w:space="0" w:color="auto"/>
            </w:tcBorders>
            <w:shd w:val="clear" w:color="auto" w:fill="auto"/>
            <w:noWrap/>
            <w:vAlign w:val="center"/>
          </w:tcPr>
          <w:p w14:paraId="71E3A4BA" w14:textId="77777777" w:rsidR="00F1465E" w:rsidRPr="00FA2839" w:rsidRDefault="00F1465E" w:rsidP="00231073">
            <w:pPr>
              <w:spacing w:before="0" w:after="0" w:line="240" w:lineRule="auto"/>
              <w:ind w:firstLine="55"/>
              <w:jc w:val="center"/>
              <w:rPr>
                <w:rFonts w:cs="Calibri"/>
                <w:sz w:val="20"/>
                <w:szCs w:val="20"/>
              </w:rPr>
            </w:pPr>
            <w:r>
              <w:rPr>
                <w:rFonts w:cs="Calibri"/>
                <w:sz w:val="20"/>
                <w:szCs w:val="20"/>
              </w:rPr>
              <w:t>49.9</w:t>
            </w:r>
          </w:p>
        </w:tc>
      </w:tr>
      <w:tr w:rsidR="00F1465E" w:rsidRPr="00AC67B2" w14:paraId="2327EFEA" w14:textId="77777777" w:rsidTr="00231073">
        <w:trPr>
          <w:trHeight w:val="318"/>
        </w:trPr>
        <w:tc>
          <w:tcPr>
            <w:tcW w:w="2345" w:type="dxa"/>
            <w:vMerge w:val="restart"/>
            <w:tcBorders>
              <w:top w:val="nil"/>
              <w:left w:val="single" w:sz="4" w:space="0" w:color="auto"/>
              <w:bottom w:val="double" w:sz="6" w:space="0" w:color="000000"/>
              <w:right w:val="nil"/>
            </w:tcBorders>
            <w:shd w:val="clear" w:color="auto" w:fill="auto"/>
            <w:noWrap/>
            <w:vAlign w:val="center"/>
            <w:hideMark/>
          </w:tcPr>
          <w:p w14:paraId="613B0CB1" w14:textId="77777777" w:rsidR="00F1465E" w:rsidRPr="00AC67B2" w:rsidRDefault="00F1465E" w:rsidP="00231073">
            <w:pPr>
              <w:spacing w:before="0" w:after="0" w:line="240" w:lineRule="auto"/>
              <w:ind w:firstLine="34"/>
              <w:rPr>
                <w:rFonts w:cs="Calibri"/>
                <w:sz w:val="20"/>
                <w:szCs w:val="20"/>
                <w:lang w:val="hy-AM"/>
              </w:rPr>
            </w:pPr>
            <w:r w:rsidRPr="00AC67B2">
              <w:rPr>
                <w:rFonts w:cs="Calibri"/>
                <w:sz w:val="20"/>
                <w:szCs w:val="20"/>
                <w:lang w:val="hy-AM"/>
              </w:rPr>
              <w:t>Ծախսի ցուցանիշներ</w:t>
            </w:r>
          </w:p>
        </w:tc>
        <w:tc>
          <w:tcPr>
            <w:tcW w:w="3136" w:type="dxa"/>
            <w:tcBorders>
              <w:top w:val="nil"/>
              <w:left w:val="single" w:sz="4" w:space="0" w:color="auto"/>
              <w:bottom w:val="single" w:sz="4" w:space="0" w:color="auto"/>
              <w:right w:val="single" w:sz="4" w:space="0" w:color="auto"/>
            </w:tcBorders>
            <w:shd w:val="clear" w:color="auto" w:fill="auto"/>
            <w:noWrap/>
            <w:vAlign w:val="center"/>
            <w:hideMark/>
          </w:tcPr>
          <w:p w14:paraId="3162DBFC" w14:textId="77777777" w:rsidR="00F1465E" w:rsidRPr="00AC67B2" w:rsidRDefault="00F1465E" w:rsidP="00231073">
            <w:pPr>
              <w:spacing w:before="0" w:after="0" w:line="240" w:lineRule="auto"/>
              <w:ind w:firstLine="55"/>
              <w:rPr>
                <w:rFonts w:cs="Calibri"/>
                <w:sz w:val="20"/>
                <w:szCs w:val="20"/>
                <w:lang w:val="hy-AM"/>
              </w:rPr>
            </w:pPr>
            <w:r w:rsidRPr="00AC67B2">
              <w:rPr>
                <w:rFonts w:cs="Times Unicode"/>
                <w:sz w:val="20"/>
                <w:szCs w:val="20"/>
                <w:lang w:val="hy-AM"/>
              </w:rPr>
              <w:t xml:space="preserve">Տոկոսավճար/ՀՆԱ, </w:t>
            </w:r>
            <w:r w:rsidRPr="00AC67B2">
              <w:rPr>
                <w:rFonts w:cs="Calibri"/>
                <w:sz w:val="20"/>
                <w:szCs w:val="20"/>
                <w:lang w:val="hy-AM"/>
              </w:rPr>
              <w:t xml:space="preserve">(%) </w:t>
            </w:r>
          </w:p>
        </w:tc>
        <w:tc>
          <w:tcPr>
            <w:tcW w:w="1890" w:type="dxa"/>
            <w:tcBorders>
              <w:top w:val="nil"/>
              <w:left w:val="nil"/>
              <w:bottom w:val="single" w:sz="4" w:space="0" w:color="auto"/>
              <w:right w:val="single" w:sz="4" w:space="0" w:color="auto"/>
            </w:tcBorders>
            <w:shd w:val="clear" w:color="auto" w:fill="auto"/>
            <w:noWrap/>
            <w:vAlign w:val="center"/>
            <w:hideMark/>
          </w:tcPr>
          <w:p w14:paraId="389E2BCA" w14:textId="77777777" w:rsidR="00F1465E" w:rsidRPr="00B50B08" w:rsidRDefault="00F1465E" w:rsidP="00231073">
            <w:pPr>
              <w:spacing w:before="0" w:after="0" w:line="240" w:lineRule="auto"/>
              <w:ind w:firstLine="55"/>
              <w:jc w:val="center"/>
              <w:rPr>
                <w:rFonts w:cs="Calibri"/>
                <w:sz w:val="20"/>
                <w:szCs w:val="20"/>
                <w:lang w:val="hy-AM"/>
              </w:rPr>
            </w:pPr>
            <w:r w:rsidRPr="00B50B08">
              <w:rPr>
                <w:rFonts w:cs="Calibri"/>
                <w:sz w:val="20"/>
                <w:szCs w:val="20"/>
                <w:lang w:val="hy-AM"/>
              </w:rPr>
              <w:t>1.3</w:t>
            </w:r>
          </w:p>
        </w:tc>
        <w:tc>
          <w:tcPr>
            <w:tcW w:w="1356" w:type="dxa"/>
            <w:tcBorders>
              <w:top w:val="nil"/>
              <w:left w:val="nil"/>
              <w:bottom w:val="single" w:sz="4" w:space="0" w:color="auto"/>
              <w:right w:val="single" w:sz="4" w:space="0" w:color="auto"/>
            </w:tcBorders>
            <w:shd w:val="clear" w:color="auto" w:fill="auto"/>
            <w:noWrap/>
            <w:vAlign w:val="center"/>
            <w:hideMark/>
          </w:tcPr>
          <w:p w14:paraId="2702A4AC" w14:textId="77777777" w:rsidR="00F1465E" w:rsidRPr="000F0D35" w:rsidRDefault="00F1465E" w:rsidP="00231073">
            <w:pPr>
              <w:spacing w:before="0" w:after="0" w:line="240" w:lineRule="auto"/>
              <w:ind w:firstLine="55"/>
              <w:jc w:val="center"/>
              <w:rPr>
                <w:rFonts w:cs="Calibri"/>
                <w:sz w:val="20"/>
                <w:szCs w:val="20"/>
              </w:rPr>
            </w:pPr>
            <w:r>
              <w:rPr>
                <w:rFonts w:cs="Calibri"/>
                <w:sz w:val="20"/>
                <w:szCs w:val="20"/>
              </w:rPr>
              <w:t>1.1</w:t>
            </w:r>
          </w:p>
        </w:tc>
        <w:tc>
          <w:tcPr>
            <w:tcW w:w="1589" w:type="dxa"/>
            <w:tcBorders>
              <w:top w:val="nil"/>
              <w:left w:val="nil"/>
              <w:bottom w:val="single" w:sz="4" w:space="0" w:color="auto"/>
              <w:right w:val="single" w:sz="4" w:space="0" w:color="auto"/>
            </w:tcBorders>
            <w:shd w:val="clear" w:color="auto" w:fill="auto"/>
            <w:noWrap/>
            <w:vAlign w:val="center"/>
            <w:hideMark/>
          </w:tcPr>
          <w:p w14:paraId="2B742E7B" w14:textId="77777777" w:rsidR="00F1465E" w:rsidRPr="000F0D35" w:rsidRDefault="00F1465E" w:rsidP="00231073">
            <w:pPr>
              <w:spacing w:before="0" w:after="0" w:line="240" w:lineRule="auto"/>
              <w:ind w:firstLine="55"/>
              <w:jc w:val="center"/>
              <w:rPr>
                <w:rFonts w:cs="Calibri"/>
                <w:sz w:val="20"/>
                <w:szCs w:val="20"/>
              </w:rPr>
            </w:pPr>
            <w:r>
              <w:rPr>
                <w:rFonts w:cs="Calibri"/>
                <w:sz w:val="20"/>
                <w:szCs w:val="20"/>
              </w:rPr>
              <w:t>2.4</w:t>
            </w:r>
          </w:p>
        </w:tc>
      </w:tr>
      <w:tr w:rsidR="00F1465E" w:rsidRPr="00AC67B2" w14:paraId="4A9DCF1B" w14:textId="77777777" w:rsidTr="00231073">
        <w:trPr>
          <w:trHeight w:val="332"/>
        </w:trPr>
        <w:tc>
          <w:tcPr>
            <w:tcW w:w="2345" w:type="dxa"/>
            <w:vMerge/>
            <w:tcBorders>
              <w:top w:val="nil"/>
              <w:left w:val="single" w:sz="4" w:space="0" w:color="auto"/>
              <w:bottom w:val="double" w:sz="6" w:space="0" w:color="000000"/>
              <w:right w:val="nil"/>
            </w:tcBorders>
            <w:vAlign w:val="center"/>
            <w:hideMark/>
          </w:tcPr>
          <w:p w14:paraId="4E2BA592" w14:textId="77777777" w:rsidR="00F1465E" w:rsidRPr="00AC67B2" w:rsidRDefault="00F1465E" w:rsidP="00231073">
            <w:pPr>
              <w:spacing w:before="0" w:after="0" w:line="240" w:lineRule="auto"/>
              <w:ind w:firstLine="34"/>
              <w:rPr>
                <w:rFonts w:cs="Calibri"/>
                <w:sz w:val="20"/>
                <w:szCs w:val="20"/>
                <w:lang w:val="hy-AM"/>
              </w:rPr>
            </w:pPr>
          </w:p>
        </w:tc>
        <w:tc>
          <w:tcPr>
            <w:tcW w:w="3136" w:type="dxa"/>
            <w:tcBorders>
              <w:top w:val="nil"/>
              <w:left w:val="single" w:sz="4" w:space="0" w:color="auto"/>
              <w:bottom w:val="double" w:sz="6" w:space="0" w:color="auto"/>
              <w:right w:val="single" w:sz="4" w:space="0" w:color="auto"/>
            </w:tcBorders>
            <w:shd w:val="clear" w:color="auto" w:fill="auto"/>
            <w:noWrap/>
            <w:vAlign w:val="center"/>
            <w:hideMark/>
          </w:tcPr>
          <w:p w14:paraId="7B7BA967" w14:textId="77777777" w:rsidR="00F1465E" w:rsidRPr="00AC67B2" w:rsidRDefault="00F1465E" w:rsidP="00231073">
            <w:pPr>
              <w:spacing w:before="0" w:after="0" w:line="240" w:lineRule="auto"/>
              <w:ind w:firstLine="55"/>
              <w:rPr>
                <w:rFonts w:cs="Calibri"/>
                <w:sz w:val="20"/>
                <w:szCs w:val="20"/>
                <w:lang w:val="hy-AM"/>
              </w:rPr>
            </w:pPr>
            <w:r w:rsidRPr="00AC67B2">
              <w:rPr>
                <w:rFonts w:cs="Times Unicode"/>
                <w:sz w:val="20"/>
                <w:szCs w:val="20"/>
                <w:lang w:val="hy-AM"/>
              </w:rPr>
              <w:t>Միջին կշռված տոկոսադրույքը</w:t>
            </w:r>
            <w:r w:rsidRPr="00AC67B2">
              <w:rPr>
                <w:rFonts w:cs="Calibri"/>
                <w:sz w:val="20"/>
                <w:szCs w:val="20"/>
                <w:lang w:val="hy-AM"/>
              </w:rPr>
              <w:t xml:space="preserve"> (%)</w:t>
            </w:r>
          </w:p>
        </w:tc>
        <w:tc>
          <w:tcPr>
            <w:tcW w:w="1890" w:type="dxa"/>
            <w:tcBorders>
              <w:top w:val="nil"/>
              <w:left w:val="nil"/>
              <w:bottom w:val="double" w:sz="6" w:space="0" w:color="auto"/>
              <w:right w:val="single" w:sz="4" w:space="0" w:color="auto"/>
            </w:tcBorders>
            <w:shd w:val="clear" w:color="auto" w:fill="auto"/>
            <w:noWrap/>
            <w:vAlign w:val="center"/>
            <w:hideMark/>
          </w:tcPr>
          <w:p w14:paraId="521ECCAD" w14:textId="77777777" w:rsidR="00F1465E" w:rsidRPr="00467902" w:rsidRDefault="00F1465E" w:rsidP="00231073">
            <w:pPr>
              <w:spacing w:before="0" w:after="0" w:line="240" w:lineRule="auto"/>
              <w:ind w:firstLine="55"/>
              <w:jc w:val="center"/>
              <w:rPr>
                <w:rFonts w:cs="Calibri"/>
                <w:sz w:val="20"/>
                <w:szCs w:val="20"/>
              </w:rPr>
            </w:pPr>
            <w:r w:rsidRPr="00467902">
              <w:rPr>
                <w:rFonts w:cs="Calibri"/>
                <w:sz w:val="20"/>
                <w:szCs w:val="20"/>
                <w:lang w:val="hy-AM"/>
              </w:rPr>
              <w:t>3.</w:t>
            </w:r>
            <w:r w:rsidRPr="00467902">
              <w:rPr>
                <w:rFonts w:cs="Calibri"/>
                <w:sz w:val="20"/>
                <w:szCs w:val="20"/>
              </w:rPr>
              <w:t>0</w:t>
            </w:r>
          </w:p>
        </w:tc>
        <w:tc>
          <w:tcPr>
            <w:tcW w:w="1356" w:type="dxa"/>
            <w:tcBorders>
              <w:top w:val="nil"/>
              <w:left w:val="nil"/>
              <w:bottom w:val="double" w:sz="6" w:space="0" w:color="auto"/>
              <w:right w:val="single" w:sz="4" w:space="0" w:color="auto"/>
            </w:tcBorders>
            <w:shd w:val="clear" w:color="auto" w:fill="auto"/>
            <w:noWrap/>
            <w:vAlign w:val="center"/>
            <w:hideMark/>
          </w:tcPr>
          <w:p w14:paraId="029EF739" w14:textId="77777777" w:rsidR="00F1465E" w:rsidRPr="00467902" w:rsidRDefault="00F1465E" w:rsidP="00231073">
            <w:pPr>
              <w:spacing w:before="0" w:after="0" w:line="240" w:lineRule="auto"/>
              <w:ind w:firstLine="55"/>
              <w:jc w:val="center"/>
              <w:rPr>
                <w:rFonts w:cs="Calibri"/>
                <w:sz w:val="20"/>
                <w:szCs w:val="20"/>
              </w:rPr>
            </w:pPr>
            <w:r w:rsidRPr="00467902">
              <w:rPr>
                <w:rFonts w:cs="Calibri"/>
                <w:sz w:val="20"/>
                <w:szCs w:val="20"/>
                <w:lang w:val="hy-AM"/>
              </w:rPr>
              <w:t>1</w:t>
            </w:r>
            <w:r w:rsidRPr="00467902">
              <w:rPr>
                <w:rFonts w:cs="Calibri"/>
                <w:sz w:val="20"/>
                <w:szCs w:val="20"/>
              </w:rPr>
              <w:t>1</w:t>
            </w:r>
            <w:r w:rsidRPr="00467902">
              <w:rPr>
                <w:rFonts w:cs="Calibri"/>
                <w:sz w:val="20"/>
                <w:szCs w:val="20"/>
                <w:lang w:val="hy-AM"/>
              </w:rPr>
              <w:t>.</w:t>
            </w:r>
            <w:r w:rsidRPr="00467902">
              <w:rPr>
                <w:rFonts w:cs="Calibri"/>
                <w:sz w:val="20"/>
                <w:szCs w:val="20"/>
              </w:rPr>
              <w:t>8</w:t>
            </w:r>
          </w:p>
        </w:tc>
        <w:tc>
          <w:tcPr>
            <w:tcW w:w="1589" w:type="dxa"/>
            <w:tcBorders>
              <w:top w:val="nil"/>
              <w:left w:val="nil"/>
              <w:bottom w:val="double" w:sz="6" w:space="0" w:color="auto"/>
              <w:right w:val="single" w:sz="4" w:space="0" w:color="auto"/>
            </w:tcBorders>
            <w:shd w:val="clear" w:color="auto" w:fill="auto"/>
            <w:noWrap/>
            <w:vAlign w:val="center"/>
            <w:hideMark/>
          </w:tcPr>
          <w:p w14:paraId="277EE82D" w14:textId="77777777" w:rsidR="00F1465E" w:rsidRPr="00C05F46" w:rsidRDefault="00F1465E" w:rsidP="00231073">
            <w:pPr>
              <w:spacing w:before="0" w:after="0" w:line="240" w:lineRule="auto"/>
              <w:ind w:firstLine="55"/>
              <w:jc w:val="center"/>
              <w:rPr>
                <w:rFonts w:cs="Calibri"/>
                <w:sz w:val="20"/>
                <w:szCs w:val="20"/>
              </w:rPr>
            </w:pPr>
            <w:r w:rsidRPr="00467902">
              <w:rPr>
                <w:rFonts w:cs="Calibri"/>
                <w:sz w:val="20"/>
                <w:szCs w:val="20"/>
              </w:rPr>
              <w:t>4.8</w:t>
            </w:r>
          </w:p>
        </w:tc>
      </w:tr>
      <w:tr w:rsidR="00F1465E" w:rsidRPr="00AC67B2" w14:paraId="16C54FC2" w14:textId="77777777" w:rsidTr="00231073">
        <w:trPr>
          <w:trHeight w:val="627"/>
        </w:trPr>
        <w:tc>
          <w:tcPr>
            <w:tcW w:w="2345" w:type="dxa"/>
            <w:vMerge w:val="restart"/>
            <w:tcBorders>
              <w:top w:val="nil"/>
              <w:left w:val="single" w:sz="4" w:space="0" w:color="auto"/>
              <w:right w:val="single" w:sz="4" w:space="0" w:color="auto"/>
            </w:tcBorders>
            <w:shd w:val="clear" w:color="auto" w:fill="auto"/>
            <w:noWrap/>
            <w:vAlign w:val="center"/>
            <w:hideMark/>
          </w:tcPr>
          <w:p w14:paraId="231F179A" w14:textId="77777777" w:rsidR="00F1465E" w:rsidRDefault="00F1465E" w:rsidP="00231073">
            <w:pPr>
              <w:spacing w:before="0" w:after="0" w:line="240" w:lineRule="auto"/>
              <w:ind w:firstLine="0"/>
              <w:rPr>
                <w:rFonts w:cs="Calibri"/>
                <w:sz w:val="20"/>
                <w:szCs w:val="20"/>
                <w:lang w:val="hy-AM"/>
              </w:rPr>
            </w:pPr>
            <w:r w:rsidRPr="00AC67B2">
              <w:rPr>
                <w:rFonts w:cs="Calibri"/>
                <w:sz w:val="20"/>
                <w:szCs w:val="20"/>
                <w:lang w:val="hy-AM"/>
              </w:rPr>
              <w:t>Վերաֆինանսավորման ռիսկ</w:t>
            </w:r>
          </w:p>
        </w:tc>
        <w:tc>
          <w:tcPr>
            <w:tcW w:w="3136" w:type="dxa"/>
            <w:tcBorders>
              <w:top w:val="nil"/>
              <w:left w:val="nil"/>
              <w:bottom w:val="single" w:sz="4" w:space="0" w:color="auto"/>
              <w:right w:val="single" w:sz="4" w:space="0" w:color="auto"/>
            </w:tcBorders>
            <w:shd w:val="clear" w:color="auto" w:fill="auto"/>
            <w:noWrap/>
            <w:vAlign w:val="center"/>
            <w:hideMark/>
          </w:tcPr>
          <w:p w14:paraId="7AD92BC9" w14:textId="77777777" w:rsidR="00F1465E" w:rsidRPr="00AC67B2" w:rsidRDefault="00F1465E" w:rsidP="00231073">
            <w:pPr>
              <w:spacing w:before="0" w:after="0" w:line="240" w:lineRule="auto"/>
              <w:ind w:firstLine="55"/>
              <w:rPr>
                <w:rFonts w:cs="Calibri"/>
                <w:sz w:val="20"/>
                <w:szCs w:val="20"/>
                <w:lang w:val="hy-AM"/>
              </w:rPr>
            </w:pPr>
            <w:r w:rsidRPr="00AC67B2">
              <w:rPr>
                <w:rFonts w:cs="Times Unicode"/>
                <w:sz w:val="20"/>
                <w:szCs w:val="20"/>
                <w:lang w:val="hy-AM"/>
              </w:rPr>
              <w:t>Մինչև մարում միջին ժամկետը</w:t>
            </w:r>
            <w:r w:rsidRPr="00AC67B2">
              <w:rPr>
                <w:rFonts w:cs="Calibri"/>
                <w:sz w:val="20"/>
                <w:szCs w:val="20"/>
                <w:lang w:val="hy-AM"/>
              </w:rPr>
              <w:t xml:space="preserve"> (տարի)</w:t>
            </w:r>
          </w:p>
        </w:tc>
        <w:tc>
          <w:tcPr>
            <w:tcW w:w="1890" w:type="dxa"/>
            <w:tcBorders>
              <w:top w:val="nil"/>
              <w:left w:val="nil"/>
              <w:bottom w:val="single" w:sz="4" w:space="0" w:color="auto"/>
              <w:right w:val="single" w:sz="4" w:space="0" w:color="auto"/>
            </w:tcBorders>
            <w:shd w:val="clear" w:color="auto" w:fill="auto"/>
            <w:noWrap/>
            <w:vAlign w:val="center"/>
            <w:hideMark/>
          </w:tcPr>
          <w:p w14:paraId="7871AABD" w14:textId="77777777" w:rsidR="00F1465E" w:rsidRPr="00467902" w:rsidRDefault="00F1465E" w:rsidP="00231073">
            <w:pPr>
              <w:spacing w:before="0" w:after="0" w:line="240" w:lineRule="auto"/>
              <w:ind w:firstLine="55"/>
              <w:jc w:val="center"/>
              <w:rPr>
                <w:rFonts w:cs="Calibri"/>
                <w:sz w:val="20"/>
                <w:szCs w:val="20"/>
              </w:rPr>
            </w:pPr>
            <w:r w:rsidRPr="00467902">
              <w:rPr>
                <w:rFonts w:cs="Calibri"/>
                <w:sz w:val="20"/>
                <w:szCs w:val="20"/>
                <w:lang w:val="hy-AM"/>
              </w:rPr>
              <w:t>8.</w:t>
            </w:r>
            <w:r w:rsidRPr="00467902">
              <w:rPr>
                <w:rFonts w:cs="Calibri"/>
                <w:sz w:val="20"/>
                <w:szCs w:val="20"/>
              </w:rPr>
              <w:t>8</w:t>
            </w:r>
          </w:p>
        </w:tc>
        <w:tc>
          <w:tcPr>
            <w:tcW w:w="1356" w:type="dxa"/>
            <w:tcBorders>
              <w:top w:val="nil"/>
              <w:left w:val="nil"/>
              <w:bottom w:val="single" w:sz="4" w:space="0" w:color="auto"/>
              <w:right w:val="single" w:sz="4" w:space="0" w:color="auto"/>
            </w:tcBorders>
            <w:shd w:val="clear" w:color="auto" w:fill="auto"/>
            <w:noWrap/>
            <w:vAlign w:val="center"/>
            <w:hideMark/>
          </w:tcPr>
          <w:p w14:paraId="3BB00414" w14:textId="77777777" w:rsidR="00F1465E" w:rsidRPr="00B42150" w:rsidRDefault="00F1465E" w:rsidP="00231073">
            <w:pPr>
              <w:spacing w:before="0" w:after="0" w:line="240" w:lineRule="auto"/>
              <w:ind w:firstLine="55"/>
              <w:jc w:val="center"/>
              <w:rPr>
                <w:rFonts w:cs="Calibri"/>
                <w:sz w:val="20"/>
                <w:szCs w:val="20"/>
              </w:rPr>
            </w:pPr>
            <w:r>
              <w:rPr>
                <w:rFonts w:cs="Calibri"/>
                <w:sz w:val="20"/>
                <w:szCs w:val="20"/>
              </w:rPr>
              <w:t>10.2</w:t>
            </w:r>
          </w:p>
        </w:tc>
        <w:tc>
          <w:tcPr>
            <w:tcW w:w="1589" w:type="dxa"/>
            <w:tcBorders>
              <w:top w:val="nil"/>
              <w:left w:val="nil"/>
              <w:bottom w:val="single" w:sz="4" w:space="0" w:color="auto"/>
              <w:right w:val="single" w:sz="4" w:space="0" w:color="auto"/>
            </w:tcBorders>
            <w:shd w:val="clear" w:color="auto" w:fill="auto"/>
            <w:noWrap/>
            <w:vAlign w:val="center"/>
            <w:hideMark/>
          </w:tcPr>
          <w:p w14:paraId="6A995100" w14:textId="77777777" w:rsidR="00F1465E" w:rsidRPr="000F0D35" w:rsidRDefault="00F1465E" w:rsidP="00231073">
            <w:pPr>
              <w:spacing w:before="0" w:after="0" w:line="240" w:lineRule="auto"/>
              <w:ind w:firstLine="55"/>
              <w:jc w:val="center"/>
              <w:rPr>
                <w:rFonts w:cs="Calibri"/>
                <w:sz w:val="20"/>
                <w:szCs w:val="20"/>
              </w:rPr>
            </w:pPr>
            <w:r>
              <w:rPr>
                <w:rFonts w:cs="Calibri"/>
                <w:sz w:val="20"/>
                <w:szCs w:val="20"/>
              </w:rPr>
              <w:t>9.1</w:t>
            </w:r>
          </w:p>
        </w:tc>
      </w:tr>
      <w:tr w:rsidR="00F1465E" w:rsidRPr="00AC67B2" w14:paraId="06FDF5A0" w14:textId="77777777" w:rsidTr="00231073">
        <w:trPr>
          <w:trHeight w:val="642"/>
        </w:trPr>
        <w:tc>
          <w:tcPr>
            <w:tcW w:w="2345" w:type="dxa"/>
            <w:vMerge/>
            <w:tcBorders>
              <w:left w:val="single" w:sz="4" w:space="0" w:color="auto"/>
              <w:bottom w:val="double" w:sz="6" w:space="0" w:color="000000"/>
              <w:right w:val="single" w:sz="4" w:space="0" w:color="auto"/>
            </w:tcBorders>
            <w:shd w:val="clear" w:color="auto" w:fill="auto"/>
            <w:vAlign w:val="center"/>
            <w:hideMark/>
          </w:tcPr>
          <w:p w14:paraId="2A918864" w14:textId="77777777" w:rsidR="00F1465E" w:rsidRPr="00AC67B2" w:rsidRDefault="00F1465E" w:rsidP="00231073">
            <w:pPr>
              <w:spacing w:before="0" w:after="0" w:line="240" w:lineRule="auto"/>
              <w:ind w:firstLine="34"/>
              <w:rPr>
                <w:rFonts w:cs="Calibri"/>
                <w:sz w:val="20"/>
                <w:szCs w:val="20"/>
                <w:lang w:val="hy-AM"/>
              </w:rPr>
            </w:pPr>
          </w:p>
        </w:tc>
        <w:tc>
          <w:tcPr>
            <w:tcW w:w="3136" w:type="dxa"/>
            <w:tcBorders>
              <w:top w:val="nil"/>
              <w:left w:val="nil"/>
              <w:bottom w:val="double" w:sz="6" w:space="0" w:color="auto"/>
              <w:right w:val="single" w:sz="4" w:space="0" w:color="auto"/>
            </w:tcBorders>
            <w:shd w:val="clear" w:color="auto" w:fill="auto"/>
            <w:noWrap/>
            <w:vAlign w:val="center"/>
          </w:tcPr>
          <w:p w14:paraId="2C2A1FAC" w14:textId="77777777" w:rsidR="00F1465E" w:rsidRPr="00AC67B2" w:rsidRDefault="00F1465E" w:rsidP="00231073">
            <w:pPr>
              <w:spacing w:before="0" w:after="0" w:line="240" w:lineRule="auto"/>
              <w:ind w:firstLine="55"/>
              <w:rPr>
                <w:rFonts w:cs="Calibri"/>
                <w:sz w:val="20"/>
                <w:szCs w:val="20"/>
                <w:lang w:val="hy-AM"/>
              </w:rPr>
            </w:pPr>
            <w:r w:rsidRPr="00AC67B2">
              <w:rPr>
                <w:rFonts w:cs="Times Unicode"/>
                <w:sz w:val="20"/>
                <w:szCs w:val="20"/>
                <w:lang w:val="hy-AM"/>
              </w:rPr>
              <w:t>Մեկ տարվա ընթացքում մարվող պարտքի կշիռը</w:t>
            </w:r>
            <w:r w:rsidRPr="00AC67B2">
              <w:rPr>
                <w:rFonts w:cs="Calibri"/>
                <w:sz w:val="20"/>
                <w:szCs w:val="20"/>
                <w:lang w:val="hy-AM"/>
              </w:rPr>
              <w:t xml:space="preserve"> (% ընդամենի մեջ)</w:t>
            </w:r>
          </w:p>
        </w:tc>
        <w:tc>
          <w:tcPr>
            <w:tcW w:w="1890" w:type="dxa"/>
            <w:tcBorders>
              <w:top w:val="nil"/>
              <w:left w:val="nil"/>
              <w:bottom w:val="double" w:sz="6" w:space="0" w:color="auto"/>
              <w:right w:val="single" w:sz="4" w:space="0" w:color="auto"/>
            </w:tcBorders>
            <w:shd w:val="clear" w:color="auto" w:fill="auto"/>
            <w:noWrap/>
            <w:vAlign w:val="center"/>
          </w:tcPr>
          <w:p w14:paraId="670DDDED" w14:textId="77777777" w:rsidR="00F1465E" w:rsidRPr="00467902" w:rsidRDefault="00F1465E" w:rsidP="00231073">
            <w:pPr>
              <w:spacing w:before="0" w:after="0" w:line="240" w:lineRule="auto"/>
              <w:ind w:firstLine="55"/>
              <w:jc w:val="center"/>
              <w:rPr>
                <w:rFonts w:cs="Calibri"/>
                <w:sz w:val="20"/>
                <w:szCs w:val="20"/>
              </w:rPr>
            </w:pPr>
            <w:r w:rsidRPr="00467902">
              <w:rPr>
                <w:rFonts w:cs="Calibri"/>
                <w:sz w:val="20"/>
                <w:szCs w:val="20"/>
              </w:rPr>
              <w:t>5.5</w:t>
            </w:r>
          </w:p>
        </w:tc>
        <w:tc>
          <w:tcPr>
            <w:tcW w:w="1356" w:type="dxa"/>
            <w:tcBorders>
              <w:top w:val="nil"/>
              <w:left w:val="nil"/>
              <w:bottom w:val="double" w:sz="6" w:space="0" w:color="auto"/>
              <w:right w:val="single" w:sz="4" w:space="0" w:color="auto"/>
            </w:tcBorders>
            <w:shd w:val="clear" w:color="auto" w:fill="auto"/>
            <w:noWrap/>
            <w:vAlign w:val="center"/>
          </w:tcPr>
          <w:p w14:paraId="1A07C223" w14:textId="77777777" w:rsidR="00F1465E" w:rsidRPr="00B42150" w:rsidRDefault="00F1465E" w:rsidP="00231073">
            <w:pPr>
              <w:spacing w:before="0" w:after="0" w:line="240" w:lineRule="auto"/>
              <w:ind w:firstLine="55"/>
              <w:jc w:val="center"/>
              <w:rPr>
                <w:rFonts w:cs="Calibri"/>
                <w:sz w:val="20"/>
                <w:szCs w:val="20"/>
              </w:rPr>
            </w:pPr>
            <w:r>
              <w:rPr>
                <w:rFonts w:cs="Calibri"/>
                <w:sz w:val="20"/>
                <w:szCs w:val="20"/>
              </w:rPr>
              <w:t>12.7</w:t>
            </w:r>
          </w:p>
        </w:tc>
        <w:tc>
          <w:tcPr>
            <w:tcW w:w="1589" w:type="dxa"/>
            <w:tcBorders>
              <w:top w:val="nil"/>
              <w:left w:val="nil"/>
              <w:bottom w:val="double" w:sz="6" w:space="0" w:color="auto"/>
              <w:right w:val="single" w:sz="4" w:space="0" w:color="auto"/>
            </w:tcBorders>
            <w:shd w:val="clear" w:color="auto" w:fill="auto"/>
            <w:noWrap/>
            <w:vAlign w:val="center"/>
          </w:tcPr>
          <w:p w14:paraId="36AF87EA" w14:textId="77777777" w:rsidR="00F1465E" w:rsidRPr="000F0D35" w:rsidRDefault="00F1465E" w:rsidP="00231073">
            <w:pPr>
              <w:spacing w:before="0" w:after="0" w:line="240" w:lineRule="auto"/>
              <w:ind w:firstLine="55"/>
              <w:jc w:val="center"/>
              <w:rPr>
                <w:rFonts w:cs="Calibri"/>
                <w:sz w:val="20"/>
                <w:szCs w:val="20"/>
              </w:rPr>
            </w:pPr>
            <w:r>
              <w:rPr>
                <w:rFonts w:cs="Calibri"/>
                <w:sz w:val="20"/>
                <w:szCs w:val="20"/>
              </w:rPr>
              <w:t>7.0</w:t>
            </w:r>
          </w:p>
        </w:tc>
      </w:tr>
      <w:tr w:rsidR="00F1465E" w:rsidRPr="00AC67B2" w14:paraId="66DF1A0C" w14:textId="77777777" w:rsidTr="00231073">
        <w:trPr>
          <w:trHeight w:val="615"/>
        </w:trPr>
        <w:tc>
          <w:tcPr>
            <w:tcW w:w="2345" w:type="dxa"/>
            <w:vMerge w:val="restart"/>
            <w:tcBorders>
              <w:top w:val="nil"/>
              <w:left w:val="single" w:sz="4" w:space="0" w:color="auto"/>
              <w:bottom w:val="nil"/>
              <w:right w:val="single" w:sz="4" w:space="0" w:color="auto"/>
            </w:tcBorders>
            <w:shd w:val="clear" w:color="auto" w:fill="auto"/>
            <w:noWrap/>
            <w:vAlign w:val="center"/>
            <w:hideMark/>
          </w:tcPr>
          <w:p w14:paraId="57C4B7E4" w14:textId="77777777" w:rsidR="00F1465E" w:rsidRPr="00AC67B2" w:rsidRDefault="00F1465E" w:rsidP="00231073">
            <w:pPr>
              <w:spacing w:before="0" w:after="0" w:line="240" w:lineRule="auto"/>
              <w:ind w:firstLine="34"/>
              <w:rPr>
                <w:rFonts w:cs="Calibri"/>
                <w:sz w:val="20"/>
                <w:szCs w:val="20"/>
                <w:lang w:val="hy-AM"/>
              </w:rPr>
            </w:pPr>
            <w:r w:rsidRPr="00AC67B2">
              <w:rPr>
                <w:rFonts w:cs="Calibri"/>
                <w:sz w:val="20"/>
                <w:szCs w:val="20"/>
                <w:lang w:val="hy-AM"/>
              </w:rPr>
              <w:t>Տոկոսադրույքի ռիսկ</w:t>
            </w:r>
          </w:p>
        </w:tc>
        <w:tc>
          <w:tcPr>
            <w:tcW w:w="3136" w:type="dxa"/>
            <w:tcBorders>
              <w:top w:val="nil"/>
              <w:left w:val="nil"/>
              <w:bottom w:val="single" w:sz="4" w:space="0" w:color="auto"/>
              <w:right w:val="single" w:sz="4" w:space="0" w:color="auto"/>
            </w:tcBorders>
            <w:shd w:val="clear" w:color="auto" w:fill="auto"/>
            <w:noWrap/>
            <w:vAlign w:val="center"/>
            <w:hideMark/>
          </w:tcPr>
          <w:p w14:paraId="30CF8B95" w14:textId="77777777" w:rsidR="00F1465E" w:rsidRPr="00AC67B2" w:rsidRDefault="00F1465E" w:rsidP="00231073">
            <w:pPr>
              <w:spacing w:before="0" w:after="0" w:line="240" w:lineRule="auto"/>
              <w:ind w:firstLine="55"/>
              <w:rPr>
                <w:rFonts w:cs="Calibri"/>
                <w:sz w:val="20"/>
                <w:szCs w:val="20"/>
                <w:lang w:val="hy-AM"/>
              </w:rPr>
            </w:pPr>
            <w:r w:rsidRPr="00AC67B2">
              <w:rPr>
                <w:rFonts w:cs="Times Unicode"/>
                <w:sz w:val="20"/>
                <w:szCs w:val="20"/>
                <w:lang w:val="hy-AM"/>
              </w:rPr>
              <w:t>Մինչև վերաֆիքսում միջին ժամկետը</w:t>
            </w:r>
            <w:r w:rsidRPr="00AC67B2">
              <w:rPr>
                <w:rFonts w:cs="Calibri"/>
                <w:sz w:val="20"/>
                <w:szCs w:val="20"/>
                <w:lang w:val="hy-AM"/>
              </w:rPr>
              <w:t xml:space="preserve"> (տարի)</w:t>
            </w:r>
          </w:p>
        </w:tc>
        <w:tc>
          <w:tcPr>
            <w:tcW w:w="1890" w:type="dxa"/>
            <w:tcBorders>
              <w:top w:val="nil"/>
              <w:left w:val="nil"/>
              <w:bottom w:val="single" w:sz="4" w:space="0" w:color="auto"/>
              <w:right w:val="single" w:sz="4" w:space="0" w:color="auto"/>
            </w:tcBorders>
            <w:shd w:val="clear" w:color="auto" w:fill="auto"/>
            <w:noWrap/>
            <w:vAlign w:val="center"/>
            <w:hideMark/>
          </w:tcPr>
          <w:p w14:paraId="252AA03B" w14:textId="77777777" w:rsidR="00F1465E" w:rsidRPr="00A43E50" w:rsidRDefault="00F1465E" w:rsidP="00231073">
            <w:pPr>
              <w:spacing w:before="0" w:after="0" w:line="240" w:lineRule="auto"/>
              <w:ind w:firstLine="55"/>
              <w:jc w:val="center"/>
              <w:rPr>
                <w:rFonts w:cs="Calibri"/>
                <w:sz w:val="20"/>
                <w:szCs w:val="20"/>
              </w:rPr>
            </w:pPr>
            <w:r w:rsidRPr="00A43E50">
              <w:rPr>
                <w:rFonts w:cs="Calibri"/>
                <w:sz w:val="20"/>
                <w:szCs w:val="20"/>
                <w:lang w:val="hy-AM"/>
              </w:rPr>
              <w:t>6.</w:t>
            </w:r>
            <w:r w:rsidRPr="00A43E50">
              <w:rPr>
                <w:rFonts w:cs="Calibri"/>
                <w:sz w:val="20"/>
                <w:szCs w:val="20"/>
              </w:rPr>
              <w:t>6</w:t>
            </w:r>
          </w:p>
        </w:tc>
        <w:tc>
          <w:tcPr>
            <w:tcW w:w="1356" w:type="dxa"/>
            <w:tcBorders>
              <w:top w:val="nil"/>
              <w:left w:val="nil"/>
              <w:bottom w:val="single" w:sz="4" w:space="0" w:color="auto"/>
              <w:right w:val="single" w:sz="4" w:space="0" w:color="auto"/>
            </w:tcBorders>
            <w:shd w:val="clear" w:color="auto" w:fill="auto"/>
            <w:noWrap/>
            <w:vAlign w:val="center"/>
            <w:hideMark/>
          </w:tcPr>
          <w:p w14:paraId="6F51CDC0" w14:textId="77777777" w:rsidR="00F1465E" w:rsidRPr="009B523C" w:rsidRDefault="00F1465E" w:rsidP="00231073">
            <w:pPr>
              <w:spacing w:before="0" w:after="0" w:line="240" w:lineRule="auto"/>
              <w:ind w:firstLine="55"/>
              <w:jc w:val="center"/>
              <w:rPr>
                <w:rFonts w:cs="Calibri"/>
                <w:sz w:val="20"/>
                <w:szCs w:val="20"/>
              </w:rPr>
            </w:pPr>
            <w:r>
              <w:rPr>
                <w:rFonts w:cs="Calibri"/>
                <w:sz w:val="20"/>
                <w:szCs w:val="20"/>
              </w:rPr>
              <w:t>10.2</w:t>
            </w:r>
          </w:p>
        </w:tc>
        <w:tc>
          <w:tcPr>
            <w:tcW w:w="1589" w:type="dxa"/>
            <w:tcBorders>
              <w:top w:val="nil"/>
              <w:left w:val="nil"/>
              <w:bottom w:val="single" w:sz="4" w:space="0" w:color="auto"/>
              <w:right w:val="single" w:sz="4" w:space="0" w:color="auto"/>
            </w:tcBorders>
            <w:shd w:val="clear" w:color="auto" w:fill="auto"/>
            <w:noWrap/>
            <w:vAlign w:val="center"/>
            <w:hideMark/>
          </w:tcPr>
          <w:p w14:paraId="304F222E" w14:textId="77777777" w:rsidR="00F1465E" w:rsidRPr="009B523C" w:rsidRDefault="00F1465E" w:rsidP="00231073">
            <w:pPr>
              <w:spacing w:before="0" w:after="0" w:line="240" w:lineRule="auto"/>
              <w:ind w:firstLine="55"/>
              <w:jc w:val="center"/>
              <w:rPr>
                <w:rFonts w:cs="Calibri"/>
                <w:sz w:val="20"/>
                <w:szCs w:val="20"/>
              </w:rPr>
            </w:pPr>
            <w:r>
              <w:rPr>
                <w:rFonts w:cs="Calibri"/>
                <w:sz w:val="20"/>
                <w:szCs w:val="20"/>
              </w:rPr>
              <w:t>7.4</w:t>
            </w:r>
          </w:p>
        </w:tc>
      </w:tr>
      <w:tr w:rsidR="00F1465E" w:rsidRPr="00AC67B2" w14:paraId="366F0141" w14:textId="77777777" w:rsidTr="00231073">
        <w:trPr>
          <w:trHeight w:val="616"/>
        </w:trPr>
        <w:tc>
          <w:tcPr>
            <w:tcW w:w="2345" w:type="dxa"/>
            <w:vMerge/>
            <w:tcBorders>
              <w:top w:val="nil"/>
              <w:left w:val="single" w:sz="4" w:space="0" w:color="auto"/>
              <w:bottom w:val="nil"/>
              <w:right w:val="single" w:sz="4" w:space="0" w:color="auto"/>
            </w:tcBorders>
            <w:vAlign w:val="center"/>
            <w:hideMark/>
          </w:tcPr>
          <w:p w14:paraId="17F72850" w14:textId="77777777" w:rsidR="00F1465E" w:rsidRPr="00AC67B2" w:rsidRDefault="00F1465E" w:rsidP="00231073">
            <w:pPr>
              <w:spacing w:before="0" w:after="0" w:line="240" w:lineRule="auto"/>
              <w:ind w:firstLine="34"/>
              <w:rPr>
                <w:rFonts w:cs="Calibri"/>
                <w:sz w:val="20"/>
                <w:szCs w:val="20"/>
                <w:lang w:val="hy-AM"/>
              </w:rPr>
            </w:pPr>
          </w:p>
        </w:tc>
        <w:tc>
          <w:tcPr>
            <w:tcW w:w="3136" w:type="dxa"/>
            <w:tcBorders>
              <w:top w:val="nil"/>
              <w:left w:val="nil"/>
              <w:bottom w:val="single" w:sz="4" w:space="0" w:color="auto"/>
              <w:right w:val="single" w:sz="4" w:space="0" w:color="auto"/>
            </w:tcBorders>
            <w:shd w:val="clear" w:color="auto" w:fill="auto"/>
            <w:noWrap/>
            <w:vAlign w:val="center"/>
            <w:hideMark/>
          </w:tcPr>
          <w:p w14:paraId="7FD23264" w14:textId="77777777" w:rsidR="00F1465E" w:rsidRPr="00AC67B2" w:rsidRDefault="00F1465E" w:rsidP="00231073">
            <w:pPr>
              <w:spacing w:before="0" w:after="0" w:line="240" w:lineRule="auto"/>
              <w:ind w:firstLine="55"/>
              <w:rPr>
                <w:rFonts w:cs="Calibri"/>
                <w:sz w:val="20"/>
                <w:szCs w:val="20"/>
                <w:lang w:val="hy-AM"/>
              </w:rPr>
            </w:pPr>
            <w:r w:rsidRPr="00AC67B2">
              <w:rPr>
                <w:rFonts w:cs="Times Unicode"/>
                <w:sz w:val="20"/>
                <w:szCs w:val="20"/>
                <w:lang w:val="hy-AM"/>
              </w:rPr>
              <w:t xml:space="preserve">Առաջիկա տարում վերաֆիքսվող պարտքի կշիռը </w:t>
            </w:r>
            <w:r w:rsidRPr="00AC67B2">
              <w:rPr>
                <w:rFonts w:cs="Calibri"/>
                <w:sz w:val="20"/>
                <w:szCs w:val="20"/>
                <w:lang w:val="hy-AM"/>
              </w:rPr>
              <w:t>(% ընդամենի մեջ)</w:t>
            </w:r>
          </w:p>
        </w:tc>
        <w:tc>
          <w:tcPr>
            <w:tcW w:w="1890" w:type="dxa"/>
            <w:tcBorders>
              <w:top w:val="nil"/>
              <w:left w:val="nil"/>
              <w:bottom w:val="single" w:sz="4" w:space="0" w:color="auto"/>
              <w:right w:val="single" w:sz="4" w:space="0" w:color="auto"/>
            </w:tcBorders>
            <w:shd w:val="clear" w:color="auto" w:fill="auto"/>
            <w:noWrap/>
            <w:vAlign w:val="center"/>
            <w:hideMark/>
          </w:tcPr>
          <w:p w14:paraId="3DE42269" w14:textId="77777777" w:rsidR="00F1465E" w:rsidRPr="00A43E50" w:rsidRDefault="00F1465E" w:rsidP="00231073">
            <w:pPr>
              <w:spacing w:before="0" w:after="0" w:line="240" w:lineRule="auto"/>
              <w:ind w:firstLine="55"/>
              <w:jc w:val="center"/>
              <w:rPr>
                <w:rFonts w:cs="Calibri"/>
                <w:sz w:val="20"/>
                <w:szCs w:val="20"/>
                <w:lang w:val="hy-AM"/>
              </w:rPr>
            </w:pPr>
            <w:r w:rsidRPr="00A43E50">
              <w:rPr>
                <w:rFonts w:cs="Calibri"/>
                <w:sz w:val="20"/>
                <w:szCs w:val="20"/>
                <w:lang w:val="hy-AM"/>
              </w:rPr>
              <w:t>2</w:t>
            </w:r>
            <w:r w:rsidRPr="00A43E50">
              <w:rPr>
                <w:rFonts w:cs="Calibri"/>
                <w:sz w:val="20"/>
                <w:szCs w:val="20"/>
              </w:rPr>
              <w:t>6</w:t>
            </w:r>
            <w:r w:rsidRPr="00A43E50">
              <w:rPr>
                <w:rFonts w:cs="Calibri"/>
                <w:sz w:val="20"/>
                <w:szCs w:val="20"/>
                <w:lang w:val="hy-AM"/>
              </w:rPr>
              <w:t>.4</w:t>
            </w:r>
          </w:p>
        </w:tc>
        <w:tc>
          <w:tcPr>
            <w:tcW w:w="1356" w:type="dxa"/>
            <w:tcBorders>
              <w:top w:val="nil"/>
              <w:left w:val="nil"/>
              <w:bottom w:val="single" w:sz="4" w:space="0" w:color="auto"/>
              <w:right w:val="single" w:sz="4" w:space="0" w:color="auto"/>
            </w:tcBorders>
            <w:shd w:val="clear" w:color="auto" w:fill="auto"/>
            <w:noWrap/>
            <w:vAlign w:val="center"/>
            <w:hideMark/>
          </w:tcPr>
          <w:p w14:paraId="7408E830" w14:textId="77777777" w:rsidR="00F1465E" w:rsidRPr="00B42150" w:rsidRDefault="00F1465E" w:rsidP="00231073">
            <w:pPr>
              <w:spacing w:before="0" w:after="0" w:line="240" w:lineRule="auto"/>
              <w:ind w:firstLine="55"/>
              <w:jc w:val="center"/>
              <w:rPr>
                <w:rFonts w:cs="Calibri"/>
                <w:sz w:val="20"/>
                <w:szCs w:val="20"/>
              </w:rPr>
            </w:pPr>
            <w:r>
              <w:rPr>
                <w:rFonts w:cs="Calibri"/>
                <w:sz w:val="20"/>
                <w:szCs w:val="20"/>
              </w:rPr>
              <w:t>12.7</w:t>
            </w:r>
          </w:p>
        </w:tc>
        <w:tc>
          <w:tcPr>
            <w:tcW w:w="1589" w:type="dxa"/>
            <w:tcBorders>
              <w:top w:val="nil"/>
              <w:left w:val="nil"/>
              <w:bottom w:val="single" w:sz="4" w:space="0" w:color="auto"/>
              <w:right w:val="single" w:sz="4" w:space="0" w:color="auto"/>
            </w:tcBorders>
            <w:shd w:val="clear" w:color="auto" w:fill="auto"/>
            <w:noWrap/>
            <w:vAlign w:val="center"/>
            <w:hideMark/>
          </w:tcPr>
          <w:p w14:paraId="14C075AC" w14:textId="77777777" w:rsidR="00F1465E" w:rsidRPr="00B42150" w:rsidRDefault="00F1465E" w:rsidP="00231073">
            <w:pPr>
              <w:spacing w:before="0" w:after="0" w:line="240" w:lineRule="auto"/>
              <w:ind w:firstLine="55"/>
              <w:jc w:val="center"/>
              <w:rPr>
                <w:rFonts w:cs="Calibri"/>
                <w:sz w:val="20"/>
                <w:szCs w:val="20"/>
              </w:rPr>
            </w:pPr>
            <w:r>
              <w:rPr>
                <w:rFonts w:cs="Calibri"/>
                <w:sz w:val="20"/>
                <w:szCs w:val="20"/>
              </w:rPr>
              <w:t>23.6</w:t>
            </w:r>
          </w:p>
        </w:tc>
      </w:tr>
      <w:tr w:rsidR="00F1465E" w:rsidRPr="00AC67B2" w14:paraId="752E773E" w14:textId="77777777" w:rsidTr="00231073">
        <w:trPr>
          <w:trHeight w:val="624"/>
        </w:trPr>
        <w:tc>
          <w:tcPr>
            <w:tcW w:w="2345" w:type="dxa"/>
            <w:vMerge/>
            <w:tcBorders>
              <w:top w:val="nil"/>
              <w:left w:val="single" w:sz="4" w:space="0" w:color="auto"/>
              <w:bottom w:val="nil"/>
              <w:right w:val="single" w:sz="4" w:space="0" w:color="auto"/>
            </w:tcBorders>
            <w:vAlign w:val="center"/>
            <w:hideMark/>
          </w:tcPr>
          <w:p w14:paraId="5B8FF62D" w14:textId="77777777" w:rsidR="00F1465E" w:rsidRPr="00AC67B2" w:rsidRDefault="00F1465E" w:rsidP="00231073">
            <w:pPr>
              <w:spacing w:before="0" w:after="0" w:line="240" w:lineRule="auto"/>
              <w:ind w:firstLine="34"/>
              <w:rPr>
                <w:rFonts w:cs="Calibri"/>
                <w:sz w:val="20"/>
                <w:szCs w:val="20"/>
                <w:lang w:val="hy-AM"/>
              </w:rPr>
            </w:pPr>
          </w:p>
        </w:tc>
        <w:tc>
          <w:tcPr>
            <w:tcW w:w="3136" w:type="dxa"/>
            <w:tcBorders>
              <w:top w:val="nil"/>
              <w:left w:val="nil"/>
              <w:right w:val="single" w:sz="4" w:space="0" w:color="auto"/>
            </w:tcBorders>
            <w:shd w:val="clear" w:color="auto" w:fill="auto"/>
            <w:noWrap/>
            <w:vAlign w:val="center"/>
            <w:hideMark/>
          </w:tcPr>
          <w:p w14:paraId="3CE3F4D7" w14:textId="77777777" w:rsidR="00F1465E" w:rsidRPr="00AC67B2" w:rsidRDefault="00F1465E" w:rsidP="00231073">
            <w:pPr>
              <w:spacing w:before="0" w:after="0" w:line="240" w:lineRule="auto"/>
              <w:ind w:firstLine="55"/>
              <w:rPr>
                <w:rFonts w:cs="Calibri"/>
                <w:sz w:val="20"/>
                <w:szCs w:val="20"/>
                <w:lang w:val="hy-AM"/>
              </w:rPr>
            </w:pPr>
            <w:r w:rsidRPr="00AC67B2">
              <w:rPr>
                <w:rFonts w:cs="Times Unicode"/>
                <w:sz w:val="20"/>
                <w:szCs w:val="20"/>
                <w:lang w:val="hy-AM"/>
              </w:rPr>
              <w:t xml:space="preserve">ֆիքսված տոկոսադրույքով պարտքի կշիռը </w:t>
            </w:r>
            <w:r w:rsidRPr="00AC67B2">
              <w:rPr>
                <w:rFonts w:cs="Calibri"/>
                <w:sz w:val="20"/>
                <w:szCs w:val="20"/>
                <w:lang w:val="hy-AM"/>
              </w:rPr>
              <w:t>(% ընդամենի մեջ)</w:t>
            </w:r>
          </w:p>
        </w:tc>
        <w:tc>
          <w:tcPr>
            <w:tcW w:w="1890" w:type="dxa"/>
            <w:tcBorders>
              <w:top w:val="nil"/>
              <w:left w:val="nil"/>
              <w:right w:val="single" w:sz="4" w:space="0" w:color="auto"/>
            </w:tcBorders>
            <w:shd w:val="clear" w:color="auto" w:fill="auto"/>
            <w:noWrap/>
            <w:vAlign w:val="center"/>
            <w:hideMark/>
          </w:tcPr>
          <w:p w14:paraId="1034A371" w14:textId="77777777" w:rsidR="00F1465E" w:rsidRPr="00A43E50" w:rsidRDefault="00F1465E" w:rsidP="00231073">
            <w:pPr>
              <w:spacing w:before="0" w:after="0" w:line="240" w:lineRule="auto"/>
              <w:ind w:firstLine="55"/>
              <w:jc w:val="center"/>
              <w:rPr>
                <w:rFonts w:cs="Calibri"/>
                <w:sz w:val="20"/>
                <w:szCs w:val="20"/>
              </w:rPr>
            </w:pPr>
            <w:r w:rsidRPr="00A43E50">
              <w:rPr>
                <w:rFonts w:cs="Calibri"/>
                <w:sz w:val="20"/>
                <w:szCs w:val="20"/>
              </w:rPr>
              <w:t>79.6</w:t>
            </w:r>
          </w:p>
        </w:tc>
        <w:tc>
          <w:tcPr>
            <w:tcW w:w="1356" w:type="dxa"/>
            <w:tcBorders>
              <w:top w:val="nil"/>
              <w:left w:val="nil"/>
              <w:right w:val="single" w:sz="4" w:space="0" w:color="auto"/>
            </w:tcBorders>
            <w:shd w:val="clear" w:color="auto" w:fill="auto"/>
            <w:noWrap/>
            <w:vAlign w:val="center"/>
            <w:hideMark/>
          </w:tcPr>
          <w:p w14:paraId="4E6ED687" w14:textId="77777777" w:rsidR="00F1465E" w:rsidRPr="00AC67B2" w:rsidRDefault="00F1465E" w:rsidP="00231073">
            <w:pPr>
              <w:spacing w:before="0" w:after="0" w:line="240" w:lineRule="auto"/>
              <w:ind w:firstLine="55"/>
              <w:jc w:val="center"/>
              <w:rPr>
                <w:rFonts w:cs="Calibri"/>
                <w:sz w:val="20"/>
                <w:szCs w:val="20"/>
                <w:lang w:val="hy-AM"/>
              </w:rPr>
            </w:pPr>
            <w:r w:rsidRPr="00AC67B2">
              <w:rPr>
                <w:rFonts w:cs="Calibri"/>
                <w:sz w:val="20"/>
                <w:szCs w:val="20"/>
                <w:lang w:val="hy-AM"/>
              </w:rPr>
              <w:t>100.0</w:t>
            </w:r>
          </w:p>
        </w:tc>
        <w:tc>
          <w:tcPr>
            <w:tcW w:w="1589" w:type="dxa"/>
            <w:tcBorders>
              <w:top w:val="nil"/>
              <w:left w:val="nil"/>
              <w:right w:val="single" w:sz="4" w:space="0" w:color="auto"/>
            </w:tcBorders>
            <w:shd w:val="clear" w:color="auto" w:fill="auto"/>
            <w:noWrap/>
            <w:vAlign w:val="center"/>
            <w:hideMark/>
          </w:tcPr>
          <w:p w14:paraId="0D28E6E4" w14:textId="77777777" w:rsidR="00F1465E" w:rsidRPr="000F0D35" w:rsidRDefault="00F1465E" w:rsidP="00231073">
            <w:pPr>
              <w:spacing w:before="0" w:after="0" w:line="240" w:lineRule="auto"/>
              <w:ind w:firstLine="55"/>
              <w:jc w:val="center"/>
              <w:rPr>
                <w:rFonts w:cs="Calibri"/>
                <w:sz w:val="20"/>
                <w:szCs w:val="20"/>
              </w:rPr>
            </w:pPr>
            <w:r>
              <w:rPr>
                <w:rFonts w:cs="Calibri"/>
                <w:sz w:val="20"/>
                <w:szCs w:val="20"/>
              </w:rPr>
              <w:t>83.8</w:t>
            </w:r>
          </w:p>
        </w:tc>
      </w:tr>
      <w:tr w:rsidR="00F1465E" w:rsidRPr="00AC67B2" w14:paraId="73B69269" w14:textId="77777777" w:rsidTr="00231073">
        <w:trPr>
          <w:trHeight w:val="318"/>
        </w:trPr>
        <w:tc>
          <w:tcPr>
            <w:tcW w:w="2345"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hideMark/>
          </w:tcPr>
          <w:p w14:paraId="12A16B21" w14:textId="77777777" w:rsidR="00F1465E" w:rsidRPr="00AC67B2" w:rsidRDefault="00F1465E" w:rsidP="00231073">
            <w:pPr>
              <w:spacing w:before="0" w:after="0" w:line="240" w:lineRule="auto"/>
              <w:ind w:firstLine="34"/>
              <w:rPr>
                <w:rFonts w:cs="Calibri"/>
                <w:sz w:val="20"/>
                <w:szCs w:val="20"/>
                <w:lang w:val="hy-AM"/>
              </w:rPr>
            </w:pPr>
            <w:r w:rsidRPr="00AC67B2">
              <w:rPr>
                <w:rFonts w:cs="Calibri"/>
                <w:sz w:val="20"/>
                <w:szCs w:val="20"/>
                <w:lang w:val="hy-AM"/>
              </w:rPr>
              <w:t>Փոխարժեքի ռիսկ</w:t>
            </w:r>
          </w:p>
        </w:tc>
        <w:tc>
          <w:tcPr>
            <w:tcW w:w="3136" w:type="dxa"/>
            <w:tcBorders>
              <w:top w:val="double" w:sz="6" w:space="0" w:color="auto"/>
              <w:left w:val="nil"/>
              <w:bottom w:val="single" w:sz="4" w:space="0" w:color="auto"/>
              <w:right w:val="nil"/>
            </w:tcBorders>
            <w:shd w:val="clear" w:color="auto" w:fill="auto"/>
            <w:noWrap/>
            <w:vAlign w:val="center"/>
            <w:hideMark/>
          </w:tcPr>
          <w:p w14:paraId="55979027" w14:textId="77777777" w:rsidR="00F1465E" w:rsidRPr="00AC67B2" w:rsidRDefault="00F1465E" w:rsidP="00231073">
            <w:pPr>
              <w:spacing w:before="0" w:after="0" w:line="240" w:lineRule="auto"/>
              <w:ind w:firstLine="55"/>
              <w:rPr>
                <w:rFonts w:cs="Calibri"/>
                <w:sz w:val="20"/>
                <w:szCs w:val="20"/>
                <w:lang w:val="hy-AM"/>
              </w:rPr>
            </w:pPr>
            <w:r w:rsidRPr="00AC67B2">
              <w:rPr>
                <w:rFonts w:cs="Times Unicode"/>
                <w:sz w:val="20"/>
                <w:szCs w:val="20"/>
                <w:lang w:val="hy-AM"/>
              </w:rPr>
              <w:t xml:space="preserve">Արտարժութային պարտքի կշիռը </w:t>
            </w:r>
            <w:r w:rsidRPr="00AC67B2">
              <w:rPr>
                <w:rFonts w:cs="Calibri"/>
                <w:sz w:val="20"/>
                <w:szCs w:val="20"/>
                <w:lang w:val="hy-AM"/>
              </w:rPr>
              <w:t>(% ընդամենի մեջ)</w:t>
            </w:r>
          </w:p>
        </w:tc>
        <w:tc>
          <w:tcPr>
            <w:tcW w:w="1890" w:type="dxa"/>
            <w:tcBorders>
              <w:top w:val="double" w:sz="6" w:space="0" w:color="auto"/>
              <w:left w:val="single" w:sz="4" w:space="0" w:color="auto"/>
              <w:bottom w:val="single" w:sz="4" w:space="0" w:color="auto"/>
              <w:right w:val="single" w:sz="4" w:space="0" w:color="auto"/>
            </w:tcBorders>
            <w:shd w:val="clear" w:color="auto" w:fill="auto"/>
            <w:noWrap/>
            <w:vAlign w:val="center"/>
            <w:hideMark/>
          </w:tcPr>
          <w:p w14:paraId="328206BB" w14:textId="77777777" w:rsidR="00F1465E" w:rsidRPr="00AC67B2" w:rsidRDefault="00F1465E" w:rsidP="00231073">
            <w:pPr>
              <w:spacing w:before="0" w:after="0" w:line="240" w:lineRule="auto"/>
              <w:ind w:firstLine="55"/>
              <w:jc w:val="center"/>
              <w:rPr>
                <w:rFonts w:cs="Calibri"/>
                <w:sz w:val="20"/>
                <w:szCs w:val="20"/>
                <w:lang w:val="hy-AM"/>
              </w:rPr>
            </w:pPr>
            <w:r w:rsidRPr="00AC67B2">
              <w:rPr>
                <w:rFonts w:cs="Calibri"/>
                <w:sz w:val="20"/>
                <w:szCs w:val="20"/>
                <w:lang w:val="hy-AM"/>
              </w:rPr>
              <w:t>-</w:t>
            </w:r>
          </w:p>
        </w:tc>
        <w:tc>
          <w:tcPr>
            <w:tcW w:w="1356" w:type="dxa"/>
            <w:tcBorders>
              <w:top w:val="double" w:sz="6" w:space="0" w:color="auto"/>
              <w:left w:val="nil"/>
              <w:bottom w:val="single" w:sz="4" w:space="0" w:color="auto"/>
              <w:right w:val="single" w:sz="4" w:space="0" w:color="auto"/>
            </w:tcBorders>
            <w:shd w:val="clear" w:color="auto" w:fill="auto"/>
            <w:noWrap/>
            <w:vAlign w:val="center"/>
            <w:hideMark/>
          </w:tcPr>
          <w:p w14:paraId="4148F040" w14:textId="77777777" w:rsidR="00F1465E" w:rsidRPr="00AC67B2" w:rsidRDefault="00F1465E" w:rsidP="00231073">
            <w:pPr>
              <w:spacing w:before="0" w:after="0" w:line="240" w:lineRule="auto"/>
              <w:ind w:firstLine="55"/>
              <w:jc w:val="center"/>
              <w:rPr>
                <w:rFonts w:cs="Calibri"/>
                <w:sz w:val="20"/>
                <w:szCs w:val="20"/>
                <w:lang w:val="hy-AM"/>
              </w:rPr>
            </w:pPr>
            <w:r w:rsidRPr="00AC67B2">
              <w:rPr>
                <w:rFonts w:cs="Calibri"/>
                <w:sz w:val="20"/>
                <w:szCs w:val="20"/>
                <w:lang w:val="hy-AM"/>
              </w:rPr>
              <w:t>-</w:t>
            </w:r>
          </w:p>
        </w:tc>
        <w:tc>
          <w:tcPr>
            <w:tcW w:w="1589" w:type="dxa"/>
            <w:tcBorders>
              <w:top w:val="double" w:sz="6" w:space="0" w:color="auto"/>
              <w:left w:val="nil"/>
              <w:bottom w:val="single" w:sz="4" w:space="0" w:color="auto"/>
              <w:right w:val="single" w:sz="4" w:space="0" w:color="auto"/>
            </w:tcBorders>
            <w:shd w:val="clear" w:color="auto" w:fill="auto"/>
            <w:noWrap/>
            <w:vAlign w:val="center"/>
            <w:hideMark/>
          </w:tcPr>
          <w:p w14:paraId="2635A98F" w14:textId="77777777" w:rsidR="00F1465E" w:rsidRPr="00B42150" w:rsidRDefault="00F1465E" w:rsidP="00231073">
            <w:pPr>
              <w:spacing w:before="0" w:after="0" w:line="240" w:lineRule="auto"/>
              <w:ind w:firstLine="55"/>
              <w:jc w:val="center"/>
              <w:rPr>
                <w:rFonts w:cs="Calibri"/>
                <w:sz w:val="20"/>
                <w:szCs w:val="20"/>
              </w:rPr>
            </w:pPr>
            <w:r>
              <w:rPr>
                <w:rFonts w:cs="Calibri"/>
                <w:sz w:val="20"/>
                <w:szCs w:val="20"/>
              </w:rPr>
              <w:t>79.2</w:t>
            </w:r>
          </w:p>
        </w:tc>
      </w:tr>
      <w:tr w:rsidR="00F1465E" w:rsidRPr="00AC67B2" w14:paraId="72B98057" w14:textId="77777777" w:rsidTr="00231073">
        <w:trPr>
          <w:trHeight w:val="288"/>
        </w:trPr>
        <w:tc>
          <w:tcPr>
            <w:tcW w:w="2345" w:type="dxa"/>
            <w:vMerge/>
            <w:tcBorders>
              <w:top w:val="double" w:sz="6" w:space="0" w:color="auto"/>
              <w:left w:val="single" w:sz="4" w:space="0" w:color="auto"/>
              <w:bottom w:val="single" w:sz="4" w:space="0" w:color="000000"/>
              <w:right w:val="single" w:sz="4" w:space="0" w:color="auto"/>
            </w:tcBorders>
            <w:vAlign w:val="center"/>
            <w:hideMark/>
          </w:tcPr>
          <w:p w14:paraId="3E1BC094" w14:textId="77777777" w:rsidR="00F1465E" w:rsidRPr="00AC67B2" w:rsidRDefault="00F1465E" w:rsidP="00231073">
            <w:pPr>
              <w:spacing w:before="0" w:after="0" w:line="240" w:lineRule="auto"/>
              <w:rPr>
                <w:rFonts w:cs="Calibri"/>
                <w:color w:val="FF0000"/>
                <w:sz w:val="20"/>
                <w:szCs w:val="20"/>
                <w:lang w:val="hy-AM"/>
              </w:rPr>
            </w:pPr>
          </w:p>
        </w:tc>
        <w:tc>
          <w:tcPr>
            <w:tcW w:w="3136" w:type="dxa"/>
            <w:tcBorders>
              <w:top w:val="nil"/>
              <w:left w:val="nil"/>
              <w:bottom w:val="single" w:sz="4" w:space="0" w:color="auto"/>
              <w:right w:val="nil"/>
            </w:tcBorders>
            <w:shd w:val="clear" w:color="auto" w:fill="auto"/>
            <w:noWrap/>
            <w:vAlign w:val="center"/>
            <w:hideMark/>
          </w:tcPr>
          <w:p w14:paraId="49B7C01D" w14:textId="77777777" w:rsidR="00F1465E" w:rsidRPr="00AC67B2" w:rsidRDefault="00F1465E" w:rsidP="00231073">
            <w:pPr>
              <w:spacing w:before="0" w:after="0" w:line="240" w:lineRule="auto"/>
              <w:ind w:firstLine="55"/>
              <w:rPr>
                <w:rFonts w:cs="Calibri"/>
                <w:sz w:val="20"/>
                <w:szCs w:val="20"/>
                <w:lang w:val="hy-AM"/>
              </w:rPr>
            </w:pPr>
            <w:r w:rsidRPr="00AC67B2">
              <w:rPr>
                <w:rFonts w:cs="Times Unicode"/>
                <w:sz w:val="20"/>
                <w:szCs w:val="20"/>
                <w:lang w:val="hy-AM"/>
              </w:rPr>
              <w:t>Արտարժութային կարճաժամկետ պարտք (մարումներ և տոկո</w:t>
            </w:r>
            <w:r w:rsidRPr="00AC67B2">
              <w:rPr>
                <w:rFonts w:cs="Times Unicode"/>
                <w:sz w:val="20"/>
                <w:szCs w:val="20"/>
                <w:lang w:val="hy-AM"/>
              </w:rPr>
              <w:softHyphen/>
              <w:t>սագումարներ)/միջազգային պահուստներ, (%)</w:t>
            </w:r>
            <w:r w:rsidRPr="00AC67B2">
              <w:rPr>
                <w:rFonts w:cs="Calibri"/>
                <w:sz w:val="20"/>
                <w:szCs w:val="20"/>
                <w:lang w:val="hy-AM"/>
              </w:rPr>
              <w:t xml:space="preserve"> </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2951E3EA" w14:textId="77777777" w:rsidR="00F1465E" w:rsidRPr="00AC67B2" w:rsidRDefault="00F1465E" w:rsidP="00231073">
            <w:pPr>
              <w:spacing w:before="0" w:after="0" w:line="240" w:lineRule="auto"/>
              <w:ind w:firstLine="37"/>
              <w:jc w:val="center"/>
              <w:rPr>
                <w:rFonts w:cs="Calibri"/>
                <w:sz w:val="20"/>
                <w:szCs w:val="20"/>
                <w:lang w:val="hy-AM"/>
              </w:rPr>
            </w:pPr>
            <w:r w:rsidRPr="00AC67B2">
              <w:rPr>
                <w:rFonts w:ascii="Calibri" w:hAnsi="Calibri" w:cs="Calibri"/>
                <w:sz w:val="20"/>
                <w:szCs w:val="20"/>
                <w:lang w:val="hy-AM"/>
              </w:rPr>
              <w:t>-</w:t>
            </w:r>
          </w:p>
        </w:tc>
        <w:tc>
          <w:tcPr>
            <w:tcW w:w="1356" w:type="dxa"/>
            <w:tcBorders>
              <w:top w:val="nil"/>
              <w:left w:val="nil"/>
              <w:bottom w:val="single" w:sz="4" w:space="0" w:color="auto"/>
              <w:right w:val="single" w:sz="4" w:space="0" w:color="auto"/>
            </w:tcBorders>
            <w:shd w:val="clear" w:color="auto" w:fill="auto"/>
            <w:noWrap/>
            <w:vAlign w:val="center"/>
            <w:hideMark/>
          </w:tcPr>
          <w:p w14:paraId="45A15782" w14:textId="77777777" w:rsidR="00F1465E" w:rsidRPr="00AC67B2" w:rsidRDefault="00F1465E" w:rsidP="00231073">
            <w:pPr>
              <w:spacing w:before="0" w:after="0" w:line="240" w:lineRule="auto"/>
              <w:ind w:firstLine="37"/>
              <w:jc w:val="center"/>
              <w:rPr>
                <w:rFonts w:cs="Calibri"/>
                <w:sz w:val="20"/>
                <w:szCs w:val="20"/>
                <w:lang w:val="hy-AM"/>
              </w:rPr>
            </w:pPr>
            <w:r w:rsidRPr="00AC67B2">
              <w:rPr>
                <w:rFonts w:ascii="Calibri" w:hAnsi="Calibri" w:cs="Calibri"/>
                <w:sz w:val="20"/>
                <w:szCs w:val="20"/>
                <w:lang w:val="hy-AM"/>
              </w:rPr>
              <w:t>-</w:t>
            </w:r>
          </w:p>
        </w:tc>
        <w:tc>
          <w:tcPr>
            <w:tcW w:w="1589" w:type="dxa"/>
            <w:tcBorders>
              <w:top w:val="nil"/>
              <w:left w:val="nil"/>
              <w:bottom w:val="single" w:sz="4" w:space="0" w:color="auto"/>
              <w:right w:val="single" w:sz="4" w:space="0" w:color="auto"/>
            </w:tcBorders>
            <w:shd w:val="clear" w:color="auto" w:fill="auto"/>
            <w:noWrap/>
            <w:vAlign w:val="center"/>
            <w:hideMark/>
          </w:tcPr>
          <w:p w14:paraId="59A6E559" w14:textId="77777777" w:rsidR="00F1465E" w:rsidRPr="00023D1F" w:rsidRDefault="00F1465E" w:rsidP="00231073">
            <w:pPr>
              <w:spacing w:before="0" w:after="0" w:line="240" w:lineRule="auto"/>
              <w:ind w:firstLine="37"/>
              <w:jc w:val="center"/>
              <w:rPr>
                <w:rFonts w:cs="Calibri"/>
                <w:sz w:val="20"/>
                <w:szCs w:val="20"/>
              </w:rPr>
            </w:pPr>
            <w:r w:rsidRPr="00023D1F">
              <w:rPr>
                <w:rFonts w:cs="Calibri"/>
                <w:sz w:val="20"/>
                <w:szCs w:val="20"/>
              </w:rPr>
              <w:t>8.5</w:t>
            </w:r>
          </w:p>
        </w:tc>
      </w:tr>
    </w:tbl>
    <w:p w14:paraId="517D70DB" w14:textId="77777777" w:rsidR="00F1465E" w:rsidRDefault="00F1465E" w:rsidP="00F1465E">
      <w:pPr>
        <w:spacing w:line="360" w:lineRule="auto"/>
        <w:ind w:firstLine="720"/>
        <w:rPr>
          <w:rFonts w:cs="Times Unicode"/>
        </w:rPr>
      </w:pPr>
    </w:p>
    <w:p w14:paraId="545F6716" w14:textId="77777777" w:rsidR="00F1465E" w:rsidRPr="00AC67B2" w:rsidRDefault="00F1465E" w:rsidP="00F1465E">
      <w:pPr>
        <w:spacing w:line="360" w:lineRule="auto"/>
        <w:ind w:firstLine="720"/>
        <w:rPr>
          <w:rFonts w:cs="Times Unicode"/>
          <w:lang w:val="hy-AM"/>
        </w:rPr>
      </w:pPr>
      <w:r w:rsidRPr="00AC67B2">
        <w:rPr>
          <w:rFonts w:cs="Times Unicode"/>
          <w:lang w:val="hy-AM"/>
        </w:rPr>
        <w:t>Կառավարության պարտքի ծախսերը բնութագրելու համար կիրառվել են հետևյալ ցուցա</w:t>
      </w:r>
      <w:r w:rsidRPr="00AC67B2">
        <w:rPr>
          <w:rFonts w:cs="Times Unicode"/>
          <w:lang w:val="hy-AM"/>
        </w:rPr>
        <w:softHyphen/>
        <w:t xml:space="preserve">նիշները՝ պարտքի պորտֆելի միջին կշռված տոկոսադրույքը, տոկոսավճարի կշիռը պետական բյուջեի եկամուտների մեջ և տոկոսավճարի կշիռը ՀՆԱ-ի մեջ: </w:t>
      </w:r>
    </w:p>
    <w:p w14:paraId="6B02958D" w14:textId="77777777" w:rsidR="00F1465E" w:rsidRPr="00A205DB" w:rsidRDefault="00F1465E" w:rsidP="00F1465E">
      <w:pPr>
        <w:ind w:firstLine="425"/>
        <w:rPr>
          <w:rFonts w:cs="Times Unicode"/>
          <w:lang w:val="hy-AM"/>
        </w:rPr>
      </w:pPr>
      <w:r w:rsidRPr="00A205DB">
        <w:rPr>
          <w:rFonts w:cs="Times Unicode"/>
          <w:lang w:val="hy-AM"/>
        </w:rPr>
        <w:lastRenderedPageBreak/>
        <w:t xml:space="preserve">2019թ. տարեվերջին </w:t>
      </w:r>
      <w:r w:rsidRPr="00AC67B2">
        <w:rPr>
          <w:rFonts w:cs="Times Unicode"/>
          <w:lang w:val="hy-AM"/>
        </w:rPr>
        <w:t xml:space="preserve">ՀՀ կառավարության պարտքի պորտֆելի միջին </w:t>
      </w:r>
      <w:r w:rsidRPr="00A205DB">
        <w:rPr>
          <w:rFonts w:cs="Times Unicode"/>
          <w:lang w:val="hy-AM"/>
        </w:rPr>
        <w:t xml:space="preserve">կշռված </w:t>
      </w:r>
      <w:r w:rsidRPr="00AC67B2">
        <w:rPr>
          <w:rFonts w:cs="Times Unicode"/>
          <w:lang w:val="hy-AM"/>
        </w:rPr>
        <w:t>տոկոսադրույքը</w:t>
      </w:r>
      <w:r w:rsidRPr="00A205DB">
        <w:rPr>
          <w:rFonts w:cs="Times Unicode"/>
          <w:lang w:val="hy-AM"/>
        </w:rPr>
        <w:t xml:space="preserve"> կազմել է 4.8</w:t>
      </w:r>
      <w:r w:rsidRPr="00AC67B2">
        <w:rPr>
          <w:rFonts w:cs="Times Unicode"/>
          <w:lang w:val="hy-AM"/>
        </w:rPr>
        <w:t>%</w:t>
      </w:r>
      <w:r w:rsidRPr="00A205DB">
        <w:rPr>
          <w:rFonts w:cs="Times Unicode"/>
          <w:lang w:val="hy-AM"/>
        </w:rPr>
        <w:t xml:space="preserve">, </w:t>
      </w:r>
      <w:r>
        <w:rPr>
          <w:rFonts w:cs="Times Unicode"/>
          <w:lang w:val="hy-AM"/>
        </w:rPr>
        <w:t>ընդ որում</w:t>
      </w:r>
      <w:r w:rsidRPr="00A205DB">
        <w:rPr>
          <w:rFonts w:cs="Times Unicode"/>
          <w:lang w:val="hy-AM"/>
        </w:rPr>
        <w:t xml:space="preserve"> դրամային պարտքի համար այն կազմել է 11.8</w:t>
      </w:r>
      <w:r w:rsidRPr="00AC67B2">
        <w:rPr>
          <w:rFonts w:cs="Times Unicode"/>
          <w:lang w:val="hy-AM"/>
        </w:rPr>
        <w:t>%</w:t>
      </w:r>
      <w:r w:rsidRPr="00A205DB">
        <w:rPr>
          <w:rFonts w:cs="Times Unicode"/>
          <w:lang w:val="hy-AM"/>
        </w:rPr>
        <w:t>, իսկ արտարժութային պարտքի համար` 3.0</w:t>
      </w:r>
      <w:r w:rsidRPr="00AC67B2">
        <w:rPr>
          <w:rFonts w:cs="Times Unicode"/>
          <w:lang w:val="hy-AM"/>
        </w:rPr>
        <w:t>%</w:t>
      </w:r>
      <w:r w:rsidRPr="00A205DB">
        <w:rPr>
          <w:rFonts w:cs="Times Unicode"/>
          <w:lang w:val="hy-AM"/>
        </w:rPr>
        <w:t xml:space="preserve">: </w:t>
      </w:r>
    </w:p>
    <w:p w14:paraId="5D3024E7" w14:textId="77777777" w:rsidR="00F1465E" w:rsidRPr="00C35116" w:rsidRDefault="00F1465E" w:rsidP="00F1465E">
      <w:pPr>
        <w:ind w:firstLine="425"/>
        <w:rPr>
          <w:rFonts w:cs="Times Armenian"/>
          <w:lang w:val="hy-AM"/>
        </w:rPr>
      </w:pPr>
      <w:r w:rsidRPr="00AC67B2">
        <w:rPr>
          <w:rFonts w:cs="Times Unicode"/>
          <w:lang w:val="hy-AM"/>
        </w:rPr>
        <w:t>ՀՀ կառավարության պարտքի պորտֆելի միջին տոկոսադրույքը</w:t>
      </w:r>
      <w:r w:rsidRPr="00A205DB">
        <w:rPr>
          <w:rFonts w:cs="Times Unicode"/>
          <w:lang w:val="hy-AM"/>
        </w:rPr>
        <w:t>, որը հաշվարկվում է</w:t>
      </w:r>
      <w:r w:rsidRPr="00AC67B2">
        <w:rPr>
          <w:rFonts w:cs="Times Unicode"/>
          <w:lang w:val="hy-AM"/>
        </w:rPr>
        <w:t xml:space="preserve"> </w:t>
      </w:r>
      <w:r w:rsidRPr="00A205DB">
        <w:rPr>
          <w:rFonts w:cs="Times Unicode"/>
          <w:lang w:val="hy-AM"/>
        </w:rPr>
        <w:t xml:space="preserve">որպես 2019թ. ընթացքում վճարված </w:t>
      </w:r>
      <w:r w:rsidRPr="00AC67B2">
        <w:rPr>
          <w:rFonts w:cs="Times Unicode"/>
          <w:lang w:val="hy-AM"/>
        </w:rPr>
        <w:t>ՀՀ կառավարության պարտքի տոկոսավճարի հարաբերություն նախորդ տարվա վերջի դրությամբ պարտքի մնա</w:t>
      </w:r>
      <w:r w:rsidRPr="00AC67B2">
        <w:rPr>
          <w:rFonts w:cs="Times Unicode"/>
          <w:lang w:val="hy-AM"/>
        </w:rPr>
        <w:softHyphen/>
        <w:t>ցորդին</w:t>
      </w:r>
      <w:r w:rsidRPr="00A205DB">
        <w:rPr>
          <w:rFonts w:cs="Times Unicode"/>
          <w:lang w:val="hy-AM"/>
        </w:rPr>
        <w:t xml:space="preserve">, </w:t>
      </w:r>
      <w:r w:rsidRPr="00AC67B2">
        <w:rPr>
          <w:rFonts w:cs="Times Unicode"/>
          <w:lang w:val="hy-AM"/>
        </w:rPr>
        <w:t>կազմ</w:t>
      </w:r>
      <w:r w:rsidRPr="00A205DB">
        <w:rPr>
          <w:rFonts w:cs="Times Unicode"/>
          <w:lang w:val="hy-AM"/>
        </w:rPr>
        <w:t>ել է</w:t>
      </w:r>
      <w:r w:rsidRPr="00AC67B2">
        <w:rPr>
          <w:rFonts w:cs="Times Unicode"/>
          <w:lang w:val="hy-AM"/>
        </w:rPr>
        <w:t xml:space="preserve"> </w:t>
      </w:r>
      <w:r w:rsidRPr="00A205DB">
        <w:rPr>
          <w:rFonts w:cs="Times Unicode"/>
          <w:lang w:val="hy-AM"/>
        </w:rPr>
        <w:t>5.1</w:t>
      </w:r>
      <w:r w:rsidRPr="00AC67B2">
        <w:rPr>
          <w:rFonts w:cs="Times Unicode"/>
          <w:lang w:val="hy-AM"/>
        </w:rPr>
        <w:t>%</w:t>
      </w:r>
      <w:r w:rsidRPr="00A205DB">
        <w:rPr>
          <w:rFonts w:cs="Times Unicode"/>
          <w:lang w:val="hy-AM"/>
        </w:rPr>
        <w:t>` 2018թ. 4.7%-ի դիմաց</w:t>
      </w:r>
      <w:r w:rsidRPr="00AC67B2">
        <w:rPr>
          <w:rFonts w:cs="Times Unicode"/>
          <w:lang w:val="hy-AM"/>
        </w:rPr>
        <w:t xml:space="preserve">: </w:t>
      </w:r>
      <w:r w:rsidRPr="00A205DB">
        <w:rPr>
          <w:rFonts w:cs="Times Unicode"/>
          <w:lang w:val="hy-AM"/>
        </w:rPr>
        <w:t xml:space="preserve">Ըստ ռեզիդենտության տարանջատման դեպքում </w:t>
      </w:r>
      <w:r w:rsidRPr="00AC67B2">
        <w:rPr>
          <w:rFonts w:cs="Times Unicode"/>
          <w:lang w:val="hy-AM"/>
        </w:rPr>
        <w:t xml:space="preserve">ՀՀ </w:t>
      </w:r>
      <w:r w:rsidRPr="00603389">
        <w:rPr>
          <w:rFonts w:cs="Times Unicode"/>
          <w:lang w:val="hy-AM"/>
        </w:rPr>
        <w:t xml:space="preserve">կառավարության </w:t>
      </w:r>
      <w:r w:rsidRPr="00A205DB">
        <w:rPr>
          <w:rFonts w:cs="Times Unicode"/>
          <w:lang w:val="hy-AM"/>
        </w:rPr>
        <w:t>արտաքին</w:t>
      </w:r>
      <w:r w:rsidRPr="00603389">
        <w:rPr>
          <w:rFonts w:cs="Times Unicode"/>
          <w:lang w:val="hy-AM"/>
        </w:rPr>
        <w:t xml:space="preserve"> պարտքի միջին տոկոսադրույքը </w:t>
      </w:r>
      <w:r w:rsidRPr="00A205DB">
        <w:rPr>
          <w:rFonts w:cs="Times Unicode"/>
          <w:lang w:val="hy-AM"/>
        </w:rPr>
        <w:t xml:space="preserve">2019թ. համար </w:t>
      </w:r>
      <w:r w:rsidRPr="00603389">
        <w:rPr>
          <w:rFonts w:cs="Times Unicode"/>
          <w:lang w:val="hy-AM"/>
        </w:rPr>
        <w:t>կազմել է 3.</w:t>
      </w:r>
      <w:r w:rsidRPr="00A205DB">
        <w:rPr>
          <w:rFonts w:cs="Times Unicode"/>
          <w:lang w:val="hy-AM"/>
        </w:rPr>
        <w:t>6</w:t>
      </w:r>
      <w:r w:rsidRPr="00603389">
        <w:rPr>
          <w:rFonts w:cs="Times Unicode"/>
          <w:lang w:val="hy-AM"/>
        </w:rPr>
        <w:t xml:space="preserve">%՝ </w:t>
      </w:r>
      <w:r w:rsidRPr="00A205DB">
        <w:rPr>
          <w:rFonts w:cs="Times Unicode"/>
          <w:lang w:val="hy-AM"/>
        </w:rPr>
        <w:t>2018թ.</w:t>
      </w:r>
      <w:r w:rsidRPr="00603389">
        <w:rPr>
          <w:rFonts w:cs="Times Unicode"/>
          <w:lang w:val="hy-AM"/>
        </w:rPr>
        <w:t xml:space="preserve"> 3.</w:t>
      </w:r>
      <w:r w:rsidRPr="00A205DB">
        <w:rPr>
          <w:rFonts w:cs="Times Unicode"/>
          <w:lang w:val="hy-AM"/>
        </w:rPr>
        <w:t>2</w:t>
      </w:r>
      <w:r w:rsidRPr="00603389">
        <w:rPr>
          <w:rFonts w:cs="Times Unicode"/>
          <w:lang w:val="hy-AM"/>
        </w:rPr>
        <w:t>%-ի դիմ</w:t>
      </w:r>
      <w:r w:rsidRPr="00AC67B2">
        <w:rPr>
          <w:rFonts w:cs="Times Unicode"/>
          <w:lang w:val="hy-AM"/>
        </w:rPr>
        <w:t>աց</w:t>
      </w:r>
      <w:r w:rsidRPr="00A205DB">
        <w:rPr>
          <w:rFonts w:cs="Times Unicode"/>
          <w:lang w:val="hy-AM"/>
        </w:rPr>
        <w:t>, իսկ ներքին պարտքի միջին տոկոսադրույքը` 10.4%` նախորդ տարվա 10.3%-ի դիմաց</w:t>
      </w:r>
      <w:r w:rsidRPr="00603389">
        <w:rPr>
          <w:rFonts w:cs="Times Unicode"/>
          <w:lang w:val="hy-AM"/>
        </w:rPr>
        <w:t>:</w:t>
      </w:r>
      <w:r w:rsidRPr="00AC67B2">
        <w:rPr>
          <w:rFonts w:cs="Times Unicode"/>
          <w:lang w:val="hy-AM"/>
        </w:rPr>
        <w:t xml:space="preserve"> </w:t>
      </w:r>
      <w:r w:rsidRPr="00A205DB">
        <w:rPr>
          <w:rFonts w:cs="Times Unicode"/>
          <w:lang w:val="hy-AM"/>
        </w:rPr>
        <w:t xml:space="preserve">Արտաքին վարկերի </w:t>
      </w:r>
      <w:r w:rsidRPr="00AC67B2">
        <w:rPr>
          <w:rFonts w:cs="Times Unicode"/>
          <w:lang w:val="hy-AM"/>
        </w:rPr>
        <w:t>տոկոսադրույքն</w:t>
      </w:r>
      <w:r w:rsidRPr="00A205DB">
        <w:rPr>
          <w:rFonts w:cs="Times Unicode"/>
          <w:lang w:val="hy-AM"/>
        </w:rPr>
        <w:t>երն</w:t>
      </w:r>
      <w:r w:rsidRPr="00AC67B2">
        <w:rPr>
          <w:rFonts w:cs="Times Unicode"/>
          <w:lang w:val="hy-AM"/>
        </w:rPr>
        <w:t xml:space="preserve"> ուն</w:t>
      </w:r>
      <w:r w:rsidRPr="00A205DB">
        <w:rPr>
          <w:rFonts w:cs="Times Unicode"/>
          <w:lang w:val="hy-AM"/>
        </w:rPr>
        <w:t>են</w:t>
      </w:r>
      <w:r w:rsidRPr="00AC67B2">
        <w:rPr>
          <w:rFonts w:cs="Times Unicode"/>
          <w:lang w:val="hy-AM"/>
        </w:rPr>
        <w:t xml:space="preserve"> աճման միտում, որովհետև միջին եկամուտ ունեցող երկրների շարքին դասվելու արդյունքում Հայաստանին այլևս հասանելի չեն միջազգային կառույցների կողմից տրամադրվող արտոնյալ վարկերը</w:t>
      </w:r>
      <w:r w:rsidRPr="00A205DB">
        <w:rPr>
          <w:rFonts w:cs="Times Unicode"/>
          <w:lang w:val="hy-AM"/>
        </w:rPr>
        <w:t>: Ավելին,</w:t>
      </w:r>
      <w:r w:rsidRPr="00AC67B2">
        <w:rPr>
          <w:rFonts w:cs="Times Unicode"/>
          <w:lang w:val="hy-AM"/>
        </w:rPr>
        <w:t xml:space="preserve"> Համաշխարհային բանկի ու Ասիական զարգացման բանկի կողմից իրականացվել է նախկինում </w:t>
      </w:r>
      <w:r w:rsidRPr="00DD2059">
        <w:rPr>
          <w:rFonts w:cs="Times Unicode"/>
          <w:lang w:val="hy-AM"/>
        </w:rPr>
        <w:t xml:space="preserve">տրամադրված արտոնյալ վարկերի տոկոսադրույքների վերանայում՝ բարձրացման ուղղությամբ: Ինչ վերաբերում է ներքին </w:t>
      </w:r>
      <w:r w:rsidRPr="00A205DB">
        <w:rPr>
          <w:rFonts w:cs="Times Unicode"/>
          <w:lang w:val="hy-AM"/>
        </w:rPr>
        <w:t>շուկայի</w:t>
      </w:r>
      <w:r w:rsidRPr="00DD2059">
        <w:rPr>
          <w:rFonts w:cs="Times Unicode"/>
          <w:lang w:val="hy-AM"/>
        </w:rPr>
        <w:t xml:space="preserve"> միջին տոկոսադրույքին, ապա </w:t>
      </w:r>
      <w:r w:rsidRPr="00896AA9">
        <w:rPr>
          <w:rFonts w:cs="Sylfaen"/>
          <w:lang w:val="hy-AM"/>
        </w:rPr>
        <w:t xml:space="preserve">2019թ. դեկտեմբերի 31-ի դրությամբ </w:t>
      </w:r>
      <w:r w:rsidRPr="00A205DB">
        <w:rPr>
          <w:rFonts w:cs="Sylfaen"/>
          <w:lang w:val="hy-AM"/>
        </w:rPr>
        <w:t>ՊՊ-</w:t>
      </w:r>
      <w:r w:rsidRPr="00896AA9">
        <w:rPr>
          <w:rFonts w:cs="Sylfaen"/>
          <w:lang w:val="hy-AM"/>
        </w:rPr>
        <w:t>երի</w:t>
      </w:r>
      <w:r w:rsidRPr="00896AA9">
        <w:rPr>
          <w:rFonts w:cs="Times Armenian"/>
          <w:lang w:val="hy-AM"/>
        </w:rPr>
        <w:t xml:space="preserve"> </w:t>
      </w:r>
      <w:r w:rsidRPr="00896AA9">
        <w:rPr>
          <w:rFonts w:cs="Sylfaen"/>
          <w:lang w:val="hy-AM"/>
        </w:rPr>
        <w:t>միջին</w:t>
      </w:r>
      <w:r w:rsidRPr="00896AA9">
        <w:rPr>
          <w:rFonts w:cs="Times Armenian"/>
          <w:lang w:val="hy-AM"/>
        </w:rPr>
        <w:t xml:space="preserve"> </w:t>
      </w:r>
      <w:r w:rsidRPr="00896AA9">
        <w:rPr>
          <w:rFonts w:cs="Sylfaen"/>
          <w:lang w:val="hy-AM"/>
        </w:rPr>
        <w:t>կշռված</w:t>
      </w:r>
      <w:r w:rsidRPr="00896AA9">
        <w:rPr>
          <w:rFonts w:cs="Times Armenian"/>
          <w:lang w:val="hy-AM"/>
        </w:rPr>
        <w:t xml:space="preserve"> </w:t>
      </w:r>
      <w:r w:rsidRPr="00896AA9">
        <w:rPr>
          <w:rFonts w:cs="Sylfaen"/>
          <w:lang w:val="hy-AM"/>
        </w:rPr>
        <w:t>եկամտաբերությունը</w:t>
      </w:r>
      <w:r w:rsidRPr="00A205DB">
        <w:rPr>
          <w:rFonts w:cs="Sylfaen"/>
          <w:lang w:val="hy-AM"/>
        </w:rPr>
        <w:t xml:space="preserve"> կազմել է</w:t>
      </w:r>
      <w:r w:rsidRPr="00896AA9">
        <w:rPr>
          <w:rFonts w:cs="Times Armenian"/>
          <w:lang w:val="hy-AM"/>
        </w:rPr>
        <w:t xml:space="preserve"> 11.78%</w:t>
      </w:r>
      <w:r w:rsidRPr="00A205DB">
        <w:rPr>
          <w:rFonts w:cs="Times Armenian"/>
          <w:lang w:val="hy-AM"/>
        </w:rPr>
        <w:t xml:space="preserve">, </w:t>
      </w:r>
      <w:r w:rsidRPr="00896AA9">
        <w:rPr>
          <w:spacing w:val="-5"/>
          <w:lang w:val="hy-AM"/>
        </w:rPr>
        <w:t>2018թ. տարեվերջի 12.28%</w:t>
      </w:r>
      <w:r w:rsidRPr="00A205DB">
        <w:rPr>
          <w:spacing w:val="-5"/>
          <w:lang w:val="hy-AM"/>
        </w:rPr>
        <w:t xml:space="preserve"> տոկոսի դիմաց</w:t>
      </w:r>
      <w:r w:rsidRPr="00896AA9">
        <w:rPr>
          <w:rFonts w:cs="Times Armenian"/>
          <w:lang w:val="hy-AM"/>
        </w:rPr>
        <w:t xml:space="preserve">: </w:t>
      </w:r>
    </w:p>
    <w:p w14:paraId="1B04944D" w14:textId="77777777" w:rsidR="00F1465E" w:rsidRPr="009A7904" w:rsidRDefault="00F1465E" w:rsidP="00F1465E">
      <w:pPr>
        <w:pStyle w:val="Heading5"/>
        <w:keepNext/>
        <w:spacing w:before="0"/>
        <w:ind w:left="360"/>
        <w:rPr>
          <w:rFonts w:ascii="GHEA Grapalat" w:hAnsi="GHEA Grapalat" w:cs="Sylfaen"/>
          <w:color w:val="auto"/>
          <w:sz w:val="20"/>
          <w:szCs w:val="20"/>
          <w:lang w:val="hy-AM"/>
        </w:rPr>
      </w:pPr>
      <w:r w:rsidRPr="009A7904">
        <w:rPr>
          <w:rFonts w:ascii="GHEA Grapalat" w:hAnsi="GHEA Grapalat" w:cs="Sylfaen"/>
          <w:color w:val="auto"/>
          <w:sz w:val="20"/>
          <w:szCs w:val="20"/>
          <w:lang w:val="hy-AM"/>
        </w:rPr>
        <w:t xml:space="preserve">Գծապատկեր 1. </w:t>
      </w:r>
      <w:r w:rsidRPr="009A7904">
        <w:rPr>
          <w:rFonts w:ascii="GHEA Grapalat" w:hAnsi="GHEA Grapalat" w:cs="Sylfaen"/>
          <w:b w:val="0"/>
          <w:color w:val="auto"/>
          <w:sz w:val="20"/>
          <w:szCs w:val="20"/>
          <w:lang w:val="hy-AM"/>
        </w:rPr>
        <w:t>ՊՊ-երի եկամտաբերության դինամիկան 2018-2019թթ.</w:t>
      </w:r>
    </w:p>
    <w:p w14:paraId="19BA1468" w14:textId="77777777" w:rsidR="00F1465E" w:rsidRPr="00A205DB" w:rsidRDefault="00F1465E" w:rsidP="00F1465E">
      <w:pPr>
        <w:jc w:val="center"/>
        <w:rPr>
          <w:lang w:val="hy-AM"/>
        </w:rPr>
      </w:pPr>
      <w:r>
        <w:rPr>
          <w:noProof/>
        </w:rPr>
        <w:drawing>
          <wp:inline distT="0" distB="0" distL="0" distR="0" wp14:anchorId="136B834D" wp14:editId="1E98EE87">
            <wp:extent cx="5162550" cy="2864077"/>
            <wp:effectExtent l="1905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cstate="print"/>
                    <a:srcRect/>
                    <a:stretch>
                      <a:fillRect/>
                    </a:stretch>
                  </pic:blipFill>
                  <pic:spPr bwMode="auto">
                    <a:xfrm>
                      <a:off x="0" y="0"/>
                      <a:ext cx="5161987" cy="2863764"/>
                    </a:xfrm>
                    <a:prstGeom prst="rect">
                      <a:avLst/>
                    </a:prstGeom>
                    <a:noFill/>
                  </pic:spPr>
                </pic:pic>
              </a:graphicData>
            </a:graphic>
          </wp:inline>
        </w:drawing>
      </w:r>
    </w:p>
    <w:p w14:paraId="12ADA9BC" w14:textId="77777777" w:rsidR="00F1465E" w:rsidRPr="00896AA9" w:rsidRDefault="00F1465E" w:rsidP="00F1465E">
      <w:pPr>
        <w:jc w:val="center"/>
        <w:rPr>
          <w:noProof/>
          <w:color w:val="5B9BD5"/>
        </w:rPr>
      </w:pPr>
    </w:p>
    <w:p w14:paraId="2B553D82" w14:textId="77777777" w:rsidR="00F1465E" w:rsidRPr="00896AA9" w:rsidRDefault="00F1465E" w:rsidP="007B05B7">
      <w:pPr>
        <w:spacing w:line="276" w:lineRule="auto"/>
        <w:ind w:firstLine="720"/>
        <w:rPr>
          <w:rFonts w:cs="Times Unicode"/>
          <w:lang w:val="hy-AM"/>
        </w:rPr>
      </w:pPr>
      <w:r w:rsidRPr="00896AA9">
        <w:rPr>
          <w:lang w:val="hy-AM"/>
        </w:rPr>
        <w:t xml:space="preserve">Տարվա արդյունքներով հաջողվել է միջին կշռված եկամտաբերությունը նվազեցնել 0.5 տոկոսային կետով, որին հիմնականում նպաստել են մեծ ծավալով ԵՊ-երի առաջնային </w:t>
      </w:r>
      <w:r w:rsidRPr="00896AA9">
        <w:rPr>
          <w:lang w:val="hy-AM"/>
        </w:rPr>
        <w:lastRenderedPageBreak/>
        <w:t>տեղաբաշխումների միջին կշռված եկամտաբերության նվազումը և 2019թ. ընթացքում բարձր եկամտաբերությամբ ՊՊ-երի հետգնումն ու մարումը:</w:t>
      </w:r>
    </w:p>
    <w:p w14:paraId="00255E26" w14:textId="77777777" w:rsidR="00F1465E" w:rsidRPr="00C90DF7" w:rsidRDefault="00F1465E" w:rsidP="007B05B7">
      <w:pPr>
        <w:spacing w:line="276" w:lineRule="auto"/>
        <w:ind w:firstLine="720"/>
        <w:rPr>
          <w:rFonts w:cs="Times Unicode"/>
          <w:color w:val="FF0000"/>
          <w:lang w:val="hy-AM"/>
        </w:rPr>
      </w:pPr>
      <w:r w:rsidRPr="00AC67B2">
        <w:rPr>
          <w:rFonts w:cs="Times Unicode"/>
          <w:lang w:val="hy-AM"/>
        </w:rPr>
        <w:t>ՀՀ կառավարությունը 201</w:t>
      </w:r>
      <w:r w:rsidRPr="00A205DB">
        <w:rPr>
          <w:rFonts w:cs="Times Unicode"/>
          <w:lang w:val="hy-AM"/>
        </w:rPr>
        <w:t>9</w:t>
      </w:r>
      <w:r w:rsidRPr="00AC67B2">
        <w:rPr>
          <w:rFonts w:cs="Times Unicode"/>
          <w:lang w:val="hy-AM"/>
        </w:rPr>
        <w:t xml:space="preserve">թ. ընթացքում պարտքի գծով վճարել է </w:t>
      </w:r>
      <w:r w:rsidRPr="00A205DB">
        <w:rPr>
          <w:rFonts w:cs="Times Unicode"/>
          <w:lang w:val="hy-AM"/>
        </w:rPr>
        <w:t>157.5</w:t>
      </w:r>
      <w:r w:rsidRPr="00AC67B2">
        <w:rPr>
          <w:rFonts w:cs="Times Unicode"/>
          <w:lang w:val="hy-AM"/>
        </w:rPr>
        <w:t xml:space="preserve"> մլրդ դրամ տոկոսավճար</w:t>
      </w:r>
      <w:r w:rsidRPr="005907A9">
        <w:rPr>
          <w:rFonts w:cs="Times Unicode"/>
          <w:lang w:val="hy-AM"/>
        </w:rPr>
        <w:t>, որը կազմել է պետական բյուջեի եկամուտների 10.</w:t>
      </w:r>
      <w:r w:rsidRPr="00A205DB">
        <w:rPr>
          <w:rFonts w:cs="Times Unicode"/>
          <w:lang w:val="hy-AM"/>
        </w:rPr>
        <w:t>1</w:t>
      </w:r>
      <w:r w:rsidRPr="005907A9">
        <w:rPr>
          <w:rFonts w:cs="Times Unicode"/>
          <w:lang w:val="hy-AM"/>
        </w:rPr>
        <w:t>%-ը, պետական բյուջեի ծախսերի 9.</w:t>
      </w:r>
      <w:r w:rsidRPr="00A205DB">
        <w:rPr>
          <w:rFonts w:cs="Times Unicode"/>
          <w:lang w:val="hy-AM"/>
        </w:rPr>
        <w:t>7</w:t>
      </w:r>
      <w:r w:rsidRPr="005907A9">
        <w:rPr>
          <w:rFonts w:cs="Times Unicode"/>
          <w:lang w:val="hy-AM"/>
        </w:rPr>
        <w:t>%-ը և ՀՆԱ-ի 2.</w:t>
      </w:r>
      <w:r w:rsidRPr="00A205DB">
        <w:rPr>
          <w:rFonts w:cs="Times Unicode"/>
          <w:lang w:val="hy-AM"/>
        </w:rPr>
        <w:t>4</w:t>
      </w:r>
      <w:r w:rsidRPr="005907A9">
        <w:rPr>
          <w:rFonts w:cs="Times Unicode"/>
          <w:lang w:val="hy-AM"/>
        </w:rPr>
        <w:t xml:space="preserve">%-ը: </w:t>
      </w:r>
      <w:r w:rsidRPr="00A205DB">
        <w:rPr>
          <w:rFonts w:cs="Times Unicode"/>
          <w:lang w:val="hy-AM"/>
        </w:rPr>
        <w:t>Այս</w:t>
      </w:r>
      <w:r w:rsidRPr="005907A9">
        <w:rPr>
          <w:rFonts w:cs="Times Unicode"/>
          <w:lang w:val="hy-AM"/>
        </w:rPr>
        <w:t xml:space="preserve"> ցուցանիշներն արտահայտում են ՀՀ կառավարության պարտքի ծախսերի չափա</w:t>
      </w:r>
      <w:r w:rsidRPr="005907A9">
        <w:rPr>
          <w:rFonts w:cs="Times Unicode"/>
          <w:lang w:val="hy-AM"/>
        </w:rPr>
        <w:softHyphen/>
        <w:t>վոր մակարդակ:</w:t>
      </w:r>
      <w:r w:rsidRPr="00C90DF7">
        <w:rPr>
          <w:rFonts w:cs="Times Unicode"/>
          <w:color w:val="FF0000"/>
          <w:lang w:val="hy-AM"/>
        </w:rPr>
        <w:t xml:space="preserve"> </w:t>
      </w:r>
    </w:p>
    <w:p w14:paraId="34999AF1" w14:textId="77777777" w:rsidR="00F1465E" w:rsidRPr="00C35116" w:rsidRDefault="00F1465E" w:rsidP="007B05B7">
      <w:pPr>
        <w:spacing w:line="276" w:lineRule="auto"/>
        <w:ind w:firstLine="720"/>
        <w:rPr>
          <w:rFonts w:cs="Times Unicode"/>
          <w:i/>
          <w:lang w:val="hy-AM"/>
        </w:rPr>
      </w:pPr>
      <w:r w:rsidRPr="00AC67B2">
        <w:rPr>
          <w:rFonts w:cs="Times Unicode"/>
          <w:lang w:val="hy-AM"/>
        </w:rPr>
        <w:t>ՀՀ կառավարությ</w:t>
      </w:r>
      <w:r w:rsidRPr="00A205DB">
        <w:rPr>
          <w:rFonts w:cs="Times Unicode"/>
          <w:lang w:val="hy-AM"/>
        </w:rPr>
        <w:t>ա</w:t>
      </w:r>
      <w:r w:rsidRPr="00AC67B2">
        <w:rPr>
          <w:rFonts w:cs="Times Unicode"/>
          <w:lang w:val="hy-AM"/>
        </w:rPr>
        <w:t>ն պարտքի արդյունավետ կառավարման խնդր</w:t>
      </w:r>
      <w:r w:rsidRPr="00A205DB">
        <w:rPr>
          <w:rFonts w:cs="Times Unicode"/>
          <w:lang w:val="hy-AM"/>
        </w:rPr>
        <w:t>ի</w:t>
      </w:r>
      <w:r w:rsidRPr="00AC67B2">
        <w:rPr>
          <w:rFonts w:cs="Times Unicode"/>
          <w:lang w:val="hy-AM"/>
        </w:rPr>
        <w:t xml:space="preserve"> լուծ</w:t>
      </w:r>
      <w:r w:rsidRPr="00A205DB">
        <w:rPr>
          <w:rFonts w:cs="Times Unicode"/>
          <w:lang w:val="hy-AM"/>
        </w:rPr>
        <w:t>ման</w:t>
      </w:r>
      <w:r w:rsidRPr="00AC67B2">
        <w:rPr>
          <w:rFonts w:cs="Times Unicode"/>
          <w:lang w:val="hy-AM"/>
        </w:rPr>
        <w:t xml:space="preserve"> տեսան</w:t>
      </w:r>
      <w:r w:rsidRPr="00AC67B2">
        <w:rPr>
          <w:rFonts w:cs="Times Unicode"/>
          <w:lang w:val="hy-AM"/>
        </w:rPr>
        <w:softHyphen/>
        <w:t>կյու</w:t>
      </w:r>
      <w:r w:rsidRPr="00AC67B2">
        <w:rPr>
          <w:rFonts w:cs="Times Unicode"/>
          <w:lang w:val="hy-AM"/>
        </w:rPr>
        <w:softHyphen/>
        <w:t>նից կարևո</w:t>
      </w:r>
      <w:r w:rsidRPr="00AC67B2">
        <w:rPr>
          <w:rFonts w:cs="Times Unicode"/>
          <w:lang w:val="hy-AM"/>
        </w:rPr>
        <w:softHyphen/>
        <w:t>րագույն նշանակություն ունի ռիսկերի կառավարումը: Ռիսկերի կառավարման նպա</w:t>
      </w:r>
      <w:r w:rsidRPr="00AC67B2">
        <w:rPr>
          <w:rFonts w:cs="Times Unicode"/>
          <w:lang w:val="hy-AM"/>
        </w:rPr>
        <w:softHyphen/>
        <w:t>տակը չնախա</w:t>
      </w:r>
      <w:r w:rsidRPr="00AC67B2">
        <w:rPr>
          <w:rFonts w:cs="Times Unicode"/>
          <w:lang w:val="hy-AM"/>
        </w:rPr>
        <w:softHyphen/>
        <w:t>տեսված կորուստներից խուսափումն ու գործառնությունների անընդհատության ապա</w:t>
      </w:r>
      <w:r w:rsidRPr="00AC67B2">
        <w:rPr>
          <w:rFonts w:cs="Times Unicode"/>
          <w:lang w:val="hy-AM"/>
        </w:rPr>
        <w:softHyphen/>
        <w:t>հովումն է:</w:t>
      </w:r>
    </w:p>
    <w:p w14:paraId="03D9DFCE" w14:textId="77777777" w:rsidR="00F1465E" w:rsidRPr="00AC67B2" w:rsidRDefault="00F1465E" w:rsidP="007B05B7">
      <w:pPr>
        <w:spacing w:line="276" w:lineRule="auto"/>
        <w:ind w:firstLine="720"/>
        <w:rPr>
          <w:rFonts w:cs="Times Unicode"/>
          <w:i/>
          <w:lang w:val="hy-AM"/>
        </w:rPr>
      </w:pPr>
      <w:r w:rsidRPr="00AC67B2">
        <w:rPr>
          <w:rFonts w:cs="Times Unicode"/>
          <w:i/>
          <w:lang w:val="hy-AM"/>
        </w:rPr>
        <w:t>Փոխարժեքի ռիսկ</w:t>
      </w:r>
    </w:p>
    <w:p w14:paraId="586B91F0" w14:textId="77777777" w:rsidR="00F1465E" w:rsidRPr="00AC67B2" w:rsidRDefault="00F1465E" w:rsidP="007B05B7">
      <w:pPr>
        <w:spacing w:line="276" w:lineRule="auto"/>
        <w:ind w:firstLine="720"/>
        <w:rPr>
          <w:rFonts w:cs="Times Unicode"/>
          <w:lang w:val="hy-AM"/>
        </w:rPr>
      </w:pPr>
      <w:r w:rsidRPr="00AC67B2">
        <w:rPr>
          <w:rFonts w:cs="Times Unicode"/>
          <w:lang w:val="hy-AM"/>
        </w:rPr>
        <w:t>ՀՀ կառավարության պարտքի առկա պորտֆելում շուկայական ռիսկերից ամենաէականը փոխարժեքի ռիսկն է: Փոխարժեքի ռիսկը հիմնականում չափվում է հետևյալ երկու ցուցանիշներով՝  արտարժութային պարտքի կշիռն ընդամենը պարտքի մեջ և արտարժութային կարճաժամկետ պարտքի կշիռը միջազգային պահուստների մեջ:</w:t>
      </w:r>
    </w:p>
    <w:p w14:paraId="31CA958E" w14:textId="77777777" w:rsidR="00F1465E" w:rsidRPr="00A205DB" w:rsidRDefault="00F1465E" w:rsidP="007B05B7">
      <w:pPr>
        <w:spacing w:line="276" w:lineRule="auto"/>
        <w:ind w:firstLine="720"/>
        <w:rPr>
          <w:rFonts w:cs="Times Unicode"/>
          <w:lang w:val="hy-AM"/>
        </w:rPr>
      </w:pPr>
      <w:r w:rsidRPr="00AC67B2">
        <w:rPr>
          <w:rFonts w:cs="Times Unicode"/>
          <w:lang w:val="hy-AM"/>
        </w:rPr>
        <w:t>ՀՀ կառավարության պարտքի ներկայիս պորտֆելը կրում է փոխարժեքի մեծ ռիսկ, քանի որ 201</w:t>
      </w:r>
      <w:r w:rsidRPr="00A205DB">
        <w:rPr>
          <w:rFonts w:cs="Times Unicode"/>
          <w:lang w:val="hy-AM"/>
        </w:rPr>
        <w:t>9</w:t>
      </w:r>
      <w:r w:rsidRPr="00AC67B2">
        <w:rPr>
          <w:rFonts w:cs="Times Unicode"/>
          <w:lang w:val="hy-AM"/>
        </w:rPr>
        <w:t xml:space="preserve">թ. դեկտեմբերի 31-ի դրությամբ պարտքի գերակշիռ մասը՝ </w:t>
      </w:r>
      <w:r w:rsidRPr="00A205DB">
        <w:rPr>
          <w:rFonts w:cs="Times Unicode"/>
          <w:lang w:val="hy-AM"/>
        </w:rPr>
        <w:t>79.2</w:t>
      </w:r>
      <w:r w:rsidRPr="00AC67B2">
        <w:rPr>
          <w:rFonts w:cs="Times Unicode"/>
          <w:lang w:val="hy-AM"/>
        </w:rPr>
        <w:t xml:space="preserve">%-ը ներգրավված է արտարժույթով (նախորդ տարվա համեմատ նվազել է </w:t>
      </w:r>
      <w:r w:rsidRPr="00A205DB">
        <w:rPr>
          <w:rFonts w:cs="Times Unicode"/>
          <w:lang w:val="hy-AM"/>
        </w:rPr>
        <w:t>1.7</w:t>
      </w:r>
      <w:r w:rsidRPr="00AC67B2">
        <w:rPr>
          <w:rFonts w:cs="Times Unicode"/>
          <w:lang w:val="hy-AM"/>
        </w:rPr>
        <w:t xml:space="preserve"> տոկոսային կետով): </w:t>
      </w:r>
    </w:p>
    <w:p w14:paraId="43D83B9B" w14:textId="77777777" w:rsidR="00F1465E" w:rsidRPr="00C35116" w:rsidRDefault="00F1465E" w:rsidP="007B05B7">
      <w:pPr>
        <w:spacing w:line="276" w:lineRule="auto"/>
        <w:ind w:firstLine="720"/>
        <w:rPr>
          <w:rFonts w:cs="Times Unicode"/>
          <w:lang w:val="hy-AM"/>
        </w:rPr>
      </w:pPr>
    </w:p>
    <w:p w14:paraId="59738D09" w14:textId="77777777" w:rsidR="00F1465E" w:rsidRPr="007B05B7" w:rsidRDefault="00F1465E" w:rsidP="00F1465E">
      <w:pPr>
        <w:ind w:left="1701" w:hanging="1701"/>
        <w:rPr>
          <w:i/>
          <w:sz w:val="20"/>
          <w:szCs w:val="20"/>
        </w:rPr>
      </w:pPr>
      <w:r w:rsidRPr="007B05B7">
        <w:rPr>
          <w:rFonts w:cs="Times Unicode"/>
          <w:b/>
          <w:sz w:val="20"/>
          <w:szCs w:val="20"/>
          <w:lang w:val="hy-AM"/>
        </w:rPr>
        <w:t xml:space="preserve">Գծապատկեր </w:t>
      </w:r>
      <w:r w:rsidRPr="007B05B7">
        <w:rPr>
          <w:b/>
          <w:sz w:val="20"/>
          <w:szCs w:val="20"/>
          <w:lang w:val="hy-AM"/>
        </w:rPr>
        <w:t>2.</w:t>
      </w:r>
      <w:r w:rsidRPr="007B05B7">
        <w:rPr>
          <w:sz w:val="20"/>
          <w:szCs w:val="20"/>
          <w:lang w:val="hy-AM"/>
        </w:rPr>
        <w:t xml:space="preserve"> </w:t>
      </w:r>
      <w:r w:rsidRPr="007B05B7">
        <w:rPr>
          <w:rFonts w:cs="Times Unicode"/>
          <w:i/>
          <w:sz w:val="20"/>
          <w:szCs w:val="20"/>
          <w:lang w:val="hy-AM"/>
        </w:rPr>
        <w:t>ՀՀ</w:t>
      </w:r>
      <w:r w:rsidRPr="007B05B7">
        <w:rPr>
          <w:i/>
          <w:sz w:val="20"/>
          <w:szCs w:val="20"/>
          <w:lang w:val="hy-AM"/>
        </w:rPr>
        <w:t xml:space="preserve"> </w:t>
      </w:r>
      <w:r w:rsidRPr="007B05B7">
        <w:rPr>
          <w:rFonts w:cs="Times Unicode"/>
          <w:i/>
          <w:sz w:val="20"/>
          <w:szCs w:val="20"/>
          <w:lang w:val="hy-AM"/>
        </w:rPr>
        <w:t>կառավարության</w:t>
      </w:r>
      <w:r w:rsidRPr="007B05B7">
        <w:rPr>
          <w:i/>
          <w:sz w:val="20"/>
          <w:szCs w:val="20"/>
          <w:lang w:val="hy-AM"/>
        </w:rPr>
        <w:t xml:space="preserve"> </w:t>
      </w:r>
      <w:r w:rsidRPr="007B05B7">
        <w:rPr>
          <w:rFonts w:cs="Times Unicode"/>
          <w:i/>
          <w:sz w:val="20"/>
          <w:szCs w:val="20"/>
          <w:lang w:val="hy-AM"/>
        </w:rPr>
        <w:t>արտարժութային</w:t>
      </w:r>
      <w:r w:rsidRPr="007B05B7">
        <w:rPr>
          <w:i/>
          <w:sz w:val="20"/>
          <w:szCs w:val="20"/>
          <w:lang w:val="hy-AM"/>
        </w:rPr>
        <w:t xml:space="preserve"> </w:t>
      </w:r>
      <w:r w:rsidRPr="007B05B7">
        <w:rPr>
          <w:rFonts w:cs="Times Unicode"/>
          <w:i/>
          <w:sz w:val="20"/>
          <w:szCs w:val="20"/>
          <w:lang w:val="hy-AM"/>
        </w:rPr>
        <w:t>և</w:t>
      </w:r>
      <w:r w:rsidRPr="007B05B7">
        <w:rPr>
          <w:i/>
          <w:sz w:val="20"/>
          <w:szCs w:val="20"/>
          <w:lang w:val="hy-AM"/>
        </w:rPr>
        <w:t xml:space="preserve"> </w:t>
      </w:r>
      <w:r w:rsidRPr="007B05B7">
        <w:rPr>
          <w:rFonts w:cs="Times Unicode"/>
          <w:i/>
          <w:sz w:val="20"/>
          <w:szCs w:val="20"/>
          <w:lang w:val="hy-AM"/>
        </w:rPr>
        <w:t>դրամային պարտքերի</w:t>
      </w:r>
      <w:r w:rsidRPr="007B05B7">
        <w:rPr>
          <w:i/>
          <w:sz w:val="20"/>
          <w:szCs w:val="20"/>
          <w:lang w:val="hy-AM"/>
        </w:rPr>
        <w:t xml:space="preserve"> </w:t>
      </w:r>
      <w:r w:rsidRPr="007B05B7">
        <w:rPr>
          <w:rFonts w:cs="Times Unicode"/>
          <w:i/>
          <w:sz w:val="20"/>
          <w:szCs w:val="20"/>
          <w:lang w:val="hy-AM"/>
        </w:rPr>
        <w:t>հարաբերակցությունը</w:t>
      </w:r>
      <w:r w:rsidRPr="007B05B7">
        <w:rPr>
          <w:i/>
          <w:sz w:val="20"/>
          <w:szCs w:val="20"/>
          <w:lang w:val="hy-AM"/>
        </w:rPr>
        <w:t xml:space="preserve"> 2018-2019</w:t>
      </w:r>
      <w:r w:rsidRPr="007B05B7">
        <w:rPr>
          <w:rFonts w:cs="Times Unicode"/>
          <w:i/>
          <w:sz w:val="20"/>
          <w:szCs w:val="20"/>
          <w:lang w:val="hy-AM"/>
        </w:rPr>
        <w:t>թթ</w:t>
      </w:r>
      <w:r w:rsidRPr="007B05B7">
        <w:rPr>
          <w:i/>
          <w:sz w:val="20"/>
          <w:szCs w:val="20"/>
          <w:lang w:val="hy-AM"/>
        </w:rPr>
        <w:t xml:space="preserve">. </w:t>
      </w:r>
      <w:r w:rsidRPr="007B05B7">
        <w:rPr>
          <w:i/>
          <w:sz w:val="20"/>
          <w:szCs w:val="20"/>
        </w:rPr>
        <w:t>(%)</w:t>
      </w:r>
    </w:p>
    <w:p w14:paraId="40F68968" w14:textId="77777777" w:rsidR="00F1465E" w:rsidRPr="00A205DB" w:rsidRDefault="00F1465E" w:rsidP="00F1465E">
      <w:pPr>
        <w:ind w:left="1701" w:hanging="1701"/>
        <w:jc w:val="center"/>
        <w:rPr>
          <w:sz w:val="20"/>
          <w:szCs w:val="20"/>
          <w:lang w:val="hy-AM"/>
        </w:rPr>
      </w:pPr>
      <w:r>
        <w:rPr>
          <w:noProof/>
          <w:sz w:val="20"/>
          <w:szCs w:val="20"/>
        </w:rPr>
        <w:drawing>
          <wp:inline distT="0" distB="0" distL="0" distR="0" wp14:anchorId="6C036471" wp14:editId="5931341E">
            <wp:extent cx="4933566" cy="2847975"/>
            <wp:effectExtent l="0" t="0" r="635" b="0"/>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cstate="print"/>
                    <a:srcRect/>
                    <a:stretch>
                      <a:fillRect/>
                    </a:stretch>
                  </pic:blipFill>
                  <pic:spPr bwMode="auto">
                    <a:xfrm>
                      <a:off x="0" y="0"/>
                      <a:ext cx="4941200" cy="2852382"/>
                    </a:xfrm>
                    <a:prstGeom prst="rect">
                      <a:avLst/>
                    </a:prstGeom>
                    <a:noFill/>
                  </pic:spPr>
                </pic:pic>
              </a:graphicData>
            </a:graphic>
          </wp:inline>
        </w:drawing>
      </w:r>
    </w:p>
    <w:p w14:paraId="4D022D47" w14:textId="77777777" w:rsidR="00F1465E" w:rsidRPr="00A205DB" w:rsidRDefault="00F1465E" w:rsidP="007B05B7">
      <w:pPr>
        <w:spacing w:line="276" w:lineRule="auto"/>
        <w:ind w:firstLine="720"/>
        <w:rPr>
          <w:rFonts w:cs="Times Unicode"/>
          <w:lang w:val="hy-AM"/>
        </w:rPr>
      </w:pPr>
      <w:r w:rsidRPr="00AC67B2">
        <w:rPr>
          <w:rFonts w:cs="Times Unicode"/>
          <w:lang w:val="hy-AM"/>
        </w:rPr>
        <w:lastRenderedPageBreak/>
        <w:t>ՀՀ կառավարության արտարժույթով ներգրավված պարտքի պորտֆելի արտարժութային կառուցվածքը ներկայացված է ստորև.</w:t>
      </w:r>
    </w:p>
    <w:p w14:paraId="678FD61B" w14:textId="77777777" w:rsidR="00F1465E" w:rsidRPr="00C35116" w:rsidRDefault="00F1465E" w:rsidP="00F1465E">
      <w:pPr>
        <w:ind w:left="1985" w:hanging="1985"/>
        <w:rPr>
          <w:rFonts w:cs="Times Unicode"/>
          <w:b/>
          <w:lang w:val="hy-AM"/>
        </w:rPr>
      </w:pPr>
    </w:p>
    <w:p w14:paraId="1415B76F" w14:textId="77777777" w:rsidR="00F1465E" w:rsidRPr="007B05B7" w:rsidRDefault="00F1465E" w:rsidP="00F1465E">
      <w:pPr>
        <w:ind w:left="1985" w:hanging="1985"/>
        <w:rPr>
          <w:rFonts w:cs="Times Unicode"/>
          <w:i/>
          <w:sz w:val="20"/>
          <w:szCs w:val="20"/>
          <w:lang w:val="hy-AM"/>
        </w:rPr>
      </w:pPr>
      <w:r w:rsidRPr="007B05B7">
        <w:rPr>
          <w:rFonts w:cs="Times Unicode"/>
          <w:b/>
          <w:sz w:val="20"/>
          <w:szCs w:val="20"/>
          <w:lang w:val="hy-AM"/>
        </w:rPr>
        <w:t>Գծապատկեր</w:t>
      </w:r>
      <w:r w:rsidRPr="007B05B7">
        <w:rPr>
          <w:b/>
          <w:sz w:val="20"/>
          <w:szCs w:val="20"/>
          <w:lang w:val="hy-AM"/>
        </w:rPr>
        <w:t xml:space="preserve"> 3.</w:t>
      </w:r>
      <w:r w:rsidRPr="007B05B7">
        <w:rPr>
          <w:sz w:val="20"/>
          <w:szCs w:val="20"/>
          <w:lang w:val="hy-AM"/>
        </w:rPr>
        <w:t xml:space="preserve"> </w:t>
      </w:r>
      <w:r w:rsidRPr="007B05B7">
        <w:rPr>
          <w:rFonts w:cs="Times Unicode"/>
          <w:i/>
          <w:sz w:val="20"/>
          <w:szCs w:val="20"/>
          <w:lang w:val="hy-AM"/>
        </w:rPr>
        <w:t>ՀՀ</w:t>
      </w:r>
      <w:r w:rsidRPr="007B05B7">
        <w:rPr>
          <w:i/>
          <w:sz w:val="20"/>
          <w:szCs w:val="20"/>
          <w:lang w:val="hy-AM"/>
        </w:rPr>
        <w:t xml:space="preserve"> </w:t>
      </w:r>
      <w:r w:rsidRPr="007B05B7">
        <w:rPr>
          <w:rFonts w:cs="Times Unicode"/>
          <w:i/>
          <w:sz w:val="20"/>
          <w:szCs w:val="20"/>
          <w:lang w:val="hy-AM"/>
        </w:rPr>
        <w:t>կառավարության</w:t>
      </w:r>
      <w:r w:rsidRPr="007B05B7">
        <w:rPr>
          <w:i/>
          <w:sz w:val="20"/>
          <w:szCs w:val="20"/>
          <w:lang w:val="hy-AM"/>
        </w:rPr>
        <w:t xml:space="preserve"> </w:t>
      </w:r>
      <w:r w:rsidRPr="007B05B7">
        <w:rPr>
          <w:rFonts w:cs="Times Unicode"/>
          <w:i/>
          <w:sz w:val="20"/>
          <w:szCs w:val="20"/>
          <w:lang w:val="hy-AM"/>
        </w:rPr>
        <w:t>արտարժութային պարտքի պորտֆելի կառուցվածքը 2019թ. տարեվերջին</w:t>
      </w:r>
    </w:p>
    <w:p w14:paraId="202AC6D6" w14:textId="77777777" w:rsidR="00F1465E" w:rsidRDefault="00F1465E" w:rsidP="00F1465E">
      <w:pPr>
        <w:ind w:left="1985" w:hanging="1985"/>
        <w:rPr>
          <w:rFonts w:cs="Times Unicode"/>
          <w:sz w:val="20"/>
          <w:szCs w:val="20"/>
        </w:rPr>
      </w:pPr>
      <w:r>
        <w:rPr>
          <w:rFonts w:cs="Times Unicode"/>
          <w:noProof/>
          <w:sz w:val="20"/>
          <w:szCs w:val="20"/>
        </w:rPr>
        <w:drawing>
          <wp:inline distT="0" distB="0" distL="0" distR="0" wp14:anchorId="4FA9407C" wp14:editId="2B1BA9DE">
            <wp:extent cx="6443345" cy="2626360"/>
            <wp:effectExtent l="0" t="0" r="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443345" cy="2626360"/>
                    </a:xfrm>
                    <a:prstGeom prst="rect">
                      <a:avLst/>
                    </a:prstGeom>
                    <a:noFill/>
                  </pic:spPr>
                </pic:pic>
              </a:graphicData>
            </a:graphic>
          </wp:inline>
        </w:drawing>
      </w:r>
    </w:p>
    <w:p w14:paraId="241ACB59" w14:textId="77777777" w:rsidR="00F1465E" w:rsidRPr="00AC67B2" w:rsidRDefault="00F1465E" w:rsidP="00F1465E">
      <w:pPr>
        <w:ind w:left="-426"/>
        <w:jc w:val="right"/>
        <w:rPr>
          <w:rFonts w:cs="Times Unicode"/>
          <w:b/>
          <w:color w:val="FF0000"/>
          <w:lang w:val="hy-AM"/>
        </w:rPr>
      </w:pPr>
    </w:p>
    <w:p w14:paraId="32F7D360" w14:textId="77777777" w:rsidR="00F1465E" w:rsidRPr="00AC67B2" w:rsidRDefault="00F1465E" w:rsidP="007B05B7">
      <w:pPr>
        <w:spacing w:line="276" w:lineRule="auto"/>
        <w:ind w:firstLine="720"/>
        <w:rPr>
          <w:rFonts w:cs="Times Unicode"/>
          <w:lang w:val="hy-AM"/>
        </w:rPr>
      </w:pPr>
      <w:r w:rsidRPr="00AC67B2">
        <w:rPr>
          <w:rFonts w:cs="Times Unicode"/>
          <w:lang w:val="hy-AM"/>
        </w:rPr>
        <w:t>Աջ գծապատկերը ցույց է տալիս արտարժութային պարտքի պորտֆելի կառուցվածքը՝ SDR-ի համապատասխան արտարժույթների կշիռներով բաշխմամբ:</w:t>
      </w:r>
    </w:p>
    <w:p w14:paraId="6874CCA2" w14:textId="77777777" w:rsidR="00F1465E" w:rsidRPr="00AC67B2" w:rsidRDefault="00F1465E" w:rsidP="007B05B7">
      <w:pPr>
        <w:spacing w:line="276" w:lineRule="auto"/>
        <w:ind w:firstLine="720"/>
        <w:rPr>
          <w:rFonts w:cs="Times Unicode"/>
          <w:lang w:val="hy-AM"/>
        </w:rPr>
      </w:pPr>
      <w:r w:rsidRPr="00AC67B2">
        <w:rPr>
          <w:rFonts w:cs="Times Unicode"/>
          <w:lang w:val="hy-AM"/>
        </w:rPr>
        <w:t>Արտարժութային պարտքի մեծ կշիռը հետևանք է պարտքի պորտֆելում երկկողմ և բազմակողմ արտաքին վարկատուների կողմից տրամադրված փոխառությունների գերակայության</w:t>
      </w:r>
      <w:r w:rsidRPr="00A205DB">
        <w:rPr>
          <w:rFonts w:cs="Times Unicode"/>
          <w:lang w:val="hy-AM"/>
        </w:rPr>
        <w:t>, ինչպես նաև 1.1 մլրդ ԱՄՆ դոլար ծավալով շրջանառության մեջ գտնվող եվրապարտատոմսերի երեք թողարկումների առկայության</w:t>
      </w:r>
      <w:r w:rsidRPr="004B7520">
        <w:rPr>
          <w:rFonts w:cs="Times Unicode"/>
          <w:lang w:val="hy-AM"/>
        </w:rPr>
        <w:t>: 201</w:t>
      </w:r>
      <w:r w:rsidRPr="00A205DB">
        <w:rPr>
          <w:rFonts w:cs="Times Unicode"/>
          <w:lang w:val="hy-AM"/>
        </w:rPr>
        <w:t>9</w:t>
      </w:r>
      <w:r w:rsidRPr="004B7520">
        <w:rPr>
          <w:rFonts w:cs="Times Unicode"/>
          <w:lang w:val="hy-AM"/>
        </w:rPr>
        <w:t xml:space="preserve">թ. արտարժութային կարճաժամկետ պարտքի կշիռը միջազգային պահուստների մեջ ցուցանիշն աճել է նախորդ տարվա նկատմամբ </w:t>
      </w:r>
      <w:r w:rsidRPr="00A205DB">
        <w:rPr>
          <w:rFonts w:cs="Times Unicode"/>
          <w:lang w:val="hy-AM"/>
        </w:rPr>
        <w:t>3</w:t>
      </w:r>
      <w:r w:rsidRPr="004B7520">
        <w:rPr>
          <w:rFonts w:cs="Times Unicode"/>
          <w:lang w:val="hy-AM"/>
        </w:rPr>
        <w:t>.</w:t>
      </w:r>
      <w:r w:rsidRPr="00A205DB">
        <w:rPr>
          <w:rFonts w:cs="Times Unicode"/>
          <w:lang w:val="hy-AM"/>
        </w:rPr>
        <w:t>3</w:t>
      </w:r>
      <w:r w:rsidRPr="004B7520">
        <w:rPr>
          <w:rFonts w:cs="Times Unicode"/>
          <w:lang w:val="hy-AM"/>
        </w:rPr>
        <w:t xml:space="preserve"> տոկոսային կետով և կազմել է </w:t>
      </w:r>
      <w:r w:rsidRPr="00A205DB">
        <w:rPr>
          <w:rFonts w:cs="Times Unicode"/>
          <w:lang w:val="hy-AM"/>
        </w:rPr>
        <w:t>10</w:t>
      </w:r>
      <w:r w:rsidRPr="004B7520">
        <w:rPr>
          <w:rFonts w:cs="Times Unicode"/>
          <w:lang w:val="hy-AM"/>
        </w:rPr>
        <w:t>.</w:t>
      </w:r>
      <w:r w:rsidRPr="00A205DB">
        <w:rPr>
          <w:rFonts w:cs="Times Unicode"/>
          <w:lang w:val="hy-AM"/>
        </w:rPr>
        <w:t>5</w:t>
      </w:r>
      <w:r w:rsidRPr="004B7520">
        <w:rPr>
          <w:rFonts w:cs="Times Unicode"/>
          <w:lang w:val="hy-AM"/>
        </w:rPr>
        <w:t>%:</w:t>
      </w:r>
      <w:r w:rsidRPr="00AC67B2">
        <w:rPr>
          <w:rFonts w:cs="Times Unicode"/>
          <w:lang w:val="hy-AM"/>
        </w:rPr>
        <w:t xml:space="preserve"> </w:t>
      </w:r>
    </w:p>
    <w:p w14:paraId="63DB5CFC" w14:textId="77777777" w:rsidR="00F1465E" w:rsidRPr="00C35116" w:rsidRDefault="00F1465E" w:rsidP="007B05B7">
      <w:pPr>
        <w:spacing w:line="276" w:lineRule="auto"/>
        <w:ind w:firstLine="720"/>
        <w:rPr>
          <w:rFonts w:cs="Times Unicode"/>
          <w:lang w:val="hy-AM"/>
        </w:rPr>
      </w:pPr>
    </w:p>
    <w:p w14:paraId="718B0C3B" w14:textId="77777777" w:rsidR="00F1465E" w:rsidRPr="00AC67B2" w:rsidRDefault="00F1465E" w:rsidP="007B05B7">
      <w:pPr>
        <w:spacing w:line="276" w:lineRule="auto"/>
        <w:ind w:firstLine="720"/>
        <w:rPr>
          <w:rFonts w:cs="Times Unicode"/>
          <w:i/>
          <w:lang w:val="hy-AM"/>
        </w:rPr>
      </w:pPr>
      <w:r w:rsidRPr="00AC67B2">
        <w:rPr>
          <w:rFonts w:cs="Times Unicode"/>
          <w:i/>
          <w:lang w:val="hy-AM"/>
        </w:rPr>
        <w:t>Վերաֆինանսավորման ռիսկ</w:t>
      </w:r>
    </w:p>
    <w:p w14:paraId="7E6127B8" w14:textId="77777777" w:rsidR="00F1465E" w:rsidRPr="00AC67B2" w:rsidRDefault="00F1465E" w:rsidP="007B05B7">
      <w:pPr>
        <w:spacing w:line="276" w:lineRule="auto"/>
        <w:ind w:firstLine="720"/>
        <w:rPr>
          <w:rFonts w:cs="Times Unicode"/>
          <w:lang w:val="hy-AM"/>
        </w:rPr>
      </w:pPr>
      <w:r w:rsidRPr="00AC67B2">
        <w:rPr>
          <w:rFonts w:cs="Times Unicode"/>
          <w:lang w:val="hy-AM"/>
        </w:rPr>
        <w:t>Կառավարության պարտքի պորտֆելի վերաֆինանսավորման ռիսկը գնահատվում է երեք ցուցանիշներով՝ մեկ տարվա ընթացքում մարվող պարտքի կշիռը, մինչև մարում միջին ժամկետը և կառավարության պարտքի պորտֆելի մարման գրաֆիկը:</w:t>
      </w:r>
    </w:p>
    <w:p w14:paraId="703DBA72" w14:textId="77777777" w:rsidR="00F1465E" w:rsidRPr="00AC67B2" w:rsidRDefault="00F1465E" w:rsidP="007B05B7">
      <w:pPr>
        <w:spacing w:line="276" w:lineRule="auto"/>
        <w:ind w:firstLine="720"/>
        <w:rPr>
          <w:rFonts w:cs="Times Unicode"/>
          <w:lang w:val="hy-AM"/>
        </w:rPr>
      </w:pPr>
      <w:r w:rsidRPr="00AC67B2">
        <w:rPr>
          <w:rFonts w:cs="Times Unicode"/>
          <w:lang w:val="hy-AM"/>
        </w:rPr>
        <w:t>ՀՀ կառավարության պարտքի առկա պորտֆելը կրում է վերաֆինանսավորման ցածր ռիսկ, քանի որ 201</w:t>
      </w:r>
      <w:r w:rsidRPr="00A205DB">
        <w:rPr>
          <w:rFonts w:cs="Times Unicode"/>
          <w:lang w:val="hy-AM"/>
        </w:rPr>
        <w:t>9</w:t>
      </w:r>
      <w:r w:rsidRPr="00AC67B2">
        <w:rPr>
          <w:rFonts w:cs="Times Unicode"/>
          <w:lang w:val="hy-AM"/>
        </w:rPr>
        <w:t>թ. դեկտեմբերի 31-ի դրությամբ առաջիկա տարվա ընթացքում մարվող պարտքի կշի</w:t>
      </w:r>
      <w:r w:rsidRPr="00AC67B2">
        <w:rPr>
          <w:rFonts w:cs="Times Unicode"/>
          <w:lang w:val="hy-AM"/>
        </w:rPr>
        <w:softHyphen/>
        <w:t xml:space="preserve">ռը կազմել է </w:t>
      </w:r>
      <w:r w:rsidRPr="00A205DB">
        <w:rPr>
          <w:rFonts w:cs="Times Unicode"/>
          <w:lang w:val="hy-AM"/>
        </w:rPr>
        <w:t>ընդամե</w:t>
      </w:r>
      <w:r w:rsidRPr="00E8654F">
        <w:rPr>
          <w:rFonts w:cs="Times Unicode"/>
          <w:lang w:val="hy-AM"/>
        </w:rPr>
        <w:t>ն</w:t>
      </w:r>
      <w:r w:rsidRPr="00A205DB">
        <w:rPr>
          <w:rFonts w:cs="Times Unicode"/>
          <w:lang w:val="hy-AM"/>
        </w:rPr>
        <w:t>ը 7.0</w:t>
      </w:r>
      <w:r w:rsidRPr="00AC67B2">
        <w:rPr>
          <w:rFonts w:cs="Times Unicode"/>
          <w:lang w:val="hy-AM"/>
        </w:rPr>
        <w:t>%</w:t>
      </w:r>
      <w:r w:rsidRPr="00A205DB">
        <w:rPr>
          <w:rFonts w:cs="Times Unicode"/>
          <w:lang w:val="hy-AM"/>
        </w:rPr>
        <w:t>: Ն</w:t>
      </w:r>
      <w:r w:rsidRPr="00AC67B2">
        <w:rPr>
          <w:rFonts w:cs="Times Unicode"/>
          <w:lang w:val="hy-AM"/>
        </w:rPr>
        <w:t xml:space="preserve">ախորդ տարվա նկատմամբ </w:t>
      </w:r>
      <w:r w:rsidRPr="00A205DB">
        <w:rPr>
          <w:rFonts w:cs="Times Unicode"/>
          <w:lang w:val="hy-AM"/>
        </w:rPr>
        <w:t>այն աճել է</w:t>
      </w:r>
      <w:r w:rsidRPr="00AC67B2">
        <w:rPr>
          <w:rFonts w:cs="Times Unicode"/>
          <w:lang w:val="hy-AM"/>
        </w:rPr>
        <w:t xml:space="preserve"> </w:t>
      </w:r>
      <w:r w:rsidRPr="00A205DB">
        <w:rPr>
          <w:rFonts w:cs="Times Unicode"/>
          <w:lang w:val="hy-AM"/>
        </w:rPr>
        <w:t>2.0</w:t>
      </w:r>
      <w:r w:rsidRPr="00AC67B2">
        <w:rPr>
          <w:rFonts w:cs="Times Unicode"/>
          <w:lang w:val="hy-AM"/>
        </w:rPr>
        <w:t xml:space="preserve"> տոկոսային կետով</w:t>
      </w:r>
      <w:r w:rsidRPr="00A205DB">
        <w:rPr>
          <w:rFonts w:cs="Times Unicode"/>
          <w:lang w:val="hy-AM"/>
        </w:rPr>
        <w:t>, որը հիմնականում պայմանավորված է 2020թ. մարվող եվրապարտատոմսերով, ինչպես նաև արտաքին վարկերի մարումների կշռի աճով</w:t>
      </w:r>
      <w:r w:rsidRPr="00AC67B2">
        <w:rPr>
          <w:rFonts w:cs="Times Unicode"/>
          <w:lang w:val="hy-AM"/>
        </w:rPr>
        <w:t xml:space="preserve">: </w:t>
      </w:r>
      <w:r w:rsidRPr="00A205DB">
        <w:rPr>
          <w:rFonts w:cs="Times Unicode"/>
          <w:lang w:val="hy-AM"/>
        </w:rPr>
        <w:t>Ըստ ռեզիդենտության դիտարկելու դեպքում,</w:t>
      </w:r>
      <w:r w:rsidRPr="00AC67B2">
        <w:rPr>
          <w:rFonts w:cs="Times Unicode"/>
          <w:lang w:val="hy-AM"/>
        </w:rPr>
        <w:t xml:space="preserve"> ՀՀ կառավա</w:t>
      </w:r>
      <w:r w:rsidRPr="00AC67B2">
        <w:rPr>
          <w:rFonts w:cs="Times Unicode"/>
          <w:lang w:val="hy-AM"/>
        </w:rPr>
        <w:softHyphen/>
        <w:t xml:space="preserve">րության </w:t>
      </w:r>
      <w:r w:rsidRPr="00AC67B2">
        <w:rPr>
          <w:rFonts w:cs="Times Unicode"/>
          <w:lang w:val="hy-AM"/>
        </w:rPr>
        <w:lastRenderedPageBreak/>
        <w:t xml:space="preserve">արտաքին պարտքի մեկ տարվա ընթացքում մարման կշիռը կազմել է </w:t>
      </w:r>
      <w:r w:rsidRPr="00A205DB">
        <w:rPr>
          <w:rFonts w:cs="Times Unicode"/>
          <w:lang w:val="hy-AM"/>
        </w:rPr>
        <w:t>4.6</w:t>
      </w:r>
      <w:r w:rsidRPr="00AC67B2">
        <w:rPr>
          <w:rFonts w:cs="Times Unicode"/>
          <w:lang w:val="hy-AM"/>
        </w:rPr>
        <w:t>%, իսկ ներքին պարտքի համար</w:t>
      </w:r>
      <w:r w:rsidRPr="00A205DB">
        <w:rPr>
          <w:rFonts w:cs="Times Unicode"/>
          <w:lang w:val="hy-AM"/>
        </w:rPr>
        <w:t>`</w:t>
      </w:r>
      <w:r w:rsidRPr="00AC67B2">
        <w:rPr>
          <w:rFonts w:cs="Times Unicode"/>
          <w:lang w:val="hy-AM"/>
        </w:rPr>
        <w:t xml:space="preserve"> </w:t>
      </w:r>
      <w:r w:rsidRPr="00A205DB">
        <w:rPr>
          <w:rFonts w:cs="Times Unicode"/>
          <w:lang w:val="hy-AM"/>
        </w:rPr>
        <w:t>15.5</w:t>
      </w:r>
      <w:r w:rsidRPr="00AC67B2">
        <w:rPr>
          <w:rFonts w:cs="Times Unicode"/>
          <w:lang w:val="hy-AM"/>
        </w:rPr>
        <w:t xml:space="preserve">%: </w:t>
      </w:r>
      <w:r w:rsidRPr="00A205DB">
        <w:rPr>
          <w:rFonts w:cs="Times Unicode"/>
          <w:lang w:val="hy-AM"/>
        </w:rPr>
        <w:t>Նշենք, որ</w:t>
      </w:r>
      <w:r w:rsidRPr="00AC67B2">
        <w:rPr>
          <w:rFonts w:cs="Times Unicode"/>
          <w:lang w:val="hy-AM"/>
        </w:rPr>
        <w:t xml:space="preserve"> ներքին պարտքի կշ</w:t>
      </w:r>
      <w:r w:rsidRPr="00A205DB">
        <w:rPr>
          <w:rFonts w:cs="Times Unicode"/>
          <w:lang w:val="hy-AM"/>
        </w:rPr>
        <w:t>ի</w:t>
      </w:r>
      <w:r w:rsidRPr="00AC67B2">
        <w:rPr>
          <w:rFonts w:cs="Times Unicode"/>
          <w:lang w:val="hy-AM"/>
        </w:rPr>
        <w:t>ռ</w:t>
      </w:r>
      <w:r w:rsidRPr="00A205DB">
        <w:rPr>
          <w:rFonts w:cs="Times Unicode"/>
          <w:lang w:val="hy-AM"/>
        </w:rPr>
        <w:t>ը</w:t>
      </w:r>
      <w:r w:rsidRPr="00AC67B2">
        <w:rPr>
          <w:rFonts w:cs="Times Unicode"/>
          <w:lang w:val="hy-AM"/>
        </w:rPr>
        <w:t xml:space="preserve"> </w:t>
      </w:r>
      <w:r w:rsidRPr="00A205DB">
        <w:rPr>
          <w:rFonts w:cs="Times Unicode"/>
          <w:lang w:val="hy-AM"/>
        </w:rPr>
        <w:t xml:space="preserve">2019թ. տարեվերջին կազմել է 22.5%: </w:t>
      </w:r>
      <w:r w:rsidRPr="00AC67B2">
        <w:rPr>
          <w:rFonts w:cs="Times Unicode"/>
          <w:lang w:val="hy-AM"/>
        </w:rPr>
        <w:t>ՀՀ կառավա</w:t>
      </w:r>
      <w:r w:rsidRPr="00AC67B2">
        <w:rPr>
          <w:rFonts w:cs="Times Unicode"/>
          <w:lang w:val="hy-AM"/>
        </w:rPr>
        <w:softHyphen/>
        <w:t xml:space="preserve">րության արտաքին </w:t>
      </w:r>
      <w:r w:rsidRPr="00A205DB">
        <w:rPr>
          <w:rFonts w:cs="Times Unicode"/>
          <w:lang w:val="hy-AM"/>
        </w:rPr>
        <w:t xml:space="preserve">և ներքին </w:t>
      </w:r>
      <w:r w:rsidRPr="00AC67B2">
        <w:rPr>
          <w:rFonts w:cs="Times Unicode"/>
          <w:lang w:val="hy-AM"/>
        </w:rPr>
        <w:t>պարտք</w:t>
      </w:r>
      <w:r w:rsidRPr="00A205DB">
        <w:rPr>
          <w:rFonts w:cs="Times Unicode"/>
          <w:lang w:val="hy-AM"/>
        </w:rPr>
        <w:t>եր</w:t>
      </w:r>
      <w:r w:rsidRPr="00AC67B2">
        <w:rPr>
          <w:rFonts w:cs="Times Unicode"/>
          <w:lang w:val="hy-AM"/>
        </w:rPr>
        <w:t>ի</w:t>
      </w:r>
      <w:r w:rsidRPr="00A205DB">
        <w:rPr>
          <w:rFonts w:cs="Times Unicode"/>
          <w:lang w:val="hy-AM"/>
        </w:rPr>
        <w:t xml:space="preserve"> </w:t>
      </w:r>
      <w:r w:rsidRPr="00AC67B2">
        <w:rPr>
          <w:rFonts w:cs="Times Unicode"/>
          <w:lang w:val="hy-AM"/>
        </w:rPr>
        <w:t xml:space="preserve">մեկ տարվա ընթացքում մարման </w:t>
      </w:r>
      <w:r w:rsidRPr="00C35116">
        <w:rPr>
          <w:rFonts w:cs="Times Unicode"/>
          <w:lang w:val="hy-AM"/>
        </w:rPr>
        <w:t xml:space="preserve">փոքր </w:t>
      </w:r>
      <w:r w:rsidRPr="00A205DB">
        <w:rPr>
          <w:rFonts w:cs="Times Unicode"/>
          <w:lang w:val="hy-AM"/>
        </w:rPr>
        <w:t xml:space="preserve">ծավալները հնարավոր է վերաֆինանսավորել առանց դժվարությունների, </w:t>
      </w:r>
      <w:r w:rsidRPr="00C35116">
        <w:rPr>
          <w:rFonts w:cs="Times Unicode"/>
          <w:lang w:val="hy-AM"/>
        </w:rPr>
        <w:t>ինչը նշանակում է</w:t>
      </w:r>
      <w:r w:rsidRPr="00A205DB">
        <w:rPr>
          <w:rFonts w:cs="Times Unicode"/>
          <w:lang w:val="hy-AM"/>
        </w:rPr>
        <w:t xml:space="preserve">, որ ՀՀ կառավարության պարտքի պորտֆելը կրում է </w:t>
      </w:r>
      <w:r w:rsidRPr="00AC67B2">
        <w:rPr>
          <w:rFonts w:cs="Times Unicode"/>
          <w:lang w:val="hy-AM"/>
        </w:rPr>
        <w:t xml:space="preserve">վերաֆինանսավորման չափավոր </w:t>
      </w:r>
      <w:r w:rsidRPr="00A205DB">
        <w:rPr>
          <w:rFonts w:cs="Times Unicode"/>
          <w:lang w:val="hy-AM"/>
        </w:rPr>
        <w:t>ռիսկ</w:t>
      </w:r>
      <w:r w:rsidRPr="00AC67B2">
        <w:rPr>
          <w:rFonts w:cs="Times Unicode"/>
          <w:lang w:val="hy-AM"/>
        </w:rPr>
        <w:t>:</w:t>
      </w:r>
    </w:p>
    <w:p w14:paraId="0B26AA51" w14:textId="77777777" w:rsidR="00F1465E" w:rsidRPr="00AC67B2" w:rsidRDefault="00F1465E" w:rsidP="007B05B7">
      <w:pPr>
        <w:spacing w:line="276" w:lineRule="auto"/>
        <w:ind w:firstLine="720"/>
        <w:rPr>
          <w:rFonts w:cs="Times Unicode"/>
          <w:lang w:val="hy-AM"/>
        </w:rPr>
      </w:pPr>
      <w:r w:rsidRPr="00AC67B2">
        <w:rPr>
          <w:rFonts w:cs="Times Unicode"/>
          <w:lang w:val="hy-AM"/>
        </w:rPr>
        <w:t>ՀՀ կառավարության պարտքի մինչև մարում միջին ժամկետի ցուցանիշը 201</w:t>
      </w:r>
      <w:r w:rsidRPr="00A205DB">
        <w:rPr>
          <w:rFonts w:cs="Times Unicode"/>
          <w:lang w:val="hy-AM"/>
        </w:rPr>
        <w:t>9</w:t>
      </w:r>
      <w:r w:rsidRPr="00AC67B2">
        <w:rPr>
          <w:rFonts w:cs="Times Unicode"/>
          <w:lang w:val="hy-AM"/>
        </w:rPr>
        <w:t>թ. դեկտեմ</w:t>
      </w:r>
      <w:r w:rsidRPr="00AC67B2">
        <w:rPr>
          <w:rFonts w:cs="Times Unicode"/>
          <w:lang w:val="hy-AM"/>
        </w:rPr>
        <w:softHyphen/>
        <w:t xml:space="preserve">բերի 31-ի դրությամբ կազմել է </w:t>
      </w:r>
      <w:r w:rsidRPr="00A205DB">
        <w:rPr>
          <w:rFonts w:cs="Times Unicode"/>
          <w:lang w:val="hy-AM"/>
        </w:rPr>
        <w:t>9.1</w:t>
      </w:r>
      <w:r w:rsidRPr="00AC67B2">
        <w:rPr>
          <w:rFonts w:cs="Times Unicode"/>
          <w:lang w:val="hy-AM"/>
        </w:rPr>
        <w:t xml:space="preserve"> տարի: Ընդ որում, ՀՀ կառավարության արտաքին պարտքի մինչև մարում միջին ժամկետը կազմել է </w:t>
      </w:r>
      <w:r w:rsidRPr="00A205DB">
        <w:rPr>
          <w:rFonts w:cs="Times Unicode"/>
          <w:lang w:val="hy-AM"/>
        </w:rPr>
        <w:t>8.9</w:t>
      </w:r>
      <w:r w:rsidRPr="00AC67B2">
        <w:rPr>
          <w:rFonts w:cs="Times Unicode"/>
          <w:lang w:val="hy-AM"/>
        </w:rPr>
        <w:t xml:space="preserve"> տարի՝ նախորդ ժամանակահատվածի </w:t>
      </w:r>
      <w:r w:rsidRPr="00A205DB">
        <w:rPr>
          <w:rFonts w:cs="Times Unicode"/>
          <w:lang w:val="hy-AM"/>
        </w:rPr>
        <w:t>8.8</w:t>
      </w:r>
      <w:r w:rsidRPr="00AC67B2">
        <w:rPr>
          <w:rFonts w:cs="Times Unicode"/>
          <w:lang w:val="hy-AM"/>
        </w:rPr>
        <w:t xml:space="preserve"> տարվա դիմաց, իսկ ներքին պարտքինը՝ </w:t>
      </w:r>
      <w:r w:rsidRPr="00A205DB">
        <w:rPr>
          <w:rFonts w:cs="Times Unicode"/>
          <w:lang w:val="hy-AM"/>
        </w:rPr>
        <w:t>9.8</w:t>
      </w:r>
      <w:r w:rsidRPr="00AC67B2">
        <w:rPr>
          <w:rFonts w:cs="Times Unicode"/>
          <w:lang w:val="hy-AM"/>
        </w:rPr>
        <w:t xml:space="preserve"> տարի՝ նախորդ ժամանակահատվածի </w:t>
      </w:r>
      <w:r w:rsidRPr="00A205DB">
        <w:rPr>
          <w:rFonts w:cs="Times Unicode"/>
          <w:lang w:val="hy-AM"/>
        </w:rPr>
        <w:t>8.4</w:t>
      </w:r>
      <w:r w:rsidRPr="00AC67B2">
        <w:rPr>
          <w:rFonts w:cs="Times Unicode"/>
          <w:lang w:val="hy-AM"/>
        </w:rPr>
        <w:t xml:space="preserve"> տարվա դիմաց: Այս</w:t>
      </w:r>
      <w:r w:rsidRPr="00A205DB">
        <w:rPr>
          <w:rFonts w:cs="Times Unicode"/>
          <w:lang w:val="hy-AM"/>
        </w:rPr>
        <w:t xml:space="preserve"> երկու</w:t>
      </w:r>
      <w:r w:rsidRPr="00AC67B2">
        <w:rPr>
          <w:rFonts w:cs="Times Unicode"/>
          <w:lang w:val="hy-AM"/>
        </w:rPr>
        <w:t xml:space="preserve"> ցուցանիշ</w:t>
      </w:r>
      <w:r w:rsidRPr="00A205DB">
        <w:rPr>
          <w:rFonts w:cs="Times Unicode"/>
          <w:lang w:val="hy-AM"/>
        </w:rPr>
        <w:t>ներն էլ</w:t>
      </w:r>
      <w:r w:rsidRPr="00AC67B2">
        <w:rPr>
          <w:rFonts w:cs="Times Unicode"/>
          <w:lang w:val="hy-AM"/>
        </w:rPr>
        <w:t xml:space="preserve"> </w:t>
      </w:r>
      <w:r w:rsidRPr="00A205DB">
        <w:rPr>
          <w:rFonts w:cs="Times Unicode"/>
          <w:lang w:val="hy-AM"/>
        </w:rPr>
        <w:t xml:space="preserve">աճել են նախորդ ժամանակահատվածի համեմատ և գտնվում են </w:t>
      </w:r>
      <w:r w:rsidRPr="00AC67B2">
        <w:rPr>
          <w:rFonts w:cs="Times Unicode"/>
          <w:lang w:val="hy-AM"/>
        </w:rPr>
        <w:t xml:space="preserve">ՀՀ կառավարության պարտքի պորտֆելի վերաֆինանսավորման ռիսկի </w:t>
      </w:r>
      <w:r w:rsidRPr="00A205DB">
        <w:rPr>
          <w:rFonts w:cs="Times Unicode"/>
          <w:lang w:val="hy-AM"/>
        </w:rPr>
        <w:t>տեսակետից բարենպաստ միջակայքում</w:t>
      </w:r>
      <w:r w:rsidRPr="00AC67B2">
        <w:rPr>
          <w:rFonts w:cs="Times Unicode"/>
          <w:lang w:val="hy-AM"/>
        </w:rPr>
        <w:t>:</w:t>
      </w:r>
    </w:p>
    <w:p w14:paraId="6560A57D" w14:textId="77777777" w:rsidR="00F1465E" w:rsidRPr="00AC67B2" w:rsidRDefault="00F1465E" w:rsidP="007B05B7">
      <w:pPr>
        <w:spacing w:line="276" w:lineRule="auto"/>
        <w:ind w:firstLine="720"/>
        <w:rPr>
          <w:rFonts w:cs="Times Unicode"/>
          <w:lang w:val="hy-AM"/>
        </w:rPr>
      </w:pPr>
      <w:r w:rsidRPr="00AC67B2">
        <w:rPr>
          <w:rFonts w:cs="Times Unicode"/>
          <w:lang w:val="hy-AM"/>
        </w:rPr>
        <w:t>Վերաֆինանսավորման ռիսկն առավել պատկերավոր է ներկայացված մարման գրաֆիկի միջոցով, որտեղ 202</w:t>
      </w:r>
      <w:r w:rsidRPr="00A205DB">
        <w:rPr>
          <w:rFonts w:cs="Times Unicode"/>
          <w:lang w:val="hy-AM"/>
        </w:rPr>
        <w:t>5</w:t>
      </w:r>
      <w:r w:rsidRPr="00AC67B2">
        <w:rPr>
          <w:rFonts w:cs="Times Unicode"/>
          <w:lang w:val="hy-AM"/>
        </w:rPr>
        <w:t>թ. և 202</w:t>
      </w:r>
      <w:r w:rsidRPr="00A205DB">
        <w:rPr>
          <w:rFonts w:cs="Times Unicode"/>
          <w:lang w:val="hy-AM"/>
        </w:rPr>
        <w:t>9</w:t>
      </w:r>
      <w:r w:rsidRPr="00AC67B2">
        <w:rPr>
          <w:rFonts w:cs="Times Unicode"/>
          <w:lang w:val="hy-AM"/>
        </w:rPr>
        <w:t xml:space="preserve">թ. մարման մեծ ծավալները պայմանավորված են թողարկված եվրապարտատոմսերի մարումներով, որոնք համապատասխանաբար կազմում են տվյալ տարում մարվող պարտքի </w:t>
      </w:r>
      <w:r w:rsidRPr="00A205DB">
        <w:rPr>
          <w:rFonts w:cs="Times Unicode"/>
          <w:lang w:val="hy-AM"/>
        </w:rPr>
        <w:t>59.1</w:t>
      </w:r>
      <w:r w:rsidRPr="00AC67B2">
        <w:rPr>
          <w:rFonts w:cs="Times Unicode"/>
          <w:lang w:val="hy-AM"/>
        </w:rPr>
        <w:t xml:space="preserve">%-ը և </w:t>
      </w:r>
      <w:r w:rsidRPr="00A205DB">
        <w:rPr>
          <w:rFonts w:cs="Times Unicode"/>
          <w:lang w:val="hy-AM"/>
        </w:rPr>
        <w:t>59.3</w:t>
      </w:r>
      <w:r w:rsidRPr="00AC67B2">
        <w:rPr>
          <w:rFonts w:cs="Times Unicode"/>
          <w:lang w:val="hy-AM"/>
        </w:rPr>
        <w:t xml:space="preserve">%-ը: </w:t>
      </w:r>
    </w:p>
    <w:p w14:paraId="47B991DD" w14:textId="77777777" w:rsidR="00F1465E" w:rsidRPr="00AC67B2" w:rsidRDefault="00F1465E" w:rsidP="00F1465E">
      <w:pPr>
        <w:rPr>
          <w:sz w:val="20"/>
          <w:szCs w:val="20"/>
          <w:lang w:val="hy-AM"/>
        </w:rPr>
      </w:pPr>
    </w:p>
    <w:p w14:paraId="351DA2E1" w14:textId="77777777" w:rsidR="00F1465E" w:rsidRPr="007B05B7" w:rsidRDefault="00F1465E" w:rsidP="00F1465E">
      <w:pPr>
        <w:ind w:left="1701" w:hanging="1701"/>
        <w:rPr>
          <w:i/>
          <w:sz w:val="20"/>
          <w:szCs w:val="20"/>
          <w:lang w:val="hy-AM"/>
        </w:rPr>
      </w:pPr>
      <w:r w:rsidRPr="007B05B7">
        <w:rPr>
          <w:b/>
          <w:sz w:val="20"/>
          <w:szCs w:val="20"/>
          <w:lang w:val="hy-AM"/>
        </w:rPr>
        <w:t>Գծապատկեր 4.</w:t>
      </w:r>
      <w:r w:rsidRPr="007B05B7">
        <w:rPr>
          <w:sz w:val="20"/>
          <w:szCs w:val="20"/>
          <w:lang w:val="hy-AM"/>
        </w:rPr>
        <w:t xml:space="preserve"> </w:t>
      </w:r>
      <w:r w:rsidRPr="007B05B7">
        <w:rPr>
          <w:i/>
          <w:sz w:val="20"/>
          <w:szCs w:val="20"/>
          <w:lang w:val="hy-AM"/>
        </w:rPr>
        <w:t xml:space="preserve">Կառավարության պարտքի մարումների գրաֆիկն ըստ գործիքակազմի 31.12.2019թ. դրությամբ </w:t>
      </w:r>
      <w:r w:rsidRPr="007B05B7">
        <w:rPr>
          <w:rFonts w:cs="Sylfaen"/>
          <w:i/>
          <w:sz w:val="20"/>
          <w:szCs w:val="20"/>
          <w:lang w:val="hy-AM"/>
        </w:rPr>
        <w:t>(մլրդ դրամ)</w:t>
      </w:r>
    </w:p>
    <w:p w14:paraId="4CFE522D" w14:textId="77777777" w:rsidR="00F1465E" w:rsidRDefault="00F1465E" w:rsidP="00F1465E">
      <w:pPr>
        <w:ind w:left="1701" w:hanging="1701"/>
        <w:jc w:val="center"/>
        <w:rPr>
          <w:sz w:val="20"/>
          <w:szCs w:val="20"/>
        </w:rPr>
      </w:pPr>
      <w:r>
        <w:rPr>
          <w:noProof/>
          <w:sz w:val="20"/>
          <w:szCs w:val="20"/>
        </w:rPr>
        <w:drawing>
          <wp:inline distT="0" distB="0" distL="0" distR="0" wp14:anchorId="5F5074CD" wp14:editId="2C9DBD6E">
            <wp:extent cx="6558915" cy="3366135"/>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558915" cy="3366135"/>
                    </a:xfrm>
                    <a:prstGeom prst="rect">
                      <a:avLst/>
                    </a:prstGeom>
                    <a:noFill/>
                  </pic:spPr>
                </pic:pic>
              </a:graphicData>
            </a:graphic>
          </wp:inline>
        </w:drawing>
      </w:r>
    </w:p>
    <w:p w14:paraId="53A36A47" w14:textId="77777777" w:rsidR="00F1465E" w:rsidRPr="00D114C0" w:rsidRDefault="00F1465E" w:rsidP="00F1465E">
      <w:pPr>
        <w:ind w:left="1701" w:hanging="1701"/>
        <w:rPr>
          <w:sz w:val="20"/>
          <w:szCs w:val="20"/>
        </w:rPr>
      </w:pPr>
    </w:p>
    <w:p w14:paraId="3F310F24" w14:textId="77777777" w:rsidR="00F1465E" w:rsidRPr="00AC67B2" w:rsidRDefault="00F1465E" w:rsidP="007B05B7">
      <w:pPr>
        <w:spacing w:line="276" w:lineRule="auto"/>
        <w:ind w:firstLine="720"/>
        <w:rPr>
          <w:rFonts w:cs="Times Unicode"/>
          <w:lang w:val="hy-AM"/>
        </w:rPr>
      </w:pPr>
      <w:r w:rsidRPr="00AC67B2">
        <w:rPr>
          <w:rFonts w:cs="Times Unicode"/>
          <w:lang w:val="hy-AM"/>
        </w:rPr>
        <w:lastRenderedPageBreak/>
        <w:t>Կառավարության պարտքի մարումների գրաֆիկն ըստ ներքին և արտաքին պարտքերի տարանջատման, այսինքն ըստ ռեզիդենտության, ունի հետևյալ տեսքը.</w:t>
      </w:r>
    </w:p>
    <w:p w14:paraId="581EC0C0" w14:textId="77777777" w:rsidR="00F1465E" w:rsidRDefault="00F1465E" w:rsidP="007B05B7">
      <w:pPr>
        <w:spacing w:line="276" w:lineRule="auto"/>
        <w:ind w:firstLine="720"/>
        <w:rPr>
          <w:rFonts w:cs="Times Unicode"/>
        </w:rPr>
      </w:pPr>
    </w:p>
    <w:p w14:paraId="2ED57C70" w14:textId="77777777" w:rsidR="00F1465E" w:rsidRPr="007B05B7" w:rsidRDefault="00F1465E" w:rsidP="00F1465E">
      <w:pPr>
        <w:spacing w:line="360" w:lineRule="auto"/>
        <w:rPr>
          <w:i/>
          <w:sz w:val="20"/>
          <w:szCs w:val="20"/>
          <w:lang w:val="hy-AM"/>
        </w:rPr>
      </w:pPr>
      <w:r w:rsidRPr="007B05B7">
        <w:rPr>
          <w:b/>
          <w:sz w:val="20"/>
          <w:szCs w:val="20"/>
          <w:lang w:val="hy-AM"/>
        </w:rPr>
        <w:t xml:space="preserve">Գծապատկեր </w:t>
      </w:r>
      <w:r w:rsidRPr="007B05B7">
        <w:rPr>
          <w:b/>
          <w:sz w:val="20"/>
          <w:szCs w:val="20"/>
        </w:rPr>
        <w:t>5</w:t>
      </w:r>
      <w:r w:rsidRPr="007B05B7">
        <w:rPr>
          <w:b/>
          <w:sz w:val="20"/>
          <w:szCs w:val="20"/>
          <w:lang w:val="hy-AM"/>
        </w:rPr>
        <w:t>.</w:t>
      </w:r>
      <w:r w:rsidRPr="007B05B7">
        <w:rPr>
          <w:sz w:val="20"/>
          <w:szCs w:val="20"/>
          <w:lang w:val="hy-AM"/>
        </w:rPr>
        <w:t xml:space="preserve"> </w:t>
      </w:r>
      <w:r w:rsidRPr="007B05B7">
        <w:rPr>
          <w:i/>
          <w:sz w:val="20"/>
          <w:szCs w:val="20"/>
          <w:lang w:val="hy-AM"/>
        </w:rPr>
        <w:t>Կառավարության պարտքի մարումների գրաֆիկը 31.12.2019թ. դրությամբ</w:t>
      </w:r>
    </w:p>
    <w:p w14:paraId="4F13A3BC" w14:textId="77777777" w:rsidR="00F1465E" w:rsidRPr="00492D51" w:rsidRDefault="00F1465E" w:rsidP="00F1465E">
      <w:pPr>
        <w:spacing w:line="360" w:lineRule="auto"/>
        <w:jc w:val="center"/>
        <w:rPr>
          <w:sz w:val="20"/>
          <w:szCs w:val="20"/>
        </w:rPr>
      </w:pPr>
      <w:r>
        <w:rPr>
          <w:noProof/>
          <w:sz w:val="20"/>
          <w:szCs w:val="20"/>
        </w:rPr>
        <w:drawing>
          <wp:inline distT="0" distB="0" distL="0" distR="0" wp14:anchorId="3A790073" wp14:editId="4F130D4C">
            <wp:extent cx="6162040" cy="3218815"/>
            <wp:effectExtent l="19050" t="0" r="0" b="0"/>
            <wp:docPr id="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print"/>
                    <a:srcRect/>
                    <a:stretch>
                      <a:fillRect/>
                    </a:stretch>
                  </pic:blipFill>
                  <pic:spPr bwMode="auto">
                    <a:xfrm>
                      <a:off x="0" y="0"/>
                      <a:ext cx="6162040" cy="3218815"/>
                    </a:xfrm>
                    <a:prstGeom prst="rect">
                      <a:avLst/>
                    </a:prstGeom>
                    <a:noFill/>
                  </pic:spPr>
                </pic:pic>
              </a:graphicData>
            </a:graphic>
          </wp:inline>
        </w:drawing>
      </w:r>
    </w:p>
    <w:p w14:paraId="3F7D5557" w14:textId="77777777" w:rsidR="00F1465E" w:rsidRPr="00E91E1A" w:rsidRDefault="00F1465E" w:rsidP="00F1465E">
      <w:pPr>
        <w:spacing w:line="360" w:lineRule="auto"/>
        <w:rPr>
          <w:color w:val="FF0000"/>
          <w:sz w:val="20"/>
          <w:szCs w:val="20"/>
        </w:rPr>
      </w:pPr>
    </w:p>
    <w:p w14:paraId="463FAF9D" w14:textId="77777777" w:rsidR="00F1465E" w:rsidRPr="00AC67B2" w:rsidRDefault="00F1465E" w:rsidP="007B05B7">
      <w:pPr>
        <w:spacing w:line="276" w:lineRule="auto"/>
        <w:ind w:firstLine="720"/>
        <w:rPr>
          <w:rFonts w:cs="Times Unicode"/>
          <w:u w:val="single"/>
          <w:lang w:val="hy-AM"/>
        </w:rPr>
      </w:pPr>
      <w:r w:rsidRPr="00AC67B2">
        <w:rPr>
          <w:rFonts w:cs="Times Unicode"/>
          <w:lang w:val="hy-AM"/>
        </w:rPr>
        <w:t>201</w:t>
      </w:r>
      <w:r>
        <w:rPr>
          <w:rFonts w:cs="Times Unicode"/>
        </w:rPr>
        <w:t>9</w:t>
      </w:r>
      <w:r w:rsidRPr="00AC67B2">
        <w:rPr>
          <w:rFonts w:cs="Times Unicode"/>
          <w:lang w:val="hy-AM"/>
        </w:rPr>
        <w:t>թ. տարեվերջին ձևավորված կառավարության արտաքին պարտքի մարում</w:t>
      </w:r>
      <w:r w:rsidRPr="00AC67B2">
        <w:rPr>
          <w:rFonts w:cs="Times Unicode"/>
          <w:lang w:val="hy-AM"/>
        </w:rPr>
        <w:softHyphen/>
        <w:t>ները սփռված են մինչև 2054թ., իսկ ներքին պարտքինը` մինչև 2047թ.:</w:t>
      </w:r>
    </w:p>
    <w:p w14:paraId="1440FF0B" w14:textId="77777777" w:rsidR="00F1465E" w:rsidRPr="00AC67B2" w:rsidRDefault="00F1465E" w:rsidP="007B05B7">
      <w:pPr>
        <w:spacing w:line="276" w:lineRule="auto"/>
        <w:ind w:firstLine="720"/>
        <w:rPr>
          <w:rFonts w:cs="Times Unicode"/>
          <w:i/>
          <w:u w:val="single"/>
          <w:lang w:val="hy-AM"/>
        </w:rPr>
      </w:pPr>
      <w:r w:rsidRPr="00AC67B2">
        <w:rPr>
          <w:rFonts w:cs="Times Unicode"/>
          <w:i/>
          <w:lang w:val="hy-AM"/>
        </w:rPr>
        <w:t>Տոկոսադրույքի ռիսկ</w:t>
      </w:r>
    </w:p>
    <w:p w14:paraId="1C84F6C8" w14:textId="77777777" w:rsidR="00F1465E" w:rsidRPr="00AC67B2" w:rsidRDefault="00F1465E" w:rsidP="007B05B7">
      <w:pPr>
        <w:spacing w:line="276" w:lineRule="auto"/>
        <w:ind w:firstLine="720"/>
        <w:rPr>
          <w:rFonts w:cs="Times Unicode"/>
          <w:lang w:val="hy-AM"/>
        </w:rPr>
      </w:pPr>
      <w:r w:rsidRPr="00AC67B2">
        <w:rPr>
          <w:rFonts w:cs="Times Unicode"/>
          <w:lang w:val="hy-AM"/>
        </w:rPr>
        <w:t>Կառավարության պարտքի պորտֆելի տոկոսադրույքի ռիսկը գնահատվում է հիմնականում երեք ցուցանիշներով՝ ֆիքսված տոկոսադրույքով պարտքի կշիռն ընդամենը պարտքի մեջ, առաջիկա տարում վերաֆիքսվող պարտքի կշիռն ընդամենը պարտքի մեջ, մինչև վերաֆիքսում միջին ժամկետը:</w:t>
      </w:r>
    </w:p>
    <w:p w14:paraId="33FC0975" w14:textId="77777777" w:rsidR="00F1465E" w:rsidRPr="00AC67B2" w:rsidRDefault="00F1465E" w:rsidP="007B05B7">
      <w:pPr>
        <w:spacing w:line="276" w:lineRule="auto"/>
        <w:ind w:firstLine="720"/>
        <w:rPr>
          <w:rFonts w:cs="Times Unicode"/>
          <w:lang w:val="hy-AM"/>
        </w:rPr>
      </w:pPr>
      <w:r w:rsidRPr="00AC67B2">
        <w:rPr>
          <w:rFonts w:cs="Times Unicode"/>
          <w:lang w:val="hy-AM"/>
        </w:rPr>
        <w:t xml:space="preserve">ՀՀ կառավարության պարտքի </w:t>
      </w:r>
      <w:r w:rsidRPr="00A205DB">
        <w:rPr>
          <w:rFonts w:cs="Times Unicode"/>
          <w:lang w:val="hy-AM"/>
        </w:rPr>
        <w:t>83.8</w:t>
      </w:r>
      <w:r w:rsidRPr="00AC67B2">
        <w:rPr>
          <w:rFonts w:cs="Times Unicode"/>
          <w:lang w:val="hy-AM"/>
        </w:rPr>
        <w:t xml:space="preserve">%-ը ֆիքսված տոկոսադրույքով է, ընդ որում արտաքին պարտքի </w:t>
      </w:r>
      <w:r w:rsidRPr="00A205DB">
        <w:rPr>
          <w:rFonts w:cs="Times Unicode"/>
          <w:lang w:val="hy-AM"/>
        </w:rPr>
        <w:t>79.2</w:t>
      </w:r>
      <w:r w:rsidRPr="00AC67B2">
        <w:rPr>
          <w:rFonts w:cs="Times Unicode"/>
          <w:lang w:val="hy-AM"/>
        </w:rPr>
        <w:t xml:space="preserve">%-ն է ֆիքսված տոկոսադրույքով, իսկ ներքին պարտքն՝ ամբողջությամբ: Այս պարագայում լողացող տոկոսադրույքով պարտքի տոկոսադրույքների աճը չի կարող հանգեցնել ծախսերի նշանակալի աճի: </w:t>
      </w:r>
    </w:p>
    <w:p w14:paraId="6703AD2F" w14:textId="77777777" w:rsidR="00F1465E" w:rsidRPr="00AC67B2" w:rsidRDefault="00F1465E" w:rsidP="007B05B7">
      <w:pPr>
        <w:spacing w:line="276" w:lineRule="auto"/>
        <w:ind w:firstLine="720"/>
        <w:rPr>
          <w:rFonts w:cs="Times Unicode"/>
          <w:lang w:val="hy-AM"/>
        </w:rPr>
      </w:pPr>
      <w:r w:rsidRPr="00AC67B2">
        <w:rPr>
          <w:rFonts w:cs="Times Unicode"/>
          <w:lang w:val="hy-AM"/>
        </w:rPr>
        <w:t xml:space="preserve">Այնուամենայնիվ, ՀՀ կառավարության պարտքի </w:t>
      </w:r>
      <w:r w:rsidRPr="00A205DB">
        <w:rPr>
          <w:rFonts w:cs="Times Unicode"/>
          <w:lang w:val="hy-AM"/>
        </w:rPr>
        <w:t>22.8</w:t>
      </w:r>
      <w:r w:rsidRPr="00AC67B2">
        <w:rPr>
          <w:rFonts w:cs="Times Unicode"/>
          <w:lang w:val="hy-AM"/>
        </w:rPr>
        <w:t xml:space="preserve">%-ը ենթակա է վերաֆիքսման </w:t>
      </w:r>
      <w:r w:rsidRPr="00A205DB">
        <w:rPr>
          <w:rFonts w:cs="Times Unicode"/>
          <w:lang w:val="hy-AM"/>
        </w:rPr>
        <w:t xml:space="preserve">2020 </w:t>
      </w:r>
      <w:r w:rsidRPr="00AC67B2">
        <w:rPr>
          <w:rFonts w:cs="Times Unicode"/>
          <w:lang w:val="hy-AM"/>
        </w:rPr>
        <w:t>թ</w:t>
      </w:r>
      <w:r w:rsidRPr="00A205DB">
        <w:rPr>
          <w:rFonts w:cs="Times Unicode"/>
          <w:lang w:val="hy-AM"/>
        </w:rPr>
        <w:t>վական</w:t>
      </w:r>
      <w:r w:rsidRPr="00AC67B2">
        <w:rPr>
          <w:rFonts w:cs="Times Unicode"/>
          <w:lang w:val="hy-AM"/>
        </w:rPr>
        <w:t xml:space="preserve">ին և պարունակում է չափավոր տոկոսադրույքի ռիսկ: </w:t>
      </w:r>
    </w:p>
    <w:p w14:paraId="1317E28E" w14:textId="77777777" w:rsidR="00F1465E" w:rsidRPr="00AC67B2" w:rsidRDefault="00F1465E" w:rsidP="007B05B7">
      <w:pPr>
        <w:spacing w:line="276" w:lineRule="auto"/>
        <w:ind w:firstLine="720"/>
        <w:rPr>
          <w:rFonts w:cs="Times Unicode"/>
          <w:lang w:val="hy-AM"/>
        </w:rPr>
      </w:pPr>
      <w:r w:rsidRPr="00AC67B2">
        <w:rPr>
          <w:rFonts w:cs="Times Unicode"/>
          <w:lang w:val="hy-AM"/>
        </w:rPr>
        <w:t>Մինչև վերաֆիքսում միջին ժամկետի ցուցանիշը 201</w:t>
      </w:r>
      <w:r w:rsidRPr="00A205DB">
        <w:rPr>
          <w:rFonts w:cs="Times Unicode"/>
          <w:lang w:val="hy-AM"/>
        </w:rPr>
        <w:t>9</w:t>
      </w:r>
      <w:r w:rsidRPr="00AC67B2">
        <w:rPr>
          <w:rFonts w:cs="Times Unicode"/>
          <w:lang w:val="hy-AM"/>
        </w:rPr>
        <w:t xml:space="preserve">թ. վերջին կազմել է </w:t>
      </w:r>
      <w:r w:rsidRPr="00A205DB">
        <w:rPr>
          <w:rFonts w:cs="Times Unicode"/>
          <w:lang w:val="hy-AM"/>
        </w:rPr>
        <w:t>7.4</w:t>
      </w:r>
      <w:r w:rsidRPr="00AC67B2">
        <w:rPr>
          <w:rFonts w:cs="Times Unicode"/>
          <w:lang w:val="hy-AM"/>
        </w:rPr>
        <w:t xml:space="preserve"> տարի, որը պարունակում է պարտքի պորտֆելի տոկոսադրույքի ռիսկի ցածր մակարդակ: Այս ցուցանիշն ավելի </w:t>
      </w:r>
      <w:r w:rsidRPr="00AC67B2">
        <w:rPr>
          <w:rFonts w:cs="Times Unicode"/>
          <w:lang w:val="hy-AM"/>
        </w:rPr>
        <w:lastRenderedPageBreak/>
        <w:t xml:space="preserve">փոքր է, քան մինչև մարում միջին ժամկետի ցուցանիշը, քանի որ պարտքի </w:t>
      </w:r>
      <w:r w:rsidRPr="00A205DB">
        <w:rPr>
          <w:rFonts w:cs="Times Unicode"/>
          <w:lang w:val="hy-AM"/>
        </w:rPr>
        <w:t>16.2</w:t>
      </w:r>
      <w:r w:rsidRPr="00AC67B2">
        <w:rPr>
          <w:rFonts w:cs="Times Unicode"/>
          <w:lang w:val="hy-AM"/>
        </w:rPr>
        <w:t xml:space="preserve">%-ը լողացող տոկոսադրույքով է, որը ևս ենթակա է վերաֆիքսման </w:t>
      </w:r>
      <w:r w:rsidRPr="00A205DB">
        <w:rPr>
          <w:rFonts w:cs="Times Unicode"/>
          <w:lang w:val="hy-AM"/>
        </w:rPr>
        <w:t>2020</w:t>
      </w:r>
      <w:r w:rsidRPr="00AC67B2">
        <w:rPr>
          <w:rFonts w:cs="Times Unicode"/>
          <w:lang w:val="hy-AM"/>
        </w:rPr>
        <w:t>թ. ընթացքում:</w:t>
      </w:r>
    </w:p>
    <w:p w14:paraId="165B2C71" w14:textId="77777777" w:rsidR="007B05B7" w:rsidRDefault="00F1465E" w:rsidP="007B05B7">
      <w:pPr>
        <w:spacing w:line="276" w:lineRule="auto"/>
        <w:ind w:firstLine="720"/>
        <w:rPr>
          <w:rFonts w:cs="Times Unicode"/>
          <w:lang w:val="hy-AM"/>
        </w:rPr>
      </w:pPr>
      <w:r w:rsidRPr="00AC67B2">
        <w:rPr>
          <w:rFonts w:cs="Times Unicode"/>
          <w:lang w:val="hy-AM"/>
        </w:rPr>
        <w:t xml:space="preserve"> ՀՀ կառավարության պարտքի առկա պորտֆելի ծախսերի և ռիսկերի վերլուծությունը ցույց է տալիս, որ պարտքի առկա պորտֆելը ամենաշատը կրում է փոխարժեքի ռիսկի ազդեցությունը: </w:t>
      </w:r>
    </w:p>
    <w:p w14:paraId="42C4B023" w14:textId="77777777" w:rsidR="007B05B7" w:rsidRDefault="007B05B7" w:rsidP="007B05B7">
      <w:pPr>
        <w:spacing w:line="276" w:lineRule="auto"/>
        <w:ind w:firstLine="720"/>
        <w:rPr>
          <w:rFonts w:cs="Times Unicode"/>
          <w:lang w:val="hy-AM"/>
        </w:rPr>
      </w:pPr>
    </w:p>
    <w:p w14:paraId="0EA5F454" w14:textId="77777777" w:rsidR="00F1465E" w:rsidRPr="00AC67B2" w:rsidRDefault="00F1465E" w:rsidP="007B05B7">
      <w:pPr>
        <w:spacing w:line="276" w:lineRule="auto"/>
        <w:ind w:firstLine="720"/>
        <w:rPr>
          <w:rFonts w:cs="Times Unicode"/>
          <w:b/>
          <w:lang w:val="hy-AM"/>
        </w:rPr>
      </w:pPr>
      <w:r w:rsidRPr="0048287F">
        <w:rPr>
          <w:rFonts w:cs="Times Unicode"/>
          <w:b/>
          <w:lang w:val="hy-AM"/>
        </w:rPr>
        <w:t>ՀՀ կառավարության պարտքի կառավարման 202</w:t>
      </w:r>
      <w:r w:rsidRPr="00A205DB">
        <w:rPr>
          <w:rFonts w:cs="Times Unicode"/>
          <w:b/>
          <w:lang w:val="hy-AM"/>
        </w:rPr>
        <w:t>1</w:t>
      </w:r>
      <w:r w:rsidRPr="0048287F">
        <w:rPr>
          <w:rFonts w:cs="Times Unicode"/>
          <w:b/>
          <w:lang w:val="hy-AM"/>
        </w:rPr>
        <w:t>-202</w:t>
      </w:r>
      <w:r w:rsidRPr="00A205DB">
        <w:rPr>
          <w:rFonts w:cs="Times Unicode"/>
          <w:b/>
          <w:lang w:val="hy-AM"/>
        </w:rPr>
        <w:t>3</w:t>
      </w:r>
      <w:r w:rsidRPr="0048287F">
        <w:rPr>
          <w:rFonts w:cs="Times Unicode"/>
          <w:b/>
          <w:lang w:val="hy-AM"/>
        </w:rPr>
        <w:t>թթ. ռազմավարությունը</w:t>
      </w:r>
    </w:p>
    <w:p w14:paraId="0F9AE42E" w14:textId="77777777" w:rsidR="00F1465E" w:rsidRPr="00AC67B2" w:rsidRDefault="00F1465E" w:rsidP="007B05B7">
      <w:pPr>
        <w:spacing w:line="276" w:lineRule="auto"/>
        <w:ind w:left="567" w:firstLine="142"/>
        <w:rPr>
          <w:rFonts w:cs="Times Unicode"/>
          <w:color w:val="FF0000"/>
          <w:u w:val="single"/>
          <w:lang w:val="hy-AM"/>
        </w:rPr>
      </w:pPr>
    </w:p>
    <w:p w14:paraId="44306BE3" w14:textId="77777777" w:rsidR="00F1465E" w:rsidRPr="00AC67B2" w:rsidRDefault="00F1465E" w:rsidP="007B05B7">
      <w:pPr>
        <w:spacing w:line="276" w:lineRule="auto"/>
        <w:ind w:left="567" w:firstLine="142"/>
        <w:rPr>
          <w:rFonts w:cs="Times Unicode"/>
          <w:u w:val="single"/>
          <w:lang w:val="hy-AM"/>
        </w:rPr>
      </w:pPr>
      <w:r w:rsidRPr="00AC67B2">
        <w:rPr>
          <w:rFonts w:cs="Times Unicode"/>
          <w:u w:val="single"/>
          <w:lang w:val="hy-AM"/>
        </w:rPr>
        <w:t xml:space="preserve">Մակրոտնտեսական ենթադրությունները և հիմնական ռիսկերի գործոնները </w:t>
      </w:r>
    </w:p>
    <w:p w14:paraId="10A7BFA1" w14:textId="77777777" w:rsidR="00F1465E" w:rsidRPr="00AC67B2" w:rsidRDefault="00F1465E" w:rsidP="007B05B7">
      <w:pPr>
        <w:spacing w:line="276" w:lineRule="auto"/>
        <w:ind w:left="720" w:firstLine="720"/>
        <w:contextualSpacing/>
        <w:rPr>
          <w:lang w:val="hy-AM"/>
        </w:rPr>
      </w:pPr>
    </w:p>
    <w:p w14:paraId="0E6F4701" w14:textId="77777777" w:rsidR="00F1465E" w:rsidRPr="00E9080F" w:rsidRDefault="00F1465E" w:rsidP="007B05B7">
      <w:pPr>
        <w:tabs>
          <w:tab w:val="left" w:pos="993"/>
        </w:tabs>
        <w:spacing w:line="276" w:lineRule="auto"/>
        <w:rPr>
          <w:rFonts w:cs="Sylfaen"/>
          <w:lang w:val="es-ES"/>
        </w:rPr>
      </w:pPr>
      <w:r>
        <w:rPr>
          <w:rFonts w:cs="Sylfaen"/>
          <w:lang w:val="es-ES"/>
        </w:rPr>
        <w:t>Մ</w:t>
      </w:r>
      <w:r w:rsidRPr="00E9080F">
        <w:rPr>
          <w:rFonts w:cs="Sylfaen"/>
          <w:lang w:val="es-ES"/>
        </w:rPr>
        <w:t xml:space="preserve">իջնաժամկետ հորիզոնում </w:t>
      </w:r>
      <w:r>
        <w:rPr>
          <w:rFonts w:cs="Sylfaen"/>
          <w:lang w:val="es-ES"/>
        </w:rPr>
        <w:t xml:space="preserve">ՀՀ </w:t>
      </w:r>
      <w:r w:rsidRPr="00E9080F">
        <w:rPr>
          <w:rFonts w:cs="Sylfaen"/>
          <w:lang w:val="es-ES"/>
        </w:rPr>
        <w:t>կառավա</w:t>
      </w:r>
      <w:r w:rsidRPr="00E9080F">
        <w:rPr>
          <w:rFonts w:cs="Sylfaen"/>
          <w:lang w:val="es-ES"/>
        </w:rPr>
        <w:softHyphen/>
        <w:t>րու</w:t>
      </w:r>
      <w:r w:rsidRPr="00E9080F">
        <w:rPr>
          <w:rFonts w:cs="Sylfaen"/>
          <w:lang w:val="it-IT"/>
        </w:rPr>
        <w:softHyphen/>
      </w:r>
      <w:r w:rsidRPr="00E9080F">
        <w:rPr>
          <w:rFonts w:cs="Sylfaen"/>
          <w:lang w:val="es-ES"/>
        </w:rPr>
        <w:t>թյունը</w:t>
      </w:r>
      <w:r>
        <w:rPr>
          <w:rFonts w:cs="Sylfaen"/>
          <w:lang w:val="es-ES"/>
        </w:rPr>
        <w:t>,</w:t>
      </w:r>
      <w:r w:rsidRPr="00E9080F">
        <w:rPr>
          <w:rFonts w:cs="Sylfaen"/>
          <w:lang w:val="es-ES"/>
        </w:rPr>
        <w:t xml:space="preserve"> հիմք ընդունելով նախորդ տարիներին քաղաքականության ոլորտում բացահայտված հիմ</w:t>
      </w:r>
      <w:r w:rsidRPr="00E9080F">
        <w:rPr>
          <w:rFonts w:cs="Sylfaen"/>
          <w:lang w:val="it-IT"/>
        </w:rPr>
        <w:softHyphen/>
      </w:r>
      <w:r w:rsidRPr="00E9080F">
        <w:rPr>
          <w:rFonts w:cs="Sylfaen"/>
          <w:lang w:val="es-ES"/>
        </w:rPr>
        <w:t>նախնդիրները</w:t>
      </w:r>
      <w:r>
        <w:rPr>
          <w:rFonts w:cs="Sylfaen"/>
          <w:lang w:val="es-ES"/>
        </w:rPr>
        <w:t>,</w:t>
      </w:r>
      <w:r w:rsidRPr="00E9080F">
        <w:rPr>
          <w:rFonts w:cs="Sylfaen"/>
          <w:lang w:val="es-ES"/>
        </w:rPr>
        <w:t xml:space="preserve"> նախագծել է այնպիսի հարկաբյուջետային քաղաքականություն, որը թույլ կտա պարտքի կայունության ապահովման սահմանափակման պայմաններում իրականացնել հար</w:t>
      </w:r>
      <w:r w:rsidRPr="00E9080F">
        <w:rPr>
          <w:rFonts w:cs="Sylfaen"/>
          <w:lang w:val="it-IT"/>
        </w:rPr>
        <w:softHyphen/>
      </w:r>
      <w:r w:rsidRPr="00E9080F">
        <w:rPr>
          <w:rFonts w:cs="Sylfaen"/>
          <w:lang w:val="es-ES"/>
        </w:rPr>
        <w:t>կա</w:t>
      </w:r>
      <w:r w:rsidRPr="00E9080F">
        <w:rPr>
          <w:rFonts w:cs="Sylfaen"/>
          <w:lang w:val="it-IT"/>
        </w:rPr>
        <w:softHyphen/>
      </w:r>
      <w:r w:rsidRPr="00E9080F">
        <w:rPr>
          <w:rFonts w:cs="Sylfaen"/>
          <w:lang w:val="es-ES"/>
        </w:rPr>
        <w:t>բյուջետային կոնսոլիդացիա` միաժամանակ հիմքեր ստեղծելով հեռանկարային տնտեսական աճի համար:</w:t>
      </w:r>
    </w:p>
    <w:p w14:paraId="5E0397BA" w14:textId="77777777" w:rsidR="00F1465E" w:rsidRPr="00E9080F" w:rsidRDefault="00F1465E" w:rsidP="007B05B7">
      <w:pPr>
        <w:tabs>
          <w:tab w:val="left" w:pos="993"/>
        </w:tabs>
        <w:spacing w:line="276" w:lineRule="auto"/>
        <w:rPr>
          <w:rFonts w:cs="Sylfaen"/>
          <w:lang w:val="es-ES"/>
        </w:rPr>
      </w:pPr>
      <w:r w:rsidRPr="00E9080F">
        <w:rPr>
          <w:rFonts w:cs="Sylfaen"/>
          <w:lang w:val="es-ES"/>
        </w:rPr>
        <w:t>Մակրոտնտեսական կանխատեսումներ</w:t>
      </w:r>
      <w:r>
        <w:rPr>
          <w:rFonts w:cs="Sylfaen"/>
          <w:lang w:val="es-ES"/>
        </w:rPr>
        <w:t>ն ու ենթադրությունները</w:t>
      </w:r>
      <w:r w:rsidRPr="00E9080F">
        <w:rPr>
          <w:rFonts w:cs="Sylfaen"/>
          <w:lang w:val="es-ES"/>
        </w:rPr>
        <w:t xml:space="preserve"> հակիրճ ամփոփ</w:t>
      </w:r>
      <w:r>
        <w:rPr>
          <w:rFonts w:cs="Sylfaen"/>
          <w:lang w:val="es-ES"/>
        </w:rPr>
        <w:t>ված են</w:t>
      </w:r>
      <w:r w:rsidRPr="00E9080F">
        <w:rPr>
          <w:rFonts w:cs="Sylfaen"/>
          <w:lang w:val="es-ES"/>
        </w:rPr>
        <w:t xml:space="preserve"> հետևյալ կետերում.</w:t>
      </w:r>
    </w:p>
    <w:p w14:paraId="4AE09469" w14:textId="77777777" w:rsidR="00F1465E" w:rsidRPr="00E9080F" w:rsidRDefault="00F1465E" w:rsidP="007B05B7">
      <w:pPr>
        <w:pStyle w:val="ListParagraph"/>
        <w:numPr>
          <w:ilvl w:val="0"/>
          <w:numId w:val="27"/>
        </w:numPr>
        <w:tabs>
          <w:tab w:val="right" w:pos="0"/>
        </w:tabs>
        <w:spacing w:before="0" w:after="120" w:line="276" w:lineRule="auto"/>
        <w:ind w:left="567" w:hanging="357"/>
        <w:contextualSpacing w:val="0"/>
        <w:rPr>
          <w:rFonts w:eastAsia="Times New Roman" w:cs="Sylfaen"/>
          <w:lang w:val="es-ES"/>
        </w:rPr>
      </w:pPr>
      <w:r w:rsidRPr="00E9080F">
        <w:rPr>
          <w:rFonts w:eastAsia="Times New Roman" w:cs="Sylfaen"/>
          <w:lang w:val="es-ES"/>
        </w:rPr>
        <w:t>Կորոնավիրուսի համավարակը (COVID 19) արագ տարածվում է ամբողջ աշխարհում և Հայաստանը</w:t>
      </w:r>
      <w:r w:rsidR="003C38A8">
        <w:rPr>
          <w:rFonts w:eastAsia="Times New Roman" w:cs="Sylfaen"/>
          <w:lang w:val="hy-AM"/>
        </w:rPr>
        <w:t>,</w:t>
      </w:r>
      <w:r w:rsidRPr="00E9080F">
        <w:rPr>
          <w:rFonts w:eastAsia="Times New Roman" w:cs="Sylfaen"/>
          <w:lang w:val="es-ES"/>
        </w:rPr>
        <w:t xml:space="preserve"> ինչպես աշխարհի բոլոր երկրները, իր վրա է կրում </w:t>
      </w:r>
      <w:r>
        <w:rPr>
          <w:rFonts w:eastAsia="Times New Roman" w:cs="Sylfaen"/>
          <w:lang w:val="es-ES"/>
        </w:rPr>
        <w:t>դրա</w:t>
      </w:r>
      <w:r w:rsidRPr="00E9080F">
        <w:rPr>
          <w:rFonts w:eastAsia="Times New Roman" w:cs="Sylfaen"/>
          <w:lang w:val="es-ES"/>
        </w:rPr>
        <w:t xml:space="preserve"> հետևանքները: Այս պայմաններում՝ ՀՀ գործընկեր երկրներում </w:t>
      </w:r>
      <w:r>
        <w:rPr>
          <w:rFonts w:eastAsia="Times New Roman" w:cs="Sylfaen"/>
          <w:lang w:val="es-ES"/>
        </w:rPr>
        <w:t>2020թ.</w:t>
      </w:r>
      <w:r w:rsidRPr="00E9080F">
        <w:rPr>
          <w:rFonts w:eastAsia="Times New Roman" w:cs="Sylfaen"/>
          <w:lang w:val="es-ES"/>
        </w:rPr>
        <w:t xml:space="preserve"> մեծ անկում է կանխատեսվում, որը էական բացասական ազդեցություն կունենա ՀՀ տնտեսական ակտիվության վրա։  </w:t>
      </w:r>
    </w:p>
    <w:p w14:paraId="24AA51D2" w14:textId="77777777" w:rsidR="00F1465E" w:rsidRPr="00E9080F" w:rsidRDefault="00F1465E" w:rsidP="007B05B7">
      <w:pPr>
        <w:pStyle w:val="ListParagraph"/>
        <w:numPr>
          <w:ilvl w:val="0"/>
          <w:numId w:val="27"/>
        </w:numPr>
        <w:tabs>
          <w:tab w:val="right" w:pos="0"/>
        </w:tabs>
        <w:spacing w:before="0" w:after="120" w:line="276" w:lineRule="auto"/>
        <w:ind w:left="567" w:hanging="357"/>
        <w:contextualSpacing w:val="0"/>
        <w:rPr>
          <w:rFonts w:eastAsia="Times New Roman" w:cs="Sylfaen"/>
          <w:lang w:val="es-ES"/>
        </w:rPr>
      </w:pPr>
      <w:r w:rsidRPr="00E9080F">
        <w:rPr>
          <w:rFonts w:eastAsia="Times New Roman" w:cs="Sylfaen"/>
          <w:lang w:val="es-ES"/>
        </w:rPr>
        <w:t>Արտակարգ դրության և կիրառվող սահմանափակումների պայմաններում Հ</w:t>
      </w:r>
      <w:r>
        <w:rPr>
          <w:rFonts w:eastAsia="Times New Roman" w:cs="Sylfaen"/>
          <w:lang w:val="es-ES"/>
        </w:rPr>
        <w:t xml:space="preserve">այաստանի </w:t>
      </w:r>
      <w:r w:rsidRPr="00E9080F">
        <w:rPr>
          <w:rFonts w:eastAsia="Times New Roman" w:cs="Sylfaen"/>
          <w:lang w:val="es-ES"/>
        </w:rPr>
        <w:t>Հ</w:t>
      </w:r>
      <w:r>
        <w:rPr>
          <w:rFonts w:eastAsia="Times New Roman" w:cs="Sylfaen"/>
          <w:lang w:val="es-ES"/>
        </w:rPr>
        <w:t>անրապետություն</w:t>
      </w:r>
      <w:r w:rsidRPr="00E9080F">
        <w:rPr>
          <w:rFonts w:eastAsia="Times New Roman" w:cs="Sylfaen"/>
          <w:lang w:val="es-ES"/>
        </w:rPr>
        <w:t>ում նվազում է ինչպես պահանջարկը, այնպես էլ առաջարկը: Առավելապես տուժ</w:t>
      </w:r>
      <w:r>
        <w:rPr>
          <w:rFonts w:eastAsia="Times New Roman" w:cs="Sylfaen"/>
          <w:lang w:val="es-ES"/>
        </w:rPr>
        <w:t>ում</w:t>
      </w:r>
      <w:r w:rsidRPr="00E9080F">
        <w:rPr>
          <w:rFonts w:eastAsia="Times New Roman" w:cs="Sylfaen"/>
          <w:lang w:val="es-ES"/>
        </w:rPr>
        <w:t xml:space="preserve"> են ծառայությունների, շինարարության և մշակող արդյունաբերության ճյուղերը։ Այս պայմաններում 2020թ. սպասվում է 2.6% տնտեսական անկում, իսկ միջնաժամկետում՝ միջինում 6.1% տնտեսական աճ: </w:t>
      </w:r>
    </w:p>
    <w:p w14:paraId="35119851" w14:textId="77777777" w:rsidR="00F1465E" w:rsidRPr="00E9080F" w:rsidRDefault="00F1465E" w:rsidP="007B05B7">
      <w:pPr>
        <w:pStyle w:val="ListParagraph"/>
        <w:numPr>
          <w:ilvl w:val="0"/>
          <w:numId w:val="27"/>
        </w:numPr>
        <w:tabs>
          <w:tab w:val="right" w:pos="0"/>
        </w:tabs>
        <w:spacing w:before="0" w:after="120" w:line="276" w:lineRule="auto"/>
        <w:ind w:left="567" w:hanging="357"/>
        <w:contextualSpacing w:val="0"/>
        <w:rPr>
          <w:rFonts w:eastAsia="Times New Roman" w:cs="Sylfaen"/>
          <w:lang w:val="es-ES"/>
        </w:rPr>
      </w:pPr>
      <w:r w:rsidRPr="00E9080F">
        <w:rPr>
          <w:rFonts w:eastAsia="Times New Roman" w:cs="Sylfaen"/>
          <w:lang w:val="es-ES"/>
        </w:rPr>
        <w:t>Տնտեսական ակտիվության դանդաղման և թուլացող ներքին ու արտաքին պահանջարկի պայմաններում 2020թ. տեղի է ունենալու արտահանման և ներմուծման դոլարային ծավալների անկում, իսկ ընթացիկ հաշվեկշիռը կցուցաբերի վատթարացման միտում: Միջնաժամկետ հորիզոնում ընթացիկ հաշվի պակասուրդը կբարելավվի՝ ձգտելով իր երկարաժամկետ հավասարակշիռ մակարդակին:</w:t>
      </w:r>
    </w:p>
    <w:p w14:paraId="7F0D29A6" w14:textId="77777777" w:rsidR="00F1465E" w:rsidRPr="00E9080F" w:rsidRDefault="00F1465E" w:rsidP="007B05B7">
      <w:pPr>
        <w:pStyle w:val="ListParagraph"/>
        <w:numPr>
          <w:ilvl w:val="0"/>
          <w:numId w:val="27"/>
        </w:numPr>
        <w:tabs>
          <w:tab w:val="right" w:pos="0"/>
        </w:tabs>
        <w:spacing w:before="0" w:after="120" w:line="276" w:lineRule="auto"/>
        <w:ind w:left="567" w:hanging="357"/>
        <w:contextualSpacing w:val="0"/>
        <w:rPr>
          <w:rFonts w:eastAsia="Times New Roman" w:cs="Sylfaen"/>
          <w:lang w:val="es-ES"/>
        </w:rPr>
      </w:pPr>
      <w:r w:rsidRPr="00E9080F">
        <w:rPr>
          <w:rFonts w:eastAsia="Times New Roman" w:cs="Sylfaen"/>
          <w:lang w:val="es-ES"/>
        </w:rPr>
        <w:t xml:space="preserve">Հարկաբյուջետային կանոններին համահունչ՝ 2020թ. հարկաբյուջետային քաղաքականությունը կլինի խթանող` հակազդելու համավարակով առաջացած տնտեսական ցնցմանը։ Իսկ 2021թ. հետո հարկաբյուջետային քաղաքականությունը կունենա չեզոք ուղղվածություն` միաժամանակ </w:t>
      </w:r>
      <w:r w:rsidRPr="00E9080F">
        <w:rPr>
          <w:rFonts w:eastAsia="Times New Roman" w:cs="Sylfaen"/>
          <w:lang w:val="es-ES"/>
        </w:rPr>
        <w:lastRenderedPageBreak/>
        <w:t xml:space="preserve">խթանելով երկարաժամկետ տնտեսական աճը՝ պետական ներդրումների մասնաբաժնի մեծացման միջոցով: </w:t>
      </w:r>
    </w:p>
    <w:p w14:paraId="3703B76C" w14:textId="77777777" w:rsidR="00F1465E" w:rsidRPr="00E9080F" w:rsidRDefault="00F1465E" w:rsidP="007B05B7">
      <w:pPr>
        <w:pStyle w:val="ListParagraph"/>
        <w:numPr>
          <w:ilvl w:val="0"/>
          <w:numId w:val="27"/>
        </w:numPr>
        <w:tabs>
          <w:tab w:val="right" w:pos="0"/>
        </w:tabs>
        <w:spacing w:before="0" w:after="120" w:line="276" w:lineRule="auto"/>
        <w:ind w:left="567"/>
        <w:contextualSpacing w:val="0"/>
        <w:rPr>
          <w:rFonts w:eastAsia="Times New Roman" w:cs="Sylfaen"/>
          <w:lang w:val="es-ES"/>
        </w:rPr>
      </w:pPr>
      <w:r>
        <w:rPr>
          <w:rFonts w:eastAsia="Times New Roman" w:cs="Sylfaen"/>
          <w:lang w:val="es-ES"/>
        </w:rPr>
        <w:t>ՀՀ կենտրոնական բանկը</w:t>
      </w:r>
      <w:r w:rsidRPr="00E9080F">
        <w:rPr>
          <w:rFonts w:eastAsia="Times New Roman" w:cs="Sylfaen"/>
          <w:lang w:val="es-ES"/>
        </w:rPr>
        <w:t xml:space="preserve"> կարճաժամկետ հատվածում կշարունակի վարել խթանող դրամավարկային քաղաքականություն, և, անհրաժեշտության դեպքում, կպահպանի քաղաքականության խթանող դիրքը նաև միջնաժամկետ հատվածում։</w:t>
      </w:r>
      <w:r>
        <w:rPr>
          <w:rFonts w:eastAsia="Times New Roman" w:cs="Sylfaen"/>
          <w:lang w:val="es-ES"/>
        </w:rPr>
        <w:t xml:space="preserve"> </w:t>
      </w:r>
      <w:r w:rsidRPr="00E9080F">
        <w:rPr>
          <w:rFonts w:eastAsia="Times New Roman" w:cs="Times Unicode"/>
          <w:lang w:val="hy-AM"/>
        </w:rPr>
        <w:t>Կարճաժամկետում ներքին գների վրա մասնավոր պահանջարկի թույլ ազդեցությամբ կպահպանվի ցածր գնաճային միջավայրը, իսկ միջնաժամկետում գնաճը խթանող դրամավարկային քաղաքականության արդյունքում կարագանա, և կանխատեսվող հորիզոնի վերջում կկայունանա 4% նպատակային ցուցանիշի շուրջ:</w:t>
      </w:r>
    </w:p>
    <w:p w14:paraId="24A0764A" w14:textId="58E47CD9" w:rsidR="00F1465E" w:rsidRPr="0021156A" w:rsidRDefault="00F1465E" w:rsidP="007B05B7">
      <w:pPr>
        <w:pStyle w:val="ListParagraph"/>
        <w:numPr>
          <w:ilvl w:val="0"/>
          <w:numId w:val="27"/>
        </w:numPr>
        <w:tabs>
          <w:tab w:val="right" w:pos="0"/>
        </w:tabs>
        <w:spacing w:before="0" w:after="120" w:line="276" w:lineRule="auto"/>
        <w:ind w:left="567" w:hanging="357"/>
        <w:contextualSpacing w:val="0"/>
        <w:rPr>
          <w:rFonts w:cs="Sylfaen"/>
          <w:lang w:val="es-ES"/>
        </w:rPr>
      </w:pPr>
      <w:r w:rsidRPr="00830A5B">
        <w:rPr>
          <w:rFonts w:cs="Sylfaen"/>
          <w:lang w:val="es-ES"/>
        </w:rPr>
        <w:t>Համավարակի տարածման և տևողության մեծ անորոշություններով պայմանավորված, համաշխարհային տնտեսության զարգացման ընթացքը մեծապես կախված կլինի COVID-19 համավարակի հաղթահարմանն ուղղված առողջապահական միջոցառումներից։ Այս պայմաններում, անորոշության մեծ աստիճանից ելնելով՝ ինչպես աշխարհի և Հայաստանի Հանրապետության գործընկերների, այնպես էլ ՀՀ տնտեսական աճի կանխատեսում</w:t>
      </w:r>
      <w:r w:rsidR="007724F4">
        <w:rPr>
          <w:rFonts w:cs="Sylfaen"/>
          <w:lang w:val="hy-AM"/>
        </w:rPr>
        <w:t>ն</w:t>
      </w:r>
      <w:r w:rsidRPr="00830A5B">
        <w:rPr>
          <w:rFonts w:cs="Sylfaen"/>
          <w:lang w:val="es-ES"/>
        </w:rPr>
        <w:t>երում գերակշռում են դեպի ներքև ռիսկերը։ Բացի այդ, ՀՀ տնտեսական զարգացումների հետագա ընթացքի մասով էական դերակատարում ունի ՀՀ կառավարության՝ համավարակի տնտեսական հետևանքների կանխարգելմանն ու տնտեսության վերականգմանն ուղղված միջոցառումների ընթացքը։</w:t>
      </w:r>
    </w:p>
    <w:p w14:paraId="3AE6B65F" w14:textId="77777777" w:rsidR="00F1465E" w:rsidRDefault="00F1465E" w:rsidP="007B05B7">
      <w:pPr>
        <w:spacing w:line="276" w:lineRule="auto"/>
        <w:ind w:firstLine="720"/>
        <w:contextualSpacing/>
        <w:rPr>
          <w:rFonts w:cs="Times Unicode"/>
          <w:lang w:val="hy-AM"/>
        </w:rPr>
      </w:pPr>
      <w:r w:rsidRPr="00AC67B2">
        <w:rPr>
          <w:rFonts w:cs="Times Unicode"/>
          <w:lang w:val="hy-AM"/>
        </w:rPr>
        <w:t xml:space="preserve"> 202</w:t>
      </w:r>
      <w:r w:rsidRPr="00A205DB">
        <w:rPr>
          <w:rFonts w:cs="Times Unicode"/>
          <w:lang w:val="hy-AM"/>
        </w:rPr>
        <w:t>1</w:t>
      </w:r>
      <w:r w:rsidRPr="00AC67B2">
        <w:rPr>
          <w:rFonts w:cs="Times Unicode"/>
          <w:lang w:val="hy-AM"/>
        </w:rPr>
        <w:t>-202</w:t>
      </w:r>
      <w:r w:rsidRPr="00A205DB">
        <w:rPr>
          <w:rFonts w:cs="Times Unicode"/>
          <w:lang w:val="hy-AM"/>
        </w:rPr>
        <w:t>3</w:t>
      </w:r>
      <w:r w:rsidRPr="00AC67B2">
        <w:rPr>
          <w:rFonts w:cs="Times Unicode"/>
          <w:lang w:val="hy-AM"/>
        </w:rPr>
        <w:t>թթ. ՀՀ կառավարության պարտքի կառավարման ռազմավարության հիմքում ընկած հիմնական ցուցանիշներն արտացոլված են ստորև ներկայացվող աղյուսակում:</w:t>
      </w:r>
    </w:p>
    <w:p w14:paraId="3FEF2AE9" w14:textId="77777777" w:rsidR="00F1465E" w:rsidRPr="00C35116" w:rsidRDefault="00F1465E" w:rsidP="007B05B7">
      <w:pPr>
        <w:spacing w:line="276" w:lineRule="auto"/>
        <w:ind w:firstLine="709"/>
        <w:contextualSpacing/>
        <w:rPr>
          <w:rFonts w:cs="Times Unicode"/>
          <w:lang w:val="hy-AM"/>
        </w:rPr>
      </w:pPr>
    </w:p>
    <w:p w14:paraId="554E02A9" w14:textId="77777777" w:rsidR="00F1465E" w:rsidRPr="007B05B7" w:rsidRDefault="00F1465E" w:rsidP="007B05B7">
      <w:pPr>
        <w:spacing w:line="276" w:lineRule="auto"/>
        <w:ind w:left="1276" w:hanging="1276"/>
        <w:rPr>
          <w:rFonts w:cs="Times Unicode"/>
          <w:i/>
          <w:sz w:val="20"/>
          <w:szCs w:val="20"/>
          <w:lang w:val="hy-AM"/>
        </w:rPr>
      </w:pPr>
      <w:r w:rsidRPr="007B05B7">
        <w:rPr>
          <w:rFonts w:cs="Times Unicode"/>
          <w:b/>
          <w:sz w:val="20"/>
          <w:szCs w:val="20"/>
          <w:lang w:val="hy-AM"/>
        </w:rPr>
        <w:t xml:space="preserve">Աղյուսակ </w:t>
      </w:r>
      <w:r w:rsidR="007B05B7" w:rsidRPr="00BE7F99">
        <w:rPr>
          <w:rFonts w:cs="Times Unicode"/>
          <w:b/>
          <w:sz w:val="20"/>
          <w:szCs w:val="20"/>
          <w:lang w:val="hy-AM"/>
        </w:rPr>
        <w:t>1.</w:t>
      </w:r>
      <w:r w:rsidRPr="007B05B7">
        <w:rPr>
          <w:rFonts w:cs="Times Unicode"/>
          <w:b/>
          <w:sz w:val="20"/>
          <w:szCs w:val="20"/>
          <w:lang w:val="hy-AM"/>
        </w:rPr>
        <w:t xml:space="preserve">2 </w:t>
      </w:r>
      <w:r w:rsidRPr="007B05B7">
        <w:rPr>
          <w:rFonts w:cs="Times Unicode"/>
          <w:i/>
          <w:sz w:val="20"/>
          <w:szCs w:val="20"/>
          <w:lang w:val="hy-AM"/>
        </w:rPr>
        <w:t>ՀՀ կառավարության պարտքի կառավարման ռազմավարության հիմքում ընկած հիմնական ցուցանիշները 2020-2023թթ.</w:t>
      </w:r>
    </w:p>
    <w:p w14:paraId="2CC8FB51" w14:textId="77777777" w:rsidR="00F1465E" w:rsidRPr="007B05B7" w:rsidRDefault="00F1465E" w:rsidP="00F1465E">
      <w:pPr>
        <w:ind w:left="1276" w:hanging="1276"/>
        <w:rPr>
          <w:i/>
          <w:lang w:val="hy-AM"/>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1433"/>
        <w:gridCol w:w="1047"/>
        <w:gridCol w:w="1420"/>
        <w:gridCol w:w="1402"/>
        <w:gridCol w:w="1438"/>
      </w:tblGrid>
      <w:tr w:rsidR="00F1465E" w:rsidRPr="00104473" w14:paraId="542FB0B8" w14:textId="77777777" w:rsidTr="00231073">
        <w:trPr>
          <w:trHeight w:val="623"/>
          <w:tblHeader/>
          <w:jc w:val="center"/>
        </w:trPr>
        <w:tc>
          <w:tcPr>
            <w:tcW w:w="3220" w:type="dxa"/>
            <w:tcBorders>
              <w:top w:val="thinThickThinSmallGap" w:sz="24" w:space="0" w:color="auto"/>
              <w:left w:val="nil"/>
              <w:bottom w:val="thinThickSmallGap" w:sz="24" w:space="0" w:color="auto"/>
              <w:right w:val="nil"/>
            </w:tcBorders>
            <w:shd w:val="clear" w:color="auto" w:fill="0B70B5"/>
          </w:tcPr>
          <w:p w14:paraId="355E17CF" w14:textId="77777777" w:rsidR="00F1465E" w:rsidRPr="00C35116" w:rsidRDefault="00F1465E" w:rsidP="00231073">
            <w:pPr>
              <w:spacing w:before="0" w:after="0" w:line="360" w:lineRule="auto"/>
              <w:ind w:firstLine="0"/>
              <w:rPr>
                <w:color w:val="FFFFFF" w:themeColor="background1"/>
                <w:sz w:val="20"/>
                <w:szCs w:val="20"/>
                <w:lang w:val="hy-AM"/>
              </w:rPr>
            </w:pPr>
          </w:p>
        </w:tc>
        <w:tc>
          <w:tcPr>
            <w:tcW w:w="1433" w:type="dxa"/>
            <w:tcBorders>
              <w:top w:val="thinThickThinSmallGap" w:sz="24" w:space="0" w:color="auto"/>
              <w:left w:val="double" w:sz="4" w:space="0" w:color="auto"/>
              <w:bottom w:val="thinThickSmallGap" w:sz="24" w:space="0" w:color="auto"/>
              <w:right w:val="nil"/>
            </w:tcBorders>
            <w:shd w:val="clear" w:color="auto" w:fill="0B70B5"/>
            <w:vAlign w:val="center"/>
          </w:tcPr>
          <w:p w14:paraId="75C441AE"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19</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w:t>
            </w:r>
            <w:r w:rsidRPr="00C35116">
              <w:rPr>
                <w:rFonts w:cs="Times Unicode"/>
                <w:color w:val="FFFFFF" w:themeColor="background1"/>
                <w:sz w:val="20"/>
                <w:szCs w:val="20"/>
              </w:rPr>
              <w:t>փաստ</w:t>
            </w:r>
            <w:r w:rsidRPr="00C35116">
              <w:rPr>
                <w:color w:val="FFFFFF" w:themeColor="background1"/>
                <w:sz w:val="20"/>
                <w:szCs w:val="20"/>
                <w:lang w:val="hy-AM"/>
              </w:rPr>
              <w:t>.</w:t>
            </w:r>
          </w:p>
        </w:tc>
        <w:tc>
          <w:tcPr>
            <w:tcW w:w="1047" w:type="dxa"/>
            <w:tcBorders>
              <w:top w:val="thinThickThinSmallGap" w:sz="24" w:space="0" w:color="auto"/>
              <w:left w:val="nil"/>
              <w:bottom w:val="thinThickSmallGap" w:sz="24" w:space="0" w:color="auto"/>
              <w:right w:val="nil"/>
            </w:tcBorders>
            <w:shd w:val="clear" w:color="auto" w:fill="0B70B5"/>
            <w:vAlign w:val="center"/>
          </w:tcPr>
          <w:p w14:paraId="0518961E" w14:textId="77777777" w:rsidR="00F1465E" w:rsidRPr="00C35116" w:rsidDel="007A73B0"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420" w:type="dxa"/>
            <w:tcBorders>
              <w:top w:val="thinThickThinSmallGap" w:sz="24" w:space="0" w:color="auto"/>
              <w:left w:val="nil"/>
              <w:bottom w:val="thinThickSmallGap" w:sz="24" w:space="0" w:color="auto"/>
              <w:right w:val="nil"/>
            </w:tcBorders>
            <w:shd w:val="clear" w:color="auto" w:fill="0B70B5"/>
            <w:vAlign w:val="center"/>
          </w:tcPr>
          <w:p w14:paraId="1B43B193"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402" w:type="dxa"/>
            <w:tcBorders>
              <w:top w:val="thinThickThinSmallGap" w:sz="24" w:space="0" w:color="auto"/>
              <w:left w:val="nil"/>
              <w:bottom w:val="thinThickSmallGap" w:sz="24" w:space="0" w:color="auto"/>
              <w:right w:val="nil"/>
            </w:tcBorders>
            <w:shd w:val="clear" w:color="auto" w:fill="0B70B5"/>
            <w:vAlign w:val="center"/>
          </w:tcPr>
          <w:p w14:paraId="0F00227B"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438" w:type="dxa"/>
            <w:tcBorders>
              <w:top w:val="thinThickThinSmallGap" w:sz="24" w:space="0" w:color="auto"/>
              <w:left w:val="nil"/>
              <w:bottom w:val="thinThickSmallGap" w:sz="24" w:space="0" w:color="auto"/>
              <w:right w:val="nil"/>
            </w:tcBorders>
            <w:shd w:val="clear" w:color="auto" w:fill="0B70B5"/>
            <w:vAlign w:val="center"/>
          </w:tcPr>
          <w:p w14:paraId="13378681"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A75F14" w14:paraId="18075250" w14:textId="77777777" w:rsidTr="00231073">
        <w:trPr>
          <w:trHeight w:val="340"/>
          <w:jc w:val="center"/>
        </w:trPr>
        <w:tc>
          <w:tcPr>
            <w:tcW w:w="3220" w:type="dxa"/>
            <w:tcBorders>
              <w:top w:val="thinThickSmallGap" w:sz="24" w:space="0" w:color="auto"/>
              <w:left w:val="nil"/>
              <w:right w:val="nil"/>
            </w:tcBorders>
            <w:vAlign w:val="center"/>
          </w:tcPr>
          <w:p w14:paraId="449B62FA" w14:textId="77777777" w:rsidR="00F1465E" w:rsidRPr="00A75F14" w:rsidRDefault="00F1465E" w:rsidP="00231073">
            <w:pPr>
              <w:spacing w:before="0" w:after="0"/>
              <w:ind w:left="20" w:firstLine="0"/>
              <w:rPr>
                <w:sz w:val="20"/>
                <w:szCs w:val="20"/>
                <w:lang w:val="hy-AM"/>
              </w:rPr>
            </w:pPr>
            <w:r w:rsidRPr="00A75F14">
              <w:rPr>
                <w:rFonts w:cs="Sylfaen"/>
                <w:color w:val="171717"/>
                <w:sz w:val="20"/>
                <w:szCs w:val="20"/>
              </w:rPr>
              <w:t>Իր</w:t>
            </w:r>
            <w:r w:rsidRPr="00A75F14">
              <w:rPr>
                <w:rFonts w:cs="Sylfaen"/>
                <w:color w:val="171717"/>
                <w:sz w:val="20"/>
                <w:szCs w:val="20"/>
                <w:lang w:val="hy-AM"/>
              </w:rPr>
              <w:t>ական</w:t>
            </w:r>
            <w:r w:rsidRPr="00A75F14">
              <w:rPr>
                <w:rFonts w:cs="Arial"/>
                <w:color w:val="171717"/>
                <w:sz w:val="20"/>
                <w:szCs w:val="20"/>
                <w:lang w:val="hy-AM"/>
              </w:rPr>
              <w:t xml:space="preserve"> </w:t>
            </w:r>
            <w:r w:rsidRPr="00A75F14">
              <w:rPr>
                <w:rFonts w:cs="Sylfaen"/>
                <w:color w:val="171717"/>
                <w:sz w:val="20"/>
                <w:szCs w:val="20"/>
                <w:lang w:val="hy-AM"/>
              </w:rPr>
              <w:t>ՀՆԱ</w:t>
            </w:r>
            <w:r w:rsidRPr="00A75F14">
              <w:rPr>
                <w:rFonts w:cs="Arial"/>
                <w:color w:val="171717"/>
                <w:sz w:val="20"/>
                <w:szCs w:val="20"/>
                <w:lang w:val="hy-AM"/>
              </w:rPr>
              <w:t xml:space="preserve"> </w:t>
            </w:r>
            <w:r w:rsidRPr="00A75F14">
              <w:rPr>
                <w:rFonts w:cs="Sylfaen"/>
                <w:color w:val="171717"/>
                <w:sz w:val="20"/>
                <w:szCs w:val="20"/>
                <w:lang w:val="hy-AM"/>
              </w:rPr>
              <w:t>աճ</w:t>
            </w:r>
            <w:r w:rsidRPr="00A75F14">
              <w:rPr>
                <w:rFonts w:cs="Arial"/>
                <w:color w:val="171717"/>
                <w:sz w:val="20"/>
                <w:szCs w:val="20"/>
                <w:lang w:val="hy-AM"/>
              </w:rPr>
              <w:t xml:space="preserve"> </w:t>
            </w:r>
            <w:r w:rsidRPr="00A75F14">
              <w:rPr>
                <w:rFonts w:cs="Arial"/>
                <w:color w:val="171717"/>
                <w:sz w:val="20"/>
                <w:szCs w:val="20"/>
              </w:rPr>
              <w:t>(%)</w:t>
            </w:r>
          </w:p>
        </w:tc>
        <w:tc>
          <w:tcPr>
            <w:tcW w:w="1433" w:type="dxa"/>
            <w:tcBorders>
              <w:top w:val="thinThickSmallGap" w:sz="24" w:space="0" w:color="auto"/>
              <w:left w:val="double" w:sz="4" w:space="0" w:color="auto"/>
              <w:right w:val="nil"/>
            </w:tcBorders>
            <w:vAlign w:val="center"/>
          </w:tcPr>
          <w:p w14:paraId="1830EC63" w14:textId="77777777" w:rsidR="00F1465E" w:rsidRPr="00AD5796" w:rsidRDefault="00F1465E" w:rsidP="00231073">
            <w:pPr>
              <w:spacing w:before="0" w:after="0"/>
              <w:ind w:firstLine="0"/>
              <w:jc w:val="center"/>
              <w:rPr>
                <w:color w:val="FF0000"/>
                <w:sz w:val="20"/>
                <w:szCs w:val="20"/>
                <w:lang w:val="hy-AM"/>
              </w:rPr>
            </w:pPr>
            <w:r w:rsidRPr="00AD5796">
              <w:rPr>
                <w:rFonts w:cs="Arial"/>
                <w:color w:val="000000"/>
                <w:sz w:val="20"/>
                <w:szCs w:val="20"/>
              </w:rPr>
              <w:t>7.6</w:t>
            </w:r>
          </w:p>
        </w:tc>
        <w:tc>
          <w:tcPr>
            <w:tcW w:w="1047" w:type="dxa"/>
            <w:tcBorders>
              <w:top w:val="thinThickSmallGap" w:sz="24" w:space="0" w:color="auto"/>
              <w:left w:val="nil"/>
              <w:right w:val="nil"/>
            </w:tcBorders>
            <w:vAlign w:val="center"/>
          </w:tcPr>
          <w:p w14:paraId="27E94418" w14:textId="77777777" w:rsidR="00F1465E" w:rsidRPr="00AD5796" w:rsidRDefault="00F1465E" w:rsidP="00231073">
            <w:pPr>
              <w:spacing w:before="0" w:after="0"/>
              <w:ind w:firstLine="0"/>
              <w:jc w:val="center"/>
              <w:rPr>
                <w:color w:val="FF0000"/>
                <w:sz w:val="20"/>
                <w:szCs w:val="20"/>
                <w:lang w:val="hy-AM"/>
              </w:rPr>
            </w:pPr>
            <w:r w:rsidRPr="00AD5796">
              <w:rPr>
                <w:rFonts w:cs="Arial"/>
                <w:color w:val="000000"/>
                <w:sz w:val="20"/>
                <w:szCs w:val="20"/>
              </w:rPr>
              <w:t>-2.6</w:t>
            </w:r>
          </w:p>
        </w:tc>
        <w:tc>
          <w:tcPr>
            <w:tcW w:w="1420" w:type="dxa"/>
            <w:tcBorders>
              <w:top w:val="thinThickSmallGap" w:sz="24" w:space="0" w:color="auto"/>
              <w:left w:val="nil"/>
              <w:right w:val="nil"/>
            </w:tcBorders>
            <w:vAlign w:val="center"/>
          </w:tcPr>
          <w:p w14:paraId="3AE6140D" w14:textId="77777777" w:rsidR="00F1465E" w:rsidRPr="00AD5796" w:rsidRDefault="00F1465E" w:rsidP="00231073">
            <w:pPr>
              <w:spacing w:before="0" w:after="0"/>
              <w:ind w:firstLine="0"/>
              <w:jc w:val="center"/>
              <w:rPr>
                <w:color w:val="FF0000"/>
                <w:sz w:val="20"/>
                <w:szCs w:val="20"/>
                <w:lang w:val="hy-AM"/>
              </w:rPr>
            </w:pPr>
            <w:r w:rsidRPr="00AD5796">
              <w:rPr>
                <w:rFonts w:cs="Arial"/>
                <w:color w:val="000000"/>
                <w:sz w:val="20"/>
                <w:szCs w:val="20"/>
              </w:rPr>
              <w:t>7.0</w:t>
            </w:r>
          </w:p>
        </w:tc>
        <w:tc>
          <w:tcPr>
            <w:tcW w:w="1402" w:type="dxa"/>
            <w:tcBorders>
              <w:top w:val="thinThickSmallGap" w:sz="24" w:space="0" w:color="auto"/>
              <w:left w:val="nil"/>
              <w:right w:val="nil"/>
            </w:tcBorders>
            <w:vAlign w:val="center"/>
          </w:tcPr>
          <w:p w14:paraId="279C0D91" w14:textId="77777777" w:rsidR="00F1465E" w:rsidRPr="00AD5796" w:rsidRDefault="00F1465E" w:rsidP="00231073">
            <w:pPr>
              <w:spacing w:before="0" w:after="0"/>
              <w:ind w:firstLine="0"/>
              <w:jc w:val="center"/>
              <w:rPr>
                <w:color w:val="FF0000"/>
                <w:sz w:val="20"/>
                <w:szCs w:val="20"/>
                <w:lang w:val="hy-AM"/>
              </w:rPr>
            </w:pPr>
            <w:r w:rsidRPr="00AD5796">
              <w:rPr>
                <w:rFonts w:cs="Arial"/>
                <w:color w:val="000000"/>
                <w:sz w:val="20"/>
                <w:szCs w:val="20"/>
              </w:rPr>
              <w:t>6.4</w:t>
            </w:r>
          </w:p>
        </w:tc>
        <w:tc>
          <w:tcPr>
            <w:tcW w:w="1438" w:type="dxa"/>
            <w:tcBorders>
              <w:top w:val="thinThickSmallGap" w:sz="24" w:space="0" w:color="auto"/>
              <w:left w:val="nil"/>
              <w:right w:val="nil"/>
            </w:tcBorders>
            <w:vAlign w:val="center"/>
          </w:tcPr>
          <w:p w14:paraId="28C13B29" w14:textId="77777777" w:rsidR="00F1465E" w:rsidRPr="00AD5796" w:rsidRDefault="00F1465E" w:rsidP="00231073">
            <w:pPr>
              <w:spacing w:before="0" w:after="0"/>
              <w:ind w:firstLine="0"/>
              <w:jc w:val="center"/>
              <w:rPr>
                <w:color w:val="FF0000"/>
                <w:sz w:val="20"/>
                <w:szCs w:val="20"/>
                <w:lang w:val="hy-AM"/>
              </w:rPr>
            </w:pPr>
            <w:r w:rsidRPr="00AD5796">
              <w:rPr>
                <w:rFonts w:cs="Arial"/>
                <w:color w:val="000000"/>
                <w:sz w:val="20"/>
                <w:szCs w:val="20"/>
              </w:rPr>
              <w:t>5.1</w:t>
            </w:r>
          </w:p>
        </w:tc>
      </w:tr>
      <w:tr w:rsidR="00F1465E" w:rsidRPr="00A75F14" w14:paraId="4DA3AF36" w14:textId="77777777" w:rsidTr="00231073">
        <w:trPr>
          <w:trHeight w:val="357"/>
          <w:jc w:val="center"/>
        </w:trPr>
        <w:tc>
          <w:tcPr>
            <w:tcW w:w="3220" w:type="dxa"/>
            <w:tcBorders>
              <w:left w:val="nil"/>
              <w:right w:val="nil"/>
            </w:tcBorders>
            <w:vAlign w:val="center"/>
          </w:tcPr>
          <w:p w14:paraId="6BED864D" w14:textId="77777777" w:rsidR="00F1465E" w:rsidRPr="00A75F14" w:rsidRDefault="00F1465E" w:rsidP="00231073">
            <w:pPr>
              <w:spacing w:before="0" w:after="0"/>
              <w:ind w:left="20" w:firstLine="0"/>
              <w:rPr>
                <w:sz w:val="20"/>
                <w:szCs w:val="20"/>
                <w:lang w:val="hy-AM"/>
              </w:rPr>
            </w:pPr>
            <w:r w:rsidRPr="00A75F14">
              <w:rPr>
                <w:rFonts w:cs="Sylfaen"/>
                <w:color w:val="171717"/>
                <w:sz w:val="20"/>
                <w:szCs w:val="20"/>
                <w:lang w:val="hy-AM"/>
              </w:rPr>
              <w:t>ՍԳԻ</w:t>
            </w:r>
            <w:r w:rsidRPr="00A75F14">
              <w:rPr>
                <w:rFonts w:cs="Arial"/>
                <w:color w:val="171717"/>
                <w:sz w:val="20"/>
                <w:szCs w:val="20"/>
                <w:lang w:val="hy-AM"/>
              </w:rPr>
              <w:t xml:space="preserve"> </w:t>
            </w:r>
            <w:r w:rsidRPr="00A75F14">
              <w:rPr>
                <w:rFonts w:cs="Arial"/>
                <w:color w:val="171717"/>
                <w:sz w:val="20"/>
                <w:szCs w:val="20"/>
              </w:rPr>
              <w:t>(</w:t>
            </w:r>
            <w:r w:rsidRPr="00A75F14">
              <w:rPr>
                <w:rFonts w:cs="Sylfaen"/>
                <w:color w:val="171717"/>
                <w:sz w:val="20"/>
                <w:szCs w:val="20"/>
                <w:lang w:val="hy-AM"/>
              </w:rPr>
              <w:t>ժամկետի</w:t>
            </w:r>
            <w:r w:rsidRPr="00A75F14">
              <w:rPr>
                <w:rFonts w:cs="Arial"/>
                <w:color w:val="171717"/>
                <w:sz w:val="20"/>
                <w:szCs w:val="20"/>
                <w:lang w:val="hy-AM"/>
              </w:rPr>
              <w:t xml:space="preserve"> </w:t>
            </w:r>
            <w:r w:rsidRPr="00A75F14">
              <w:rPr>
                <w:rFonts w:cs="Sylfaen"/>
                <w:color w:val="171717"/>
                <w:sz w:val="20"/>
                <w:szCs w:val="20"/>
                <w:lang w:val="hy-AM"/>
              </w:rPr>
              <w:t>միջինը</w:t>
            </w:r>
            <w:r w:rsidRPr="00A75F14">
              <w:rPr>
                <w:rFonts w:cs="Arial"/>
                <w:color w:val="171717"/>
                <w:sz w:val="20"/>
                <w:szCs w:val="20"/>
                <w:lang w:val="hy-AM"/>
              </w:rPr>
              <w:t xml:space="preserve">, </w:t>
            </w:r>
            <w:r w:rsidRPr="00A75F14">
              <w:rPr>
                <w:rFonts w:cs="Arial"/>
                <w:color w:val="171717"/>
                <w:sz w:val="20"/>
                <w:szCs w:val="20"/>
                <w:lang w:val="ru-RU"/>
              </w:rPr>
              <w:t>%</w:t>
            </w:r>
            <w:r w:rsidRPr="00A75F14">
              <w:rPr>
                <w:rFonts w:cs="Arial"/>
                <w:color w:val="171717"/>
                <w:sz w:val="20"/>
                <w:szCs w:val="20"/>
              </w:rPr>
              <w:t>)</w:t>
            </w:r>
          </w:p>
        </w:tc>
        <w:tc>
          <w:tcPr>
            <w:tcW w:w="1433" w:type="dxa"/>
            <w:tcBorders>
              <w:left w:val="double" w:sz="4" w:space="0" w:color="auto"/>
              <w:right w:val="nil"/>
            </w:tcBorders>
            <w:vAlign w:val="center"/>
          </w:tcPr>
          <w:p w14:paraId="12461D81" w14:textId="77777777" w:rsidR="00F1465E" w:rsidRPr="00AD5796" w:rsidRDefault="00F1465E" w:rsidP="00231073">
            <w:pPr>
              <w:spacing w:before="0" w:after="0"/>
              <w:ind w:firstLine="0"/>
              <w:jc w:val="center"/>
              <w:rPr>
                <w:color w:val="FF0000"/>
                <w:sz w:val="20"/>
                <w:szCs w:val="20"/>
                <w:lang w:val="hy-AM"/>
              </w:rPr>
            </w:pPr>
            <w:r w:rsidRPr="00AD5796">
              <w:rPr>
                <w:rFonts w:cs="Arial"/>
                <w:color w:val="000000"/>
                <w:sz w:val="20"/>
                <w:szCs w:val="20"/>
              </w:rPr>
              <w:t>1.4</w:t>
            </w:r>
          </w:p>
        </w:tc>
        <w:tc>
          <w:tcPr>
            <w:tcW w:w="1047" w:type="dxa"/>
            <w:tcBorders>
              <w:left w:val="nil"/>
              <w:right w:val="nil"/>
            </w:tcBorders>
            <w:vAlign w:val="center"/>
          </w:tcPr>
          <w:p w14:paraId="26E69623" w14:textId="77777777" w:rsidR="00F1465E" w:rsidRPr="00AD5796" w:rsidRDefault="00F1465E" w:rsidP="00231073">
            <w:pPr>
              <w:spacing w:before="0" w:after="0"/>
              <w:ind w:firstLine="0"/>
              <w:jc w:val="center"/>
              <w:rPr>
                <w:color w:val="FF0000"/>
                <w:sz w:val="20"/>
                <w:szCs w:val="20"/>
                <w:lang w:val="hy-AM"/>
              </w:rPr>
            </w:pPr>
            <w:r w:rsidRPr="00AD5796">
              <w:rPr>
                <w:rFonts w:cs="Arial"/>
                <w:color w:val="000000"/>
                <w:sz w:val="20"/>
                <w:szCs w:val="20"/>
              </w:rPr>
              <w:t>1.0</w:t>
            </w:r>
          </w:p>
        </w:tc>
        <w:tc>
          <w:tcPr>
            <w:tcW w:w="1420" w:type="dxa"/>
            <w:tcBorders>
              <w:left w:val="nil"/>
              <w:right w:val="nil"/>
            </w:tcBorders>
            <w:vAlign w:val="center"/>
          </w:tcPr>
          <w:p w14:paraId="771A7FFF" w14:textId="77777777" w:rsidR="00F1465E" w:rsidRPr="00AD5796" w:rsidRDefault="00F1465E" w:rsidP="00231073">
            <w:pPr>
              <w:spacing w:before="0" w:after="0"/>
              <w:ind w:firstLine="0"/>
              <w:jc w:val="center"/>
              <w:rPr>
                <w:color w:val="FF0000"/>
                <w:sz w:val="20"/>
                <w:szCs w:val="20"/>
                <w:lang w:val="hy-AM"/>
              </w:rPr>
            </w:pPr>
            <w:r w:rsidRPr="00AD5796">
              <w:rPr>
                <w:rFonts w:cs="Arial"/>
                <w:color w:val="000000"/>
                <w:sz w:val="20"/>
                <w:szCs w:val="20"/>
              </w:rPr>
              <w:t>2.8</w:t>
            </w:r>
          </w:p>
        </w:tc>
        <w:tc>
          <w:tcPr>
            <w:tcW w:w="1402" w:type="dxa"/>
            <w:tcBorders>
              <w:left w:val="nil"/>
              <w:right w:val="nil"/>
            </w:tcBorders>
            <w:vAlign w:val="center"/>
          </w:tcPr>
          <w:p w14:paraId="4EAD5E2F" w14:textId="77777777" w:rsidR="00F1465E" w:rsidRPr="00AD5796" w:rsidRDefault="00F1465E" w:rsidP="00231073">
            <w:pPr>
              <w:spacing w:before="0" w:after="0"/>
              <w:ind w:firstLine="0"/>
              <w:jc w:val="center"/>
              <w:rPr>
                <w:color w:val="FF0000"/>
                <w:sz w:val="20"/>
                <w:szCs w:val="20"/>
                <w:lang w:val="hy-AM"/>
              </w:rPr>
            </w:pPr>
            <w:r w:rsidRPr="00AD5796">
              <w:rPr>
                <w:rFonts w:cs="Arial"/>
                <w:color w:val="000000"/>
                <w:sz w:val="20"/>
                <w:szCs w:val="20"/>
              </w:rPr>
              <w:t>3.5</w:t>
            </w:r>
          </w:p>
        </w:tc>
        <w:tc>
          <w:tcPr>
            <w:tcW w:w="1438" w:type="dxa"/>
            <w:tcBorders>
              <w:left w:val="nil"/>
              <w:right w:val="nil"/>
            </w:tcBorders>
            <w:vAlign w:val="center"/>
          </w:tcPr>
          <w:p w14:paraId="6C031759" w14:textId="77777777" w:rsidR="00F1465E" w:rsidRPr="00AD5796" w:rsidRDefault="00F1465E" w:rsidP="00231073">
            <w:pPr>
              <w:spacing w:before="0" w:after="0"/>
              <w:ind w:firstLine="0"/>
              <w:jc w:val="center"/>
              <w:rPr>
                <w:color w:val="FF0000"/>
                <w:sz w:val="20"/>
                <w:szCs w:val="20"/>
                <w:lang w:val="hy-AM"/>
              </w:rPr>
            </w:pPr>
            <w:r w:rsidRPr="00AD5796">
              <w:rPr>
                <w:rFonts w:cs="Arial"/>
                <w:color w:val="000000"/>
                <w:sz w:val="20"/>
                <w:szCs w:val="20"/>
              </w:rPr>
              <w:t>3.9</w:t>
            </w:r>
          </w:p>
        </w:tc>
      </w:tr>
      <w:tr w:rsidR="00F1465E" w:rsidRPr="00A75F14" w14:paraId="6D1D43D4" w14:textId="77777777" w:rsidTr="00231073">
        <w:trPr>
          <w:trHeight w:val="357"/>
          <w:jc w:val="center"/>
        </w:trPr>
        <w:tc>
          <w:tcPr>
            <w:tcW w:w="9960" w:type="dxa"/>
            <w:gridSpan w:val="6"/>
            <w:tcBorders>
              <w:left w:val="nil"/>
              <w:right w:val="nil"/>
            </w:tcBorders>
            <w:vAlign w:val="center"/>
          </w:tcPr>
          <w:p w14:paraId="1B858A74" w14:textId="77777777" w:rsidR="00F1465E" w:rsidRPr="00A75F14" w:rsidRDefault="00F1465E" w:rsidP="00231073">
            <w:pPr>
              <w:spacing w:before="0" w:after="0"/>
              <w:ind w:firstLine="0"/>
              <w:rPr>
                <w:color w:val="FF0000"/>
                <w:sz w:val="20"/>
                <w:szCs w:val="20"/>
                <w:lang w:val="hy-AM"/>
              </w:rPr>
            </w:pPr>
            <w:r w:rsidRPr="00A205DB">
              <w:rPr>
                <w:rFonts w:cs="Sylfaen"/>
                <w:b/>
                <w:iCs/>
                <w:color w:val="171717"/>
                <w:sz w:val="20"/>
                <w:szCs w:val="20"/>
                <w:lang w:val="hy-AM"/>
              </w:rPr>
              <w:t>ՀՀ</w:t>
            </w:r>
            <w:r w:rsidRPr="00A205DB">
              <w:rPr>
                <w:rFonts w:cs="Arial"/>
                <w:b/>
                <w:iCs/>
                <w:color w:val="171717"/>
                <w:sz w:val="20"/>
                <w:szCs w:val="20"/>
                <w:lang w:val="hy-AM"/>
              </w:rPr>
              <w:t xml:space="preserve"> </w:t>
            </w:r>
            <w:r w:rsidRPr="00A205DB">
              <w:rPr>
                <w:rFonts w:cs="Sylfaen"/>
                <w:b/>
                <w:iCs/>
                <w:color w:val="171717"/>
                <w:sz w:val="20"/>
                <w:szCs w:val="20"/>
                <w:lang w:val="hy-AM"/>
              </w:rPr>
              <w:t xml:space="preserve">կառավարության գործառնությունները </w:t>
            </w:r>
            <w:r w:rsidRPr="00A205DB">
              <w:rPr>
                <w:rFonts w:cs="Arial"/>
                <w:b/>
                <w:iCs/>
                <w:color w:val="171717"/>
                <w:sz w:val="20"/>
                <w:szCs w:val="20"/>
                <w:lang w:val="hy-AM"/>
              </w:rPr>
              <w:t xml:space="preserve">(% </w:t>
            </w:r>
            <w:r w:rsidRPr="00A205DB">
              <w:rPr>
                <w:rFonts w:cs="Sylfaen"/>
                <w:b/>
                <w:iCs/>
                <w:color w:val="171717"/>
                <w:sz w:val="20"/>
                <w:szCs w:val="20"/>
                <w:lang w:val="hy-AM"/>
              </w:rPr>
              <w:t>ՀՆԱ</w:t>
            </w:r>
            <w:r w:rsidRPr="00A205DB">
              <w:rPr>
                <w:rFonts w:cs="Arial"/>
                <w:b/>
                <w:iCs/>
                <w:color w:val="171717"/>
                <w:sz w:val="20"/>
                <w:szCs w:val="20"/>
                <w:lang w:val="hy-AM"/>
              </w:rPr>
              <w:t>-</w:t>
            </w:r>
            <w:r w:rsidRPr="00A205DB">
              <w:rPr>
                <w:rFonts w:cs="Sylfaen"/>
                <w:b/>
                <w:iCs/>
                <w:color w:val="171717"/>
                <w:sz w:val="20"/>
                <w:szCs w:val="20"/>
                <w:lang w:val="hy-AM"/>
              </w:rPr>
              <w:t>ի</w:t>
            </w:r>
            <w:r w:rsidRPr="00A205DB">
              <w:rPr>
                <w:rFonts w:cs="Arial"/>
                <w:b/>
                <w:iCs/>
                <w:color w:val="171717"/>
                <w:sz w:val="20"/>
                <w:szCs w:val="20"/>
                <w:lang w:val="hy-AM"/>
              </w:rPr>
              <w:t xml:space="preserve"> </w:t>
            </w:r>
            <w:r w:rsidRPr="00A205DB">
              <w:rPr>
                <w:rFonts w:cs="Sylfaen"/>
                <w:b/>
                <w:iCs/>
                <w:color w:val="171717"/>
                <w:sz w:val="20"/>
                <w:szCs w:val="20"/>
                <w:lang w:val="hy-AM"/>
              </w:rPr>
              <w:t>նկատմամբ</w:t>
            </w:r>
            <w:r w:rsidRPr="00A205DB">
              <w:rPr>
                <w:rFonts w:cs="Arial"/>
                <w:b/>
                <w:iCs/>
                <w:color w:val="171717"/>
                <w:sz w:val="20"/>
                <w:szCs w:val="20"/>
                <w:lang w:val="hy-AM"/>
              </w:rPr>
              <w:t>)</w:t>
            </w:r>
          </w:p>
        </w:tc>
      </w:tr>
      <w:tr w:rsidR="00F1465E" w:rsidRPr="00A75F14" w14:paraId="01E0DCBE" w14:textId="77777777" w:rsidTr="00231073">
        <w:trPr>
          <w:trHeight w:val="357"/>
          <w:jc w:val="center"/>
        </w:trPr>
        <w:tc>
          <w:tcPr>
            <w:tcW w:w="3220" w:type="dxa"/>
            <w:tcBorders>
              <w:left w:val="nil"/>
              <w:right w:val="nil"/>
            </w:tcBorders>
            <w:vAlign w:val="center"/>
          </w:tcPr>
          <w:p w14:paraId="16C004FE" w14:textId="77777777" w:rsidR="00F1465E" w:rsidRPr="00A75F14" w:rsidRDefault="00F1465E" w:rsidP="00231073">
            <w:pPr>
              <w:spacing w:before="0" w:after="0"/>
              <w:ind w:left="20" w:firstLine="0"/>
              <w:jc w:val="left"/>
              <w:rPr>
                <w:sz w:val="20"/>
                <w:szCs w:val="20"/>
                <w:lang w:val="hy-AM"/>
              </w:rPr>
            </w:pPr>
            <w:r w:rsidRPr="00A75F14">
              <w:rPr>
                <w:rFonts w:cs="Sylfaen"/>
                <w:color w:val="171717"/>
                <w:sz w:val="20"/>
                <w:szCs w:val="20"/>
              </w:rPr>
              <w:t>Եկամուտներ</w:t>
            </w:r>
            <w:r w:rsidRPr="00A75F14">
              <w:rPr>
                <w:rFonts w:cs="Arial"/>
                <w:color w:val="171717"/>
                <w:sz w:val="20"/>
                <w:szCs w:val="20"/>
              </w:rPr>
              <w:t xml:space="preserve"> </w:t>
            </w:r>
            <w:r w:rsidRPr="00A75F14">
              <w:rPr>
                <w:rFonts w:cs="Sylfaen"/>
                <w:color w:val="171717"/>
                <w:sz w:val="20"/>
                <w:szCs w:val="20"/>
              </w:rPr>
              <w:t>և</w:t>
            </w:r>
            <w:r w:rsidRPr="00A75F14">
              <w:rPr>
                <w:rFonts w:cs="Arial"/>
                <w:color w:val="171717"/>
                <w:sz w:val="20"/>
                <w:szCs w:val="20"/>
              </w:rPr>
              <w:t xml:space="preserve"> </w:t>
            </w:r>
            <w:r w:rsidRPr="00A75F14">
              <w:rPr>
                <w:rFonts w:cs="Sylfaen"/>
                <w:color w:val="171717"/>
                <w:sz w:val="20"/>
                <w:szCs w:val="20"/>
              </w:rPr>
              <w:t>դրամաշնորհներ</w:t>
            </w:r>
          </w:p>
        </w:tc>
        <w:tc>
          <w:tcPr>
            <w:tcW w:w="1433" w:type="dxa"/>
            <w:tcBorders>
              <w:left w:val="double" w:sz="4" w:space="0" w:color="auto"/>
              <w:right w:val="nil"/>
            </w:tcBorders>
            <w:vAlign w:val="center"/>
          </w:tcPr>
          <w:p w14:paraId="5F8C4A2E"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23.8</w:t>
            </w:r>
          </w:p>
        </w:tc>
        <w:tc>
          <w:tcPr>
            <w:tcW w:w="1047" w:type="dxa"/>
            <w:tcBorders>
              <w:left w:val="nil"/>
              <w:right w:val="nil"/>
            </w:tcBorders>
            <w:vAlign w:val="center"/>
          </w:tcPr>
          <w:p w14:paraId="2406B29C"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22.9</w:t>
            </w:r>
          </w:p>
        </w:tc>
        <w:tc>
          <w:tcPr>
            <w:tcW w:w="1420" w:type="dxa"/>
            <w:tcBorders>
              <w:left w:val="nil"/>
              <w:right w:val="nil"/>
            </w:tcBorders>
            <w:vAlign w:val="center"/>
          </w:tcPr>
          <w:p w14:paraId="2FFED3BA"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23.4</w:t>
            </w:r>
          </w:p>
        </w:tc>
        <w:tc>
          <w:tcPr>
            <w:tcW w:w="1402" w:type="dxa"/>
            <w:tcBorders>
              <w:left w:val="nil"/>
              <w:right w:val="nil"/>
            </w:tcBorders>
            <w:vAlign w:val="center"/>
          </w:tcPr>
          <w:p w14:paraId="5E0D643B"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24.0</w:t>
            </w:r>
          </w:p>
        </w:tc>
        <w:tc>
          <w:tcPr>
            <w:tcW w:w="1438" w:type="dxa"/>
            <w:tcBorders>
              <w:left w:val="nil"/>
              <w:right w:val="nil"/>
            </w:tcBorders>
            <w:vAlign w:val="center"/>
          </w:tcPr>
          <w:p w14:paraId="42CB0739"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24.3</w:t>
            </w:r>
          </w:p>
        </w:tc>
      </w:tr>
      <w:tr w:rsidR="00F1465E" w:rsidRPr="00A75F14" w14:paraId="77D3C278" w14:textId="77777777" w:rsidTr="00231073">
        <w:trPr>
          <w:trHeight w:val="291"/>
          <w:jc w:val="center"/>
        </w:trPr>
        <w:tc>
          <w:tcPr>
            <w:tcW w:w="3220" w:type="dxa"/>
            <w:tcBorders>
              <w:left w:val="nil"/>
              <w:right w:val="nil"/>
            </w:tcBorders>
            <w:vAlign w:val="center"/>
          </w:tcPr>
          <w:p w14:paraId="2A811FFE" w14:textId="77777777" w:rsidR="00F1465E" w:rsidRPr="00A75F14" w:rsidRDefault="00F1465E" w:rsidP="00231073">
            <w:pPr>
              <w:spacing w:before="0" w:after="0"/>
              <w:ind w:firstLine="0"/>
              <w:jc w:val="left"/>
              <w:rPr>
                <w:sz w:val="20"/>
                <w:szCs w:val="20"/>
                <w:lang w:val="hy-AM"/>
              </w:rPr>
            </w:pPr>
            <w:r w:rsidRPr="00A75F14">
              <w:rPr>
                <w:rFonts w:cs="Sylfaen"/>
                <w:color w:val="171717"/>
                <w:sz w:val="20"/>
                <w:szCs w:val="20"/>
              </w:rPr>
              <w:t>Ծախսեր</w:t>
            </w:r>
          </w:p>
        </w:tc>
        <w:tc>
          <w:tcPr>
            <w:tcW w:w="1433" w:type="dxa"/>
            <w:tcBorders>
              <w:left w:val="double" w:sz="4" w:space="0" w:color="auto"/>
              <w:right w:val="nil"/>
            </w:tcBorders>
            <w:vAlign w:val="center"/>
          </w:tcPr>
          <w:p w14:paraId="36B52B3E"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24.8</w:t>
            </w:r>
          </w:p>
        </w:tc>
        <w:tc>
          <w:tcPr>
            <w:tcW w:w="1047" w:type="dxa"/>
            <w:tcBorders>
              <w:left w:val="nil"/>
              <w:right w:val="nil"/>
            </w:tcBorders>
            <w:vAlign w:val="center"/>
          </w:tcPr>
          <w:p w14:paraId="5F48BD71"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28.4</w:t>
            </w:r>
          </w:p>
        </w:tc>
        <w:tc>
          <w:tcPr>
            <w:tcW w:w="1420" w:type="dxa"/>
            <w:tcBorders>
              <w:left w:val="nil"/>
              <w:right w:val="nil"/>
            </w:tcBorders>
            <w:vAlign w:val="center"/>
          </w:tcPr>
          <w:p w14:paraId="049882AD"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26.3</w:t>
            </w:r>
          </w:p>
        </w:tc>
        <w:tc>
          <w:tcPr>
            <w:tcW w:w="1402" w:type="dxa"/>
            <w:tcBorders>
              <w:left w:val="nil"/>
              <w:right w:val="nil"/>
            </w:tcBorders>
            <w:vAlign w:val="center"/>
          </w:tcPr>
          <w:p w14:paraId="69D9EC87"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25.8</w:t>
            </w:r>
          </w:p>
        </w:tc>
        <w:tc>
          <w:tcPr>
            <w:tcW w:w="1438" w:type="dxa"/>
            <w:tcBorders>
              <w:left w:val="nil"/>
              <w:right w:val="nil"/>
            </w:tcBorders>
            <w:vAlign w:val="center"/>
          </w:tcPr>
          <w:p w14:paraId="6853F465"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26.1</w:t>
            </w:r>
          </w:p>
        </w:tc>
      </w:tr>
      <w:tr w:rsidR="00F1465E" w:rsidRPr="00A75F14" w14:paraId="23F991B6" w14:textId="77777777" w:rsidTr="00231073">
        <w:trPr>
          <w:trHeight w:val="404"/>
          <w:jc w:val="center"/>
        </w:trPr>
        <w:tc>
          <w:tcPr>
            <w:tcW w:w="3220" w:type="dxa"/>
            <w:tcBorders>
              <w:left w:val="nil"/>
              <w:right w:val="nil"/>
            </w:tcBorders>
            <w:vAlign w:val="center"/>
          </w:tcPr>
          <w:p w14:paraId="11D8787F" w14:textId="77777777" w:rsidR="00F1465E" w:rsidRPr="00A75F14" w:rsidRDefault="00F1465E" w:rsidP="00231073">
            <w:pPr>
              <w:spacing w:before="0" w:after="0"/>
              <w:ind w:left="20" w:firstLine="0"/>
              <w:jc w:val="left"/>
              <w:rPr>
                <w:rFonts w:cs="Times Unicode"/>
                <w:sz w:val="20"/>
                <w:szCs w:val="20"/>
                <w:lang w:val="hy-AM"/>
              </w:rPr>
            </w:pPr>
            <w:r>
              <w:rPr>
                <w:rFonts w:cs="Sylfaen"/>
                <w:color w:val="171717"/>
                <w:sz w:val="20"/>
                <w:szCs w:val="20"/>
              </w:rPr>
              <w:t>Պակասուրդ (-)</w:t>
            </w:r>
            <w:r w:rsidRPr="00A75F14">
              <w:rPr>
                <w:rFonts w:cs="Arial"/>
                <w:color w:val="171717"/>
                <w:sz w:val="20"/>
                <w:szCs w:val="20"/>
              </w:rPr>
              <w:t xml:space="preserve"> </w:t>
            </w:r>
          </w:p>
        </w:tc>
        <w:tc>
          <w:tcPr>
            <w:tcW w:w="1433" w:type="dxa"/>
            <w:tcBorders>
              <w:left w:val="double" w:sz="4" w:space="0" w:color="auto"/>
              <w:right w:val="nil"/>
            </w:tcBorders>
            <w:vAlign w:val="center"/>
          </w:tcPr>
          <w:p w14:paraId="38936034"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-1.0</w:t>
            </w:r>
          </w:p>
        </w:tc>
        <w:tc>
          <w:tcPr>
            <w:tcW w:w="1047" w:type="dxa"/>
            <w:tcBorders>
              <w:left w:val="nil"/>
              <w:right w:val="nil"/>
            </w:tcBorders>
            <w:vAlign w:val="center"/>
          </w:tcPr>
          <w:p w14:paraId="08DE69FC"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-5.6</w:t>
            </w:r>
          </w:p>
        </w:tc>
        <w:tc>
          <w:tcPr>
            <w:tcW w:w="1420" w:type="dxa"/>
            <w:tcBorders>
              <w:left w:val="nil"/>
              <w:right w:val="nil"/>
            </w:tcBorders>
            <w:vAlign w:val="center"/>
          </w:tcPr>
          <w:p w14:paraId="579499C6" w14:textId="77777777" w:rsidR="00F1465E" w:rsidRPr="00AD5796" w:rsidRDefault="00F1465E" w:rsidP="00231073">
            <w:pPr>
              <w:spacing w:before="0" w:after="0"/>
              <w:ind w:firstLine="0"/>
              <w:jc w:val="center"/>
              <w:rPr>
                <w:color w:val="FF0000"/>
                <w:sz w:val="20"/>
                <w:szCs w:val="20"/>
                <w:lang w:val="hy-AM"/>
              </w:rPr>
            </w:pPr>
            <w:r w:rsidRPr="00AD5796">
              <w:rPr>
                <w:rFonts w:cs="Arial"/>
                <w:bCs/>
                <w:sz w:val="20"/>
                <w:szCs w:val="20"/>
              </w:rPr>
              <w:t>-2.9</w:t>
            </w:r>
          </w:p>
        </w:tc>
        <w:tc>
          <w:tcPr>
            <w:tcW w:w="1402" w:type="dxa"/>
            <w:tcBorders>
              <w:left w:val="nil"/>
              <w:right w:val="nil"/>
            </w:tcBorders>
            <w:vAlign w:val="center"/>
          </w:tcPr>
          <w:p w14:paraId="7ADC27BA" w14:textId="77777777" w:rsidR="00F1465E" w:rsidRPr="00AD5796" w:rsidRDefault="00F1465E" w:rsidP="00231073">
            <w:pPr>
              <w:spacing w:before="0" w:after="0"/>
              <w:ind w:firstLine="0"/>
              <w:jc w:val="center"/>
              <w:rPr>
                <w:color w:val="FF0000"/>
                <w:sz w:val="20"/>
                <w:szCs w:val="20"/>
                <w:lang w:val="hy-AM"/>
              </w:rPr>
            </w:pPr>
            <w:r w:rsidRPr="00AD5796">
              <w:rPr>
                <w:rFonts w:cs="Arial"/>
                <w:bCs/>
                <w:sz w:val="20"/>
                <w:szCs w:val="20"/>
              </w:rPr>
              <w:t>-1.8</w:t>
            </w:r>
          </w:p>
        </w:tc>
        <w:tc>
          <w:tcPr>
            <w:tcW w:w="1438" w:type="dxa"/>
            <w:tcBorders>
              <w:left w:val="nil"/>
              <w:right w:val="nil"/>
            </w:tcBorders>
            <w:vAlign w:val="center"/>
          </w:tcPr>
          <w:p w14:paraId="6AED12DD"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-1.8</w:t>
            </w:r>
          </w:p>
        </w:tc>
      </w:tr>
      <w:tr w:rsidR="00F1465E" w:rsidRPr="00A75F14" w14:paraId="7460FA30" w14:textId="77777777" w:rsidTr="00231073">
        <w:trPr>
          <w:trHeight w:val="402"/>
          <w:jc w:val="center"/>
        </w:trPr>
        <w:tc>
          <w:tcPr>
            <w:tcW w:w="3220" w:type="dxa"/>
            <w:tcBorders>
              <w:left w:val="nil"/>
              <w:right w:val="nil"/>
            </w:tcBorders>
            <w:vAlign w:val="center"/>
          </w:tcPr>
          <w:p w14:paraId="3857BC79" w14:textId="77777777" w:rsidR="00F1465E" w:rsidRPr="00A75F14" w:rsidRDefault="00F1465E" w:rsidP="00231073">
            <w:pPr>
              <w:spacing w:before="0" w:after="0"/>
              <w:ind w:firstLine="0"/>
              <w:rPr>
                <w:sz w:val="20"/>
                <w:szCs w:val="20"/>
                <w:lang w:val="hy-AM"/>
              </w:rPr>
            </w:pPr>
            <w:r w:rsidRPr="00A75F14">
              <w:rPr>
                <w:rFonts w:cs="Sylfaen"/>
                <w:color w:val="171717"/>
                <w:sz w:val="20"/>
                <w:szCs w:val="20"/>
              </w:rPr>
              <w:t>ՀՀ</w:t>
            </w:r>
            <w:r w:rsidRPr="00A75F14">
              <w:rPr>
                <w:rFonts w:cs="Arial"/>
                <w:color w:val="171717"/>
                <w:sz w:val="20"/>
                <w:szCs w:val="20"/>
              </w:rPr>
              <w:t xml:space="preserve"> </w:t>
            </w:r>
            <w:r w:rsidRPr="00A75F14">
              <w:rPr>
                <w:rFonts w:cs="Sylfaen"/>
                <w:color w:val="171717"/>
                <w:sz w:val="20"/>
                <w:szCs w:val="20"/>
              </w:rPr>
              <w:t>կառավարության</w:t>
            </w:r>
            <w:r w:rsidRPr="00A75F14">
              <w:rPr>
                <w:rFonts w:cs="Arial"/>
                <w:color w:val="171717"/>
                <w:sz w:val="20"/>
                <w:szCs w:val="20"/>
              </w:rPr>
              <w:t xml:space="preserve"> </w:t>
            </w:r>
            <w:r w:rsidRPr="00A75F14">
              <w:rPr>
                <w:rFonts w:cs="Sylfaen"/>
                <w:color w:val="171717"/>
                <w:sz w:val="20"/>
                <w:szCs w:val="20"/>
              </w:rPr>
              <w:t>պարտք</w:t>
            </w:r>
          </w:p>
        </w:tc>
        <w:tc>
          <w:tcPr>
            <w:tcW w:w="1433" w:type="dxa"/>
            <w:tcBorders>
              <w:left w:val="double" w:sz="4" w:space="0" w:color="auto"/>
              <w:right w:val="nil"/>
            </w:tcBorders>
            <w:vAlign w:val="center"/>
          </w:tcPr>
          <w:p w14:paraId="18E64121"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49.9</w:t>
            </w:r>
          </w:p>
        </w:tc>
        <w:tc>
          <w:tcPr>
            <w:tcW w:w="1047" w:type="dxa"/>
            <w:tcBorders>
              <w:left w:val="nil"/>
              <w:right w:val="nil"/>
            </w:tcBorders>
            <w:vAlign w:val="center"/>
          </w:tcPr>
          <w:p w14:paraId="545D5A4A"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58.6</w:t>
            </w:r>
          </w:p>
        </w:tc>
        <w:tc>
          <w:tcPr>
            <w:tcW w:w="1420" w:type="dxa"/>
            <w:tcBorders>
              <w:left w:val="nil"/>
              <w:right w:val="nil"/>
            </w:tcBorders>
            <w:vAlign w:val="center"/>
          </w:tcPr>
          <w:p w14:paraId="1C5DB7C7"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58.2</w:t>
            </w:r>
          </w:p>
        </w:tc>
        <w:tc>
          <w:tcPr>
            <w:tcW w:w="1402" w:type="dxa"/>
            <w:tcBorders>
              <w:left w:val="nil"/>
              <w:right w:val="nil"/>
            </w:tcBorders>
            <w:vAlign w:val="center"/>
          </w:tcPr>
          <w:p w14:paraId="5260208A"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56.5</w:t>
            </w:r>
          </w:p>
        </w:tc>
        <w:tc>
          <w:tcPr>
            <w:tcW w:w="1438" w:type="dxa"/>
            <w:tcBorders>
              <w:left w:val="nil"/>
              <w:right w:val="nil"/>
            </w:tcBorders>
            <w:vAlign w:val="center"/>
          </w:tcPr>
          <w:p w14:paraId="4CCD2067" w14:textId="77777777" w:rsidR="00F1465E" w:rsidRPr="00AD5796" w:rsidRDefault="00F1465E" w:rsidP="00231073">
            <w:pPr>
              <w:spacing w:before="0" w:after="0"/>
              <w:ind w:firstLine="0"/>
              <w:jc w:val="center"/>
              <w:rPr>
                <w:color w:val="FF0000"/>
                <w:sz w:val="20"/>
                <w:szCs w:val="20"/>
                <w:lang w:val="hy-AM"/>
              </w:rPr>
            </w:pPr>
            <w:r w:rsidRPr="00AD5796">
              <w:rPr>
                <w:rFonts w:cs="Arial"/>
                <w:bCs/>
                <w:color w:val="000000"/>
                <w:sz w:val="20"/>
                <w:szCs w:val="20"/>
              </w:rPr>
              <w:t>54.7</w:t>
            </w:r>
          </w:p>
        </w:tc>
      </w:tr>
      <w:tr w:rsidR="00F1465E" w:rsidRPr="00A75F14" w14:paraId="6E88E6FB" w14:textId="77777777" w:rsidTr="00231073">
        <w:trPr>
          <w:trHeight w:val="369"/>
          <w:jc w:val="center"/>
        </w:trPr>
        <w:tc>
          <w:tcPr>
            <w:tcW w:w="9960" w:type="dxa"/>
            <w:gridSpan w:val="6"/>
            <w:tcBorders>
              <w:left w:val="nil"/>
              <w:right w:val="nil"/>
            </w:tcBorders>
            <w:vAlign w:val="center"/>
          </w:tcPr>
          <w:p w14:paraId="476AFD6C" w14:textId="77777777" w:rsidR="00F1465E" w:rsidRPr="00A75F14" w:rsidDel="00A75F14" w:rsidRDefault="00F1465E" w:rsidP="00231073">
            <w:pPr>
              <w:spacing w:before="0" w:after="0"/>
              <w:ind w:firstLine="0"/>
              <w:rPr>
                <w:color w:val="FF0000"/>
                <w:sz w:val="20"/>
                <w:szCs w:val="20"/>
                <w:lang w:val="hy-AM"/>
              </w:rPr>
            </w:pPr>
            <w:r w:rsidRPr="00A75F14">
              <w:rPr>
                <w:rFonts w:cs="Sylfaen"/>
                <w:b/>
                <w:iCs/>
                <w:color w:val="171717"/>
                <w:sz w:val="20"/>
                <w:szCs w:val="20"/>
              </w:rPr>
              <w:t>Արտաքին</w:t>
            </w:r>
            <w:r w:rsidRPr="00A75F14">
              <w:rPr>
                <w:rFonts w:cs="Arial"/>
                <w:b/>
                <w:iCs/>
                <w:color w:val="171717"/>
                <w:sz w:val="20"/>
                <w:szCs w:val="20"/>
              </w:rPr>
              <w:t xml:space="preserve"> </w:t>
            </w:r>
            <w:r w:rsidRPr="00A75F14">
              <w:rPr>
                <w:rFonts w:cs="Sylfaen"/>
                <w:b/>
                <w:iCs/>
                <w:color w:val="171717"/>
                <w:sz w:val="20"/>
                <w:szCs w:val="20"/>
              </w:rPr>
              <w:t>հատված</w:t>
            </w:r>
          </w:p>
        </w:tc>
      </w:tr>
      <w:tr w:rsidR="00F1465E" w:rsidRPr="00A75F14" w14:paraId="62FB7D74" w14:textId="77777777" w:rsidTr="00231073">
        <w:trPr>
          <w:trHeight w:val="483"/>
          <w:jc w:val="center"/>
        </w:trPr>
        <w:tc>
          <w:tcPr>
            <w:tcW w:w="3220" w:type="dxa"/>
            <w:tcBorders>
              <w:left w:val="nil"/>
              <w:right w:val="nil"/>
            </w:tcBorders>
            <w:vAlign w:val="center"/>
          </w:tcPr>
          <w:p w14:paraId="151227B8" w14:textId="77777777" w:rsidR="00F1465E" w:rsidRPr="00A75F14" w:rsidDel="00A75F14" w:rsidRDefault="00F1465E" w:rsidP="00231073">
            <w:pPr>
              <w:spacing w:before="0" w:after="0"/>
              <w:ind w:firstLine="0"/>
              <w:jc w:val="left"/>
              <w:rPr>
                <w:sz w:val="20"/>
                <w:szCs w:val="20"/>
                <w:lang w:val="hy-AM"/>
              </w:rPr>
            </w:pPr>
            <w:r w:rsidRPr="00A205DB">
              <w:rPr>
                <w:rFonts w:cs="Sylfaen"/>
                <w:color w:val="171717"/>
                <w:sz w:val="20"/>
                <w:szCs w:val="20"/>
                <w:lang w:val="hy-AM"/>
              </w:rPr>
              <w:lastRenderedPageBreak/>
              <w:t>Ապրանքների</w:t>
            </w:r>
            <w:r w:rsidRPr="00A205DB">
              <w:rPr>
                <w:rFonts w:cs="Arial"/>
                <w:color w:val="171717"/>
                <w:sz w:val="20"/>
                <w:szCs w:val="20"/>
                <w:lang w:val="hy-AM"/>
              </w:rPr>
              <w:t xml:space="preserve"> </w:t>
            </w:r>
            <w:r w:rsidRPr="00A205DB">
              <w:rPr>
                <w:rFonts w:cs="Sylfaen"/>
                <w:color w:val="171717"/>
                <w:sz w:val="20"/>
                <w:szCs w:val="20"/>
                <w:lang w:val="hy-AM"/>
              </w:rPr>
              <w:t>և</w:t>
            </w:r>
            <w:r w:rsidRPr="00A205DB">
              <w:rPr>
                <w:rFonts w:cs="Arial"/>
                <w:color w:val="171717"/>
                <w:sz w:val="20"/>
                <w:szCs w:val="20"/>
                <w:lang w:val="hy-AM"/>
              </w:rPr>
              <w:t xml:space="preserve"> </w:t>
            </w:r>
            <w:r w:rsidRPr="00A205DB">
              <w:rPr>
                <w:rFonts w:cs="Sylfaen"/>
                <w:color w:val="171717"/>
                <w:sz w:val="20"/>
                <w:szCs w:val="20"/>
                <w:lang w:val="hy-AM"/>
              </w:rPr>
              <w:t>ծառայությունների</w:t>
            </w:r>
            <w:r w:rsidRPr="00A205DB">
              <w:rPr>
                <w:rFonts w:cs="Arial"/>
                <w:color w:val="171717"/>
                <w:sz w:val="20"/>
                <w:szCs w:val="20"/>
                <w:lang w:val="hy-AM"/>
              </w:rPr>
              <w:t xml:space="preserve"> </w:t>
            </w:r>
            <w:r w:rsidRPr="00A205DB">
              <w:rPr>
                <w:rFonts w:cs="Sylfaen"/>
                <w:color w:val="171717"/>
                <w:sz w:val="20"/>
                <w:szCs w:val="20"/>
                <w:lang w:val="hy-AM"/>
              </w:rPr>
              <w:t>արտահանում</w:t>
            </w:r>
            <w:r w:rsidRPr="00A205DB">
              <w:rPr>
                <w:rFonts w:cs="Arial"/>
                <w:color w:val="171717"/>
                <w:sz w:val="20"/>
                <w:szCs w:val="20"/>
                <w:lang w:val="hy-AM"/>
              </w:rPr>
              <w:t xml:space="preserve"> (մլն </w:t>
            </w:r>
            <w:r w:rsidRPr="00A205DB">
              <w:rPr>
                <w:rFonts w:cs="Sylfaen"/>
                <w:color w:val="171717"/>
                <w:sz w:val="20"/>
                <w:szCs w:val="20"/>
                <w:lang w:val="hy-AM"/>
              </w:rPr>
              <w:t>ԱՄՆ</w:t>
            </w:r>
            <w:r w:rsidRPr="00A205DB">
              <w:rPr>
                <w:rFonts w:cs="Arial"/>
                <w:color w:val="171717"/>
                <w:sz w:val="20"/>
                <w:szCs w:val="20"/>
                <w:lang w:val="hy-AM"/>
              </w:rPr>
              <w:t xml:space="preserve"> </w:t>
            </w:r>
            <w:r w:rsidRPr="00A205DB">
              <w:rPr>
                <w:rFonts w:cs="Sylfaen"/>
                <w:color w:val="171717"/>
                <w:sz w:val="20"/>
                <w:szCs w:val="20"/>
                <w:lang w:val="hy-AM"/>
              </w:rPr>
              <w:t>դոլար</w:t>
            </w:r>
            <w:r w:rsidRPr="00A205DB">
              <w:rPr>
                <w:rFonts w:cs="Arial"/>
                <w:color w:val="171717"/>
                <w:sz w:val="20"/>
                <w:szCs w:val="20"/>
                <w:lang w:val="hy-AM"/>
              </w:rPr>
              <w:t>)</w:t>
            </w:r>
          </w:p>
        </w:tc>
        <w:tc>
          <w:tcPr>
            <w:tcW w:w="1433" w:type="dxa"/>
            <w:tcBorders>
              <w:left w:val="double" w:sz="4" w:space="0" w:color="auto"/>
              <w:right w:val="nil"/>
            </w:tcBorders>
            <w:vAlign w:val="center"/>
          </w:tcPr>
          <w:p w14:paraId="748A6D1F" w14:textId="77777777" w:rsidR="00F1465E" w:rsidRPr="00CC7BAE" w:rsidDel="00A75F14" w:rsidRDefault="00F1465E" w:rsidP="00231073">
            <w:pPr>
              <w:spacing w:before="0" w:after="0"/>
              <w:ind w:firstLine="0"/>
              <w:jc w:val="center"/>
              <w:rPr>
                <w:color w:val="FF0000"/>
                <w:sz w:val="20"/>
                <w:szCs w:val="20"/>
              </w:rPr>
            </w:pPr>
            <w:r w:rsidRPr="00CC7BAE">
              <w:rPr>
                <w:rFonts w:cs="Arial"/>
                <w:color w:val="000000"/>
                <w:sz w:val="20"/>
                <w:szCs w:val="20"/>
              </w:rPr>
              <w:t>5,640.7</w:t>
            </w:r>
          </w:p>
        </w:tc>
        <w:tc>
          <w:tcPr>
            <w:tcW w:w="1047" w:type="dxa"/>
            <w:tcBorders>
              <w:left w:val="nil"/>
              <w:right w:val="nil"/>
            </w:tcBorders>
            <w:vAlign w:val="center"/>
          </w:tcPr>
          <w:p w14:paraId="7D892FB3" w14:textId="77777777" w:rsidR="00F1465E" w:rsidRPr="00CC7BAE" w:rsidRDefault="00F1465E" w:rsidP="00231073">
            <w:pPr>
              <w:spacing w:before="0" w:after="0"/>
              <w:ind w:firstLine="0"/>
              <w:jc w:val="center"/>
              <w:rPr>
                <w:color w:val="FF0000"/>
                <w:sz w:val="20"/>
                <w:szCs w:val="20"/>
                <w:lang w:val="hy-AM"/>
              </w:rPr>
            </w:pPr>
            <w:r w:rsidRPr="00CC7BAE">
              <w:rPr>
                <w:rFonts w:cs="Arial"/>
                <w:color w:val="000000"/>
                <w:sz w:val="20"/>
                <w:szCs w:val="20"/>
              </w:rPr>
              <w:t>4,413.5</w:t>
            </w:r>
          </w:p>
        </w:tc>
        <w:tc>
          <w:tcPr>
            <w:tcW w:w="1420" w:type="dxa"/>
            <w:tcBorders>
              <w:left w:val="nil"/>
              <w:right w:val="nil"/>
            </w:tcBorders>
            <w:vAlign w:val="center"/>
          </w:tcPr>
          <w:p w14:paraId="12F7E688" w14:textId="77777777" w:rsidR="00F1465E" w:rsidRPr="00CC7BAE" w:rsidDel="00A75F14" w:rsidRDefault="00F1465E" w:rsidP="00231073">
            <w:pPr>
              <w:spacing w:before="0" w:after="0"/>
              <w:ind w:firstLine="0"/>
              <w:jc w:val="center"/>
              <w:rPr>
                <w:color w:val="FF0000"/>
                <w:sz w:val="20"/>
                <w:szCs w:val="20"/>
                <w:lang w:val="hy-AM"/>
              </w:rPr>
            </w:pPr>
            <w:r w:rsidRPr="00CC7BAE">
              <w:rPr>
                <w:rFonts w:cs="Arial"/>
                <w:color w:val="000000"/>
                <w:sz w:val="20"/>
                <w:szCs w:val="20"/>
              </w:rPr>
              <w:t>5,147.0</w:t>
            </w:r>
          </w:p>
        </w:tc>
        <w:tc>
          <w:tcPr>
            <w:tcW w:w="1402" w:type="dxa"/>
            <w:tcBorders>
              <w:left w:val="nil"/>
              <w:right w:val="nil"/>
            </w:tcBorders>
            <w:vAlign w:val="center"/>
          </w:tcPr>
          <w:p w14:paraId="4B53B6AA" w14:textId="77777777" w:rsidR="00F1465E" w:rsidRPr="00CC7BAE" w:rsidDel="00A75F14" w:rsidRDefault="00F1465E" w:rsidP="00231073">
            <w:pPr>
              <w:spacing w:before="0" w:after="0"/>
              <w:ind w:firstLine="0"/>
              <w:jc w:val="center"/>
              <w:rPr>
                <w:color w:val="FF0000"/>
                <w:sz w:val="20"/>
                <w:szCs w:val="20"/>
                <w:lang w:val="hy-AM"/>
              </w:rPr>
            </w:pPr>
            <w:r w:rsidRPr="00CC7BAE">
              <w:rPr>
                <w:rFonts w:cs="Arial"/>
                <w:color w:val="000000"/>
                <w:sz w:val="20"/>
                <w:szCs w:val="20"/>
              </w:rPr>
              <w:t>5,766.7</w:t>
            </w:r>
          </w:p>
        </w:tc>
        <w:tc>
          <w:tcPr>
            <w:tcW w:w="1438" w:type="dxa"/>
            <w:tcBorders>
              <w:left w:val="nil"/>
              <w:right w:val="nil"/>
            </w:tcBorders>
            <w:vAlign w:val="center"/>
          </w:tcPr>
          <w:p w14:paraId="659367A1" w14:textId="77777777" w:rsidR="00F1465E" w:rsidRPr="00CC7BAE" w:rsidDel="00A75F14" w:rsidRDefault="00F1465E" w:rsidP="00231073">
            <w:pPr>
              <w:spacing w:before="0" w:after="0"/>
              <w:ind w:firstLine="0"/>
              <w:jc w:val="center"/>
              <w:rPr>
                <w:color w:val="FF0000"/>
                <w:sz w:val="20"/>
                <w:szCs w:val="20"/>
                <w:lang w:val="hy-AM"/>
              </w:rPr>
            </w:pPr>
            <w:r w:rsidRPr="00CC7BAE">
              <w:rPr>
                <w:rFonts w:cs="Arial"/>
                <w:color w:val="000000"/>
                <w:sz w:val="20"/>
                <w:szCs w:val="20"/>
              </w:rPr>
              <w:t>6,441.4</w:t>
            </w:r>
          </w:p>
        </w:tc>
      </w:tr>
      <w:tr w:rsidR="00F1465E" w:rsidRPr="00A75F14" w14:paraId="148BEA8A" w14:textId="77777777" w:rsidTr="00231073">
        <w:trPr>
          <w:trHeight w:val="483"/>
          <w:jc w:val="center"/>
        </w:trPr>
        <w:tc>
          <w:tcPr>
            <w:tcW w:w="3220" w:type="dxa"/>
            <w:tcBorders>
              <w:left w:val="nil"/>
              <w:right w:val="nil"/>
            </w:tcBorders>
            <w:vAlign w:val="center"/>
          </w:tcPr>
          <w:p w14:paraId="6508AF8B" w14:textId="77777777" w:rsidR="00F1465E" w:rsidRPr="00A75F14" w:rsidDel="00A75F14" w:rsidRDefault="00F1465E" w:rsidP="00231073">
            <w:pPr>
              <w:spacing w:before="0" w:after="0"/>
              <w:ind w:firstLine="0"/>
              <w:jc w:val="left"/>
              <w:rPr>
                <w:sz w:val="20"/>
                <w:szCs w:val="20"/>
                <w:lang w:val="hy-AM"/>
              </w:rPr>
            </w:pPr>
            <w:r w:rsidRPr="00A205DB">
              <w:rPr>
                <w:rFonts w:cs="Sylfaen"/>
                <w:color w:val="171717"/>
                <w:sz w:val="20"/>
                <w:szCs w:val="20"/>
                <w:lang w:val="hy-AM"/>
              </w:rPr>
              <w:t>Ապրանքների</w:t>
            </w:r>
            <w:r w:rsidRPr="00A205DB">
              <w:rPr>
                <w:rFonts w:cs="Arial"/>
                <w:color w:val="171717"/>
                <w:sz w:val="20"/>
                <w:szCs w:val="20"/>
                <w:lang w:val="hy-AM"/>
              </w:rPr>
              <w:t xml:space="preserve"> </w:t>
            </w:r>
            <w:r w:rsidRPr="00A205DB">
              <w:rPr>
                <w:rFonts w:cs="Sylfaen"/>
                <w:color w:val="171717"/>
                <w:sz w:val="20"/>
                <w:szCs w:val="20"/>
                <w:lang w:val="hy-AM"/>
              </w:rPr>
              <w:t>և</w:t>
            </w:r>
            <w:r w:rsidRPr="00A205DB">
              <w:rPr>
                <w:rFonts w:cs="Arial"/>
                <w:color w:val="171717"/>
                <w:sz w:val="20"/>
                <w:szCs w:val="20"/>
                <w:lang w:val="hy-AM"/>
              </w:rPr>
              <w:t xml:space="preserve"> </w:t>
            </w:r>
            <w:r w:rsidRPr="00A205DB">
              <w:rPr>
                <w:rFonts w:cs="Sylfaen"/>
                <w:color w:val="171717"/>
                <w:sz w:val="20"/>
                <w:szCs w:val="20"/>
                <w:lang w:val="hy-AM"/>
              </w:rPr>
              <w:t>ծառայությունների</w:t>
            </w:r>
            <w:r w:rsidRPr="00A205DB">
              <w:rPr>
                <w:rFonts w:cs="Arial"/>
                <w:color w:val="171717"/>
                <w:sz w:val="20"/>
                <w:szCs w:val="20"/>
                <w:lang w:val="hy-AM"/>
              </w:rPr>
              <w:t xml:space="preserve"> </w:t>
            </w:r>
            <w:r w:rsidRPr="00A205DB">
              <w:rPr>
                <w:rFonts w:cs="Sylfaen"/>
                <w:color w:val="171717"/>
                <w:sz w:val="20"/>
                <w:szCs w:val="20"/>
                <w:lang w:val="hy-AM"/>
              </w:rPr>
              <w:t>ներմուծում</w:t>
            </w:r>
            <w:r w:rsidRPr="00A205DB">
              <w:rPr>
                <w:rFonts w:cs="Arial"/>
                <w:color w:val="171717"/>
                <w:sz w:val="20"/>
                <w:szCs w:val="20"/>
                <w:lang w:val="hy-AM"/>
              </w:rPr>
              <w:t xml:space="preserve"> (մլն </w:t>
            </w:r>
            <w:r w:rsidRPr="00A205DB">
              <w:rPr>
                <w:rFonts w:cs="Sylfaen"/>
                <w:color w:val="171717"/>
                <w:sz w:val="20"/>
                <w:szCs w:val="20"/>
                <w:lang w:val="hy-AM"/>
              </w:rPr>
              <w:t>ԱՄՆ</w:t>
            </w:r>
            <w:r w:rsidRPr="00A205DB">
              <w:rPr>
                <w:rFonts w:cs="Arial"/>
                <w:color w:val="171717"/>
                <w:sz w:val="20"/>
                <w:szCs w:val="20"/>
                <w:lang w:val="hy-AM"/>
              </w:rPr>
              <w:t xml:space="preserve"> </w:t>
            </w:r>
            <w:r w:rsidRPr="00A205DB">
              <w:rPr>
                <w:rFonts w:cs="Sylfaen"/>
                <w:color w:val="171717"/>
                <w:sz w:val="20"/>
                <w:szCs w:val="20"/>
                <w:lang w:val="hy-AM"/>
              </w:rPr>
              <w:t>դոլար</w:t>
            </w:r>
            <w:r w:rsidRPr="00A205DB">
              <w:rPr>
                <w:rFonts w:cs="Arial"/>
                <w:color w:val="171717"/>
                <w:sz w:val="20"/>
                <w:szCs w:val="20"/>
                <w:lang w:val="hy-AM"/>
              </w:rPr>
              <w:t>)</w:t>
            </w:r>
          </w:p>
        </w:tc>
        <w:tc>
          <w:tcPr>
            <w:tcW w:w="1433" w:type="dxa"/>
            <w:tcBorders>
              <w:left w:val="double" w:sz="4" w:space="0" w:color="auto"/>
              <w:right w:val="nil"/>
            </w:tcBorders>
            <w:vAlign w:val="center"/>
          </w:tcPr>
          <w:p w14:paraId="194350A0" w14:textId="77777777" w:rsidR="00F1465E" w:rsidRPr="00CC7BAE" w:rsidDel="00A75F14" w:rsidRDefault="00F1465E" w:rsidP="00231073">
            <w:pPr>
              <w:spacing w:before="0" w:after="0"/>
              <w:ind w:firstLine="0"/>
              <w:jc w:val="center"/>
              <w:rPr>
                <w:color w:val="FF0000"/>
                <w:sz w:val="20"/>
                <w:szCs w:val="20"/>
                <w:lang w:val="hy-AM"/>
              </w:rPr>
            </w:pPr>
            <w:r>
              <w:rPr>
                <w:rFonts w:cs="Arial"/>
                <w:color w:val="000000"/>
                <w:sz w:val="20"/>
                <w:szCs w:val="20"/>
              </w:rPr>
              <w:t>-</w:t>
            </w:r>
            <w:r w:rsidRPr="00CC7BAE">
              <w:rPr>
                <w:rFonts w:cs="Arial"/>
                <w:color w:val="000000"/>
                <w:sz w:val="20"/>
                <w:szCs w:val="20"/>
              </w:rPr>
              <w:t>7,469.5</w:t>
            </w:r>
          </w:p>
        </w:tc>
        <w:tc>
          <w:tcPr>
            <w:tcW w:w="1047" w:type="dxa"/>
            <w:tcBorders>
              <w:left w:val="nil"/>
              <w:right w:val="nil"/>
            </w:tcBorders>
            <w:vAlign w:val="center"/>
          </w:tcPr>
          <w:p w14:paraId="4678B788" w14:textId="77777777" w:rsidR="00F1465E" w:rsidRPr="00CC7BAE" w:rsidRDefault="00F1465E" w:rsidP="00231073">
            <w:pPr>
              <w:spacing w:before="0" w:after="0"/>
              <w:ind w:firstLine="0"/>
              <w:jc w:val="center"/>
              <w:rPr>
                <w:color w:val="FF0000"/>
                <w:sz w:val="20"/>
                <w:szCs w:val="20"/>
                <w:lang w:val="hy-AM"/>
              </w:rPr>
            </w:pPr>
            <w:r>
              <w:rPr>
                <w:rFonts w:cs="Arial"/>
                <w:color w:val="000000"/>
                <w:sz w:val="20"/>
                <w:szCs w:val="20"/>
              </w:rPr>
              <w:t>-</w:t>
            </w:r>
            <w:r w:rsidRPr="00CC7BAE">
              <w:rPr>
                <w:rFonts w:cs="Arial"/>
                <w:color w:val="000000"/>
                <w:sz w:val="20"/>
                <w:szCs w:val="20"/>
              </w:rPr>
              <w:t>6,374.3</w:t>
            </w:r>
          </w:p>
        </w:tc>
        <w:tc>
          <w:tcPr>
            <w:tcW w:w="1420" w:type="dxa"/>
            <w:tcBorders>
              <w:left w:val="nil"/>
              <w:right w:val="nil"/>
            </w:tcBorders>
            <w:vAlign w:val="center"/>
          </w:tcPr>
          <w:p w14:paraId="2025B918" w14:textId="77777777" w:rsidR="00F1465E" w:rsidRPr="00CC7BAE" w:rsidDel="00A75F14" w:rsidRDefault="00F1465E" w:rsidP="00231073">
            <w:pPr>
              <w:spacing w:before="0" w:after="0"/>
              <w:ind w:firstLine="0"/>
              <w:jc w:val="center"/>
              <w:rPr>
                <w:color w:val="FF0000"/>
                <w:sz w:val="20"/>
                <w:szCs w:val="20"/>
                <w:lang w:val="hy-AM"/>
              </w:rPr>
            </w:pPr>
            <w:r>
              <w:rPr>
                <w:rFonts w:cs="Arial"/>
                <w:color w:val="000000"/>
                <w:sz w:val="20"/>
                <w:szCs w:val="20"/>
              </w:rPr>
              <w:t>-</w:t>
            </w:r>
            <w:r w:rsidRPr="00CC7BAE">
              <w:rPr>
                <w:rFonts w:cs="Arial"/>
                <w:color w:val="000000"/>
                <w:sz w:val="20"/>
                <w:szCs w:val="20"/>
              </w:rPr>
              <w:t>6,992.3</w:t>
            </w:r>
          </w:p>
        </w:tc>
        <w:tc>
          <w:tcPr>
            <w:tcW w:w="1402" w:type="dxa"/>
            <w:tcBorders>
              <w:left w:val="nil"/>
              <w:right w:val="nil"/>
            </w:tcBorders>
            <w:vAlign w:val="center"/>
          </w:tcPr>
          <w:p w14:paraId="623A9BA4" w14:textId="77777777" w:rsidR="00F1465E" w:rsidRPr="00CC7BAE" w:rsidDel="00A75F14" w:rsidRDefault="00F1465E" w:rsidP="00231073">
            <w:pPr>
              <w:spacing w:before="0" w:after="0"/>
              <w:ind w:firstLine="0"/>
              <w:jc w:val="center"/>
              <w:rPr>
                <w:color w:val="FF0000"/>
                <w:sz w:val="20"/>
                <w:szCs w:val="20"/>
                <w:lang w:val="hy-AM"/>
              </w:rPr>
            </w:pPr>
            <w:r>
              <w:rPr>
                <w:rFonts w:cs="Arial"/>
                <w:color w:val="000000"/>
                <w:sz w:val="20"/>
                <w:szCs w:val="20"/>
              </w:rPr>
              <w:t>-</w:t>
            </w:r>
            <w:r w:rsidRPr="00CC7BAE">
              <w:rPr>
                <w:rFonts w:cs="Arial"/>
                <w:color w:val="000000"/>
                <w:sz w:val="20"/>
                <w:szCs w:val="20"/>
              </w:rPr>
              <w:t>7,574.6</w:t>
            </w:r>
          </w:p>
        </w:tc>
        <w:tc>
          <w:tcPr>
            <w:tcW w:w="1438" w:type="dxa"/>
            <w:tcBorders>
              <w:left w:val="nil"/>
              <w:right w:val="nil"/>
            </w:tcBorders>
            <w:vAlign w:val="center"/>
          </w:tcPr>
          <w:p w14:paraId="7D71DF2E" w14:textId="77777777" w:rsidR="00F1465E" w:rsidRPr="00CC7BAE" w:rsidDel="00A75F14" w:rsidRDefault="00F1465E" w:rsidP="00231073">
            <w:pPr>
              <w:spacing w:before="0" w:after="0"/>
              <w:ind w:firstLine="0"/>
              <w:jc w:val="center"/>
              <w:rPr>
                <w:color w:val="FF0000"/>
                <w:sz w:val="20"/>
                <w:szCs w:val="20"/>
                <w:lang w:val="hy-AM"/>
              </w:rPr>
            </w:pPr>
            <w:r>
              <w:rPr>
                <w:rFonts w:cs="Arial"/>
                <w:color w:val="000000"/>
                <w:sz w:val="20"/>
                <w:szCs w:val="20"/>
              </w:rPr>
              <w:t>-</w:t>
            </w:r>
            <w:r w:rsidRPr="00CC7BAE">
              <w:rPr>
                <w:rFonts w:cs="Arial"/>
                <w:color w:val="000000"/>
                <w:sz w:val="20"/>
                <w:szCs w:val="20"/>
              </w:rPr>
              <w:t>7,960.9</w:t>
            </w:r>
          </w:p>
        </w:tc>
      </w:tr>
      <w:tr w:rsidR="00F1465E" w:rsidRPr="00A75F14" w14:paraId="4FDC5F50" w14:textId="77777777" w:rsidTr="00231073">
        <w:trPr>
          <w:trHeight w:val="483"/>
          <w:jc w:val="center"/>
        </w:trPr>
        <w:tc>
          <w:tcPr>
            <w:tcW w:w="3220" w:type="dxa"/>
            <w:tcBorders>
              <w:left w:val="nil"/>
              <w:right w:val="nil"/>
            </w:tcBorders>
            <w:vAlign w:val="center"/>
          </w:tcPr>
          <w:p w14:paraId="56B1694D" w14:textId="77777777" w:rsidR="00F1465E" w:rsidRPr="00A75F14" w:rsidDel="00A75F14" w:rsidRDefault="00F1465E" w:rsidP="00231073">
            <w:pPr>
              <w:spacing w:before="0" w:after="0"/>
              <w:ind w:firstLine="0"/>
              <w:jc w:val="left"/>
              <w:rPr>
                <w:sz w:val="20"/>
                <w:szCs w:val="20"/>
                <w:lang w:val="hy-AM"/>
              </w:rPr>
            </w:pPr>
            <w:r w:rsidRPr="00A205DB">
              <w:rPr>
                <w:rFonts w:cs="Sylfaen"/>
                <w:color w:val="171717"/>
                <w:sz w:val="20"/>
                <w:szCs w:val="20"/>
                <w:lang w:val="hy-AM"/>
              </w:rPr>
              <w:t>Ընթացիկ</w:t>
            </w:r>
            <w:r w:rsidRPr="00A205DB">
              <w:rPr>
                <w:rFonts w:cs="Arial"/>
                <w:color w:val="171717"/>
                <w:sz w:val="20"/>
                <w:szCs w:val="20"/>
                <w:lang w:val="hy-AM"/>
              </w:rPr>
              <w:t xml:space="preserve"> </w:t>
            </w:r>
            <w:r w:rsidRPr="00A205DB">
              <w:rPr>
                <w:rFonts w:cs="Sylfaen"/>
                <w:color w:val="171717"/>
                <w:sz w:val="20"/>
                <w:szCs w:val="20"/>
                <w:lang w:val="hy-AM"/>
              </w:rPr>
              <w:t>հաշվի</w:t>
            </w:r>
            <w:r w:rsidRPr="00A205DB">
              <w:rPr>
                <w:rFonts w:cs="Arial"/>
                <w:color w:val="171717"/>
                <w:sz w:val="20"/>
                <w:szCs w:val="20"/>
                <w:lang w:val="hy-AM"/>
              </w:rPr>
              <w:t xml:space="preserve"> </w:t>
            </w:r>
            <w:r w:rsidRPr="00A205DB">
              <w:rPr>
                <w:rFonts w:cs="Sylfaen"/>
                <w:color w:val="171717"/>
                <w:sz w:val="20"/>
                <w:szCs w:val="20"/>
                <w:lang w:val="hy-AM"/>
              </w:rPr>
              <w:t>հաշվեկշիռ</w:t>
            </w:r>
            <w:r w:rsidRPr="00A205DB">
              <w:rPr>
                <w:rFonts w:cs="Arial"/>
                <w:color w:val="171717"/>
                <w:sz w:val="20"/>
                <w:szCs w:val="20"/>
                <w:lang w:val="hy-AM"/>
              </w:rPr>
              <w:t xml:space="preserve"> (</w:t>
            </w:r>
            <w:r w:rsidRPr="00A205DB">
              <w:rPr>
                <w:rFonts w:cs="Arial"/>
                <w:iCs/>
                <w:color w:val="171717"/>
                <w:sz w:val="20"/>
                <w:szCs w:val="20"/>
                <w:lang w:val="hy-AM"/>
              </w:rPr>
              <w:t xml:space="preserve">% </w:t>
            </w:r>
            <w:r w:rsidRPr="00A205DB">
              <w:rPr>
                <w:rFonts w:cs="Sylfaen"/>
                <w:iCs/>
                <w:color w:val="171717"/>
                <w:sz w:val="20"/>
                <w:szCs w:val="20"/>
                <w:lang w:val="hy-AM"/>
              </w:rPr>
              <w:t>ՀՆԱ</w:t>
            </w:r>
            <w:r w:rsidRPr="00A205DB">
              <w:rPr>
                <w:rFonts w:cs="Arial"/>
                <w:iCs/>
                <w:color w:val="171717"/>
                <w:sz w:val="20"/>
                <w:szCs w:val="20"/>
                <w:lang w:val="hy-AM"/>
              </w:rPr>
              <w:t>-</w:t>
            </w:r>
            <w:r w:rsidRPr="00A205DB">
              <w:rPr>
                <w:rFonts w:cs="Sylfaen"/>
                <w:iCs/>
                <w:color w:val="171717"/>
                <w:sz w:val="20"/>
                <w:szCs w:val="20"/>
                <w:lang w:val="hy-AM"/>
              </w:rPr>
              <w:t>ի</w:t>
            </w:r>
            <w:r w:rsidRPr="00A205DB">
              <w:rPr>
                <w:rFonts w:cs="Arial"/>
                <w:iCs/>
                <w:color w:val="171717"/>
                <w:sz w:val="20"/>
                <w:szCs w:val="20"/>
                <w:lang w:val="hy-AM"/>
              </w:rPr>
              <w:t xml:space="preserve"> </w:t>
            </w:r>
            <w:r w:rsidRPr="00A205DB">
              <w:rPr>
                <w:rFonts w:cs="Sylfaen"/>
                <w:iCs/>
                <w:color w:val="171717"/>
                <w:sz w:val="20"/>
                <w:szCs w:val="20"/>
                <w:lang w:val="hy-AM"/>
              </w:rPr>
              <w:t>նկատմամբ</w:t>
            </w:r>
            <w:r w:rsidRPr="00A205DB">
              <w:rPr>
                <w:rFonts w:cs="Arial"/>
                <w:color w:val="171717"/>
                <w:sz w:val="20"/>
                <w:szCs w:val="20"/>
                <w:lang w:val="hy-AM"/>
              </w:rPr>
              <w:t>)</w:t>
            </w:r>
          </w:p>
        </w:tc>
        <w:tc>
          <w:tcPr>
            <w:tcW w:w="1433" w:type="dxa"/>
            <w:tcBorders>
              <w:left w:val="double" w:sz="4" w:space="0" w:color="auto"/>
              <w:right w:val="nil"/>
            </w:tcBorders>
            <w:vAlign w:val="center"/>
          </w:tcPr>
          <w:p w14:paraId="6F219F83" w14:textId="77777777" w:rsidR="00F1465E" w:rsidRPr="00CC7BAE" w:rsidDel="00A75F14" w:rsidRDefault="00F1465E" w:rsidP="00231073">
            <w:pPr>
              <w:spacing w:before="0" w:after="0"/>
              <w:ind w:firstLine="0"/>
              <w:jc w:val="center"/>
              <w:rPr>
                <w:color w:val="FF0000"/>
                <w:sz w:val="20"/>
                <w:szCs w:val="20"/>
                <w:lang w:val="hy-AM"/>
              </w:rPr>
            </w:pPr>
            <w:r w:rsidRPr="00CC7BAE">
              <w:rPr>
                <w:rFonts w:cs="Arial"/>
                <w:color w:val="000000"/>
                <w:sz w:val="20"/>
                <w:szCs w:val="20"/>
              </w:rPr>
              <w:t>-7.2</w:t>
            </w:r>
          </w:p>
        </w:tc>
        <w:tc>
          <w:tcPr>
            <w:tcW w:w="1047" w:type="dxa"/>
            <w:tcBorders>
              <w:left w:val="nil"/>
              <w:right w:val="nil"/>
            </w:tcBorders>
            <w:vAlign w:val="center"/>
          </w:tcPr>
          <w:p w14:paraId="77F15E0C" w14:textId="77777777" w:rsidR="00F1465E" w:rsidRPr="00CC7BAE" w:rsidRDefault="00F1465E" w:rsidP="00231073">
            <w:pPr>
              <w:spacing w:before="0" w:after="0"/>
              <w:ind w:firstLine="0"/>
              <w:jc w:val="center"/>
              <w:rPr>
                <w:color w:val="FF0000"/>
                <w:sz w:val="20"/>
                <w:szCs w:val="20"/>
                <w:lang w:val="hy-AM"/>
              </w:rPr>
            </w:pPr>
            <w:r w:rsidRPr="00CC7BAE">
              <w:rPr>
                <w:rFonts w:cs="Arial"/>
                <w:color w:val="000000"/>
                <w:sz w:val="20"/>
                <w:szCs w:val="20"/>
              </w:rPr>
              <w:t>-9.7</w:t>
            </w:r>
          </w:p>
        </w:tc>
        <w:tc>
          <w:tcPr>
            <w:tcW w:w="1420" w:type="dxa"/>
            <w:tcBorders>
              <w:left w:val="nil"/>
              <w:right w:val="nil"/>
            </w:tcBorders>
            <w:vAlign w:val="center"/>
          </w:tcPr>
          <w:p w14:paraId="01B1DD23" w14:textId="77777777" w:rsidR="00F1465E" w:rsidRPr="00CC7BAE" w:rsidDel="00A75F14" w:rsidRDefault="00F1465E" w:rsidP="00231073">
            <w:pPr>
              <w:spacing w:before="0" w:after="0"/>
              <w:ind w:firstLine="0"/>
              <w:jc w:val="center"/>
              <w:rPr>
                <w:color w:val="FF0000"/>
                <w:sz w:val="20"/>
                <w:szCs w:val="20"/>
                <w:lang w:val="hy-AM"/>
              </w:rPr>
            </w:pPr>
            <w:r w:rsidRPr="00CC7BAE">
              <w:rPr>
                <w:rFonts w:cs="Arial"/>
                <w:color w:val="000000"/>
                <w:sz w:val="20"/>
                <w:szCs w:val="20"/>
              </w:rPr>
              <w:t>-7.3</w:t>
            </w:r>
          </w:p>
        </w:tc>
        <w:tc>
          <w:tcPr>
            <w:tcW w:w="1402" w:type="dxa"/>
            <w:tcBorders>
              <w:left w:val="nil"/>
              <w:right w:val="nil"/>
            </w:tcBorders>
            <w:vAlign w:val="center"/>
          </w:tcPr>
          <w:p w14:paraId="1F7D350C" w14:textId="77777777" w:rsidR="00F1465E" w:rsidRPr="00CC7BAE" w:rsidDel="00A75F14" w:rsidRDefault="00F1465E" w:rsidP="00231073">
            <w:pPr>
              <w:spacing w:before="0" w:after="0"/>
              <w:ind w:firstLine="0"/>
              <w:jc w:val="center"/>
              <w:rPr>
                <w:color w:val="FF0000"/>
                <w:sz w:val="20"/>
                <w:szCs w:val="20"/>
                <w:lang w:val="hy-AM"/>
              </w:rPr>
            </w:pPr>
            <w:r w:rsidRPr="00CC7BAE">
              <w:rPr>
                <w:rFonts w:cs="Arial"/>
                <w:color w:val="000000"/>
                <w:sz w:val="20"/>
                <w:szCs w:val="20"/>
              </w:rPr>
              <w:t>-6.3</w:t>
            </w:r>
          </w:p>
        </w:tc>
        <w:tc>
          <w:tcPr>
            <w:tcW w:w="1438" w:type="dxa"/>
            <w:tcBorders>
              <w:left w:val="nil"/>
              <w:right w:val="nil"/>
            </w:tcBorders>
            <w:vAlign w:val="center"/>
          </w:tcPr>
          <w:p w14:paraId="2168E315" w14:textId="77777777" w:rsidR="00F1465E" w:rsidRPr="00CC7BAE" w:rsidDel="00A75F14" w:rsidRDefault="00F1465E" w:rsidP="00231073">
            <w:pPr>
              <w:spacing w:before="0" w:after="0"/>
              <w:ind w:firstLine="0"/>
              <w:jc w:val="center"/>
              <w:rPr>
                <w:color w:val="FF0000"/>
                <w:sz w:val="20"/>
                <w:szCs w:val="20"/>
                <w:lang w:val="hy-AM"/>
              </w:rPr>
            </w:pPr>
            <w:r w:rsidRPr="00CC7BAE">
              <w:rPr>
                <w:rFonts w:cs="Arial"/>
                <w:color w:val="000000"/>
                <w:sz w:val="20"/>
                <w:szCs w:val="20"/>
              </w:rPr>
              <w:t>-5.6</w:t>
            </w:r>
          </w:p>
        </w:tc>
      </w:tr>
      <w:tr w:rsidR="00F1465E" w:rsidRPr="009638CB" w14:paraId="3B3BEE1B" w14:textId="77777777" w:rsidTr="00231073">
        <w:trPr>
          <w:trHeight w:val="126"/>
          <w:jc w:val="center"/>
        </w:trPr>
        <w:tc>
          <w:tcPr>
            <w:tcW w:w="3220" w:type="dxa"/>
            <w:tcBorders>
              <w:left w:val="nil"/>
              <w:right w:val="nil"/>
            </w:tcBorders>
            <w:vAlign w:val="center"/>
          </w:tcPr>
          <w:p w14:paraId="5441733A" w14:textId="77777777" w:rsidR="00F1465E" w:rsidRPr="009638CB" w:rsidDel="00A75F14" w:rsidRDefault="00F1465E" w:rsidP="00231073">
            <w:pPr>
              <w:spacing w:before="0" w:after="0"/>
              <w:ind w:firstLine="0"/>
              <w:rPr>
                <w:sz w:val="8"/>
                <w:szCs w:val="8"/>
                <w:lang w:val="hy-AM"/>
              </w:rPr>
            </w:pPr>
          </w:p>
        </w:tc>
        <w:tc>
          <w:tcPr>
            <w:tcW w:w="1433" w:type="dxa"/>
            <w:tcBorders>
              <w:left w:val="double" w:sz="4" w:space="0" w:color="auto"/>
              <w:right w:val="nil"/>
            </w:tcBorders>
            <w:vAlign w:val="center"/>
          </w:tcPr>
          <w:p w14:paraId="6DEE58E0" w14:textId="77777777" w:rsidR="00F1465E" w:rsidRPr="009638CB" w:rsidDel="00A75F14" w:rsidRDefault="00F1465E" w:rsidP="00231073">
            <w:pPr>
              <w:spacing w:before="0" w:after="0"/>
              <w:ind w:firstLine="0"/>
              <w:jc w:val="center"/>
              <w:rPr>
                <w:color w:val="FF0000"/>
                <w:sz w:val="8"/>
                <w:szCs w:val="8"/>
                <w:lang w:val="hy-AM"/>
              </w:rPr>
            </w:pPr>
          </w:p>
        </w:tc>
        <w:tc>
          <w:tcPr>
            <w:tcW w:w="1047" w:type="dxa"/>
            <w:tcBorders>
              <w:left w:val="nil"/>
              <w:right w:val="nil"/>
            </w:tcBorders>
            <w:vAlign w:val="center"/>
          </w:tcPr>
          <w:p w14:paraId="6BD47D49" w14:textId="77777777" w:rsidR="00F1465E" w:rsidRPr="009638CB" w:rsidRDefault="00F1465E" w:rsidP="00231073">
            <w:pPr>
              <w:spacing w:before="0" w:after="0"/>
              <w:ind w:firstLine="0"/>
              <w:jc w:val="center"/>
              <w:rPr>
                <w:color w:val="FF0000"/>
                <w:sz w:val="8"/>
                <w:szCs w:val="8"/>
                <w:lang w:val="hy-AM"/>
              </w:rPr>
            </w:pPr>
          </w:p>
        </w:tc>
        <w:tc>
          <w:tcPr>
            <w:tcW w:w="1420" w:type="dxa"/>
            <w:tcBorders>
              <w:left w:val="nil"/>
              <w:right w:val="nil"/>
            </w:tcBorders>
            <w:vAlign w:val="center"/>
          </w:tcPr>
          <w:p w14:paraId="51D759B9" w14:textId="77777777" w:rsidR="00F1465E" w:rsidRPr="009638CB" w:rsidDel="00A75F14" w:rsidRDefault="00F1465E" w:rsidP="00231073">
            <w:pPr>
              <w:spacing w:before="0" w:after="0"/>
              <w:ind w:firstLine="0"/>
              <w:jc w:val="center"/>
              <w:rPr>
                <w:color w:val="FF0000"/>
                <w:sz w:val="8"/>
                <w:szCs w:val="8"/>
                <w:lang w:val="hy-AM"/>
              </w:rPr>
            </w:pPr>
          </w:p>
        </w:tc>
        <w:tc>
          <w:tcPr>
            <w:tcW w:w="1402" w:type="dxa"/>
            <w:tcBorders>
              <w:left w:val="nil"/>
              <w:right w:val="nil"/>
            </w:tcBorders>
            <w:vAlign w:val="center"/>
          </w:tcPr>
          <w:p w14:paraId="4D99DFF4" w14:textId="77777777" w:rsidR="00F1465E" w:rsidRPr="009638CB" w:rsidDel="00A75F14" w:rsidRDefault="00F1465E" w:rsidP="00231073">
            <w:pPr>
              <w:spacing w:before="0" w:after="0"/>
              <w:ind w:firstLine="0"/>
              <w:jc w:val="center"/>
              <w:rPr>
                <w:color w:val="FF0000"/>
                <w:sz w:val="8"/>
                <w:szCs w:val="8"/>
                <w:lang w:val="hy-AM"/>
              </w:rPr>
            </w:pPr>
          </w:p>
        </w:tc>
        <w:tc>
          <w:tcPr>
            <w:tcW w:w="1438" w:type="dxa"/>
            <w:tcBorders>
              <w:left w:val="nil"/>
              <w:right w:val="nil"/>
            </w:tcBorders>
            <w:vAlign w:val="center"/>
          </w:tcPr>
          <w:p w14:paraId="23317400" w14:textId="77777777" w:rsidR="00F1465E" w:rsidRPr="009638CB" w:rsidDel="00A75F14" w:rsidRDefault="00F1465E" w:rsidP="00231073">
            <w:pPr>
              <w:spacing w:before="0" w:after="0"/>
              <w:ind w:firstLine="0"/>
              <w:jc w:val="center"/>
              <w:rPr>
                <w:color w:val="FF0000"/>
                <w:sz w:val="8"/>
                <w:szCs w:val="8"/>
                <w:lang w:val="hy-AM"/>
              </w:rPr>
            </w:pPr>
          </w:p>
        </w:tc>
      </w:tr>
      <w:tr w:rsidR="00F1465E" w:rsidRPr="00A75F14" w14:paraId="6F1EC906" w14:textId="77777777" w:rsidTr="00231073">
        <w:trPr>
          <w:trHeight w:val="294"/>
          <w:jc w:val="center"/>
        </w:trPr>
        <w:tc>
          <w:tcPr>
            <w:tcW w:w="3220" w:type="dxa"/>
            <w:tcBorders>
              <w:left w:val="nil"/>
              <w:right w:val="nil"/>
            </w:tcBorders>
            <w:vAlign w:val="center"/>
          </w:tcPr>
          <w:p w14:paraId="052A4DF1" w14:textId="77777777" w:rsidR="00F1465E" w:rsidRPr="00A75F14" w:rsidDel="00A75F14" w:rsidRDefault="00F1465E" w:rsidP="00231073">
            <w:pPr>
              <w:spacing w:before="0" w:after="0"/>
              <w:ind w:firstLine="0"/>
              <w:jc w:val="left"/>
              <w:rPr>
                <w:sz w:val="20"/>
                <w:szCs w:val="20"/>
                <w:lang w:val="hy-AM"/>
              </w:rPr>
            </w:pPr>
            <w:r w:rsidRPr="00AC67B2">
              <w:rPr>
                <w:rFonts w:cs="Times Unicode"/>
                <w:sz w:val="20"/>
                <w:szCs w:val="20"/>
                <w:lang w:val="hy-AM"/>
              </w:rPr>
              <w:t>ՀՀ կառավարության</w:t>
            </w:r>
            <w:r w:rsidRPr="00AC67B2">
              <w:rPr>
                <w:sz w:val="20"/>
                <w:szCs w:val="20"/>
                <w:lang w:val="hy-AM"/>
              </w:rPr>
              <w:t xml:space="preserve"> </w:t>
            </w:r>
            <w:r w:rsidRPr="00AC67B2">
              <w:rPr>
                <w:rFonts w:cs="Times Unicode"/>
                <w:sz w:val="20"/>
                <w:szCs w:val="20"/>
                <w:lang w:val="hy-AM"/>
              </w:rPr>
              <w:t xml:space="preserve">պարտք </w:t>
            </w:r>
            <w:r w:rsidRPr="00AC67B2">
              <w:rPr>
                <w:sz w:val="20"/>
                <w:szCs w:val="20"/>
                <w:lang w:val="hy-AM"/>
              </w:rPr>
              <w:t>(</w:t>
            </w:r>
            <w:r w:rsidRPr="00AC67B2">
              <w:rPr>
                <w:rFonts w:cs="Times Unicode"/>
                <w:sz w:val="20"/>
                <w:szCs w:val="20"/>
                <w:lang w:val="hy-AM"/>
              </w:rPr>
              <w:t>մլրդ դրամ)</w:t>
            </w:r>
          </w:p>
        </w:tc>
        <w:tc>
          <w:tcPr>
            <w:tcW w:w="1433" w:type="dxa"/>
            <w:tcBorders>
              <w:left w:val="double" w:sz="4" w:space="0" w:color="auto"/>
              <w:right w:val="nil"/>
            </w:tcBorders>
            <w:vAlign w:val="center"/>
          </w:tcPr>
          <w:p w14:paraId="42FCB8A5" w14:textId="77777777" w:rsidR="00F1465E" w:rsidRPr="0086508E" w:rsidDel="00A75F14" w:rsidRDefault="00F1465E" w:rsidP="00231073">
            <w:pPr>
              <w:spacing w:before="0" w:after="0"/>
              <w:ind w:firstLine="0"/>
              <w:jc w:val="center"/>
              <w:rPr>
                <w:rFonts w:cs="Arial"/>
                <w:sz w:val="20"/>
                <w:szCs w:val="20"/>
              </w:rPr>
            </w:pPr>
            <w:r w:rsidRPr="0086508E">
              <w:rPr>
                <w:rFonts w:cs="Arial"/>
                <w:sz w:val="20"/>
                <w:szCs w:val="20"/>
              </w:rPr>
              <w:t>3,278.7</w:t>
            </w:r>
          </w:p>
        </w:tc>
        <w:tc>
          <w:tcPr>
            <w:tcW w:w="1047" w:type="dxa"/>
            <w:tcBorders>
              <w:left w:val="nil"/>
              <w:right w:val="nil"/>
            </w:tcBorders>
            <w:vAlign w:val="center"/>
          </w:tcPr>
          <w:p w14:paraId="74445E37" w14:textId="77777777" w:rsidR="00F1465E" w:rsidRPr="0086508E" w:rsidRDefault="00F1465E" w:rsidP="00231073">
            <w:pPr>
              <w:spacing w:before="0" w:after="0"/>
              <w:ind w:firstLine="0"/>
              <w:jc w:val="center"/>
              <w:rPr>
                <w:rFonts w:cs="Arial"/>
                <w:sz w:val="20"/>
                <w:szCs w:val="20"/>
              </w:rPr>
            </w:pPr>
            <w:r w:rsidRPr="0086508E">
              <w:rPr>
                <w:sz w:val="20"/>
                <w:szCs w:val="20"/>
              </w:rPr>
              <w:t>3,812.0</w:t>
            </w:r>
          </w:p>
        </w:tc>
        <w:tc>
          <w:tcPr>
            <w:tcW w:w="1420" w:type="dxa"/>
            <w:tcBorders>
              <w:left w:val="nil"/>
              <w:right w:val="nil"/>
            </w:tcBorders>
            <w:vAlign w:val="center"/>
          </w:tcPr>
          <w:p w14:paraId="7DDF60BC" w14:textId="77777777" w:rsidR="00F1465E" w:rsidRPr="0086508E" w:rsidDel="00A75F14" w:rsidRDefault="00F1465E" w:rsidP="00231073">
            <w:pPr>
              <w:spacing w:before="0" w:after="0"/>
              <w:ind w:firstLine="0"/>
              <w:jc w:val="center"/>
              <w:rPr>
                <w:rFonts w:cs="Arial"/>
                <w:sz w:val="20"/>
                <w:szCs w:val="20"/>
              </w:rPr>
            </w:pPr>
            <w:r w:rsidRPr="0086508E">
              <w:rPr>
                <w:sz w:val="20"/>
                <w:szCs w:val="20"/>
              </w:rPr>
              <w:t>4,159.8</w:t>
            </w:r>
          </w:p>
        </w:tc>
        <w:tc>
          <w:tcPr>
            <w:tcW w:w="1402" w:type="dxa"/>
            <w:tcBorders>
              <w:left w:val="nil"/>
              <w:right w:val="nil"/>
            </w:tcBorders>
            <w:vAlign w:val="center"/>
          </w:tcPr>
          <w:p w14:paraId="7D8EF6C4" w14:textId="77777777" w:rsidR="00F1465E" w:rsidRPr="0086508E" w:rsidDel="00A75F14" w:rsidRDefault="00F1465E" w:rsidP="00231073">
            <w:pPr>
              <w:spacing w:before="0" w:after="0"/>
              <w:ind w:firstLine="0"/>
              <w:jc w:val="center"/>
              <w:rPr>
                <w:rFonts w:cs="Arial"/>
                <w:sz w:val="20"/>
                <w:szCs w:val="20"/>
              </w:rPr>
            </w:pPr>
            <w:r w:rsidRPr="0086508E">
              <w:rPr>
                <w:sz w:val="20"/>
                <w:szCs w:val="20"/>
              </w:rPr>
              <w:t>4,438.1</w:t>
            </w:r>
          </w:p>
        </w:tc>
        <w:tc>
          <w:tcPr>
            <w:tcW w:w="1438" w:type="dxa"/>
            <w:tcBorders>
              <w:left w:val="nil"/>
              <w:right w:val="nil"/>
            </w:tcBorders>
            <w:vAlign w:val="center"/>
          </w:tcPr>
          <w:p w14:paraId="709DC1C0" w14:textId="77777777" w:rsidR="00F1465E" w:rsidRPr="0086508E" w:rsidDel="00A75F14" w:rsidRDefault="00F1465E" w:rsidP="00231073">
            <w:pPr>
              <w:spacing w:before="0" w:after="0"/>
              <w:ind w:firstLine="0"/>
              <w:jc w:val="center"/>
              <w:rPr>
                <w:rFonts w:cs="Arial"/>
                <w:sz w:val="20"/>
                <w:szCs w:val="20"/>
              </w:rPr>
            </w:pPr>
            <w:r w:rsidRPr="0086508E">
              <w:rPr>
                <w:sz w:val="20"/>
                <w:szCs w:val="20"/>
              </w:rPr>
              <w:t>4,692.3</w:t>
            </w:r>
          </w:p>
        </w:tc>
      </w:tr>
      <w:tr w:rsidR="00F1465E" w:rsidRPr="00A75F14" w14:paraId="5DD322D4" w14:textId="77777777" w:rsidTr="00231073">
        <w:trPr>
          <w:trHeight w:val="483"/>
          <w:jc w:val="center"/>
        </w:trPr>
        <w:tc>
          <w:tcPr>
            <w:tcW w:w="3220" w:type="dxa"/>
            <w:tcBorders>
              <w:left w:val="nil"/>
              <w:bottom w:val="thickThinSmallGap" w:sz="24" w:space="0" w:color="auto"/>
              <w:right w:val="nil"/>
            </w:tcBorders>
            <w:vAlign w:val="center"/>
          </w:tcPr>
          <w:p w14:paraId="0B12E923" w14:textId="77777777" w:rsidR="00F1465E" w:rsidRPr="00A75F14" w:rsidRDefault="00F1465E" w:rsidP="00231073">
            <w:pPr>
              <w:spacing w:before="0" w:after="0"/>
              <w:ind w:firstLine="0"/>
              <w:jc w:val="left"/>
              <w:rPr>
                <w:sz w:val="20"/>
                <w:szCs w:val="20"/>
                <w:lang w:val="hy-AM"/>
              </w:rPr>
            </w:pPr>
            <w:r w:rsidRPr="00A75F14">
              <w:rPr>
                <w:rFonts w:cs="Sylfaen"/>
                <w:iCs/>
                <w:color w:val="171717"/>
                <w:sz w:val="20"/>
                <w:szCs w:val="20"/>
                <w:lang w:val="ru-RU"/>
              </w:rPr>
              <w:t>Անվանական</w:t>
            </w:r>
            <w:r w:rsidRPr="00A75F14">
              <w:rPr>
                <w:rFonts w:cs="Arial"/>
                <w:iCs/>
                <w:color w:val="171717"/>
                <w:sz w:val="20"/>
                <w:szCs w:val="20"/>
                <w:lang w:val="ru-RU"/>
              </w:rPr>
              <w:t xml:space="preserve"> </w:t>
            </w:r>
            <w:r w:rsidRPr="00A75F14">
              <w:rPr>
                <w:rFonts w:cs="Sylfaen"/>
                <w:iCs/>
                <w:color w:val="171717"/>
                <w:sz w:val="20"/>
                <w:szCs w:val="20"/>
              </w:rPr>
              <w:t>ՀՆԱ</w:t>
            </w:r>
            <w:r w:rsidRPr="00A75F14">
              <w:rPr>
                <w:rFonts w:cs="Arial"/>
                <w:iCs/>
                <w:color w:val="171717"/>
                <w:sz w:val="20"/>
                <w:szCs w:val="20"/>
              </w:rPr>
              <w:t xml:space="preserve"> </w:t>
            </w:r>
            <w:r w:rsidRPr="00A75F14">
              <w:rPr>
                <w:rFonts w:cs="Arial"/>
                <w:iCs/>
                <w:color w:val="171717"/>
                <w:sz w:val="20"/>
                <w:szCs w:val="20"/>
                <w:lang w:val="hy-AM"/>
              </w:rPr>
              <w:t>(</w:t>
            </w:r>
            <w:r w:rsidRPr="00A75F14">
              <w:rPr>
                <w:rFonts w:cs="Sylfaen"/>
                <w:iCs/>
                <w:color w:val="171717"/>
                <w:sz w:val="20"/>
                <w:szCs w:val="20"/>
                <w:lang w:val="ru-RU"/>
              </w:rPr>
              <w:t>միլիարդ</w:t>
            </w:r>
            <w:r w:rsidRPr="00A75F14">
              <w:rPr>
                <w:rFonts w:cs="Arial"/>
                <w:iCs/>
                <w:color w:val="171717"/>
                <w:sz w:val="20"/>
                <w:szCs w:val="20"/>
              </w:rPr>
              <w:t xml:space="preserve"> </w:t>
            </w:r>
            <w:r w:rsidRPr="00A75F14">
              <w:rPr>
                <w:rFonts w:cs="Sylfaen"/>
                <w:iCs/>
                <w:color w:val="171717"/>
                <w:sz w:val="20"/>
                <w:szCs w:val="20"/>
                <w:lang w:val="ru-RU"/>
              </w:rPr>
              <w:t>դրամ</w:t>
            </w:r>
            <w:r w:rsidRPr="00A75F14">
              <w:rPr>
                <w:rFonts w:cs="Arial"/>
                <w:iCs/>
                <w:color w:val="171717"/>
                <w:sz w:val="20"/>
                <w:szCs w:val="20"/>
                <w:lang w:val="hy-AM"/>
              </w:rPr>
              <w:t>)</w:t>
            </w:r>
          </w:p>
        </w:tc>
        <w:tc>
          <w:tcPr>
            <w:tcW w:w="1433" w:type="dxa"/>
            <w:tcBorders>
              <w:left w:val="double" w:sz="4" w:space="0" w:color="auto"/>
              <w:bottom w:val="thickThinSmallGap" w:sz="24" w:space="0" w:color="auto"/>
              <w:right w:val="nil"/>
            </w:tcBorders>
            <w:vAlign w:val="center"/>
          </w:tcPr>
          <w:p w14:paraId="6F86A43A" w14:textId="77777777" w:rsidR="00F1465E" w:rsidRPr="0086508E" w:rsidRDefault="00F1465E" w:rsidP="00231073">
            <w:pPr>
              <w:spacing w:before="0" w:after="0"/>
              <w:ind w:firstLine="0"/>
              <w:jc w:val="center"/>
              <w:rPr>
                <w:rFonts w:cs="Arial"/>
                <w:sz w:val="20"/>
                <w:szCs w:val="20"/>
              </w:rPr>
            </w:pPr>
            <w:r w:rsidRPr="0086508E">
              <w:rPr>
                <w:rFonts w:cs="Arial"/>
                <w:sz w:val="20"/>
                <w:szCs w:val="20"/>
              </w:rPr>
              <w:t>6,569.0</w:t>
            </w:r>
          </w:p>
        </w:tc>
        <w:tc>
          <w:tcPr>
            <w:tcW w:w="1047" w:type="dxa"/>
            <w:tcBorders>
              <w:left w:val="nil"/>
              <w:bottom w:val="thickThinSmallGap" w:sz="24" w:space="0" w:color="auto"/>
              <w:right w:val="nil"/>
            </w:tcBorders>
            <w:vAlign w:val="center"/>
          </w:tcPr>
          <w:p w14:paraId="1B572DF9" w14:textId="77777777" w:rsidR="00F1465E" w:rsidRPr="0086508E" w:rsidRDefault="00F1465E" w:rsidP="00231073">
            <w:pPr>
              <w:spacing w:before="0" w:after="0"/>
              <w:ind w:firstLine="0"/>
              <w:jc w:val="center"/>
              <w:rPr>
                <w:rFonts w:cs="Arial"/>
                <w:sz w:val="20"/>
                <w:szCs w:val="20"/>
              </w:rPr>
            </w:pPr>
            <w:r w:rsidRPr="0086508E">
              <w:rPr>
                <w:rFonts w:cs="Arial"/>
                <w:sz w:val="20"/>
                <w:szCs w:val="20"/>
              </w:rPr>
              <w:t>6,505.1</w:t>
            </w:r>
          </w:p>
        </w:tc>
        <w:tc>
          <w:tcPr>
            <w:tcW w:w="1420" w:type="dxa"/>
            <w:tcBorders>
              <w:left w:val="nil"/>
              <w:bottom w:val="thickThinSmallGap" w:sz="24" w:space="0" w:color="auto"/>
              <w:right w:val="nil"/>
            </w:tcBorders>
            <w:vAlign w:val="center"/>
          </w:tcPr>
          <w:p w14:paraId="7A8B6852" w14:textId="77777777" w:rsidR="00F1465E" w:rsidRPr="0086508E" w:rsidRDefault="00F1465E" w:rsidP="00231073">
            <w:pPr>
              <w:spacing w:before="0" w:after="0"/>
              <w:ind w:firstLine="0"/>
              <w:jc w:val="center"/>
              <w:rPr>
                <w:rFonts w:cs="Arial"/>
                <w:sz w:val="20"/>
                <w:szCs w:val="20"/>
              </w:rPr>
            </w:pPr>
            <w:r w:rsidRPr="0086508E">
              <w:rPr>
                <w:rFonts w:cs="Arial"/>
                <w:sz w:val="20"/>
                <w:szCs w:val="20"/>
              </w:rPr>
              <w:t>7,143.0</w:t>
            </w:r>
          </w:p>
        </w:tc>
        <w:tc>
          <w:tcPr>
            <w:tcW w:w="1402" w:type="dxa"/>
            <w:tcBorders>
              <w:left w:val="nil"/>
              <w:bottom w:val="thickThinSmallGap" w:sz="24" w:space="0" w:color="auto"/>
              <w:right w:val="nil"/>
            </w:tcBorders>
            <w:vAlign w:val="center"/>
          </w:tcPr>
          <w:p w14:paraId="512DFAD6" w14:textId="77777777" w:rsidR="00F1465E" w:rsidRPr="0086508E" w:rsidRDefault="00F1465E" w:rsidP="00231073">
            <w:pPr>
              <w:spacing w:before="0" w:after="0"/>
              <w:ind w:firstLine="0"/>
              <w:jc w:val="center"/>
              <w:rPr>
                <w:rFonts w:cs="Arial"/>
                <w:sz w:val="20"/>
                <w:szCs w:val="20"/>
              </w:rPr>
            </w:pPr>
            <w:r w:rsidRPr="0086508E">
              <w:rPr>
                <w:rFonts w:cs="Arial"/>
                <w:sz w:val="20"/>
                <w:szCs w:val="20"/>
              </w:rPr>
              <w:t>7,853.5</w:t>
            </w:r>
          </w:p>
        </w:tc>
        <w:tc>
          <w:tcPr>
            <w:tcW w:w="1438" w:type="dxa"/>
            <w:tcBorders>
              <w:left w:val="nil"/>
              <w:bottom w:val="thickThinSmallGap" w:sz="24" w:space="0" w:color="auto"/>
              <w:right w:val="nil"/>
            </w:tcBorders>
            <w:vAlign w:val="center"/>
          </w:tcPr>
          <w:p w14:paraId="6BFCD70E" w14:textId="77777777" w:rsidR="00F1465E" w:rsidRPr="0086508E" w:rsidRDefault="00F1465E" w:rsidP="00231073">
            <w:pPr>
              <w:spacing w:before="0" w:after="0"/>
              <w:ind w:firstLine="0"/>
              <w:jc w:val="center"/>
              <w:rPr>
                <w:rFonts w:cs="Arial"/>
                <w:sz w:val="20"/>
                <w:szCs w:val="20"/>
              </w:rPr>
            </w:pPr>
            <w:r w:rsidRPr="0086508E">
              <w:rPr>
                <w:rFonts w:cs="Arial"/>
                <w:sz w:val="20"/>
                <w:szCs w:val="20"/>
              </w:rPr>
              <w:t>8,582.5</w:t>
            </w:r>
          </w:p>
        </w:tc>
      </w:tr>
    </w:tbl>
    <w:p w14:paraId="07EC0AD7" w14:textId="77777777" w:rsidR="00F1465E" w:rsidRDefault="00F1465E" w:rsidP="00F1465E">
      <w:pPr>
        <w:spacing w:before="0" w:after="0" w:line="360" w:lineRule="auto"/>
        <w:ind w:firstLine="720"/>
        <w:contextualSpacing/>
        <w:rPr>
          <w:rFonts w:cs="Sylfaen"/>
        </w:rPr>
      </w:pPr>
    </w:p>
    <w:p w14:paraId="05689C32" w14:textId="77777777" w:rsidR="00F1465E" w:rsidRPr="00AC4055" w:rsidRDefault="00F1465E" w:rsidP="007B05B7">
      <w:pPr>
        <w:spacing w:line="276" w:lineRule="auto"/>
        <w:ind w:firstLine="720"/>
        <w:contextualSpacing/>
        <w:rPr>
          <w:rFonts w:cs="Sylfaen"/>
          <w:lang w:val="hy-AM"/>
        </w:rPr>
      </w:pPr>
      <w:r w:rsidRPr="00AC4055">
        <w:rPr>
          <w:rFonts w:cs="Sylfaen"/>
          <w:lang w:val="hy-AM"/>
        </w:rPr>
        <w:t xml:space="preserve">ՀՀ կառավարության պարտք/ՀՆԱ հարաբերակցությունը </w:t>
      </w:r>
      <w:r>
        <w:rPr>
          <w:rFonts w:cs="Sylfaen"/>
        </w:rPr>
        <w:t>մ</w:t>
      </w:r>
      <w:r w:rsidRPr="009E1493">
        <w:rPr>
          <w:rFonts w:cs="Sylfaen"/>
          <w:lang w:val="hy-AM"/>
        </w:rPr>
        <w:t xml:space="preserve">իջնաժամկետ հատվածում </w:t>
      </w:r>
      <w:r>
        <w:rPr>
          <w:rFonts w:cs="Sylfaen"/>
        </w:rPr>
        <w:t>յուրաքանչյուր տարվա</w:t>
      </w:r>
      <w:r w:rsidRPr="00AC4055">
        <w:rPr>
          <w:rFonts w:cs="Sylfaen"/>
          <w:lang w:val="hy-AM"/>
        </w:rPr>
        <w:t xml:space="preserve"> դեկտեմբերի 31-ի դրությամբ կգտնվի «Պետական պարտքի մասին» ՀՀ օրենքի 5-րդ հոդվածով նախատեսված 60 տոկոս սահմանային շեմից ներքև: Կանխատեսվում է, որ 2020-2023թթ. ընթացքում յուրաքանչյուր տարվա վերջին ՀՀ կառավարության պարտք/ՀՆԱ ցուցանիշը գերազանցելու է 50%-ը, ուստի, համաձայն «Պետական պարտքի մասին» ՀՀ օրենքի 5-րդ հոդվածի 7-րդ կետի, կիրառվելու են </w:t>
      </w:r>
      <w:r>
        <w:rPr>
          <w:rFonts w:cs="Sylfaen"/>
        </w:rPr>
        <w:t>օրենսդրությամբ</w:t>
      </w:r>
      <w:r w:rsidRPr="00AC4055">
        <w:rPr>
          <w:rFonts w:cs="Sylfaen"/>
          <w:lang w:val="hy-AM"/>
        </w:rPr>
        <w:t xml:space="preserve"> սահմանված </w:t>
      </w:r>
      <w:r>
        <w:rPr>
          <w:rFonts w:cs="Sylfaen"/>
          <w:lang w:val="hy-AM"/>
        </w:rPr>
        <w:t>համապատասխան</w:t>
      </w:r>
      <w:r w:rsidRPr="00AC4055">
        <w:rPr>
          <w:rFonts w:cs="Sylfaen"/>
          <w:lang w:val="hy-AM"/>
        </w:rPr>
        <w:t xml:space="preserve"> հարկաբյուջետային կանոնները:</w:t>
      </w:r>
    </w:p>
    <w:p w14:paraId="193CE596" w14:textId="77777777" w:rsidR="00F1465E" w:rsidRPr="00AC67B2" w:rsidRDefault="00F1465E" w:rsidP="007B05B7">
      <w:pPr>
        <w:spacing w:line="276" w:lineRule="auto"/>
        <w:ind w:firstLine="709"/>
        <w:contextualSpacing/>
        <w:rPr>
          <w:rFonts w:cs="Times Unicode"/>
          <w:lang w:val="hy-AM"/>
        </w:rPr>
      </w:pPr>
      <w:r w:rsidRPr="00A205DB">
        <w:rPr>
          <w:rFonts w:cs="Times Unicode"/>
          <w:lang w:val="hy-AM"/>
        </w:rPr>
        <w:t xml:space="preserve">Քանի որ </w:t>
      </w:r>
      <w:r w:rsidRPr="00AC67B2">
        <w:rPr>
          <w:rFonts w:cs="Times Unicode"/>
          <w:lang w:val="hy-AM"/>
        </w:rPr>
        <w:t xml:space="preserve">«Պետական պարտքի մասին» ՀՀ օրենքի </w:t>
      </w:r>
      <w:r w:rsidRPr="00A205DB">
        <w:rPr>
          <w:rFonts w:cs="Times Unicode"/>
          <w:lang w:val="hy-AM"/>
        </w:rPr>
        <w:t>12-րդ հոդվածի 1-ին կետի համաձայն ՀՀ կառավարության պարտքի կառավարման ռազմավարական եռամյա ծրագիրը ներառվում է պետական միջնաժամկետ ծախսերի ծրագրի կազմում, ապա</w:t>
      </w:r>
      <w:r w:rsidRPr="00AC67B2">
        <w:rPr>
          <w:rFonts w:cs="Times Unicode"/>
          <w:lang w:val="hy-AM"/>
        </w:rPr>
        <w:t xml:space="preserve"> ՀՀ կառավարության պարտքի ռազմավարության հիմքում ընկած են 202</w:t>
      </w:r>
      <w:r w:rsidRPr="00A205DB">
        <w:rPr>
          <w:rFonts w:cs="Times Unicode"/>
          <w:lang w:val="hy-AM"/>
        </w:rPr>
        <w:t>1</w:t>
      </w:r>
      <w:r w:rsidRPr="00AC67B2">
        <w:rPr>
          <w:rFonts w:cs="Times Unicode"/>
          <w:lang w:val="hy-AM"/>
        </w:rPr>
        <w:t>-202</w:t>
      </w:r>
      <w:r w:rsidRPr="00A205DB">
        <w:rPr>
          <w:rFonts w:cs="Times Unicode"/>
          <w:lang w:val="hy-AM"/>
        </w:rPr>
        <w:t>3</w:t>
      </w:r>
      <w:r w:rsidRPr="00AC67B2">
        <w:rPr>
          <w:rFonts w:cs="Times Unicode"/>
          <w:lang w:val="hy-AM"/>
        </w:rPr>
        <w:t>թթ. պետական միջնաժամկետ ծախսերի ծրագրի հետ համահունչ մակրոտնտեսական կանխատեսումներ: Մակրոտնտեսական ցուցանիշներն ու դրանց հետ կապված ռիսկերի վերլուծությունները մանրամասն ներկայացված են 202</w:t>
      </w:r>
      <w:r w:rsidRPr="00A205DB">
        <w:rPr>
          <w:rFonts w:cs="Times Unicode"/>
          <w:lang w:val="hy-AM"/>
        </w:rPr>
        <w:t>1</w:t>
      </w:r>
      <w:r w:rsidRPr="00AC67B2">
        <w:rPr>
          <w:rFonts w:cs="Times Unicode"/>
          <w:lang w:val="hy-AM"/>
        </w:rPr>
        <w:t>-202</w:t>
      </w:r>
      <w:r w:rsidRPr="00A205DB">
        <w:rPr>
          <w:rFonts w:cs="Times Unicode"/>
          <w:lang w:val="hy-AM"/>
        </w:rPr>
        <w:t>3</w:t>
      </w:r>
      <w:r w:rsidRPr="00AC67B2">
        <w:rPr>
          <w:rFonts w:cs="Times Unicode"/>
          <w:lang w:val="hy-AM"/>
        </w:rPr>
        <w:t>թթ. ՄԺԾԾ-ի «Մակրոտնտեսական վերլուծություններ և կանխատեսումներ» բաժնում:</w:t>
      </w:r>
    </w:p>
    <w:p w14:paraId="5040608A" w14:textId="77777777" w:rsidR="00F1465E" w:rsidRPr="00C35116" w:rsidRDefault="00F1465E" w:rsidP="007B05B7">
      <w:pPr>
        <w:spacing w:line="276" w:lineRule="auto"/>
        <w:ind w:firstLine="720"/>
        <w:rPr>
          <w:rFonts w:cs="Times Unicode"/>
          <w:lang w:val="hy-AM"/>
        </w:rPr>
      </w:pPr>
      <w:r w:rsidRPr="00AC67B2">
        <w:rPr>
          <w:rFonts w:cs="Times Unicode"/>
          <w:lang w:val="hy-AM"/>
        </w:rPr>
        <w:t>Մակրոտնտեսական իրատեսական կանխատեսումների մուտքագրումը պարտքի ծախսերի և ռիսկերի վերլուծության ժամանակ առանցքային նշանակություն ունի, քանի որ դրանց շեղումները կարող են էականորեն փոխել ռիսկերի ցուցանիշների մակարդակը և ուղղվածությունը: Այլ կերպ ասած, ինչպես շուկայական փոփոխականների, այնպես էլ մակրոտնտեսական ցուցանիշների տատանումները կարող են նշանակալի ազդեցություն ունենալ ՀՀ կառավարության պարտքի ռիսկի ցուցանիշների վրա:</w:t>
      </w:r>
    </w:p>
    <w:p w14:paraId="50C47F0D" w14:textId="77777777" w:rsidR="00F1465E" w:rsidRDefault="00F1465E" w:rsidP="007B05B7">
      <w:pPr>
        <w:spacing w:line="276" w:lineRule="auto"/>
        <w:ind w:firstLine="720"/>
        <w:rPr>
          <w:rFonts w:cs="Times Unicode"/>
          <w:lang w:val="hy-AM"/>
        </w:rPr>
      </w:pPr>
      <w:r w:rsidRPr="007A168C">
        <w:rPr>
          <w:rFonts w:cs="Times Unicode"/>
          <w:lang w:val="hy-AM"/>
        </w:rPr>
        <w:t>Համախառ</w:t>
      </w:r>
      <w:r w:rsidRPr="00C35116">
        <w:rPr>
          <w:rFonts w:cs="Times Unicode"/>
          <w:lang w:val="hy-AM"/>
        </w:rPr>
        <w:t>ն</w:t>
      </w:r>
      <w:r w:rsidRPr="007A168C">
        <w:rPr>
          <w:rFonts w:cs="Times Unicode"/>
          <w:lang w:val="hy-AM"/>
        </w:rPr>
        <w:t xml:space="preserve"> փոխառության </w:t>
      </w:r>
      <w:r w:rsidRPr="00F25991">
        <w:rPr>
          <w:rFonts w:cs="Times Unicode"/>
          <w:lang w:val="hy-AM"/>
        </w:rPr>
        <w:t>կարիք</w:t>
      </w:r>
      <w:r w:rsidRPr="007A168C">
        <w:rPr>
          <w:rFonts w:cs="Times Unicode"/>
          <w:lang w:val="hy-AM"/>
        </w:rPr>
        <w:t>ի կանխատեսումը հետևյալն է.</w:t>
      </w:r>
    </w:p>
    <w:p w14:paraId="1D4AE54D" w14:textId="77777777" w:rsidR="007B05B7" w:rsidRPr="00A205DB" w:rsidRDefault="007B05B7" w:rsidP="007B05B7">
      <w:pPr>
        <w:spacing w:line="276" w:lineRule="auto"/>
        <w:ind w:firstLine="720"/>
        <w:rPr>
          <w:rFonts w:cs="Times Unicode"/>
          <w:lang w:val="hy-AM"/>
        </w:rPr>
      </w:pPr>
    </w:p>
    <w:p w14:paraId="5D4B6AB3" w14:textId="77777777" w:rsidR="00F1465E" w:rsidRPr="007B05B7" w:rsidRDefault="00F1465E" w:rsidP="00F1465E">
      <w:pPr>
        <w:spacing w:line="360" w:lineRule="auto"/>
        <w:ind w:left="1418" w:hanging="1418"/>
        <w:rPr>
          <w:rFonts w:cs="Times Unicode"/>
          <w:i/>
          <w:sz w:val="20"/>
          <w:szCs w:val="20"/>
          <w:lang w:val="hy-AM"/>
        </w:rPr>
      </w:pPr>
      <w:r w:rsidRPr="007B05B7">
        <w:rPr>
          <w:rFonts w:cs="Times Unicode"/>
          <w:b/>
          <w:sz w:val="20"/>
          <w:szCs w:val="20"/>
          <w:lang w:val="hy-AM"/>
        </w:rPr>
        <w:t xml:space="preserve">Աղյուսակ </w:t>
      </w:r>
      <w:r w:rsidR="007B05B7" w:rsidRPr="00BE7F99">
        <w:rPr>
          <w:rFonts w:cs="Times Unicode"/>
          <w:b/>
          <w:sz w:val="20"/>
          <w:szCs w:val="20"/>
          <w:lang w:val="hy-AM"/>
        </w:rPr>
        <w:t>1.</w:t>
      </w:r>
      <w:r w:rsidRPr="007B05B7">
        <w:rPr>
          <w:rFonts w:cs="Times Unicode"/>
          <w:b/>
          <w:sz w:val="20"/>
          <w:szCs w:val="20"/>
          <w:lang w:val="hy-AM"/>
        </w:rPr>
        <w:t xml:space="preserve">3 </w:t>
      </w:r>
      <w:r w:rsidRPr="007B05B7">
        <w:rPr>
          <w:rFonts w:cs="Times Unicode"/>
          <w:i/>
          <w:sz w:val="20"/>
          <w:szCs w:val="20"/>
          <w:lang w:val="hy-AM"/>
        </w:rPr>
        <w:t>Ընդամենը ֆինանսավորման կարիք (մլրդ դրամ)</w:t>
      </w:r>
    </w:p>
    <w:p w14:paraId="314949EB" w14:textId="77777777" w:rsidR="00F1465E" w:rsidRPr="00F25991" w:rsidRDefault="00F1465E" w:rsidP="00F1465E">
      <w:pPr>
        <w:autoSpaceDE w:val="0"/>
        <w:autoSpaceDN w:val="0"/>
        <w:adjustRightInd w:val="0"/>
        <w:rPr>
          <w:rFonts w:ascii="Arial" w:hAnsi="Arial" w:cs="Arial"/>
          <w:lang w:val="hy-A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5"/>
        <w:gridCol w:w="1133"/>
        <w:gridCol w:w="1164"/>
        <w:gridCol w:w="1166"/>
        <w:gridCol w:w="1125"/>
        <w:gridCol w:w="1101"/>
      </w:tblGrid>
      <w:tr w:rsidR="00F1465E" w:rsidRPr="00501957" w14:paraId="508260DB" w14:textId="77777777" w:rsidTr="00231073">
        <w:trPr>
          <w:trHeight w:val="697"/>
          <w:tblHeader/>
          <w:jc w:val="center"/>
        </w:trPr>
        <w:tc>
          <w:tcPr>
            <w:tcW w:w="3885" w:type="dxa"/>
            <w:tcBorders>
              <w:top w:val="thinThickThinSmallGap" w:sz="24" w:space="0" w:color="auto"/>
              <w:left w:val="nil"/>
              <w:bottom w:val="thinThickSmallGap" w:sz="24" w:space="0" w:color="auto"/>
              <w:right w:val="nil"/>
            </w:tcBorders>
            <w:shd w:val="clear" w:color="auto" w:fill="0B70B5"/>
          </w:tcPr>
          <w:p w14:paraId="63A57DA2" w14:textId="77777777" w:rsidR="00F1465E" w:rsidRPr="00C35116" w:rsidRDefault="00F1465E" w:rsidP="00231073">
            <w:pPr>
              <w:spacing w:before="0" w:after="0" w:line="360" w:lineRule="auto"/>
              <w:ind w:firstLine="62"/>
              <w:rPr>
                <w:rFonts w:cs="Arial"/>
                <w:color w:val="FFFFFF" w:themeColor="background1"/>
                <w:sz w:val="20"/>
                <w:szCs w:val="20"/>
                <w:lang w:val="hy-AM"/>
              </w:rPr>
            </w:pPr>
          </w:p>
        </w:tc>
        <w:tc>
          <w:tcPr>
            <w:tcW w:w="1133" w:type="dxa"/>
            <w:tcBorders>
              <w:top w:val="thinThickThinSmallGap" w:sz="24" w:space="0" w:color="auto"/>
              <w:left w:val="nil"/>
              <w:bottom w:val="thinThickSmallGap" w:sz="24" w:space="0" w:color="auto"/>
              <w:right w:val="nil"/>
            </w:tcBorders>
            <w:shd w:val="clear" w:color="auto" w:fill="0B70B5"/>
            <w:vAlign w:val="center"/>
          </w:tcPr>
          <w:p w14:paraId="5ED191B5" w14:textId="77777777" w:rsidR="00F1465E" w:rsidRPr="00C35116" w:rsidRDefault="00F1465E" w:rsidP="00231073">
            <w:pPr>
              <w:spacing w:before="0" w:after="0"/>
              <w:ind w:firstLine="62"/>
              <w:jc w:val="center"/>
              <w:rPr>
                <w:rFonts w:cs="Arial"/>
                <w:color w:val="FFFFFF" w:themeColor="background1"/>
                <w:sz w:val="20"/>
                <w:szCs w:val="20"/>
                <w:lang w:val="hy-AM"/>
              </w:rPr>
            </w:pPr>
            <w:r w:rsidRPr="00C35116">
              <w:rPr>
                <w:rFonts w:cs="Arial"/>
                <w:color w:val="FFFFFF" w:themeColor="background1"/>
                <w:sz w:val="20"/>
                <w:szCs w:val="20"/>
                <w:lang w:val="hy-AM"/>
              </w:rPr>
              <w:t>20</w:t>
            </w:r>
            <w:r w:rsidRPr="00C35116">
              <w:rPr>
                <w:rFonts w:cs="Arial"/>
                <w:color w:val="FFFFFF" w:themeColor="background1"/>
                <w:sz w:val="20"/>
                <w:szCs w:val="20"/>
                <w:lang w:val="ru-RU"/>
              </w:rPr>
              <w:t>1</w:t>
            </w:r>
            <w:r w:rsidRPr="00C35116">
              <w:rPr>
                <w:rFonts w:cs="Arial"/>
                <w:color w:val="FFFFFF" w:themeColor="background1"/>
                <w:sz w:val="20"/>
                <w:szCs w:val="20"/>
              </w:rPr>
              <w:t>9</w:t>
            </w:r>
            <w:r w:rsidRPr="00C35116">
              <w:rPr>
                <w:rFonts w:cs="Arial"/>
                <w:color w:val="FFFFFF" w:themeColor="background1"/>
                <w:sz w:val="20"/>
                <w:szCs w:val="20"/>
                <w:lang w:val="hy-AM"/>
              </w:rPr>
              <w:t xml:space="preserve"> </w:t>
            </w:r>
            <w:r w:rsidRPr="00C35116">
              <w:rPr>
                <w:rFonts w:cs="Sylfaen"/>
                <w:color w:val="FFFFFF" w:themeColor="background1"/>
                <w:sz w:val="20"/>
                <w:szCs w:val="20"/>
                <w:lang w:val="ru-RU"/>
              </w:rPr>
              <w:t>փաստ</w:t>
            </w:r>
          </w:p>
        </w:tc>
        <w:tc>
          <w:tcPr>
            <w:tcW w:w="1164" w:type="dxa"/>
            <w:tcBorders>
              <w:top w:val="thinThickThinSmallGap" w:sz="24" w:space="0" w:color="auto"/>
              <w:left w:val="nil"/>
              <w:bottom w:val="thinThickSmallGap" w:sz="24" w:space="0" w:color="auto"/>
              <w:right w:val="nil"/>
            </w:tcBorders>
            <w:shd w:val="clear" w:color="auto" w:fill="0B70B5"/>
            <w:vAlign w:val="center"/>
          </w:tcPr>
          <w:p w14:paraId="28CFAF23" w14:textId="77777777" w:rsidR="00F1465E" w:rsidRPr="00C35116" w:rsidRDefault="00F1465E" w:rsidP="00231073">
            <w:pPr>
              <w:spacing w:before="0" w:after="0"/>
              <w:ind w:firstLine="62"/>
              <w:jc w:val="center"/>
              <w:rPr>
                <w:rFonts w:cs="Arial"/>
                <w:color w:val="FFFFFF" w:themeColor="background1"/>
                <w:sz w:val="20"/>
                <w:szCs w:val="20"/>
                <w:lang w:val="hy-AM"/>
              </w:rPr>
            </w:pPr>
            <w:r w:rsidRPr="00C35116">
              <w:rPr>
                <w:rFonts w:cs="Arial"/>
                <w:color w:val="FFFFFF" w:themeColor="background1"/>
                <w:sz w:val="20"/>
                <w:szCs w:val="20"/>
                <w:lang w:val="hy-AM"/>
              </w:rPr>
              <w:t>20</w:t>
            </w:r>
            <w:r w:rsidRPr="00C35116">
              <w:rPr>
                <w:rFonts w:cs="Arial"/>
                <w:color w:val="FFFFFF" w:themeColor="background1"/>
                <w:sz w:val="20"/>
                <w:szCs w:val="20"/>
              </w:rPr>
              <w:t>20</w:t>
            </w:r>
            <w:r w:rsidRPr="00C35116">
              <w:rPr>
                <w:rFonts w:cs="Arial"/>
                <w:color w:val="FFFFFF" w:themeColor="background1"/>
                <w:sz w:val="20"/>
                <w:szCs w:val="20"/>
                <w:lang w:val="hy-AM"/>
              </w:rPr>
              <w:t xml:space="preserve"> </w:t>
            </w:r>
            <w:r w:rsidRPr="00C35116">
              <w:rPr>
                <w:rFonts w:cs="Sylfaen"/>
                <w:color w:val="FFFFFF" w:themeColor="background1"/>
                <w:sz w:val="20"/>
                <w:szCs w:val="20"/>
                <w:lang w:val="ru-RU"/>
              </w:rPr>
              <w:t>կանխ</w:t>
            </w:r>
            <w:r w:rsidRPr="00C35116">
              <w:rPr>
                <w:rFonts w:cs="Arial"/>
                <w:color w:val="FFFFFF" w:themeColor="background1"/>
                <w:sz w:val="20"/>
                <w:szCs w:val="20"/>
                <w:lang w:val="ru-RU"/>
              </w:rPr>
              <w:t>.</w:t>
            </w:r>
          </w:p>
        </w:tc>
        <w:tc>
          <w:tcPr>
            <w:tcW w:w="1166" w:type="dxa"/>
            <w:tcBorders>
              <w:top w:val="thinThickThinSmallGap" w:sz="24" w:space="0" w:color="auto"/>
              <w:left w:val="nil"/>
              <w:bottom w:val="thinThickSmallGap" w:sz="24" w:space="0" w:color="auto"/>
              <w:right w:val="nil"/>
            </w:tcBorders>
            <w:shd w:val="clear" w:color="auto" w:fill="0B70B5"/>
            <w:vAlign w:val="center"/>
          </w:tcPr>
          <w:p w14:paraId="427E9826" w14:textId="77777777" w:rsidR="00F1465E" w:rsidRPr="00C35116" w:rsidRDefault="00F1465E" w:rsidP="00231073">
            <w:pPr>
              <w:spacing w:before="0" w:after="0"/>
              <w:ind w:firstLine="62"/>
              <w:jc w:val="center"/>
              <w:rPr>
                <w:rFonts w:cs="Arial"/>
                <w:color w:val="FFFFFF" w:themeColor="background1"/>
                <w:sz w:val="20"/>
                <w:szCs w:val="20"/>
                <w:lang w:val="hy-AM"/>
              </w:rPr>
            </w:pPr>
            <w:r w:rsidRPr="00C35116">
              <w:rPr>
                <w:rFonts w:cs="Arial"/>
                <w:color w:val="FFFFFF" w:themeColor="background1"/>
                <w:sz w:val="20"/>
                <w:szCs w:val="20"/>
                <w:lang w:val="hy-AM"/>
              </w:rPr>
              <w:t>202</w:t>
            </w:r>
            <w:r w:rsidRPr="00C35116">
              <w:rPr>
                <w:rFonts w:cs="Arial"/>
                <w:color w:val="FFFFFF" w:themeColor="background1"/>
                <w:sz w:val="20"/>
                <w:szCs w:val="20"/>
              </w:rPr>
              <w:t>1</w:t>
            </w:r>
            <w:r w:rsidRPr="00C35116">
              <w:rPr>
                <w:rFonts w:cs="Arial"/>
                <w:color w:val="FFFFFF" w:themeColor="background1"/>
                <w:sz w:val="20"/>
                <w:szCs w:val="20"/>
                <w:lang w:val="hy-AM"/>
              </w:rPr>
              <w:t xml:space="preserve"> </w:t>
            </w:r>
            <w:r w:rsidRPr="00C35116">
              <w:rPr>
                <w:rFonts w:cs="Sylfaen"/>
                <w:color w:val="FFFFFF" w:themeColor="background1"/>
                <w:sz w:val="20"/>
                <w:szCs w:val="20"/>
                <w:lang w:val="ru-RU"/>
              </w:rPr>
              <w:t>կանխ</w:t>
            </w:r>
            <w:r w:rsidRPr="00C35116">
              <w:rPr>
                <w:rFonts w:cs="Arial"/>
                <w:color w:val="FFFFFF" w:themeColor="background1"/>
                <w:sz w:val="20"/>
                <w:szCs w:val="20"/>
                <w:lang w:val="ru-RU"/>
              </w:rPr>
              <w:t>.</w:t>
            </w:r>
          </w:p>
        </w:tc>
        <w:tc>
          <w:tcPr>
            <w:tcW w:w="1125" w:type="dxa"/>
            <w:tcBorders>
              <w:top w:val="thinThickThinSmallGap" w:sz="24" w:space="0" w:color="auto"/>
              <w:left w:val="nil"/>
              <w:bottom w:val="thinThickSmallGap" w:sz="24" w:space="0" w:color="auto"/>
              <w:right w:val="nil"/>
            </w:tcBorders>
            <w:shd w:val="clear" w:color="auto" w:fill="0B70B5"/>
            <w:vAlign w:val="center"/>
          </w:tcPr>
          <w:p w14:paraId="0D9FB9C2" w14:textId="77777777" w:rsidR="00F1465E" w:rsidRPr="00C35116" w:rsidRDefault="00F1465E" w:rsidP="00231073">
            <w:pPr>
              <w:spacing w:before="0" w:after="0"/>
              <w:ind w:firstLine="62"/>
              <w:jc w:val="center"/>
              <w:rPr>
                <w:rFonts w:cs="Arial"/>
                <w:color w:val="FFFFFF" w:themeColor="background1"/>
                <w:sz w:val="20"/>
                <w:szCs w:val="20"/>
                <w:lang w:val="hy-AM"/>
              </w:rPr>
            </w:pPr>
            <w:r w:rsidRPr="00C35116">
              <w:rPr>
                <w:rFonts w:cs="Arial"/>
                <w:color w:val="FFFFFF" w:themeColor="background1"/>
                <w:sz w:val="20"/>
                <w:szCs w:val="20"/>
                <w:lang w:val="hy-AM"/>
              </w:rPr>
              <w:t>202</w:t>
            </w:r>
            <w:r w:rsidRPr="00C35116">
              <w:rPr>
                <w:rFonts w:cs="Arial"/>
                <w:color w:val="FFFFFF" w:themeColor="background1"/>
                <w:sz w:val="20"/>
                <w:szCs w:val="20"/>
              </w:rPr>
              <w:t>2</w:t>
            </w:r>
            <w:r w:rsidRPr="00C35116">
              <w:rPr>
                <w:rFonts w:cs="Arial"/>
                <w:color w:val="FFFFFF" w:themeColor="background1"/>
                <w:sz w:val="20"/>
                <w:szCs w:val="20"/>
                <w:lang w:val="hy-AM"/>
              </w:rPr>
              <w:t xml:space="preserve"> </w:t>
            </w:r>
            <w:r w:rsidRPr="00C35116">
              <w:rPr>
                <w:rFonts w:cs="Sylfaen"/>
                <w:color w:val="FFFFFF" w:themeColor="background1"/>
                <w:sz w:val="20"/>
                <w:szCs w:val="20"/>
                <w:lang w:val="ru-RU"/>
              </w:rPr>
              <w:t>կանխ</w:t>
            </w:r>
            <w:r w:rsidRPr="00C35116">
              <w:rPr>
                <w:rFonts w:cs="Arial"/>
                <w:color w:val="FFFFFF" w:themeColor="background1"/>
                <w:sz w:val="20"/>
                <w:szCs w:val="20"/>
                <w:lang w:val="ru-RU"/>
              </w:rPr>
              <w:t>.</w:t>
            </w:r>
          </w:p>
        </w:tc>
        <w:tc>
          <w:tcPr>
            <w:tcW w:w="1101" w:type="dxa"/>
            <w:tcBorders>
              <w:top w:val="thinThickThinSmallGap" w:sz="24" w:space="0" w:color="auto"/>
              <w:left w:val="nil"/>
              <w:bottom w:val="thinThickSmallGap" w:sz="24" w:space="0" w:color="auto"/>
              <w:right w:val="nil"/>
            </w:tcBorders>
            <w:shd w:val="clear" w:color="auto" w:fill="0B70B5"/>
            <w:vAlign w:val="center"/>
          </w:tcPr>
          <w:p w14:paraId="43A5F3AF" w14:textId="77777777" w:rsidR="00F1465E" w:rsidRPr="00C35116" w:rsidRDefault="00F1465E" w:rsidP="00231073">
            <w:pPr>
              <w:spacing w:before="0" w:after="0"/>
              <w:ind w:firstLine="62"/>
              <w:jc w:val="center"/>
              <w:rPr>
                <w:rFonts w:cs="Arial"/>
                <w:color w:val="FFFFFF" w:themeColor="background1"/>
                <w:sz w:val="20"/>
                <w:szCs w:val="20"/>
                <w:lang w:val="hy-AM"/>
              </w:rPr>
            </w:pPr>
            <w:r w:rsidRPr="00C35116">
              <w:rPr>
                <w:rFonts w:cs="Arial"/>
                <w:color w:val="FFFFFF" w:themeColor="background1"/>
                <w:sz w:val="20"/>
                <w:szCs w:val="20"/>
                <w:lang w:val="hy-AM"/>
              </w:rPr>
              <w:t>202</w:t>
            </w:r>
            <w:r w:rsidRPr="00C35116">
              <w:rPr>
                <w:rFonts w:cs="Arial"/>
                <w:color w:val="FFFFFF" w:themeColor="background1"/>
                <w:sz w:val="20"/>
                <w:szCs w:val="20"/>
              </w:rPr>
              <w:t>3</w:t>
            </w:r>
            <w:r w:rsidRPr="00C35116">
              <w:rPr>
                <w:rFonts w:cs="Arial"/>
                <w:color w:val="FFFFFF" w:themeColor="background1"/>
                <w:sz w:val="20"/>
                <w:szCs w:val="20"/>
                <w:lang w:val="hy-AM"/>
              </w:rPr>
              <w:t xml:space="preserve"> </w:t>
            </w:r>
            <w:r w:rsidRPr="00C35116">
              <w:rPr>
                <w:rFonts w:cs="Sylfaen"/>
                <w:color w:val="FFFFFF" w:themeColor="background1"/>
                <w:sz w:val="20"/>
                <w:szCs w:val="20"/>
                <w:lang w:val="ru-RU"/>
              </w:rPr>
              <w:t>կանխ</w:t>
            </w:r>
            <w:r w:rsidRPr="00C35116">
              <w:rPr>
                <w:rFonts w:cs="Arial"/>
                <w:color w:val="FFFFFF" w:themeColor="background1"/>
                <w:sz w:val="20"/>
                <w:szCs w:val="20"/>
                <w:lang w:val="ru-RU"/>
              </w:rPr>
              <w:t>.</w:t>
            </w:r>
          </w:p>
        </w:tc>
      </w:tr>
      <w:tr w:rsidR="00F1465E" w:rsidRPr="007030E0" w14:paraId="14CC657E" w14:textId="77777777" w:rsidTr="00231073">
        <w:trPr>
          <w:trHeight w:val="563"/>
          <w:jc w:val="center"/>
        </w:trPr>
        <w:tc>
          <w:tcPr>
            <w:tcW w:w="3885" w:type="dxa"/>
            <w:tcBorders>
              <w:top w:val="thinThickSmallGap" w:sz="24" w:space="0" w:color="auto"/>
              <w:left w:val="nil"/>
              <w:right w:val="nil"/>
            </w:tcBorders>
            <w:vAlign w:val="center"/>
          </w:tcPr>
          <w:p w14:paraId="34CA9B0F" w14:textId="77777777" w:rsidR="00F1465E" w:rsidRPr="007030E0" w:rsidRDefault="00F1465E" w:rsidP="00231073">
            <w:pPr>
              <w:spacing w:before="0" w:after="0" w:line="240" w:lineRule="auto"/>
              <w:ind w:firstLine="62"/>
              <w:jc w:val="left"/>
              <w:rPr>
                <w:rFonts w:cs="Arial"/>
                <w:sz w:val="20"/>
                <w:szCs w:val="20"/>
                <w:lang w:val="hy-AM"/>
              </w:rPr>
            </w:pPr>
            <w:r w:rsidRPr="007030E0">
              <w:rPr>
                <w:rFonts w:cs="Sylfaen"/>
                <w:sz w:val="20"/>
                <w:szCs w:val="20"/>
                <w:lang w:val="hy-AM"/>
              </w:rPr>
              <w:t>Պետական</w:t>
            </w:r>
            <w:r w:rsidRPr="007030E0">
              <w:rPr>
                <w:rFonts w:cs="Arial"/>
                <w:sz w:val="20"/>
                <w:szCs w:val="20"/>
                <w:lang w:val="hy-AM"/>
              </w:rPr>
              <w:t xml:space="preserve"> </w:t>
            </w:r>
            <w:r w:rsidRPr="007030E0">
              <w:rPr>
                <w:rFonts w:cs="Sylfaen"/>
                <w:sz w:val="20"/>
                <w:szCs w:val="20"/>
                <w:lang w:val="hy-AM"/>
              </w:rPr>
              <w:t>բյուջեի</w:t>
            </w:r>
            <w:r w:rsidRPr="007030E0">
              <w:rPr>
                <w:rFonts w:cs="Arial"/>
                <w:sz w:val="20"/>
                <w:szCs w:val="20"/>
                <w:lang w:val="hy-AM"/>
              </w:rPr>
              <w:t xml:space="preserve"> </w:t>
            </w:r>
            <w:r w:rsidRPr="007030E0">
              <w:rPr>
                <w:rFonts w:cs="Sylfaen"/>
                <w:sz w:val="20"/>
                <w:szCs w:val="20"/>
                <w:lang w:val="hy-AM"/>
              </w:rPr>
              <w:t>առաջնային</w:t>
            </w:r>
            <w:r w:rsidRPr="007030E0">
              <w:rPr>
                <w:rFonts w:cs="Arial"/>
                <w:sz w:val="20"/>
                <w:szCs w:val="20"/>
                <w:lang w:val="hy-AM"/>
              </w:rPr>
              <w:t xml:space="preserve"> </w:t>
            </w:r>
            <w:r w:rsidRPr="007030E0">
              <w:rPr>
                <w:rFonts w:cs="Sylfaen"/>
                <w:sz w:val="20"/>
                <w:szCs w:val="20"/>
                <w:lang w:val="hy-AM"/>
              </w:rPr>
              <w:t>պակասուրդ</w:t>
            </w:r>
          </w:p>
        </w:tc>
        <w:tc>
          <w:tcPr>
            <w:tcW w:w="1133" w:type="dxa"/>
            <w:tcBorders>
              <w:top w:val="thinThickSmallGap" w:sz="24" w:space="0" w:color="auto"/>
              <w:left w:val="nil"/>
              <w:right w:val="nil"/>
            </w:tcBorders>
            <w:vAlign w:val="center"/>
          </w:tcPr>
          <w:p w14:paraId="5BAB5EB2" w14:textId="77777777" w:rsidR="00F1465E" w:rsidRPr="00BF6DA6" w:rsidRDefault="00F1465E" w:rsidP="00BF6DA6">
            <w:pPr>
              <w:spacing w:before="0" w:after="0" w:line="240" w:lineRule="auto"/>
              <w:ind w:firstLine="62"/>
              <w:jc w:val="center"/>
              <w:rPr>
                <w:rFonts w:cs="Sylfaen"/>
                <w:sz w:val="20"/>
                <w:szCs w:val="20"/>
                <w:lang w:val="hy-AM"/>
              </w:rPr>
            </w:pPr>
            <w:r w:rsidRPr="00BF6DA6">
              <w:rPr>
                <w:rFonts w:cs="Sylfaen"/>
                <w:sz w:val="20"/>
                <w:szCs w:val="20"/>
                <w:lang w:val="hy-AM"/>
              </w:rPr>
              <w:t>(</w:t>
            </w:r>
            <w:r w:rsidRPr="00926565">
              <w:rPr>
                <w:rFonts w:cs="Sylfaen"/>
                <w:sz w:val="20"/>
                <w:szCs w:val="20"/>
                <w:lang w:val="hy-AM"/>
              </w:rPr>
              <w:t>93.5</w:t>
            </w:r>
            <w:r w:rsidRPr="00BF6DA6">
              <w:rPr>
                <w:rFonts w:cs="Sylfaen"/>
                <w:sz w:val="20"/>
                <w:szCs w:val="20"/>
                <w:lang w:val="hy-AM"/>
              </w:rPr>
              <w:t>)</w:t>
            </w:r>
          </w:p>
        </w:tc>
        <w:tc>
          <w:tcPr>
            <w:tcW w:w="1164" w:type="dxa"/>
            <w:tcBorders>
              <w:top w:val="thinThickSmallGap" w:sz="24" w:space="0" w:color="auto"/>
              <w:left w:val="nil"/>
              <w:right w:val="nil"/>
            </w:tcBorders>
            <w:vAlign w:val="center"/>
          </w:tcPr>
          <w:p w14:paraId="585CC11B" w14:textId="77777777" w:rsidR="00F1465E" w:rsidRPr="00926565" w:rsidRDefault="00F1465E" w:rsidP="00231073">
            <w:pPr>
              <w:spacing w:before="0" w:after="0" w:line="240" w:lineRule="auto"/>
              <w:ind w:firstLine="62"/>
              <w:jc w:val="center"/>
              <w:rPr>
                <w:rFonts w:cs="Sylfaen"/>
                <w:sz w:val="20"/>
                <w:szCs w:val="20"/>
                <w:lang w:val="hy-AM"/>
              </w:rPr>
            </w:pPr>
            <w:r w:rsidRPr="00926565">
              <w:rPr>
                <w:rFonts w:cs="Sylfaen"/>
                <w:sz w:val="20"/>
                <w:szCs w:val="20"/>
                <w:lang w:val="hy-AM"/>
              </w:rPr>
              <w:t>194.8</w:t>
            </w:r>
          </w:p>
        </w:tc>
        <w:tc>
          <w:tcPr>
            <w:tcW w:w="1166" w:type="dxa"/>
            <w:tcBorders>
              <w:top w:val="thinThickSmallGap" w:sz="24" w:space="0" w:color="auto"/>
              <w:left w:val="nil"/>
              <w:right w:val="nil"/>
            </w:tcBorders>
            <w:vAlign w:val="center"/>
          </w:tcPr>
          <w:p w14:paraId="79691EF8" w14:textId="77777777" w:rsidR="00F1465E" w:rsidRDefault="00F1465E" w:rsidP="00231073">
            <w:pPr>
              <w:spacing w:before="0" w:after="0" w:line="240" w:lineRule="auto"/>
              <w:ind w:firstLine="62"/>
              <w:jc w:val="center"/>
              <w:rPr>
                <w:rFonts w:cs="Sylfaen"/>
                <w:b/>
                <w:sz w:val="20"/>
                <w:szCs w:val="20"/>
                <w:lang w:val="hy-AM"/>
              </w:rPr>
            </w:pPr>
            <w:r w:rsidRPr="00926565">
              <w:rPr>
                <w:rFonts w:cs="Sylfaen"/>
                <w:sz w:val="20"/>
                <w:szCs w:val="20"/>
                <w:lang w:val="hy-AM"/>
              </w:rPr>
              <w:t>23.7</w:t>
            </w:r>
          </w:p>
        </w:tc>
        <w:tc>
          <w:tcPr>
            <w:tcW w:w="1125" w:type="dxa"/>
            <w:tcBorders>
              <w:top w:val="thinThickSmallGap" w:sz="24" w:space="0" w:color="auto"/>
              <w:left w:val="nil"/>
              <w:right w:val="nil"/>
            </w:tcBorders>
            <w:vAlign w:val="center"/>
          </w:tcPr>
          <w:p w14:paraId="50D5FB17" w14:textId="77777777" w:rsidR="00F1465E" w:rsidRPr="00BF6DA6" w:rsidRDefault="00F1465E" w:rsidP="00BF6DA6">
            <w:pPr>
              <w:spacing w:before="0" w:after="0" w:line="240" w:lineRule="auto"/>
              <w:ind w:firstLine="62"/>
              <w:jc w:val="center"/>
              <w:rPr>
                <w:rFonts w:cs="Sylfaen"/>
                <w:sz w:val="20"/>
                <w:szCs w:val="20"/>
                <w:lang w:val="hy-AM"/>
              </w:rPr>
            </w:pPr>
            <w:r w:rsidRPr="00BF6DA6">
              <w:rPr>
                <w:rFonts w:cs="Sylfaen"/>
                <w:sz w:val="20"/>
                <w:szCs w:val="20"/>
                <w:lang w:val="hy-AM"/>
              </w:rPr>
              <w:t>(</w:t>
            </w:r>
            <w:r w:rsidRPr="00926565">
              <w:rPr>
                <w:rFonts w:cs="Sylfaen"/>
                <w:sz w:val="20"/>
                <w:szCs w:val="20"/>
                <w:lang w:val="hy-AM"/>
              </w:rPr>
              <w:t>71.0</w:t>
            </w:r>
            <w:r w:rsidRPr="00BF6DA6">
              <w:rPr>
                <w:rFonts w:cs="Sylfaen"/>
                <w:sz w:val="20"/>
                <w:szCs w:val="20"/>
                <w:lang w:val="hy-AM"/>
              </w:rPr>
              <w:t>)</w:t>
            </w:r>
          </w:p>
        </w:tc>
        <w:tc>
          <w:tcPr>
            <w:tcW w:w="1101" w:type="dxa"/>
            <w:tcBorders>
              <w:top w:val="thinThickSmallGap" w:sz="24" w:space="0" w:color="auto"/>
              <w:left w:val="nil"/>
              <w:right w:val="nil"/>
            </w:tcBorders>
            <w:vAlign w:val="center"/>
          </w:tcPr>
          <w:p w14:paraId="3C0E89E2" w14:textId="77777777" w:rsidR="00F1465E" w:rsidRPr="00981DED" w:rsidRDefault="00F1465E" w:rsidP="00981DED">
            <w:pPr>
              <w:spacing w:before="0" w:after="0" w:line="240" w:lineRule="auto"/>
              <w:ind w:firstLine="62"/>
              <w:jc w:val="center"/>
              <w:rPr>
                <w:rFonts w:cs="Sylfaen"/>
                <w:sz w:val="20"/>
                <w:szCs w:val="20"/>
                <w:lang w:val="hy-AM"/>
              </w:rPr>
            </w:pPr>
            <w:r w:rsidRPr="00981DED">
              <w:rPr>
                <w:rFonts w:cs="Sylfaen"/>
                <w:sz w:val="20"/>
                <w:szCs w:val="20"/>
                <w:lang w:val="hy-AM"/>
              </w:rPr>
              <w:t>(</w:t>
            </w:r>
            <w:r w:rsidRPr="00926565">
              <w:rPr>
                <w:rFonts w:cs="Sylfaen"/>
                <w:sz w:val="20"/>
                <w:szCs w:val="20"/>
                <w:lang w:val="hy-AM"/>
              </w:rPr>
              <w:t>78.0</w:t>
            </w:r>
            <w:r w:rsidRPr="00981DED">
              <w:rPr>
                <w:rFonts w:cs="Sylfaen"/>
                <w:sz w:val="20"/>
                <w:szCs w:val="20"/>
                <w:lang w:val="hy-AM"/>
              </w:rPr>
              <w:t>)</w:t>
            </w:r>
          </w:p>
        </w:tc>
      </w:tr>
      <w:tr w:rsidR="00F1465E" w:rsidRPr="007030E0" w14:paraId="6DD9660B" w14:textId="77777777" w:rsidTr="00231073">
        <w:trPr>
          <w:trHeight w:val="553"/>
          <w:jc w:val="center"/>
        </w:trPr>
        <w:tc>
          <w:tcPr>
            <w:tcW w:w="3885" w:type="dxa"/>
            <w:tcBorders>
              <w:left w:val="nil"/>
              <w:right w:val="nil"/>
            </w:tcBorders>
            <w:vAlign w:val="center"/>
          </w:tcPr>
          <w:p w14:paraId="005E43B5" w14:textId="77777777" w:rsidR="00F1465E" w:rsidRPr="007030E0" w:rsidRDefault="00F1465E" w:rsidP="00231073">
            <w:pPr>
              <w:spacing w:before="0" w:after="0" w:line="240" w:lineRule="auto"/>
              <w:ind w:firstLine="62"/>
              <w:jc w:val="left"/>
              <w:rPr>
                <w:rFonts w:cs="Arial"/>
                <w:sz w:val="20"/>
                <w:szCs w:val="20"/>
                <w:lang w:val="hy-AM"/>
              </w:rPr>
            </w:pPr>
            <w:r w:rsidRPr="007030E0">
              <w:rPr>
                <w:rFonts w:cs="Sylfaen"/>
                <w:sz w:val="20"/>
                <w:szCs w:val="20"/>
                <w:lang w:val="hy-AM"/>
              </w:rPr>
              <w:t>ՀՀ</w:t>
            </w:r>
            <w:r w:rsidRPr="007030E0">
              <w:rPr>
                <w:rFonts w:cs="Arial"/>
                <w:sz w:val="20"/>
                <w:szCs w:val="20"/>
                <w:lang w:val="hy-AM"/>
              </w:rPr>
              <w:t xml:space="preserve"> </w:t>
            </w:r>
            <w:r w:rsidRPr="007030E0">
              <w:rPr>
                <w:rFonts w:cs="Sylfaen"/>
                <w:sz w:val="20"/>
                <w:szCs w:val="20"/>
                <w:lang w:val="hy-AM"/>
              </w:rPr>
              <w:t>կառավարության</w:t>
            </w:r>
            <w:r w:rsidRPr="007030E0">
              <w:rPr>
                <w:rFonts w:cs="Arial"/>
                <w:sz w:val="20"/>
                <w:szCs w:val="20"/>
                <w:lang w:val="hy-AM"/>
              </w:rPr>
              <w:t xml:space="preserve"> </w:t>
            </w:r>
            <w:r w:rsidRPr="007030E0">
              <w:rPr>
                <w:rFonts w:cs="Sylfaen"/>
                <w:sz w:val="20"/>
                <w:szCs w:val="20"/>
                <w:lang w:val="hy-AM"/>
              </w:rPr>
              <w:t>պարտքի</w:t>
            </w:r>
            <w:r w:rsidRPr="007030E0">
              <w:rPr>
                <w:rFonts w:cs="Arial"/>
                <w:sz w:val="20"/>
                <w:szCs w:val="20"/>
                <w:lang w:val="hy-AM"/>
              </w:rPr>
              <w:t xml:space="preserve"> </w:t>
            </w:r>
            <w:r w:rsidRPr="007030E0">
              <w:rPr>
                <w:rFonts w:cs="Sylfaen"/>
                <w:sz w:val="20"/>
                <w:szCs w:val="20"/>
                <w:lang w:val="hy-AM"/>
              </w:rPr>
              <w:t>տոկոսավճար</w:t>
            </w:r>
          </w:p>
        </w:tc>
        <w:tc>
          <w:tcPr>
            <w:tcW w:w="1133" w:type="dxa"/>
            <w:tcBorders>
              <w:left w:val="nil"/>
              <w:right w:val="nil"/>
            </w:tcBorders>
            <w:vAlign w:val="center"/>
          </w:tcPr>
          <w:p w14:paraId="3B581B52" w14:textId="77777777" w:rsidR="00F1465E" w:rsidRPr="00233BD9" w:rsidRDefault="00F1465E" w:rsidP="00231073">
            <w:pPr>
              <w:spacing w:before="0" w:after="0" w:line="240" w:lineRule="auto"/>
              <w:ind w:firstLine="62"/>
              <w:jc w:val="center"/>
              <w:rPr>
                <w:rFonts w:cs="Sylfaen"/>
                <w:sz w:val="20"/>
                <w:szCs w:val="20"/>
                <w:lang w:val="hy-AM"/>
              </w:rPr>
            </w:pPr>
            <w:r w:rsidRPr="00233BD9">
              <w:rPr>
                <w:rFonts w:cs="Sylfaen"/>
                <w:sz w:val="20"/>
                <w:szCs w:val="20"/>
                <w:lang w:val="hy-AM"/>
              </w:rPr>
              <w:t>157.5</w:t>
            </w:r>
          </w:p>
        </w:tc>
        <w:tc>
          <w:tcPr>
            <w:tcW w:w="1164" w:type="dxa"/>
            <w:tcBorders>
              <w:left w:val="nil"/>
              <w:right w:val="nil"/>
            </w:tcBorders>
            <w:vAlign w:val="center"/>
          </w:tcPr>
          <w:p w14:paraId="3E1CE4D8" w14:textId="77777777" w:rsidR="00F1465E" w:rsidRDefault="00F1465E" w:rsidP="00231073">
            <w:pPr>
              <w:spacing w:before="0" w:after="0" w:line="240" w:lineRule="auto"/>
              <w:ind w:firstLine="62"/>
              <w:jc w:val="center"/>
              <w:rPr>
                <w:rFonts w:cs="Sylfaen"/>
                <w:sz w:val="20"/>
                <w:szCs w:val="20"/>
                <w:lang w:val="hy-AM"/>
              </w:rPr>
            </w:pPr>
            <w:r w:rsidRPr="00233BD9">
              <w:rPr>
                <w:rFonts w:cs="Sylfaen"/>
                <w:sz w:val="20"/>
                <w:szCs w:val="20"/>
                <w:lang w:val="hy-AM"/>
              </w:rPr>
              <w:t>166.7</w:t>
            </w:r>
          </w:p>
        </w:tc>
        <w:tc>
          <w:tcPr>
            <w:tcW w:w="1166" w:type="dxa"/>
            <w:tcBorders>
              <w:left w:val="nil"/>
              <w:right w:val="nil"/>
            </w:tcBorders>
            <w:vAlign w:val="center"/>
          </w:tcPr>
          <w:p w14:paraId="75840257" w14:textId="77777777" w:rsidR="00F1465E" w:rsidRDefault="00F1465E" w:rsidP="00231073">
            <w:pPr>
              <w:spacing w:before="0" w:after="0" w:line="240" w:lineRule="auto"/>
              <w:ind w:firstLine="62"/>
              <w:jc w:val="center"/>
              <w:rPr>
                <w:rFonts w:cs="Sylfaen"/>
                <w:sz w:val="20"/>
                <w:szCs w:val="20"/>
                <w:lang w:val="hy-AM"/>
              </w:rPr>
            </w:pPr>
            <w:r w:rsidRPr="00233BD9">
              <w:rPr>
                <w:rFonts w:cs="Sylfaen"/>
                <w:sz w:val="20"/>
                <w:szCs w:val="20"/>
                <w:lang w:val="hy-AM"/>
              </w:rPr>
              <w:t>185.5</w:t>
            </w:r>
          </w:p>
        </w:tc>
        <w:tc>
          <w:tcPr>
            <w:tcW w:w="1125" w:type="dxa"/>
            <w:tcBorders>
              <w:left w:val="nil"/>
              <w:right w:val="nil"/>
            </w:tcBorders>
            <w:vAlign w:val="center"/>
          </w:tcPr>
          <w:p w14:paraId="645AB592" w14:textId="77777777" w:rsidR="00F1465E" w:rsidRDefault="00F1465E" w:rsidP="00231073">
            <w:pPr>
              <w:spacing w:before="0" w:after="0" w:line="240" w:lineRule="auto"/>
              <w:ind w:firstLine="62"/>
              <w:jc w:val="center"/>
              <w:rPr>
                <w:rFonts w:cs="Sylfaen"/>
                <w:sz w:val="20"/>
                <w:szCs w:val="20"/>
                <w:lang w:val="hy-AM"/>
              </w:rPr>
            </w:pPr>
            <w:r w:rsidRPr="00233BD9">
              <w:rPr>
                <w:rFonts w:cs="Sylfaen"/>
                <w:sz w:val="20"/>
                <w:szCs w:val="20"/>
                <w:lang w:val="hy-AM"/>
              </w:rPr>
              <w:t>211.2</w:t>
            </w:r>
          </w:p>
        </w:tc>
        <w:tc>
          <w:tcPr>
            <w:tcW w:w="1101" w:type="dxa"/>
            <w:tcBorders>
              <w:left w:val="nil"/>
              <w:right w:val="nil"/>
            </w:tcBorders>
            <w:vAlign w:val="center"/>
          </w:tcPr>
          <w:p w14:paraId="06F48686" w14:textId="77777777" w:rsidR="00F1465E" w:rsidRDefault="00F1465E" w:rsidP="00231073">
            <w:pPr>
              <w:spacing w:before="0" w:after="0" w:line="240" w:lineRule="auto"/>
              <w:ind w:firstLine="62"/>
              <w:jc w:val="center"/>
              <w:rPr>
                <w:rFonts w:cs="Sylfaen"/>
                <w:sz w:val="20"/>
                <w:szCs w:val="20"/>
                <w:lang w:val="hy-AM"/>
              </w:rPr>
            </w:pPr>
            <w:r w:rsidRPr="00233BD9">
              <w:rPr>
                <w:rFonts w:cs="Sylfaen"/>
                <w:sz w:val="20"/>
                <w:szCs w:val="20"/>
                <w:lang w:val="hy-AM"/>
              </w:rPr>
              <w:t>236.6</w:t>
            </w:r>
          </w:p>
        </w:tc>
      </w:tr>
      <w:tr w:rsidR="00F1465E" w:rsidRPr="007030E0" w14:paraId="3911DF9C" w14:textId="77777777" w:rsidTr="00231073">
        <w:trPr>
          <w:trHeight w:val="437"/>
          <w:jc w:val="center"/>
        </w:trPr>
        <w:tc>
          <w:tcPr>
            <w:tcW w:w="3885" w:type="dxa"/>
            <w:tcBorders>
              <w:left w:val="nil"/>
              <w:right w:val="nil"/>
            </w:tcBorders>
            <w:vAlign w:val="center"/>
          </w:tcPr>
          <w:p w14:paraId="482CAA02" w14:textId="77777777" w:rsidR="00F1465E" w:rsidRPr="007030E0" w:rsidRDefault="00F1465E" w:rsidP="00231073">
            <w:pPr>
              <w:spacing w:before="0" w:after="0" w:line="240" w:lineRule="auto"/>
              <w:ind w:firstLine="62"/>
              <w:jc w:val="left"/>
              <w:rPr>
                <w:rFonts w:cs="Arial"/>
                <w:sz w:val="20"/>
                <w:szCs w:val="20"/>
                <w:lang w:val="hy-AM"/>
              </w:rPr>
            </w:pPr>
            <w:r w:rsidRPr="007030E0">
              <w:rPr>
                <w:rFonts w:cs="Sylfaen"/>
                <w:sz w:val="20"/>
                <w:szCs w:val="20"/>
                <w:lang w:val="hy-AM"/>
              </w:rPr>
              <w:t>ՀՀ</w:t>
            </w:r>
            <w:r w:rsidRPr="007030E0">
              <w:rPr>
                <w:rFonts w:cs="Arial"/>
                <w:sz w:val="20"/>
                <w:szCs w:val="20"/>
                <w:lang w:val="hy-AM"/>
              </w:rPr>
              <w:t xml:space="preserve"> </w:t>
            </w:r>
            <w:r w:rsidRPr="007030E0">
              <w:rPr>
                <w:rFonts w:cs="Sylfaen"/>
                <w:sz w:val="20"/>
                <w:szCs w:val="20"/>
                <w:lang w:val="hy-AM"/>
              </w:rPr>
              <w:t>կառավարության</w:t>
            </w:r>
            <w:r w:rsidRPr="007030E0">
              <w:rPr>
                <w:rFonts w:cs="Arial"/>
                <w:sz w:val="20"/>
                <w:szCs w:val="20"/>
                <w:lang w:val="hy-AM"/>
              </w:rPr>
              <w:t xml:space="preserve"> </w:t>
            </w:r>
            <w:r w:rsidRPr="007030E0">
              <w:rPr>
                <w:rFonts w:cs="Sylfaen"/>
                <w:sz w:val="20"/>
                <w:szCs w:val="20"/>
                <w:lang w:val="hy-AM"/>
              </w:rPr>
              <w:t>պարտքի</w:t>
            </w:r>
            <w:r w:rsidRPr="007030E0">
              <w:rPr>
                <w:rFonts w:cs="Arial"/>
                <w:sz w:val="20"/>
                <w:szCs w:val="20"/>
                <w:lang w:val="hy-AM"/>
              </w:rPr>
              <w:t xml:space="preserve"> </w:t>
            </w:r>
            <w:r w:rsidRPr="007030E0">
              <w:rPr>
                <w:rFonts w:cs="Sylfaen"/>
                <w:sz w:val="20"/>
                <w:szCs w:val="20"/>
                <w:lang w:val="hy-AM"/>
              </w:rPr>
              <w:t>մարում</w:t>
            </w:r>
          </w:p>
        </w:tc>
        <w:tc>
          <w:tcPr>
            <w:tcW w:w="1133" w:type="dxa"/>
            <w:tcBorders>
              <w:left w:val="nil"/>
              <w:right w:val="nil"/>
            </w:tcBorders>
            <w:vAlign w:val="center"/>
          </w:tcPr>
          <w:p w14:paraId="7482EBDC" w14:textId="77777777" w:rsidR="00F1465E" w:rsidRPr="00233BD9" w:rsidRDefault="00F1465E" w:rsidP="00231073">
            <w:pPr>
              <w:spacing w:before="0" w:after="0" w:line="240" w:lineRule="auto"/>
              <w:ind w:firstLine="62"/>
              <w:jc w:val="center"/>
              <w:rPr>
                <w:rFonts w:cs="Sylfaen"/>
                <w:sz w:val="20"/>
                <w:szCs w:val="20"/>
                <w:lang w:val="hy-AM"/>
              </w:rPr>
            </w:pPr>
            <w:r w:rsidRPr="00233BD9">
              <w:rPr>
                <w:rFonts w:cs="Sylfaen"/>
                <w:sz w:val="20"/>
                <w:szCs w:val="20"/>
                <w:lang w:val="hy-AM"/>
              </w:rPr>
              <w:t>386.7</w:t>
            </w:r>
          </w:p>
        </w:tc>
        <w:tc>
          <w:tcPr>
            <w:tcW w:w="1164" w:type="dxa"/>
            <w:tcBorders>
              <w:left w:val="nil"/>
              <w:right w:val="nil"/>
            </w:tcBorders>
            <w:vAlign w:val="center"/>
          </w:tcPr>
          <w:p w14:paraId="5D9F4EA8" w14:textId="77777777" w:rsidR="00F1465E" w:rsidRDefault="00F1465E" w:rsidP="00231073">
            <w:pPr>
              <w:spacing w:before="0" w:after="0" w:line="240" w:lineRule="auto"/>
              <w:ind w:firstLine="62"/>
              <w:jc w:val="center"/>
              <w:rPr>
                <w:rFonts w:cs="Sylfaen"/>
                <w:sz w:val="20"/>
                <w:szCs w:val="20"/>
                <w:lang w:val="hy-AM"/>
              </w:rPr>
            </w:pPr>
            <w:r w:rsidRPr="00233BD9">
              <w:rPr>
                <w:rFonts w:cs="Sylfaen"/>
                <w:sz w:val="20"/>
                <w:szCs w:val="20"/>
                <w:lang w:val="hy-AM"/>
              </w:rPr>
              <w:t>271.7</w:t>
            </w:r>
          </w:p>
        </w:tc>
        <w:tc>
          <w:tcPr>
            <w:tcW w:w="1166" w:type="dxa"/>
            <w:tcBorders>
              <w:left w:val="nil"/>
              <w:right w:val="nil"/>
            </w:tcBorders>
            <w:vAlign w:val="center"/>
          </w:tcPr>
          <w:p w14:paraId="43996710" w14:textId="77777777" w:rsidR="00F1465E" w:rsidRDefault="00F1465E" w:rsidP="00231073">
            <w:pPr>
              <w:spacing w:before="0" w:after="0" w:line="240" w:lineRule="auto"/>
              <w:ind w:firstLine="62"/>
              <w:jc w:val="center"/>
              <w:rPr>
                <w:rFonts w:cs="Sylfaen"/>
                <w:sz w:val="20"/>
                <w:szCs w:val="20"/>
                <w:lang w:val="hy-AM"/>
              </w:rPr>
            </w:pPr>
            <w:r w:rsidRPr="00233BD9">
              <w:rPr>
                <w:rFonts w:cs="Sylfaen"/>
                <w:sz w:val="20"/>
                <w:szCs w:val="20"/>
                <w:lang w:val="hy-AM"/>
              </w:rPr>
              <w:t>261.5</w:t>
            </w:r>
          </w:p>
        </w:tc>
        <w:tc>
          <w:tcPr>
            <w:tcW w:w="1125" w:type="dxa"/>
            <w:tcBorders>
              <w:left w:val="nil"/>
              <w:right w:val="nil"/>
            </w:tcBorders>
            <w:vAlign w:val="center"/>
          </w:tcPr>
          <w:p w14:paraId="6F139718" w14:textId="77777777" w:rsidR="00F1465E" w:rsidRDefault="00F1465E" w:rsidP="00231073">
            <w:pPr>
              <w:spacing w:before="0" w:after="0" w:line="240" w:lineRule="auto"/>
              <w:ind w:firstLine="62"/>
              <w:jc w:val="center"/>
              <w:rPr>
                <w:rFonts w:cs="Sylfaen"/>
                <w:sz w:val="20"/>
                <w:szCs w:val="20"/>
                <w:lang w:val="hy-AM"/>
              </w:rPr>
            </w:pPr>
            <w:r w:rsidRPr="00233BD9">
              <w:rPr>
                <w:rFonts w:cs="Sylfaen"/>
                <w:sz w:val="20"/>
                <w:szCs w:val="20"/>
                <w:lang w:val="hy-AM"/>
              </w:rPr>
              <w:t>270.7</w:t>
            </w:r>
          </w:p>
        </w:tc>
        <w:tc>
          <w:tcPr>
            <w:tcW w:w="1101" w:type="dxa"/>
            <w:tcBorders>
              <w:left w:val="nil"/>
              <w:right w:val="nil"/>
            </w:tcBorders>
            <w:vAlign w:val="center"/>
          </w:tcPr>
          <w:p w14:paraId="5D985C18" w14:textId="77777777" w:rsidR="00F1465E" w:rsidRDefault="00F1465E" w:rsidP="00231073">
            <w:pPr>
              <w:spacing w:before="0" w:after="0" w:line="240" w:lineRule="auto"/>
              <w:ind w:firstLine="62"/>
              <w:jc w:val="center"/>
              <w:rPr>
                <w:rFonts w:cs="Sylfaen"/>
                <w:sz w:val="20"/>
                <w:szCs w:val="20"/>
                <w:lang w:val="hy-AM"/>
              </w:rPr>
            </w:pPr>
            <w:r w:rsidRPr="00233BD9">
              <w:rPr>
                <w:rFonts w:cs="Sylfaen"/>
                <w:sz w:val="20"/>
                <w:szCs w:val="20"/>
                <w:lang w:val="hy-AM"/>
              </w:rPr>
              <w:t>335.1</w:t>
            </w:r>
          </w:p>
        </w:tc>
      </w:tr>
      <w:tr w:rsidR="00F1465E" w:rsidRPr="00501957" w14:paraId="5C11DC6D" w14:textId="77777777" w:rsidTr="00231073">
        <w:trPr>
          <w:trHeight w:val="415"/>
          <w:jc w:val="center"/>
        </w:trPr>
        <w:tc>
          <w:tcPr>
            <w:tcW w:w="3885" w:type="dxa"/>
            <w:tcBorders>
              <w:left w:val="nil"/>
              <w:right w:val="nil"/>
            </w:tcBorders>
            <w:vAlign w:val="center"/>
          </w:tcPr>
          <w:p w14:paraId="7DBC23CF" w14:textId="77777777" w:rsidR="00F1465E" w:rsidRPr="00C35116" w:rsidRDefault="00F1465E" w:rsidP="00231073">
            <w:pPr>
              <w:spacing w:before="0" w:after="0" w:line="240" w:lineRule="auto"/>
              <w:ind w:firstLine="62"/>
              <w:jc w:val="left"/>
              <w:rPr>
                <w:rFonts w:cs="Arial"/>
                <w:b/>
                <w:sz w:val="20"/>
                <w:szCs w:val="20"/>
                <w:lang w:val="hy-AM"/>
              </w:rPr>
            </w:pPr>
            <w:r w:rsidRPr="00C35116">
              <w:rPr>
                <w:rFonts w:cs="Sylfaen"/>
                <w:b/>
                <w:sz w:val="20"/>
                <w:szCs w:val="20"/>
                <w:lang w:val="hy-AM"/>
              </w:rPr>
              <w:t>Ընդամենը</w:t>
            </w:r>
            <w:r w:rsidRPr="00C35116">
              <w:rPr>
                <w:rFonts w:cs="Arial"/>
                <w:b/>
                <w:sz w:val="20"/>
                <w:szCs w:val="20"/>
                <w:lang w:val="hy-AM"/>
              </w:rPr>
              <w:t xml:space="preserve"> </w:t>
            </w:r>
            <w:r w:rsidRPr="00C35116">
              <w:rPr>
                <w:rFonts w:cs="Sylfaen"/>
                <w:b/>
                <w:sz w:val="20"/>
                <w:szCs w:val="20"/>
                <w:lang w:val="hy-AM"/>
              </w:rPr>
              <w:t>ֆինանսավորման</w:t>
            </w:r>
            <w:r w:rsidRPr="00C35116">
              <w:rPr>
                <w:rFonts w:cs="Arial"/>
                <w:b/>
                <w:sz w:val="20"/>
                <w:szCs w:val="20"/>
                <w:lang w:val="hy-AM"/>
              </w:rPr>
              <w:t xml:space="preserve"> </w:t>
            </w:r>
            <w:r w:rsidRPr="00C35116">
              <w:rPr>
                <w:rFonts w:cs="Sylfaen"/>
                <w:b/>
                <w:sz w:val="20"/>
                <w:szCs w:val="20"/>
                <w:lang w:val="hy-AM"/>
              </w:rPr>
              <w:t>կարիք</w:t>
            </w:r>
          </w:p>
        </w:tc>
        <w:tc>
          <w:tcPr>
            <w:tcW w:w="1133" w:type="dxa"/>
            <w:tcBorders>
              <w:left w:val="nil"/>
              <w:right w:val="nil"/>
            </w:tcBorders>
            <w:vAlign w:val="bottom"/>
          </w:tcPr>
          <w:p w14:paraId="35B6A89F" w14:textId="77777777" w:rsidR="00F1465E" w:rsidRPr="00C35116" w:rsidRDefault="00F1465E" w:rsidP="00231073">
            <w:pPr>
              <w:spacing w:before="0" w:after="0" w:line="240" w:lineRule="auto"/>
              <w:ind w:firstLine="62"/>
              <w:jc w:val="center"/>
              <w:rPr>
                <w:b/>
                <w:sz w:val="20"/>
                <w:szCs w:val="20"/>
              </w:rPr>
            </w:pPr>
            <w:r w:rsidRPr="00501957">
              <w:rPr>
                <w:rFonts w:cs="Calibri"/>
                <w:b/>
                <w:bCs/>
                <w:color w:val="000000"/>
                <w:sz w:val="20"/>
                <w:szCs w:val="20"/>
              </w:rPr>
              <w:t>450.7</w:t>
            </w:r>
          </w:p>
        </w:tc>
        <w:tc>
          <w:tcPr>
            <w:tcW w:w="1164" w:type="dxa"/>
            <w:tcBorders>
              <w:left w:val="nil"/>
              <w:right w:val="nil"/>
            </w:tcBorders>
            <w:vAlign w:val="bottom"/>
          </w:tcPr>
          <w:p w14:paraId="3B6FAF4F" w14:textId="77777777" w:rsidR="00F1465E" w:rsidRPr="00C35116" w:rsidRDefault="00F1465E" w:rsidP="00231073">
            <w:pPr>
              <w:spacing w:before="0" w:after="0" w:line="240" w:lineRule="auto"/>
              <w:ind w:firstLine="62"/>
              <w:jc w:val="center"/>
              <w:rPr>
                <w:rFonts w:cs="Arial"/>
                <w:b/>
                <w:sz w:val="20"/>
                <w:szCs w:val="20"/>
              </w:rPr>
            </w:pPr>
            <w:r w:rsidRPr="00501957">
              <w:rPr>
                <w:rFonts w:cs="Calibri"/>
                <w:b/>
                <w:bCs/>
                <w:color w:val="000000"/>
                <w:sz w:val="20"/>
                <w:szCs w:val="20"/>
              </w:rPr>
              <w:t>633.2</w:t>
            </w:r>
          </w:p>
        </w:tc>
        <w:tc>
          <w:tcPr>
            <w:tcW w:w="1166" w:type="dxa"/>
            <w:tcBorders>
              <w:left w:val="nil"/>
              <w:right w:val="nil"/>
            </w:tcBorders>
            <w:vAlign w:val="bottom"/>
          </w:tcPr>
          <w:p w14:paraId="46A5317B" w14:textId="77777777" w:rsidR="00F1465E" w:rsidRPr="00C35116" w:rsidRDefault="00F1465E" w:rsidP="00231073">
            <w:pPr>
              <w:spacing w:before="0" w:after="0" w:line="240" w:lineRule="auto"/>
              <w:ind w:firstLine="62"/>
              <w:jc w:val="center"/>
              <w:rPr>
                <w:rFonts w:cs="Arial"/>
                <w:b/>
                <w:sz w:val="20"/>
                <w:szCs w:val="20"/>
              </w:rPr>
            </w:pPr>
            <w:r w:rsidRPr="00501957">
              <w:rPr>
                <w:rFonts w:cs="Calibri"/>
                <w:b/>
                <w:bCs/>
                <w:color w:val="000000"/>
                <w:sz w:val="20"/>
                <w:szCs w:val="20"/>
              </w:rPr>
              <w:t>470.7</w:t>
            </w:r>
          </w:p>
        </w:tc>
        <w:tc>
          <w:tcPr>
            <w:tcW w:w="1125" w:type="dxa"/>
            <w:tcBorders>
              <w:left w:val="nil"/>
              <w:right w:val="nil"/>
            </w:tcBorders>
            <w:vAlign w:val="bottom"/>
          </w:tcPr>
          <w:p w14:paraId="4A6815F9" w14:textId="77777777" w:rsidR="00F1465E" w:rsidRPr="00C35116" w:rsidRDefault="00F1465E" w:rsidP="00231073">
            <w:pPr>
              <w:spacing w:before="0" w:after="0" w:line="240" w:lineRule="auto"/>
              <w:ind w:firstLine="62"/>
              <w:jc w:val="center"/>
              <w:rPr>
                <w:rFonts w:cs="Arial"/>
                <w:b/>
                <w:sz w:val="20"/>
                <w:szCs w:val="20"/>
              </w:rPr>
            </w:pPr>
            <w:r w:rsidRPr="00501957">
              <w:rPr>
                <w:rFonts w:cs="Calibri"/>
                <w:b/>
                <w:bCs/>
                <w:color w:val="000000"/>
                <w:sz w:val="20"/>
                <w:szCs w:val="20"/>
              </w:rPr>
              <w:t>410.9</w:t>
            </w:r>
          </w:p>
        </w:tc>
        <w:tc>
          <w:tcPr>
            <w:tcW w:w="1101" w:type="dxa"/>
            <w:tcBorders>
              <w:left w:val="nil"/>
              <w:right w:val="nil"/>
            </w:tcBorders>
            <w:vAlign w:val="bottom"/>
          </w:tcPr>
          <w:p w14:paraId="161FC694" w14:textId="77777777" w:rsidR="00F1465E" w:rsidRPr="00C35116" w:rsidRDefault="00F1465E" w:rsidP="00231073">
            <w:pPr>
              <w:spacing w:before="0" w:after="0" w:line="240" w:lineRule="auto"/>
              <w:ind w:firstLine="62"/>
              <w:jc w:val="center"/>
              <w:rPr>
                <w:rFonts w:cs="Arial"/>
                <w:b/>
                <w:sz w:val="20"/>
                <w:szCs w:val="20"/>
              </w:rPr>
            </w:pPr>
            <w:r w:rsidRPr="00501957">
              <w:rPr>
                <w:rFonts w:cs="Calibri"/>
                <w:b/>
                <w:bCs/>
                <w:color w:val="000000"/>
                <w:sz w:val="20"/>
                <w:szCs w:val="20"/>
              </w:rPr>
              <w:t>493.7</w:t>
            </w:r>
          </w:p>
        </w:tc>
      </w:tr>
      <w:tr w:rsidR="00F1465E" w:rsidRPr="007030E0" w14:paraId="0E2131F6" w14:textId="77777777" w:rsidTr="00231073">
        <w:trPr>
          <w:trHeight w:val="563"/>
          <w:jc w:val="center"/>
        </w:trPr>
        <w:tc>
          <w:tcPr>
            <w:tcW w:w="3885" w:type="dxa"/>
            <w:tcBorders>
              <w:left w:val="nil"/>
              <w:bottom w:val="thickThinSmallGap" w:sz="24" w:space="0" w:color="auto"/>
              <w:right w:val="nil"/>
            </w:tcBorders>
            <w:vAlign w:val="center"/>
          </w:tcPr>
          <w:p w14:paraId="3442386F" w14:textId="77777777" w:rsidR="00F1465E" w:rsidRPr="007030E0" w:rsidRDefault="00F1465E" w:rsidP="00231073">
            <w:pPr>
              <w:spacing w:before="0" w:after="0" w:line="240" w:lineRule="auto"/>
              <w:ind w:firstLine="62"/>
              <w:jc w:val="left"/>
              <w:rPr>
                <w:rFonts w:cs="Arial"/>
                <w:sz w:val="20"/>
                <w:szCs w:val="20"/>
                <w:lang w:val="hy-AM"/>
              </w:rPr>
            </w:pPr>
            <w:r w:rsidRPr="007030E0">
              <w:rPr>
                <w:rFonts w:cs="Sylfaen"/>
                <w:sz w:val="20"/>
                <w:szCs w:val="20"/>
                <w:lang w:val="hy-AM"/>
              </w:rPr>
              <w:t>Ընդամե</w:t>
            </w:r>
            <w:r w:rsidRPr="007030E0">
              <w:rPr>
                <w:rFonts w:cs="Sylfaen"/>
                <w:sz w:val="20"/>
                <w:szCs w:val="20"/>
              </w:rPr>
              <w:t>ն</w:t>
            </w:r>
            <w:r w:rsidRPr="007030E0">
              <w:rPr>
                <w:rFonts w:cs="Sylfaen"/>
                <w:sz w:val="20"/>
                <w:szCs w:val="20"/>
                <w:lang w:val="hy-AM"/>
              </w:rPr>
              <w:t>ը</w:t>
            </w:r>
            <w:r w:rsidRPr="007030E0">
              <w:rPr>
                <w:rFonts w:cs="Arial"/>
                <w:sz w:val="20"/>
                <w:szCs w:val="20"/>
                <w:lang w:val="hy-AM"/>
              </w:rPr>
              <w:t xml:space="preserve"> </w:t>
            </w:r>
            <w:r w:rsidRPr="007030E0">
              <w:rPr>
                <w:rFonts w:cs="Sylfaen"/>
                <w:sz w:val="20"/>
                <w:szCs w:val="20"/>
                <w:lang w:val="hy-AM"/>
              </w:rPr>
              <w:t>ֆինանսավորման</w:t>
            </w:r>
            <w:r w:rsidRPr="007030E0">
              <w:rPr>
                <w:rFonts w:cs="Arial"/>
                <w:sz w:val="20"/>
                <w:szCs w:val="20"/>
                <w:lang w:val="hy-AM"/>
              </w:rPr>
              <w:t xml:space="preserve"> </w:t>
            </w:r>
            <w:r w:rsidRPr="007030E0">
              <w:rPr>
                <w:rFonts w:cs="Sylfaen"/>
                <w:sz w:val="20"/>
                <w:szCs w:val="20"/>
                <w:lang w:val="hy-AM"/>
              </w:rPr>
              <w:t>կարիք</w:t>
            </w:r>
            <w:r w:rsidRPr="007030E0">
              <w:rPr>
                <w:rFonts w:cs="Arial"/>
                <w:sz w:val="20"/>
                <w:szCs w:val="20"/>
              </w:rPr>
              <w:t>/</w:t>
            </w:r>
            <w:r w:rsidRPr="007030E0">
              <w:rPr>
                <w:rFonts w:cs="Sylfaen"/>
                <w:sz w:val="20"/>
                <w:szCs w:val="20"/>
                <w:lang w:val="ru-RU"/>
              </w:rPr>
              <w:t>ՀՆԱ</w:t>
            </w:r>
            <w:r w:rsidRPr="007030E0">
              <w:rPr>
                <w:rFonts w:cs="Arial"/>
                <w:sz w:val="20"/>
                <w:szCs w:val="20"/>
              </w:rPr>
              <w:t>,</w:t>
            </w:r>
            <w:r w:rsidRPr="007030E0">
              <w:rPr>
                <w:rFonts w:cs="Arial"/>
                <w:sz w:val="20"/>
                <w:szCs w:val="20"/>
                <w:lang w:val="hy-AM"/>
              </w:rPr>
              <w:t xml:space="preserve"> %</w:t>
            </w:r>
          </w:p>
        </w:tc>
        <w:tc>
          <w:tcPr>
            <w:tcW w:w="1133" w:type="dxa"/>
            <w:tcBorders>
              <w:left w:val="nil"/>
              <w:bottom w:val="thickThinSmallGap" w:sz="24" w:space="0" w:color="auto"/>
              <w:right w:val="nil"/>
            </w:tcBorders>
            <w:vAlign w:val="bottom"/>
          </w:tcPr>
          <w:p w14:paraId="6B7BD74F" w14:textId="77777777" w:rsidR="00F1465E" w:rsidRDefault="00F1465E" w:rsidP="00231073">
            <w:pPr>
              <w:spacing w:before="0" w:after="0" w:line="240" w:lineRule="auto"/>
              <w:ind w:firstLine="62"/>
              <w:jc w:val="center"/>
              <w:rPr>
                <w:b/>
                <w:sz w:val="20"/>
                <w:szCs w:val="20"/>
                <w:lang w:val="en-GB"/>
              </w:rPr>
            </w:pPr>
            <w:r>
              <w:rPr>
                <w:rFonts w:cs="Calibri"/>
                <w:color w:val="000000"/>
                <w:sz w:val="20"/>
                <w:szCs w:val="20"/>
              </w:rPr>
              <w:t>6.9</w:t>
            </w:r>
          </w:p>
        </w:tc>
        <w:tc>
          <w:tcPr>
            <w:tcW w:w="1164" w:type="dxa"/>
            <w:tcBorders>
              <w:left w:val="nil"/>
              <w:bottom w:val="thickThinSmallGap" w:sz="24" w:space="0" w:color="auto"/>
              <w:right w:val="nil"/>
            </w:tcBorders>
            <w:vAlign w:val="bottom"/>
          </w:tcPr>
          <w:p w14:paraId="08FFDB80" w14:textId="77777777" w:rsidR="00F1465E" w:rsidRDefault="00F1465E" w:rsidP="00231073">
            <w:pPr>
              <w:spacing w:before="0" w:after="0" w:line="240" w:lineRule="auto"/>
              <w:ind w:firstLine="62"/>
              <w:jc w:val="center"/>
              <w:rPr>
                <w:rFonts w:cs="Arial"/>
                <w:b/>
                <w:sz w:val="20"/>
                <w:szCs w:val="20"/>
                <w:lang w:val="en-GB"/>
              </w:rPr>
            </w:pPr>
            <w:r>
              <w:rPr>
                <w:rFonts w:cs="Calibri"/>
                <w:color w:val="000000"/>
                <w:sz w:val="20"/>
                <w:szCs w:val="20"/>
              </w:rPr>
              <w:t>9.7</w:t>
            </w:r>
          </w:p>
        </w:tc>
        <w:tc>
          <w:tcPr>
            <w:tcW w:w="1166" w:type="dxa"/>
            <w:tcBorders>
              <w:left w:val="nil"/>
              <w:bottom w:val="thickThinSmallGap" w:sz="24" w:space="0" w:color="auto"/>
              <w:right w:val="nil"/>
            </w:tcBorders>
            <w:vAlign w:val="bottom"/>
          </w:tcPr>
          <w:p w14:paraId="5A948342" w14:textId="77777777" w:rsidR="00F1465E" w:rsidRDefault="00F1465E" w:rsidP="00231073">
            <w:pPr>
              <w:spacing w:before="0" w:after="0" w:line="240" w:lineRule="auto"/>
              <w:ind w:firstLine="62"/>
              <w:jc w:val="center"/>
              <w:rPr>
                <w:rFonts w:cs="Arial"/>
                <w:b/>
                <w:sz w:val="20"/>
                <w:szCs w:val="20"/>
                <w:lang w:val="en-GB"/>
              </w:rPr>
            </w:pPr>
            <w:r>
              <w:rPr>
                <w:rFonts w:cs="Calibri"/>
                <w:color w:val="000000"/>
                <w:sz w:val="20"/>
                <w:szCs w:val="20"/>
              </w:rPr>
              <w:t>6.6</w:t>
            </w:r>
          </w:p>
        </w:tc>
        <w:tc>
          <w:tcPr>
            <w:tcW w:w="1125" w:type="dxa"/>
            <w:tcBorders>
              <w:left w:val="nil"/>
              <w:bottom w:val="thickThinSmallGap" w:sz="24" w:space="0" w:color="auto"/>
              <w:right w:val="nil"/>
            </w:tcBorders>
            <w:vAlign w:val="bottom"/>
          </w:tcPr>
          <w:p w14:paraId="0E7C58F1" w14:textId="77777777" w:rsidR="00F1465E" w:rsidRDefault="00F1465E" w:rsidP="00231073">
            <w:pPr>
              <w:spacing w:before="0" w:after="0" w:line="240" w:lineRule="auto"/>
              <w:ind w:firstLine="62"/>
              <w:jc w:val="center"/>
              <w:rPr>
                <w:rFonts w:cs="Arial"/>
                <w:b/>
                <w:sz w:val="20"/>
                <w:szCs w:val="20"/>
                <w:lang w:val="en-GB"/>
              </w:rPr>
            </w:pPr>
            <w:r>
              <w:rPr>
                <w:rFonts w:cs="Calibri"/>
                <w:color w:val="000000"/>
                <w:sz w:val="20"/>
                <w:szCs w:val="20"/>
              </w:rPr>
              <w:t>5.2</w:t>
            </w:r>
          </w:p>
        </w:tc>
        <w:tc>
          <w:tcPr>
            <w:tcW w:w="1101" w:type="dxa"/>
            <w:tcBorders>
              <w:left w:val="nil"/>
              <w:bottom w:val="thickThinSmallGap" w:sz="24" w:space="0" w:color="auto"/>
              <w:right w:val="nil"/>
            </w:tcBorders>
            <w:vAlign w:val="bottom"/>
          </w:tcPr>
          <w:p w14:paraId="536CC07C" w14:textId="77777777" w:rsidR="00F1465E" w:rsidRDefault="00F1465E" w:rsidP="00231073">
            <w:pPr>
              <w:spacing w:before="0" w:after="0" w:line="240" w:lineRule="auto"/>
              <w:ind w:firstLine="62"/>
              <w:jc w:val="center"/>
              <w:rPr>
                <w:rFonts w:cs="Arial"/>
                <w:b/>
                <w:sz w:val="20"/>
                <w:szCs w:val="20"/>
                <w:lang w:val="en-GB"/>
              </w:rPr>
            </w:pPr>
            <w:r>
              <w:rPr>
                <w:rFonts w:cs="Calibri"/>
                <w:color w:val="000000"/>
                <w:sz w:val="20"/>
                <w:szCs w:val="20"/>
              </w:rPr>
              <w:t>5.8</w:t>
            </w:r>
          </w:p>
        </w:tc>
      </w:tr>
    </w:tbl>
    <w:p w14:paraId="2A8666D6" w14:textId="77777777" w:rsidR="00F1465E" w:rsidRDefault="00F1465E" w:rsidP="00F1465E">
      <w:pPr>
        <w:spacing w:before="0" w:after="0" w:line="360" w:lineRule="auto"/>
        <w:ind w:firstLine="720"/>
        <w:contextualSpacing/>
        <w:rPr>
          <w:b/>
          <w:highlight w:val="yellow"/>
        </w:rPr>
      </w:pPr>
    </w:p>
    <w:p w14:paraId="0123E9A0" w14:textId="77777777" w:rsidR="00F1465E" w:rsidRPr="00576519" w:rsidRDefault="00F1465E" w:rsidP="007B05B7">
      <w:pPr>
        <w:spacing w:line="276" w:lineRule="auto"/>
        <w:ind w:firstLine="720"/>
        <w:rPr>
          <w:rFonts w:cs="Times Unicode"/>
        </w:rPr>
      </w:pPr>
      <w:r w:rsidRPr="00F8754D">
        <w:rPr>
          <w:rFonts w:cs="Times Unicode"/>
          <w:lang w:val="hy-AM"/>
        </w:rPr>
        <w:t>ՀՀ կա</w:t>
      </w:r>
      <w:r>
        <w:rPr>
          <w:rFonts w:cs="Times Unicode"/>
        </w:rPr>
        <w:t xml:space="preserve">ռավարության պարտքի աճին զուգընթաց միջնաժամկետ հատվածում ավելանում են նաև տոկոսավճարներն ու մարումները: 2021թ. պետական բյուջեի առաջնային պակասուրդն ավելացնում է ֆինանսավորման կարիքը, իսկ 2022թ. և 2023թ. այն նվազեցնում է` համապատասխանաբար 71.0 մլրդ և 78.0 մլրդ դրամով: </w:t>
      </w:r>
      <w:r w:rsidRPr="00BB1FDB">
        <w:rPr>
          <w:rFonts w:cs="Times Unicode"/>
        </w:rPr>
        <w:t>Ընդամենը ֆինանսավորման կարիք/ՀՆԱ</w:t>
      </w:r>
      <w:r>
        <w:rPr>
          <w:rFonts w:cs="Times Unicode"/>
        </w:rPr>
        <w:t xml:space="preserve"> ցուցանիշը միջնաժամկետ ժամանակահատվածի վերջին կանխատեսվում է 5.8 տոկոս:</w:t>
      </w:r>
      <w:r w:rsidRPr="00576519">
        <w:rPr>
          <w:rFonts w:cs="Times Unicode"/>
        </w:rPr>
        <w:t xml:space="preserve"> </w:t>
      </w:r>
      <w:r w:rsidRPr="00666A26">
        <w:rPr>
          <w:rFonts w:cs="Times Unicode"/>
        </w:rPr>
        <w:t>Ընդամենը համախառն ֆինանսական կարիքի հարաբերակցությունը ՀՆԱ-ում նախորդ տարվա նկատմամբ 2021թ. նվազում է 3.1 տոկոսային կետով, 2022թ.</w:t>
      </w:r>
      <w:r w:rsidRPr="00666A26">
        <w:rPr>
          <w:rFonts w:cs="Times Unicode"/>
          <w:lang w:val="ru-RU"/>
        </w:rPr>
        <w:t>՝</w:t>
      </w:r>
      <w:r w:rsidRPr="00666A26">
        <w:rPr>
          <w:rFonts w:cs="Times Unicode"/>
        </w:rPr>
        <w:t xml:space="preserve"> 1.4 տոկոսային կետով, իսկ 2023թ. աճում է 0.5 տոկոսային կետով: Ընդ որում, 2023թ. համախառն ֆինանսական կարիքի աճին հիմնականում նպաստում են պարտքի մարումները:</w:t>
      </w:r>
    </w:p>
    <w:p w14:paraId="59C65659" w14:textId="77777777" w:rsidR="00F1465E" w:rsidRPr="00AC67B2" w:rsidRDefault="00F1465E" w:rsidP="007B05B7">
      <w:pPr>
        <w:spacing w:line="276" w:lineRule="auto"/>
        <w:ind w:firstLine="720"/>
        <w:contextualSpacing/>
        <w:rPr>
          <w:rFonts w:cs="Sylfaen"/>
          <w:lang w:val="hy-AM"/>
        </w:rPr>
      </w:pPr>
      <w:r w:rsidRPr="00AC67B2">
        <w:rPr>
          <w:rFonts w:cs="Sylfaen"/>
          <w:lang w:val="hy-AM"/>
        </w:rPr>
        <w:t>202</w:t>
      </w:r>
      <w:r>
        <w:rPr>
          <w:rFonts w:cs="Sylfaen"/>
        </w:rPr>
        <w:t>1</w:t>
      </w:r>
      <w:r w:rsidRPr="00AC67B2">
        <w:rPr>
          <w:rFonts w:cs="Sylfaen"/>
          <w:lang w:val="hy-AM"/>
        </w:rPr>
        <w:t>-202</w:t>
      </w:r>
      <w:r>
        <w:rPr>
          <w:rFonts w:cs="Sylfaen"/>
        </w:rPr>
        <w:t>3</w:t>
      </w:r>
      <w:r w:rsidRPr="00AC67B2">
        <w:rPr>
          <w:rFonts w:cs="Sylfaen"/>
          <w:lang w:val="hy-AM"/>
        </w:rPr>
        <w:t xml:space="preserve">թթ. ՀՀ կառավարության պարտքի կառավարման ռազմավարության </w:t>
      </w:r>
      <w:r>
        <w:rPr>
          <w:rFonts w:cs="Sylfaen"/>
        </w:rPr>
        <w:t xml:space="preserve">իրագործման </w:t>
      </w:r>
      <w:r w:rsidRPr="00AC67B2">
        <w:rPr>
          <w:rFonts w:cs="Sylfaen"/>
          <w:lang w:val="hy-AM"/>
        </w:rPr>
        <w:t xml:space="preserve">հիմքում ընկած են </w:t>
      </w:r>
      <w:r>
        <w:rPr>
          <w:rFonts w:cs="Sylfaen"/>
        </w:rPr>
        <w:t xml:space="preserve">վերը նշված </w:t>
      </w:r>
      <w:r w:rsidRPr="00A25F1F">
        <w:rPr>
          <w:rFonts w:cs="Sylfaen"/>
          <w:lang w:val="hy-AM"/>
        </w:rPr>
        <w:t>մակրոտնտեսական ենթադրություններ</w:t>
      </w:r>
      <w:r>
        <w:rPr>
          <w:rFonts w:cs="Sylfaen"/>
        </w:rPr>
        <w:t>ը:</w:t>
      </w:r>
      <w:r w:rsidRPr="00AC67B2">
        <w:rPr>
          <w:rFonts w:cs="Sylfaen"/>
          <w:lang w:val="hy-AM"/>
        </w:rPr>
        <w:t xml:space="preserve"> </w:t>
      </w:r>
      <w:r>
        <w:rPr>
          <w:rFonts w:cs="Sylfaen"/>
        </w:rPr>
        <w:t>Ս</w:t>
      </w:r>
      <w:r w:rsidRPr="00AC67B2">
        <w:rPr>
          <w:rFonts w:cs="Sylfaen"/>
          <w:lang w:val="hy-AM"/>
        </w:rPr>
        <w:t xml:space="preserve">ակայն արտաքին տնտեսական միջավայրից բխող շոկերի ի հայտ գալը որոշակի ռիսկեր կարող է առաջացնել ռազմավարությամբ նախատեսվող նպատակադրումների ապահովման տեսակետից: </w:t>
      </w:r>
    </w:p>
    <w:p w14:paraId="28EB6927" w14:textId="77777777" w:rsidR="00F1465E" w:rsidRDefault="00F1465E" w:rsidP="007B05B7">
      <w:pPr>
        <w:spacing w:line="276" w:lineRule="auto"/>
        <w:ind w:left="426"/>
        <w:rPr>
          <w:rFonts w:cs="Times Unicode"/>
          <w:u w:val="single"/>
          <w:lang w:val="hy-AM"/>
        </w:rPr>
      </w:pPr>
    </w:p>
    <w:p w14:paraId="6A2DD3C8" w14:textId="77777777" w:rsidR="00F1465E" w:rsidRDefault="00F1465E" w:rsidP="007B05B7">
      <w:pPr>
        <w:spacing w:line="276" w:lineRule="auto"/>
        <w:ind w:left="567" w:firstLine="142"/>
        <w:rPr>
          <w:rFonts w:cs="Times Unicode"/>
          <w:u w:val="single"/>
        </w:rPr>
      </w:pPr>
      <w:r>
        <w:rPr>
          <w:rFonts w:cs="Times Unicode"/>
          <w:u w:val="single"/>
          <w:lang w:val="hy-AM"/>
        </w:rPr>
        <w:br w:type="page"/>
      </w:r>
      <w:r w:rsidRPr="00AC67B2">
        <w:rPr>
          <w:rFonts w:cs="Times Unicode"/>
          <w:u w:val="single"/>
          <w:lang w:val="hy-AM"/>
        </w:rPr>
        <w:lastRenderedPageBreak/>
        <w:t>Նպատակադրումներն ու իրականացվելիք միջոցառումները</w:t>
      </w:r>
    </w:p>
    <w:p w14:paraId="7B229EF5" w14:textId="77777777" w:rsidR="00F1465E" w:rsidRPr="00717859" w:rsidRDefault="00F1465E" w:rsidP="007B05B7">
      <w:pPr>
        <w:spacing w:line="276" w:lineRule="auto"/>
        <w:ind w:left="567" w:firstLine="142"/>
        <w:rPr>
          <w:rFonts w:cs="Times Unicode"/>
          <w:u w:val="single"/>
        </w:rPr>
      </w:pPr>
    </w:p>
    <w:p w14:paraId="7A390E24" w14:textId="77777777" w:rsidR="00F1465E" w:rsidRPr="00AC67B2" w:rsidRDefault="00F1465E" w:rsidP="007B05B7">
      <w:pPr>
        <w:numPr>
          <w:ilvl w:val="0"/>
          <w:numId w:val="11"/>
        </w:numPr>
        <w:tabs>
          <w:tab w:val="clear" w:pos="480"/>
          <w:tab w:val="num" w:pos="284"/>
        </w:tabs>
        <w:spacing w:before="0" w:after="0" w:line="276" w:lineRule="auto"/>
        <w:ind w:left="284" w:hanging="284"/>
        <w:rPr>
          <w:lang w:val="hy-AM"/>
        </w:rPr>
      </w:pPr>
      <w:r w:rsidRPr="00AC4055">
        <w:rPr>
          <w:lang w:val="hy-AM"/>
        </w:rPr>
        <w:t xml:space="preserve">Միջնաժամկետ և երկարաժամկետ հատվածներում, շուկայի մասնակիցների կազմի ու կառուցվածքի նպատակաուղղված փոփոխության և թվաքանակի էական մեծացման պայմաններում, կաճի պետական բյուջեի դեֆիցիտի ֆինանսավորման աղբյուրներում ներքին փոխառու զուտ </w:t>
      </w:r>
      <w:r w:rsidRPr="00AC4055">
        <w:rPr>
          <w:rFonts w:cs="Times Unicode"/>
          <w:lang w:val="hy-AM"/>
        </w:rPr>
        <w:t>մ</w:t>
      </w:r>
      <w:r w:rsidRPr="00DB7FBA">
        <w:rPr>
          <w:rFonts w:cs="Times Unicode"/>
          <w:lang w:val="hy-AM"/>
        </w:rPr>
        <w:t>իջոցնե</w:t>
      </w:r>
      <w:r w:rsidRPr="00AC67B2">
        <w:rPr>
          <w:rFonts w:cs="Times Unicode"/>
          <w:lang w:val="hy-AM"/>
        </w:rPr>
        <w:t>րի</w:t>
      </w:r>
      <w:r w:rsidRPr="00AC67B2">
        <w:rPr>
          <w:lang w:val="hy-AM"/>
        </w:rPr>
        <w:t xml:space="preserve"> </w:t>
      </w:r>
      <w:r w:rsidRPr="00AC67B2">
        <w:rPr>
          <w:rFonts w:cs="Times Unicode"/>
          <w:lang w:val="hy-AM"/>
        </w:rPr>
        <w:t>տեսա</w:t>
      </w:r>
      <w:r w:rsidRPr="00AC67B2">
        <w:rPr>
          <w:rFonts w:cs="Times Unicode"/>
          <w:lang w:val="hy-AM"/>
        </w:rPr>
        <w:softHyphen/>
        <w:t>կարար</w:t>
      </w:r>
      <w:r w:rsidRPr="00AC67B2">
        <w:rPr>
          <w:lang w:val="hy-AM"/>
        </w:rPr>
        <w:t xml:space="preserve"> </w:t>
      </w:r>
      <w:r w:rsidRPr="00AC67B2">
        <w:rPr>
          <w:rFonts w:cs="Times Unicode"/>
          <w:lang w:val="hy-AM"/>
        </w:rPr>
        <w:t>կշիռը: Այն միտված կլինի նվազեցնել</w:t>
      </w:r>
      <w:r w:rsidRPr="00AC67B2">
        <w:rPr>
          <w:lang w:val="hy-AM"/>
        </w:rPr>
        <w:t xml:space="preserve"> </w:t>
      </w:r>
      <w:r w:rsidRPr="00AC67B2">
        <w:rPr>
          <w:rFonts w:cs="Times Unicode"/>
          <w:lang w:val="hy-AM"/>
        </w:rPr>
        <w:t>փոխարժեքի</w:t>
      </w:r>
      <w:r w:rsidRPr="00AC67B2">
        <w:rPr>
          <w:lang w:val="hy-AM"/>
        </w:rPr>
        <w:t xml:space="preserve"> </w:t>
      </w:r>
      <w:r w:rsidRPr="00AC67B2">
        <w:rPr>
          <w:rFonts w:cs="Times Unicode"/>
          <w:lang w:val="hy-AM"/>
        </w:rPr>
        <w:t>ռիսկը</w:t>
      </w:r>
      <w:r w:rsidRPr="00AC67B2">
        <w:rPr>
          <w:lang w:val="hy-AM"/>
        </w:rPr>
        <w:t xml:space="preserve">, ինչպես նաև </w:t>
      </w:r>
      <w:r w:rsidRPr="00AC67B2">
        <w:rPr>
          <w:rFonts w:cs="Times Unicode"/>
          <w:lang w:val="hy-AM"/>
        </w:rPr>
        <w:t>հիմքեր</w:t>
      </w:r>
      <w:r w:rsidRPr="00AC67B2">
        <w:rPr>
          <w:lang w:val="hy-AM"/>
        </w:rPr>
        <w:t xml:space="preserve"> կ</w:t>
      </w:r>
      <w:r w:rsidRPr="00AC67B2">
        <w:rPr>
          <w:rFonts w:cs="Times Unicode"/>
          <w:lang w:val="hy-AM"/>
        </w:rPr>
        <w:t>ստեղծի</w:t>
      </w:r>
      <w:r w:rsidRPr="00AC67B2">
        <w:rPr>
          <w:lang w:val="hy-AM"/>
        </w:rPr>
        <w:t xml:space="preserve"> </w:t>
      </w:r>
      <w:r w:rsidRPr="00AC67B2">
        <w:rPr>
          <w:rFonts w:cs="Times Unicode"/>
          <w:lang w:val="hy-AM"/>
        </w:rPr>
        <w:t>ֆինանսական</w:t>
      </w:r>
      <w:r w:rsidRPr="00AC67B2">
        <w:rPr>
          <w:lang w:val="hy-AM"/>
        </w:rPr>
        <w:t xml:space="preserve"> </w:t>
      </w:r>
      <w:r w:rsidRPr="00AC67B2">
        <w:rPr>
          <w:rFonts w:cs="Times Unicode"/>
          <w:lang w:val="hy-AM"/>
        </w:rPr>
        <w:t>շուկայում</w:t>
      </w:r>
      <w:r w:rsidRPr="00AC67B2">
        <w:rPr>
          <w:lang w:val="hy-AM"/>
        </w:rPr>
        <w:t xml:space="preserve"> </w:t>
      </w:r>
      <w:r w:rsidRPr="00AC67B2">
        <w:rPr>
          <w:rFonts w:cs="Times Unicode"/>
          <w:lang w:val="hy-AM"/>
        </w:rPr>
        <w:t>նոր գործիքների (լողացող, ինդեքսավորվող, նպատակային և այլն) կիրառման ու շուկայի հետագա զարգացման համար: Կենսաթոշակային և ապահովագրական բարեփոխումների ընթացքով պայմանավորված՝ հնարավոր կլինի արագացնել պետական</w:t>
      </w:r>
      <w:r w:rsidRPr="00AC67B2">
        <w:rPr>
          <w:lang w:val="hy-AM"/>
        </w:rPr>
        <w:t xml:space="preserve"> </w:t>
      </w:r>
      <w:r w:rsidRPr="00AC67B2">
        <w:rPr>
          <w:rFonts w:cs="Times Unicode"/>
          <w:lang w:val="hy-AM"/>
        </w:rPr>
        <w:t>բյուջեի</w:t>
      </w:r>
      <w:r w:rsidRPr="00AC67B2">
        <w:rPr>
          <w:lang w:val="hy-AM"/>
        </w:rPr>
        <w:t xml:space="preserve"> </w:t>
      </w:r>
      <w:r w:rsidRPr="00AC67B2">
        <w:rPr>
          <w:rFonts w:cs="Times Unicode"/>
          <w:lang w:val="hy-AM"/>
        </w:rPr>
        <w:t>դեֆիցիտի</w:t>
      </w:r>
      <w:r w:rsidRPr="00AC67B2">
        <w:rPr>
          <w:lang w:val="hy-AM"/>
        </w:rPr>
        <w:t xml:space="preserve"> </w:t>
      </w:r>
      <w:r w:rsidRPr="00AC67B2">
        <w:rPr>
          <w:rFonts w:cs="Times Unicode"/>
          <w:lang w:val="hy-AM"/>
        </w:rPr>
        <w:t>ֆինանսավորման</w:t>
      </w:r>
      <w:r w:rsidRPr="00AC67B2">
        <w:rPr>
          <w:lang w:val="hy-AM"/>
        </w:rPr>
        <w:t xml:space="preserve"> </w:t>
      </w:r>
      <w:r w:rsidRPr="00AC67B2">
        <w:rPr>
          <w:rFonts w:cs="Times Unicode"/>
          <w:lang w:val="hy-AM"/>
        </w:rPr>
        <w:t>աղբյուրներում</w:t>
      </w:r>
      <w:r w:rsidRPr="00AC67B2">
        <w:rPr>
          <w:lang w:val="hy-AM"/>
        </w:rPr>
        <w:t xml:space="preserve"> </w:t>
      </w:r>
      <w:r w:rsidRPr="00AC67B2">
        <w:rPr>
          <w:rFonts w:cs="Times Unicode"/>
          <w:lang w:val="hy-AM"/>
        </w:rPr>
        <w:t>ներքին</w:t>
      </w:r>
      <w:r w:rsidRPr="00AC67B2">
        <w:rPr>
          <w:lang w:val="hy-AM"/>
        </w:rPr>
        <w:t xml:space="preserve"> </w:t>
      </w:r>
      <w:r w:rsidRPr="00AC67B2">
        <w:rPr>
          <w:rFonts w:cs="Times Unicode"/>
          <w:lang w:val="hy-AM"/>
        </w:rPr>
        <w:t>փոխառու</w:t>
      </w:r>
      <w:r w:rsidRPr="00AC67B2">
        <w:rPr>
          <w:lang w:val="hy-AM"/>
        </w:rPr>
        <w:t xml:space="preserve"> </w:t>
      </w:r>
      <w:r>
        <w:t xml:space="preserve">զուտ </w:t>
      </w:r>
      <w:r w:rsidRPr="00AC67B2">
        <w:rPr>
          <w:rFonts w:cs="Times Unicode"/>
          <w:lang w:val="hy-AM"/>
        </w:rPr>
        <w:t>միջոցների</w:t>
      </w:r>
      <w:r w:rsidRPr="00AC67B2">
        <w:rPr>
          <w:lang w:val="hy-AM"/>
        </w:rPr>
        <w:t xml:space="preserve"> </w:t>
      </w:r>
      <w:r w:rsidRPr="00AC67B2">
        <w:rPr>
          <w:rFonts w:cs="Times Unicode"/>
          <w:lang w:val="hy-AM"/>
        </w:rPr>
        <w:t>տեսա</w:t>
      </w:r>
      <w:r w:rsidRPr="00AC67B2">
        <w:rPr>
          <w:rFonts w:cs="Times Unicode"/>
          <w:lang w:val="hy-AM"/>
        </w:rPr>
        <w:softHyphen/>
        <w:t>կարար</w:t>
      </w:r>
      <w:r w:rsidRPr="00AC67B2">
        <w:rPr>
          <w:lang w:val="hy-AM"/>
        </w:rPr>
        <w:t xml:space="preserve"> </w:t>
      </w:r>
      <w:r w:rsidRPr="00AC67B2">
        <w:rPr>
          <w:rFonts w:cs="Times Unicode"/>
          <w:lang w:val="hy-AM"/>
        </w:rPr>
        <w:t>կշռի մեծացման գործընթացը:</w:t>
      </w:r>
      <w:r w:rsidRPr="00AC67B2">
        <w:rPr>
          <w:lang w:val="hy-AM"/>
        </w:rPr>
        <w:t xml:space="preserve"> </w:t>
      </w:r>
    </w:p>
    <w:p w14:paraId="79E08611" w14:textId="77777777" w:rsidR="00F1465E" w:rsidRPr="00772D12" w:rsidRDefault="00F1465E" w:rsidP="007B05B7">
      <w:pPr>
        <w:numPr>
          <w:ilvl w:val="0"/>
          <w:numId w:val="11"/>
        </w:numPr>
        <w:tabs>
          <w:tab w:val="clear" w:pos="480"/>
          <w:tab w:val="num" w:pos="284"/>
        </w:tabs>
        <w:spacing w:before="0" w:after="0" w:line="276" w:lineRule="auto"/>
        <w:ind w:left="284" w:hanging="284"/>
        <w:rPr>
          <w:lang w:val="hy-AM"/>
        </w:rPr>
      </w:pPr>
      <w:r w:rsidRPr="00AC67B2">
        <w:rPr>
          <w:lang w:val="hy-AM"/>
        </w:rPr>
        <w:t>Որպես ներքին պետական պարտքի կառավարման նպատակադրում՝ կշարու</w:t>
      </w:r>
      <w:r w:rsidRPr="00AC67B2">
        <w:rPr>
          <w:lang w:val="hy-AM"/>
        </w:rPr>
        <w:softHyphen/>
        <w:t>նակվի դիտարկվել պետական գանձապետական պարտատոմսերի իրացվելիության աճը` մեծացնելով շրջանառության մեջ գտնվող պարտատոմսերի ծավալը:</w:t>
      </w:r>
      <w:r w:rsidRPr="00AC67B2">
        <w:rPr>
          <w:rFonts w:cs="Times Unicode"/>
          <w:lang w:val="hy-AM"/>
        </w:rPr>
        <w:t xml:space="preserve"> </w:t>
      </w:r>
    </w:p>
    <w:p w14:paraId="35843848" w14:textId="77777777" w:rsidR="00F1465E" w:rsidRPr="00AC67B2" w:rsidRDefault="00F1465E" w:rsidP="007B05B7">
      <w:pPr>
        <w:numPr>
          <w:ilvl w:val="0"/>
          <w:numId w:val="11"/>
        </w:numPr>
        <w:tabs>
          <w:tab w:val="clear" w:pos="480"/>
          <w:tab w:val="num" w:pos="284"/>
        </w:tabs>
        <w:spacing w:before="0" w:after="0" w:line="276" w:lineRule="auto"/>
        <w:ind w:left="284" w:hanging="284"/>
        <w:rPr>
          <w:rFonts w:eastAsia="Times New Roman" w:cs="Times New Roman"/>
          <w:lang w:val="hy-AM"/>
        </w:rPr>
      </w:pPr>
      <w:r w:rsidRPr="00C35116">
        <w:rPr>
          <w:color w:val="000000"/>
          <w:shd w:val="clear" w:color="auto" w:fill="FFFFFF"/>
          <w:lang w:val="hy-AM"/>
        </w:rPr>
        <w:t>Կուսումնասիրվի 6 ամիս մարման ժամկետ ունեցող պետական կարճաժամկետ պարտատոմսերի տեղաբաշխման ծավալների ավելացման միջոցով դրանց՝ որպես ուղենշային սահմանման հնարավորությունները։ Այդ նպատակով կիրականացվեն նաև խորհրդատվական հանդիպումներ պետական գանձապետական պարտատոմսերի առաջնային դիլերների (գործակալների) հետ: Կարճաժամկետ պարտատոմսերի թողարկումների կենտրոնացումը 6 ամիս մարման ժամկետ ունեցող պարտատոմսերի շուրջ կնպաստի դրամային շուկայում իրացվելիության բարձրացմանը, ինչպես նաև հնարավորություն կտա ձևավորել ուղենիշ, որը կարևոր է</w:t>
      </w:r>
      <w:r w:rsidRPr="00C35116">
        <w:rPr>
          <w:rFonts w:ascii="Courier New" w:hAnsi="Courier New" w:cs="Courier New"/>
          <w:color w:val="000000"/>
          <w:shd w:val="clear" w:color="auto" w:fill="FFFFFF"/>
          <w:lang w:val="hy-AM"/>
        </w:rPr>
        <w:t> </w:t>
      </w:r>
      <w:r w:rsidRPr="00C35116">
        <w:rPr>
          <w:color w:val="000000"/>
          <w:shd w:val="clear" w:color="auto" w:fill="FFFFFF"/>
          <w:lang w:val="hy-AM"/>
        </w:rPr>
        <w:t>կապիտալի շուկայի այլ հատվածների հետագա զարգացման համար:</w:t>
      </w:r>
    </w:p>
    <w:p w14:paraId="2C6FF09C" w14:textId="77777777" w:rsidR="00F1465E" w:rsidRPr="00AC67B2" w:rsidRDefault="00F1465E" w:rsidP="007B05B7">
      <w:pPr>
        <w:numPr>
          <w:ilvl w:val="0"/>
          <w:numId w:val="11"/>
        </w:numPr>
        <w:tabs>
          <w:tab w:val="clear" w:pos="480"/>
          <w:tab w:val="num" w:pos="284"/>
        </w:tabs>
        <w:spacing w:before="0" w:after="0" w:line="276" w:lineRule="auto"/>
        <w:ind w:left="284" w:hanging="284"/>
        <w:rPr>
          <w:lang w:val="hy-AM"/>
        </w:rPr>
      </w:pPr>
      <w:r w:rsidRPr="00AC67B2">
        <w:rPr>
          <w:rFonts w:cs="Times Unicode"/>
          <w:lang w:val="hy-AM"/>
        </w:rPr>
        <w:t>Ֆինանսական շուկաներում բարենպաստ զարգացումների պայմաններում կդիտարկվի ֆինանսական</w:t>
      </w:r>
      <w:r w:rsidRPr="00AC67B2">
        <w:rPr>
          <w:lang w:val="hy-AM"/>
        </w:rPr>
        <w:t xml:space="preserve"> </w:t>
      </w:r>
      <w:r w:rsidRPr="00AC67B2">
        <w:rPr>
          <w:rFonts w:cs="Times Unicode"/>
          <w:lang w:val="hy-AM"/>
        </w:rPr>
        <w:t>միջոցների</w:t>
      </w:r>
      <w:r w:rsidRPr="00AC67B2">
        <w:rPr>
          <w:lang w:val="hy-AM"/>
        </w:rPr>
        <w:t xml:space="preserve"> </w:t>
      </w:r>
      <w:r w:rsidRPr="00AC67B2">
        <w:rPr>
          <w:rFonts w:cs="Times Unicode"/>
          <w:lang w:val="hy-AM"/>
        </w:rPr>
        <w:t>որոշակի</w:t>
      </w:r>
      <w:r w:rsidRPr="00AC67B2">
        <w:rPr>
          <w:lang w:val="hy-AM"/>
        </w:rPr>
        <w:t xml:space="preserve"> </w:t>
      </w:r>
      <w:r w:rsidRPr="00AC67B2">
        <w:rPr>
          <w:rFonts w:cs="Times Unicode"/>
          <w:lang w:val="hy-AM"/>
        </w:rPr>
        <w:t>կուտակման և բուֆերի ապահովման հնարավորությունը: Ներքին և արտաքին շուկաներում անցան</w:t>
      </w:r>
      <w:r w:rsidRPr="00AC67B2">
        <w:rPr>
          <w:rFonts w:cs="Times Unicode"/>
          <w:lang w:val="hy-AM"/>
        </w:rPr>
        <w:softHyphen/>
        <w:t>կալի գործընթացների դեպքում այն թույլ կտա ՀՀ պետական բյուջեի կատարումն իրականացնել առանց ցնցումների, ինչպես նաև հարկ եղած դեպքում ճշգրտել</w:t>
      </w:r>
      <w:r w:rsidRPr="00AC67B2">
        <w:rPr>
          <w:lang w:val="hy-AM"/>
        </w:rPr>
        <w:t xml:space="preserve"> </w:t>
      </w:r>
      <w:r w:rsidRPr="00AC67B2">
        <w:rPr>
          <w:rFonts w:cs="Times Unicode"/>
          <w:lang w:val="hy-AM"/>
        </w:rPr>
        <w:t>պետական</w:t>
      </w:r>
      <w:r w:rsidRPr="00AC67B2">
        <w:rPr>
          <w:lang w:val="hy-AM"/>
        </w:rPr>
        <w:t xml:space="preserve"> գանձապետական </w:t>
      </w:r>
      <w:r w:rsidRPr="00AC67B2">
        <w:rPr>
          <w:rFonts w:cs="Times Unicode"/>
          <w:lang w:val="hy-AM"/>
        </w:rPr>
        <w:t>պարտատոմսերով</w:t>
      </w:r>
      <w:r w:rsidRPr="00AC67B2">
        <w:rPr>
          <w:lang w:val="hy-AM"/>
        </w:rPr>
        <w:t xml:space="preserve"> </w:t>
      </w:r>
      <w:r w:rsidRPr="00AC67B2">
        <w:rPr>
          <w:rFonts w:cs="Times Unicode"/>
          <w:lang w:val="hy-AM"/>
        </w:rPr>
        <w:t>դեֆիցի</w:t>
      </w:r>
      <w:r w:rsidRPr="00AC67B2">
        <w:rPr>
          <w:rFonts w:cs="Times Unicode"/>
          <w:lang w:val="hy-AM"/>
        </w:rPr>
        <w:softHyphen/>
        <w:t>տի</w:t>
      </w:r>
      <w:r w:rsidRPr="00AC67B2">
        <w:rPr>
          <w:lang w:val="hy-AM"/>
        </w:rPr>
        <w:t xml:space="preserve"> </w:t>
      </w:r>
      <w:r w:rsidRPr="00AC67B2">
        <w:rPr>
          <w:rFonts w:cs="Times Unicode"/>
          <w:lang w:val="hy-AM"/>
        </w:rPr>
        <w:t>ֆինանսավորման</w:t>
      </w:r>
      <w:r w:rsidRPr="00AC67B2">
        <w:rPr>
          <w:lang w:val="hy-AM"/>
        </w:rPr>
        <w:t xml:space="preserve"> </w:t>
      </w:r>
      <w:r w:rsidRPr="00AC67B2">
        <w:rPr>
          <w:rFonts w:cs="Times Unicode"/>
          <w:lang w:val="hy-AM"/>
        </w:rPr>
        <w:t>չափը:</w:t>
      </w:r>
    </w:p>
    <w:p w14:paraId="5D6E4AF7" w14:textId="77777777" w:rsidR="00F1465E" w:rsidRPr="00A205DB" w:rsidRDefault="00F1465E" w:rsidP="007B05B7">
      <w:pPr>
        <w:numPr>
          <w:ilvl w:val="0"/>
          <w:numId w:val="11"/>
        </w:numPr>
        <w:tabs>
          <w:tab w:val="clear" w:pos="480"/>
          <w:tab w:val="num" w:pos="284"/>
        </w:tabs>
        <w:spacing w:before="0" w:after="0" w:line="276" w:lineRule="auto"/>
        <w:ind w:left="284" w:hanging="284"/>
        <w:rPr>
          <w:rFonts w:cs="Times Unicode"/>
          <w:lang w:val="hy-AM"/>
        </w:rPr>
      </w:pPr>
      <w:r w:rsidRPr="00AC67B2">
        <w:rPr>
          <w:rFonts w:cs="Times Unicode"/>
          <w:lang w:val="hy-AM"/>
        </w:rPr>
        <w:t>Միջազգային լավագույն փորձին համապատասխան կվերանայվի պարտքային գործառ</w:t>
      </w:r>
      <w:r w:rsidRPr="00AC67B2">
        <w:rPr>
          <w:rFonts w:cs="Times Unicode"/>
          <w:lang w:val="hy-AM"/>
        </w:rPr>
        <w:softHyphen/>
        <w:t xml:space="preserve">նությունները կարգավորող </w:t>
      </w:r>
      <w:r w:rsidRPr="00A205DB">
        <w:rPr>
          <w:rFonts w:cs="Times Unicode"/>
          <w:lang w:val="hy-AM"/>
        </w:rPr>
        <w:t>օրենսդրությունը, մասնավորապես, կվերանայվի «Պետական պարտքի մասին» ՀՀ օրենքը և այն կհամապատասխանեցվի միջազգային ֆինանսական կառույցների կողմից կիրառվող</w:t>
      </w:r>
      <w:r w:rsidRPr="00C35116">
        <w:rPr>
          <w:rFonts w:cs="Times Unicode"/>
          <w:lang w:val="hy-AM"/>
        </w:rPr>
        <w:t xml:space="preserve"> նոր</w:t>
      </w:r>
      <w:r w:rsidRPr="00A205DB">
        <w:rPr>
          <w:rFonts w:cs="Times Unicode"/>
          <w:lang w:val="hy-AM"/>
        </w:rPr>
        <w:t xml:space="preserve"> չափանիշներին: «Պետական պարտքի մասին» ՀՀ օրենքի բարելավումը, որպես միջոցառում, ներառվել է նաև ՀՀ կառավարության 2019 թվականի նոյեմբերի 28-ի N 1716-Լ որոշմամբ հաստատված &lt;&lt;Պետական ֆինանսների կառավարման համակարգի 2019-2023 թվականների բարեփոխումների ռազմավարությունում&gt;&gt; և &lt;&lt;Պետական ֆինանսների կառավարման համակարգի բարեփոխումների 2019-2023 թվականների գործողությունների ծրագրում&gt;&gt;:</w:t>
      </w:r>
    </w:p>
    <w:p w14:paraId="6B3ECBB5" w14:textId="77777777" w:rsidR="00F1465E" w:rsidRPr="00AC67B2" w:rsidRDefault="00F1465E" w:rsidP="007B05B7">
      <w:pPr>
        <w:numPr>
          <w:ilvl w:val="0"/>
          <w:numId w:val="11"/>
        </w:numPr>
        <w:tabs>
          <w:tab w:val="clear" w:pos="480"/>
          <w:tab w:val="num" w:pos="284"/>
        </w:tabs>
        <w:spacing w:before="0" w:after="0" w:line="276" w:lineRule="auto"/>
        <w:ind w:left="284" w:hanging="284"/>
        <w:rPr>
          <w:b/>
          <w:lang w:val="hy-AM"/>
        </w:rPr>
      </w:pPr>
      <w:r w:rsidRPr="00AC67B2">
        <w:rPr>
          <w:rFonts w:cs="Times Unicode"/>
          <w:lang w:val="hy-AM"/>
        </w:rPr>
        <w:lastRenderedPageBreak/>
        <w:t>Պարտքի</w:t>
      </w:r>
      <w:r w:rsidRPr="00AC67B2">
        <w:rPr>
          <w:lang w:val="hy-AM"/>
        </w:rPr>
        <w:t xml:space="preserve"> </w:t>
      </w:r>
      <w:r w:rsidRPr="00AC67B2">
        <w:rPr>
          <w:rFonts w:cs="Times Unicode"/>
          <w:lang w:val="hy-AM"/>
        </w:rPr>
        <w:t>արդյունավետ</w:t>
      </w:r>
      <w:r w:rsidRPr="00AC67B2">
        <w:rPr>
          <w:lang w:val="hy-AM"/>
        </w:rPr>
        <w:t xml:space="preserve"> </w:t>
      </w:r>
      <w:r w:rsidRPr="00AC67B2">
        <w:rPr>
          <w:rFonts w:cs="Times Unicode"/>
          <w:lang w:val="hy-AM"/>
        </w:rPr>
        <w:t>կառավարման</w:t>
      </w:r>
      <w:r w:rsidRPr="00AC67B2">
        <w:rPr>
          <w:lang w:val="hy-AM"/>
        </w:rPr>
        <w:t xml:space="preserve"> </w:t>
      </w:r>
      <w:r w:rsidRPr="00AC67B2">
        <w:rPr>
          <w:rFonts w:cs="Times Unicode"/>
          <w:lang w:val="hy-AM"/>
        </w:rPr>
        <w:t>կարևորագույն</w:t>
      </w:r>
      <w:r w:rsidRPr="00AC67B2">
        <w:rPr>
          <w:lang w:val="hy-AM"/>
        </w:rPr>
        <w:t xml:space="preserve"> </w:t>
      </w:r>
      <w:r w:rsidRPr="00AC67B2">
        <w:rPr>
          <w:rFonts w:cs="Times Unicode"/>
          <w:lang w:val="hy-AM"/>
        </w:rPr>
        <w:t>գործոններից</w:t>
      </w:r>
      <w:r w:rsidRPr="00AC67B2">
        <w:rPr>
          <w:lang w:val="hy-AM"/>
        </w:rPr>
        <w:t xml:space="preserve"> է </w:t>
      </w:r>
      <w:r w:rsidRPr="00AC67B2">
        <w:rPr>
          <w:rFonts w:cs="Times Unicode"/>
          <w:lang w:val="hy-AM"/>
        </w:rPr>
        <w:t>թափանցի</w:t>
      </w:r>
      <w:r w:rsidRPr="00AC67B2">
        <w:rPr>
          <w:rFonts w:cs="Times Unicode"/>
          <w:lang w:val="hy-AM"/>
        </w:rPr>
        <w:softHyphen/>
        <w:t>կության</w:t>
      </w:r>
      <w:r w:rsidRPr="00AC67B2">
        <w:rPr>
          <w:lang w:val="hy-AM"/>
        </w:rPr>
        <w:t xml:space="preserve"> ու հասարակության հետ մշտական հաղորդակցության ապահովումը</w:t>
      </w:r>
      <w:r w:rsidRPr="00AC67B2">
        <w:rPr>
          <w:rFonts w:cs="Times Unicode"/>
          <w:lang w:val="hy-AM"/>
        </w:rPr>
        <w:t>:</w:t>
      </w:r>
      <w:r w:rsidRPr="00AC67B2">
        <w:rPr>
          <w:lang w:val="hy-AM"/>
        </w:rPr>
        <w:t xml:space="preserve"> </w:t>
      </w:r>
      <w:r w:rsidRPr="00AC67B2">
        <w:rPr>
          <w:rFonts w:cs="Times Unicode"/>
          <w:lang w:val="hy-AM"/>
        </w:rPr>
        <w:t>Այդ նպատակով</w:t>
      </w:r>
      <w:r w:rsidRPr="00AC67B2">
        <w:rPr>
          <w:lang w:val="hy-AM"/>
        </w:rPr>
        <w:t xml:space="preserve"> </w:t>
      </w:r>
      <w:r w:rsidRPr="00AC67B2">
        <w:rPr>
          <w:rFonts w:cs="Times Unicode"/>
          <w:lang w:val="hy-AM"/>
        </w:rPr>
        <w:t>կառավարությունը</w:t>
      </w:r>
      <w:r w:rsidRPr="00AC67B2">
        <w:rPr>
          <w:lang w:val="hy-AM"/>
        </w:rPr>
        <w:t xml:space="preserve"> կշարունակի </w:t>
      </w:r>
      <w:r w:rsidRPr="00AC67B2">
        <w:rPr>
          <w:rFonts w:cs="Times Unicode"/>
          <w:lang w:val="hy-AM"/>
        </w:rPr>
        <w:t>ներդրողների ու հանրության հետ</w:t>
      </w:r>
      <w:r w:rsidRPr="00AC67B2">
        <w:rPr>
          <w:lang w:val="hy-AM"/>
        </w:rPr>
        <w:t xml:space="preserve"> </w:t>
      </w:r>
      <w:r w:rsidRPr="00AC67B2">
        <w:rPr>
          <w:rFonts w:cs="Times Unicode"/>
          <w:lang w:val="hy-AM"/>
        </w:rPr>
        <w:t>բաց</w:t>
      </w:r>
      <w:r w:rsidRPr="00AC67B2">
        <w:rPr>
          <w:lang w:val="hy-AM"/>
        </w:rPr>
        <w:t xml:space="preserve"> </w:t>
      </w:r>
      <w:r w:rsidRPr="00AC67B2">
        <w:rPr>
          <w:rFonts w:cs="Times Unicode"/>
          <w:lang w:val="hy-AM"/>
        </w:rPr>
        <w:t>ու</w:t>
      </w:r>
      <w:r w:rsidRPr="00AC67B2">
        <w:rPr>
          <w:lang w:val="hy-AM"/>
        </w:rPr>
        <w:t xml:space="preserve"> </w:t>
      </w:r>
      <w:r w:rsidRPr="00AC67B2">
        <w:rPr>
          <w:rFonts w:cs="Times Unicode"/>
          <w:lang w:val="hy-AM"/>
        </w:rPr>
        <w:t>հրապարակային աշխատանքները և պարտքի</w:t>
      </w:r>
      <w:r w:rsidRPr="00AC67B2">
        <w:rPr>
          <w:lang w:val="hy-AM"/>
        </w:rPr>
        <w:t xml:space="preserve"> </w:t>
      </w:r>
      <w:r w:rsidRPr="00AC67B2">
        <w:rPr>
          <w:rFonts w:cs="Times Unicode"/>
          <w:lang w:val="hy-AM"/>
        </w:rPr>
        <w:t>վերաբերյալ հաշվետ</w:t>
      </w:r>
      <w:r w:rsidRPr="00AC67B2">
        <w:rPr>
          <w:rFonts w:cs="Times Unicode"/>
          <w:lang w:val="hy-AM"/>
        </w:rPr>
        <w:softHyphen/>
        <w:t>վությունների ներկայացումը</w:t>
      </w:r>
      <w:r w:rsidRPr="00AC67B2">
        <w:rPr>
          <w:lang w:val="hy-AM"/>
        </w:rPr>
        <w:t xml:space="preserve">:  </w:t>
      </w:r>
    </w:p>
    <w:p w14:paraId="6319C0C2" w14:textId="77777777" w:rsidR="00F1465E" w:rsidRPr="00E413E0" w:rsidRDefault="00F1465E" w:rsidP="007B05B7">
      <w:pPr>
        <w:numPr>
          <w:ilvl w:val="0"/>
          <w:numId w:val="11"/>
        </w:numPr>
        <w:tabs>
          <w:tab w:val="clear" w:pos="480"/>
          <w:tab w:val="num" w:pos="284"/>
        </w:tabs>
        <w:spacing w:before="0" w:after="0" w:line="276" w:lineRule="auto"/>
        <w:ind w:left="284" w:hanging="284"/>
        <w:rPr>
          <w:lang w:val="hy-AM"/>
        </w:rPr>
      </w:pPr>
      <w:r w:rsidRPr="00A205DB">
        <w:rPr>
          <w:lang w:val="hy-AM"/>
        </w:rPr>
        <w:t>Սույն</w:t>
      </w:r>
      <w:r w:rsidRPr="00E413E0">
        <w:rPr>
          <w:lang w:val="es-ES"/>
        </w:rPr>
        <w:t xml:space="preserve"> </w:t>
      </w:r>
      <w:r w:rsidRPr="00A205DB">
        <w:rPr>
          <w:lang w:val="hy-AM"/>
        </w:rPr>
        <w:t>ռազմավարության</w:t>
      </w:r>
      <w:r w:rsidRPr="00E413E0">
        <w:rPr>
          <w:lang w:val="es-ES"/>
        </w:rPr>
        <w:t xml:space="preserve"> </w:t>
      </w:r>
      <w:r w:rsidRPr="00A205DB">
        <w:rPr>
          <w:lang w:val="hy-AM"/>
        </w:rPr>
        <w:t>հաշվարկներում</w:t>
      </w:r>
      <w:r w:rsidRPr="00E413E0">
        <w:rPr>
          <w:lang w:val="es-ES"/>
        </w:rPr>
        <w:t xml:space="preserve"> </w:t>
      </w:r>
      <w:r w:rsidRPr="00A205DB">
        <w:rPr>
          <w:lang w:val="hy-AM"/>
        </w:rPr>
        <w:t>նախատեսված</w:t>
      </w:r>
      <w:r w:rsidRPr="00E413E0">
        <w:rPr>
          <w:lang w:val="es-ES"/>
        </w:rPr>
        <w:t xml:space="preserve"> </w:t>
      </w:r>
      <w:r w:rsidRPr="00A205DB">
        <w:rPr>
          <w:lang w:val="hy-AM"/>
        </w:rPr>
        <w:t>չեն</w:t>
      </w:r>
      <w:r w:rsidRPr="00E413E0">
        <w:rPr>
          <w:lang w:val="es-ES"/>
        </w:rPr>
        <w:t xml:space="preserve"> </w:t>
      </w:r>
      <w:r w:rsidRPr="00A205DB">
        <w:rPr>
          <w:lang w:val="hy-AM"/>
        </w:rPr>
        <w:t>նոր</w:t>
      </w:r>
      <w:r w:rsidRPr="00E413E0">
        <w:rPr>
          <w:lang w:val="es-ES"/>
        </w:rPr>
        <w:t xml:space="preserve"> </w:t>
      </w:r>
      <w:r w:rsidRPr="00A205DB">
        <w:rPr>
          <w:lang w:val="hy-AM"/>
        </w:rPr>
        <w:t>եվրապարտատոմսերի</w:t>
      </w:r>
      <w:r w:rsidRPr="00E413E0">
        <w:rPr>
          <w:lang w:val="es-ES"/>
        </w:rPr>
        <w:t xml:space="preserve"> </w:t>
      </w:r>
      <w:r w:rsidRPr="00A205DB">
        <w:rPr>
          <w:lang w:val="hy-AM"/>
        </w:rPr>
        <w:t>տեղաբաշխումից</w:t>
      </w:r>
      <w:r w:rsidRPr="00E413E0">
        <w:rPr>
          <w:lang w:val="es-ES"/>
        </w:rPr>
        <w:t xml:space="preserve"> </w:t>
      </w:r>
      <w:r w:rsidRPr="00A205DB">
        <w:rPr>
          <w:lang w:val="hy-AM"/>
        </w:rPr>
        <w:t>մուտքեր</w:t>
      </w:r>
      <w:r w:rsidRPr="00E413E0">
        <w:rPr>
          <w:lang w:val="es-ES"/>
        </w:rPr>
        <w:t xml:space="preserve">, </w:t>
      </w:r>
      <w:r w:rsidRPr="00A205DB">
        <w:rPr>
          <w:lang w:val="hy-AM"/>
        </w:rPr>
        <w:t>սակայն</w:t>
      </w:r>
      <w:r w:rsidRPr="00E413E0">
        <w:rPr>
          <w:lang w:val="es-ES"/>
        </w:rPr>
        <w:t xml:space="preserve"> </w:t>
      </w:r>
      <w:r w:rsidRPr="00A205DB">
        <w:rPr>
          <w:lang w:val="hy-AM"/>
        </w:rPr>
        <w:t>միջնաժամկետ</w:t>
      </w:r>
      <w:r w:rsidRPr="00E413E0">
        <w:rPr>
          <w:lang w:val="es-ES"/>
        </w:rPr>
        <w:t xml:space="preserve"> </w:t>
      </w:r>
      <w:r w:rsidRPr="00A205DB">
        <w:rPr>
          <w:lang w:val="hy-AM"/>
        </w:rPr>
        <w:t>հատվածում</w:t>
      </w:r>
      <w:r w:rsidRPr="00E413E0">
        <w:rPr>
          <w:lang w:val="es-ES"/>
        </w:rPr>
        <w:t xml:space="preserve">, </w:t>
      </w:r>
      <w:r w:rsidRPr="00A205DB">
        <w:rPr>
          <w:lang w:val="hy-AM"/>
        </w:rPr>
        <w:t>արտաքին</w:t>
      </w:r>
      <w:r w:rsidRPr="00E413E0">
        <w:rPr>
          <w:lang w:val="es-ES"/>
        </w:rPr>
        <w:t xml:space="preserve"> </w:t>
      </w:r>
      <w:r w:rsidRPr="00A205DB">
        <w:rPr>
          <w:lang w:val="hy-AM"/>
        </w:rPr>
        <w:t>տնտեսական</w:t>
      </w:r>
      <w:r w:rsidRPr="00E413E0">
        <w:rPr>
          <w:lang w:val="es-ES"/>
        </w:rPr>
        <w:t xml:space="preserve"> </w:t>
      </w:r>
      <w:r w:rsidRPr="00A205DB">
        <w:rPr>
          <w:lang w:val="hy-AM"/>
        </w:rPr>
        <w:t>միջավայրի</w:t>
      </w:r>
      <w:r w:rsidRPr="00E413E0">
        <w:rPr>
          <w:lang w:val="es-ES"/>
        </w:rPr>
        <w:t xml:space="preserve"> </w:t>
      </w:r>
      <w:r w:rsidRPr="00A205DB">
        <w:rPr>
          <w:lang w:val="hy-AM"/>
        </w:rPr>
        <w:t>հնարավոր</w:t>
      </w:r>
      <w:r w:rsidRPr="00E413E0">
        <w:rPr>
          <w:lang w:val="es-ES"/>
        </w:rPr>
        <w:t xml:space="preserve"> </w:t>
      </w:r>
      <w:r w:rsidRPr="00A205DB">
        <w:rPr>
          <w:lang w:val="hy-AM"/>
        </w:rPr>
        <w:t>բացասական</w:t>
      </w:r>
      <w:r w:rsidRPr="00E413E0">
        <w:rPr>
          <w:lang w:val="es-ES"/>
        </w:rPr>
        <w:t xml:space="preserve"> </w:t>
      </w:r>
      <w:r w:rsidRPr="00A205DB">
        <w:rPr>
          <w:lang w:val="hy-AM"/>
        </w:rPr>
        <w:t>փոփոխության</w:t>
      </w:r>
      <w:r w:rsidRPr="00E413E0">
        <w:rPr>
          <w:lang w:val="es-ES"/>
        </w:rPr>
        <w:t xml:space="preserve"> </w:t>
      </w:r>
      <w:r w:rsidRPr="00A205DB">
        <w:rPr>
          <w:lang w:val="hy-AM"/>
        </w:rPr>
        <w:t>ազդեցության</w:t>
      </w:r>
      <w:r w:rsidRPr="00E413E0">
        <w:rPr>
          <w:lang w:val="es-ES"/>
        </w:rPr>
        <w:t xml:space="preserve"> </w:t>
      </w:r>
      <w:r w:rsidRPr="00A205DB">
        <w:rPr>
          <w:lang w:val="hy-AM"/>
        </w:rPr>
        <w:t>արդյունքում</w:t>
      </w:r>
      <w:r w:rsidRPr="00E413E0">
        <w:rPr>
          <w:lang w:val="es-ES"/>
        </w:rPr>
        <w:t xml:space="preserve"> </w:t>
      </w:r>
      <w:r w:rsidRPr="00A205DB">
        <w:rPr>
          <w:lang w:val="hy-AM"/>
        </w:rPr>
        <w:t>հարկաբյուջետային</w:t>
      </w:r>
      <w:r w:rsidRPr="00E413E0">
        <w:rPr>
          <w:lang w:val="es-ES"/>
        </w:rPr>
        <w:t xml:space="preserve"> </w:t>
      </w:r>
      <w:r w:rsidRPr="00A205DB">
        <w:rPr>
          <w:lang w:val="hy-AM"/>
        </w:rPr>
        <w:t>քաղաքականության</w:t>
      </w:r>
      <w:r w:rsidRPr="00E413E0">
        <w:rPr>
          <w:lang w:val="es-ES"/>
        </w:rPr>
        <w:t xml:space="preserve"> </w:t>
      </w:r>
      <w:r w:rsidRPr="00A205DB">
        <w:rPr>
          <w:lang w:val="hy-AM"/>
        </w:rPr>
        <w:t>իրա</w:t>
      </w:r>
      <w:r w:rsidRPr="00E413E0">
        <w:rPr>
          <w:lang w:val="es-ES"/>
        </w:rPr>
        <w:softHyphen/>
      </w:r>
      <w:r w:rsidRPr="00A205DB">
        <w:rPr>
          <w:lang w:val="hy-AM"/>
        </w:rPr>
        <w:t>կանացման</w:t>
      </w:r>
      <w:r w:rsidRPr="00E413E0">
        <w:rPr>
          <w:lang w:val="es-ES"/>
        </w:rPr>
        <w:t xml:space="preserve"> մեծ </w:t>
      </w:r>
      <w:r w:rsidRPr="00A205DB">
        <w:rPr>
          <w:lang w:val="hy-AM"/>
        </w:rPr>
        <w:t>ռիսկերի</w:t>
      </w:r>
      <w:r w:rsidRPr="00E413E0">
        <w:rPr>
          <w:lang w:val="es-ES"/>
        </w:rPr>
        <w:t xml:space="preserve"> </w:t>
      </w:r>
      <w:r w:rsidRPr="00A205DB">
        <w:rPr>
          <w:lang w:val="hy-AM"/>
        </w:rPr>
        <w:t>առաջացման</w:t>
      </w:r>
      <w:r w:rsidRPr="00E413E0">
        <w:rPr>
          <w:lang w:val="es-ES"/>
        </w:rPr>
        <w:t xml:space="preserve"> </w:t>
      </w:r>
      <w:r w:rsidRPr="00A205DB">
        <w:rPr>
          <w:lang w:val="hy-AM"/>
        </w:rPr>
        <w:t>դեպքում</w:t>
      </w:r>
      <w:r w:rsidRPr="00E413E0">
        <w:rPr>
          <w:lang w:val="es-ES"/>
        </w:rPr>
        <w:t xml:space="preserve">, </w:t>
      </w:r>
      <w:r w:rsidRPr="00A205DB">
        <w:rPr>
          <w:lang w:val="hy-AM"/>
        </w:rPr>
        <w:t>կդիտարկվի</w:t>
      </w:r>
      <w:r w:rsidRPr="00E413E0">
        <w:rPr>
          <w:lang w:val="es-ES"/>
        </w:rPr>
        <w:t xml:space="preserve"> </w:t>
      </w:r>
      <w:r w:rsidRPr="00A205DB">
        <w:rPr>
          <w:lang w:val="hy-AM"/>
        </w:rPr>
        <w:t>եվրապարտատոմսերի</w:t>
      </w:r>
      <w:r w:rsidRPr="00E413E0">
        <w:rPr>
          <w:lang w:val="es-ES"/>
        </w:rPr>
        <w:t xml:space="preserve"> </w:t>
      </w:r>
      <w:r w:rsidRPr="00A205DB">
        <w:rPr>
          <w:lang w:val="hy-AM"/>
        </w:rPr>
        <w:t>թողարկման</w:t>
      </w:r>
      <w:r w:rsidRPr="00E413E0">
        <w:rPr>
          <w:lang w:val="es-ES"/>
        </w:rPr>
        <w:t xml:space="preserve"> </w:t>
      </w:r>
      <w:r w:rsidRPr="00A205DB">
        <w:rPr>
          <w:lang w:val="hy-AM"/>
        </w:rPr>
        <w:t>իրականացման</w:t>
      </w:r>
      <w:r w:rsidRPr="00E413E0">
        <w:rPr>
          <w:lang w:val="es-ES"/>
        </w:rPr>
        <w:t xml:space="preserve"> </w:t>
      </w:r>
      <w:r w:rsidRPr="00A205DB">
        <w:rPr>
          <w:lang w:val="hy-AM"/>
        </w:rPr>
        <w:t>նպատակահարմարությունը</w:t>
      </w:r>
      <w:r w:rsidRPr="00E413E0">
        <w:rPr>
          <w:lang w:val="es-ES"/>
        </w:rPr>
        <w:t>: Ն</w:t>
      </w:r>
      <w:r w:rsidRPr="00A205DB">
        <w:rPr>
          <w:lang w:val="hy-AM"/>
        </w:rPr>
        <w:t>երքին</w:t>
      </w:r>
      <w:r w:rsidRPr="00E413E0">
        <w:rPr>
          <w:lang w:val="es-ES"/>
        </w:rPr>
        <w:t xml:space="preserve"> </w:t>
      </w:r>
      <w:r w:rsidRPr="00A205DB">
        <w:rPr>
          <w:lang w:val="hy-AM"/>
        </w:rPr>
        <w:t>շուկայում</w:t>
      </w:r>
      <w:r w:rsidRPr="00E413E0">
        <w:rPr>
          <w:lang w:val="es-ES"/>
        </w:rPr>
        <w:t xml:space="preserve"> կամ արտաքին կապիտալի շուկայում </w:t>
      </w:r>
      <w:r w:rsidRPr="00A205DB">
        <w:rPr>
          <w:lang w:val="hy-AM"/>
        </w:rPr>
        <w:t>բարենպաստ</w:t>
      </w:r>
      <w:r w:rsidRPr="00E413E0">
        <w:rPr>
          <w:lang w:val="es-ES"/>
        </w:rPr>
        <w:t xml:space="preserve"> </w:t>
      </w:r>
      <w:r w:rsidRPr="00A205DB">
        <w:rPr>
          <w:lang w:val="hy-AM"/>
        </w:rPr>
        <w:t>պայմանների</w:t>
      </w:r>
      <w:r w:rsidRPr="00E413E0">
        <w:rPr>
          <w:lang w:val="es-ES"/>
        </w:rPr>
        <w:t xml:space="preserve"> </w:t>
      </w:r>
      <w:r w:rsidRPr="00A205DB">
        <w:rPr>
          <w:lang w:val="hy-AM"/>
        </w:rPr>
        <w:t>առկայու</w:t>
      </w:r>
      <w:r w:rsidRPr="00E413E0">
        <w:rPr>
          <w:lang w:val="es-ES"/>
        </w:rPr>
        <w:softHyphen/>
      </w:r>
      <w:r w:rsidRPr="00A205DB">
        <w:rPr>
          <w:lang w:val="hy-AM"/>
        </w:rPr>
        <w:t>թյան</w:t>
      </w:r>
      <w:r w:rsidRPr="00E413E0">
        <w:rPr>
          <w:lang w:val="es-ES"/>
        </w:rPr>
        <w:t xml:space="preserve"> </w:t>
      </w:r>
      <w:r w:rsidRPr="00A205DB">
        <w:rPr>
          <w:lang w:val="hy-AM"/>
        </w:rPr>
        <w:t>դեպ</w:t>
      </w:r>
      <w:r w:rsidRPr="00E413E0">
        <w:rPr>
          <w:lang w:val="es-ES"/>
        </w:rPr>
        <w:softHyphen/>
      </w:r>
      <w:r w:rsidRPr="00A205DB">
        <w:rPr>
          <w:lang w:val="hy-AM"/>
        </w:rPr>
        <w:t>քերում միջնաժամկետ հատվածում</w:t>
      </w:r>
      <w:r w:rsidRPr="00E413E0">
        <w:rPr>
          <w:lang w:val="es-ES"/>
        </w:rPr>
        <w:t xml:space="preserve"> կառավարության կողմից </w:t>
      </w:r>
      <w:r w:rsidRPr="00A205DB">
        <w:rPr>
          <w:lang w:val="hy-AM"/>
        </w:rPr>
        <w:t>կդիտարկվեն</w:t>
      </w:r>
      <w:r w:rsidRPr="00E413E0">
        <w:rPr>
          <w:lang w:val="es-ES"/>
        </w:rPr>
        <w:t xml:space="preserve"> այդ աղբյուրներից յուրաքանչյուրի կամ դրանց համատեղման միջոցով 2025</w:t>
      </w:r>
      <w:r w:rsidRPr="00A205DB">
        <w:rPr>
          <w:lang w:val="hy-AM"/>
        </w:rPr>
        <w:t>թ</w:t>
      </w:r>
      <w:r w:rsidRPr="00E413E0">
        <w:rPr>
          <w:lang w:val="es-ES"/>
        </w:rPr>
        <w:t xml:space="preserve">. </w:t>
      </w:r>
      <w:r w:rsidRPr="00A205DB">
        <w:rPr>
          <w:lang w:val="hy-AM"/>
        </w:rPr>
        <w:t>մարվող</w:t>
      </w:r>
      <w:r w:rsidRPr="00E413E0">
        <w:rPr>
          <w:lang w:val="es-ES"/>
        </w:rPr>
        <w:t xml:space="preserve"> </w:t>
      </w:r>
      <w:r w:rsidRPr="00A205DB">
        <w:rPr>
          <w:lang w:val="hy-AM"/>
        </w:rPr>
        <w:t>եվրապարտատոմսերը</w:t>
      </w:r>
      <w:r w:rsidRPr="00E413E0">
        <w:rPr>
          <w:lang w:val="es-ES"/>
        </w:rPr>
        <w:t xml:space="preserve"> </w:t>
      </w:r>
      <w:r w:rsidRPr="00A205DB">
        <w:rPr>
          <w:lang w:val="hy-AM"/>
        </w:rPr>
        <w:t>վերաֆինանսավորելու</w:t>
      </w:r>
      <w:r w:rsidRPr="00E413E0">
        <w:rPr>
          <w:lang w:val="es-ES"/>
        </w:rPr>
        <w:t xml:space="preserve"> </w:t>
      </w:r>
      <w:r w:rsidRPr="00A205DB">
        <w:rPr>
          <w:lang w:val="hy-AM"/>
        </w:rPr>
        <w:t>կամ</w:t>
      </w:r>
      <w:r w:rsidRPr="00E413E0">
        <w:rPr>
          <w:lang w:val="es-ES"/>
        </w:rPr>
        <w:t xml:space="preserve"> </w:t>
      </w:r>
      <w:r w:rsidRPr="00A205DB">
        <w:rPr>
          <w:lang w:val="hy-AM"/>
        </w:rPr>
        <w:t>փոխա</w:t>
      </w:r>
      <w:r w:rsidRPr="00E413E0">
        <w:rPr>
          <w:lang w:val="es-ES"/>
        </w:rPr>
        <w:softHyphen/>
      </w:r>
      <w:r w:rsidRPr="00A205DB">
        <w:rPr>
          <w:lang w:val="hy-AM"/>
        </w:rPr>
        <w:t>ռությունների</w:t>
      </w:r>
      <w:r w:rsidRPr="00E413E0">
        <w:rPr>
          <w:lang w:val="es-ES"/>
        </w:rPr>
        <w:t xml:space="preserve"> </w:t>
      </w:r>
      <w:r w:rsidRPr="00A205DB">
        <w:rPr>
          <w:lang w:val="hy-AM"/>
        </w:rPr>
        <w:t>ներգրավմանը</w:t>
      </w:r>
      <w:r w:rsidRPr="00E413E0">
        <w:rPr>
          <w:lang w:val="es-ES"/>
        </w:rPr>
        <w:t xml:space="preserve"> </w:t>
      </w:r>
      <w:r w:rsidRPr="00A205DB">
        <w:rPr>
          <w:lang w:val="hy-AM"/>
        </w:rPr>
        <w:t>զուգահեռ</w:t>
      </w:r>
      <w:r w:rsidRPr="00E413E0">
        <w:rPr>
          <w:lang w:val="es-ES"/>
        </w:rPr>
        <w:t xml:space="preserve"> </w:t>
      </w:r>
      <w:r w:rsidRPr="00A205DB">
        <w:rPr>
          <w:lang w:val="hy-AM"/>
        </w:rPr>
        <w:t>եվրապարտատոմսերը</w:t>
      </w:r>
      <w:r w:rsidRPr="00E413E0">
        <w:rPr>
          <w:lang w:val="es-ES"/>
        </w:rPr>
        <w:t xml:space="preserve"> </w:t>
      </w:r>
      <w:r w:rsidRPr="00A205DB">
        <w:rPr>
          <w:lang w:val="hy-AM"/>
        </w:rPr>
        <w:t>վաղաժամկետ</w:t>
      </w:r>
      <w:r w:rsidRPr="00E413E0">
        <w:rPr>
          <w:lang w:val="es-ES"/>
        </w:rPr>
        <w:t xml:space="preserve"> </w:t>
      </w:r>
      <w:r w:rsidRPr="00A205DB">
        <w:rPr>
          <w:lang w:val="hy-AM"/>
        </w:rPr>
        <w:t>հետգնելու</w:t>
      </w:r>
      <w:r w:rsidRPr="00E413E0">
        <w:rPr>
          <w:lang w:val="es-ES"/>
        </w:rPr>
        <w:t xml:space="preserve"> </w:t>
      </w:r>
      <w:r w:rsidRPr="00A205DB">
        <w:rPr>
          <w:lang w:val="hy-AM"/>
        </w:rPr>
        <w:t>նպատակահարմարությունը</w:t>
      </w:r>
      <w:r w:rsidRPr="00E413E0">
        <w:rPr>
          <w:lang w:val="es-ES"/>
        </w:rPr>
        <w:t>:</w:t>
      </w:r>
    </w:p>
    <w:p w14:paraId="6E04C2CB" w14:textId="77777777" w:rsidR="00F1465E" w:rsidRPr="00AC67B2" w:rsidRDefault="00F1465E" w:rsidP="007B05B7">
      <w:pPr>
        <w:numPr>
          <w:ilvl w:val="0"/>
          <w:numId w:val="11"/>
        </w:numPr>
        <w:tabs>
          <w:tab w:val="clear" w:pos="480"/>
          <w:tab w:val="num" w:pos="284"/>
          <w:tab w:val="num" w:pos="567"/>
        </w:tabs>
        <w:spacing w:before="0" w:after="0" w:line="276" w:lineRule="auto"/>
        <w:ind w:left="284" w:hanging="284"/>
        <w:rPr>
          <w:lang w:val="hy-AM"/>
        </w:rPr>
      </w:pPr>
      <w:r w:rsidRPr="00AC67B2">
        <w:rPr>
          <w:rFonts w:cs="Times Unicode"/>
          <w:lang w:val="hy-AM"/>
        </w:rPr>
        <w:t>ՀՀ ֆինանսների նախարարությունը կշարունակի պետական գանձապետական պարտատոմ</w:t>
      </w:r>
      <w:r w:rsidRPr="00AC67B2">
        <w:rPr>
          <w:rFonts w:cs="Times Unicode"/>
          <w:lang w:val="hy-AM"/>
        </w:rPr>
        <w:softHyphen/>
        <w:t>սերի հետգնումների, փոխա</w:t>
      </w:r>
      <w:r w:rsidRPr="00AC67B2">
        <w:rPr>
          <w:rFonts w:cs="Times Unicode"/>
          <w:lang w:val="hy-AM"/>
        </w:rPr>
        <w:softHyphen/>
        <w:t>նակումների իրականացումը` նպատակ ունենալով հարթեցնել պարտ</w:t>
      </w:r>
      <w:r w:rsidRPr="00AC67B2">
        <w:rPr>
          <w:rFonts w:cs="Times Unicode"/>
          <w:lang w:val="hy-AM"/>
        </w:rPr>
        <w:softHyphen/>
        <w:t>քի մարման գրաֆիկը և նվազեցնել վերաֆինանսավորման ռիսկը, ինչպես նաև բարձ</w:t>
      </w:r>
      <w:r w:rsidRPr="00AC67B2">
        <w:rPr>
          <w:rFonts w:cs="Times Unicode"/>
          <w:lang w:val="hy-AM"/>
        </w:rPr>
        <w:softHyphen/>
        <w:t>րաց</w:t>
      </w:r>
      <w:r w:rsidRPr="00AC67B2">
        <w:rPr>
          <w:rFonts w:cs="Times Unicode"/>
          <w:lang w:val="hy-AM"/>
        </w:rPr>
        <w:softHyphen/>
        <w:t xml:space="preserve">նել տեղաբաշխվող պարտատոմսերի իրացվելիությունը և նպաստել երկրորդային շուկայի զարգացմանը: </w:t>
      </w:r>
    </w:p>
    <w:p w14:paraId="47B1CA4D" w14:textId="77777777" w:rsidR="00F1465E" w:rsidRPr="00AC67B2" w:rsidRDefault="00F1465E" w:rsidP="007B05B7">
      <w:pPr>
        <w:numPr>
          <w:ilvl w:val="0"/>
          <w:numId w:val="11"/>
        </w:numPr>
        <w:tabs>
          <w:tab w:val="clear" w:pos="480"/>
          <w:tab w:val="num" w:pos="284"/>
        </w:tabs>
        <w:spacing w:before="0" w:after="0" w:line="276" w:lineRule="auto"/>
        <w:ind w:left="284" w:hanging="284"/>
        <w:rPr>
          <w:lang w:val="hy-AM"/>
        </w:rPr>
      </w:pPr>
      <w:r w:rsidRPr="00AC67B2">
        <w:rPr>
          <w:rFonts w:cs="Times Unicode"/>
          <w:lang w:val="hy-AM"/>
        </w:rPr>
        <w:t xml:space="preserve">Կներդրվի պետական գանձապետական պարտատոմսերի փոխանակման աճուրդների </w:t>
      </w:r>
      <w:r w:rsidRPr="00AC67B2">
        <w:rPr>
          <w:lang w:val="hy-AM"/>
        </w:rPr>
        <w:t xml:space="preserve">կազմակերպման էլեկտրոնային համակարգ: </w:t>
      </w:r>
    </w:p>
    <w:p w14:paraId="0AAABCD3" w14:textId="77777777" w:rsidR="00F1465E" w:rsidRPr="00AC67B2" w:rsidRDefault="00F1465E" w:rsidP="007B05B7">
      <w:pPr>
        <w:numPr>
          <w:ilvl w:val="0"/>
          <w:numId w:val="11"/>
        </w:numPr>
        <w:tabs>
          <w:tab w:val="clear" w:pos="480"/>
          <w:tab w:val="num" w:pos="284"/>
        </w:tabs>
        <w:spacing w:before="0" w:after="0" w:line="276" w:lineRule="auto"/>
        <w:ind w:left="284" w:hanging="284"/>
        <w:rPr>
          <w:lang w:val="hy-AM"/>
        </w:rPr>
      </w:pPr>
      <w:r w:rsidRPr="00AC67B2">
        <w:rPr>
          <w:lang w:val="hy-AM"/>
        </w:rPr>
        <w:t>Կարևորելով պետական գանձապետական պարտատոմսերի մանրածախ շուկայի զարգացումը` քայլեր կձեռնարկվեն խնայողական պարտատոմսերի ներդրողների շրջանակը մեծացնելու և ժամկետայնությունը երկարացնելու ուղղու</w:t>
      </w:r>
      <w:r w:rsidRPr="00AC67B2">
        <w:rPr>
          <w:lang w:val="hy-AM"/>
        </w:rPr>
        <w:softHyphen/>
        <w:t>թյամբ: Այս առումով, կառավարության նկատմամբ վստահության ամրապնդման ուղղությամբ քայլերին զուգահեռ, կիրականացվեն հանրային իրազեկման աշխատանքներ պոտեն</w:t>
      </w:r>
      <w:r w:rsidRPr="00AC67B2">
        <w:rPr>
          <w:lang w:val="hy-AM"/>
        </w:rPr>
        <w:softHyphen/>
        <w:t xml:space="preserve">ցիալ ներդրողների շրջանում: </w:t>
      </w:r>
    </w:p>
    <w:p w14:paraId="531A9DC1" w14:textId="77777777" w:rsidR="00F1465E" w:rsidRPr="00AC67B2" w:rsidRDefault="00F1465E" w:rsidP="007B05B7">
      <w:pPr>
        <w:numPr>
          <w:ilvl w:val="0"/>
          <w:numId w:val="11"/>
        </w:numPr>
        <w:tabs>
          <w:tab w:val="clear" w:pos="480"/>
          <w:tab w:val="num" w:pos="284"/>
        </w:tabs>
        <w:spacing w:before="0" w:after="0" w:line="276" w:lineRule="auto"/>
        <w:ind w:left="284" w:hanging="284"/>
        <w:rPr>
          <w:lang w:val="hy-AM"/>
        </w:rPr>
      </w:pPr>
      <w:r w:rsidRPr="00AC67B2">
        <w:rPr>
          <w:lang w:val="hy-AM"/>
        </w:rPr>
        <w:t>Համագործակցությունն արտաքին վարկատուների հետ կշարունակվի՝ նա</w:t>
      </w:r>
      <w:r w:rsidRPr="00AC67B2">
        <w:rPr>
          <w:lang w:val="hy-AM"/>
        </w:rPr>
        <w:softHyphen/>
        <w:t>խա</w:t>
      </w:r>
      <w:r w:rsidRPr="00AC67B2">
        <w:rPr>
          <w:lang w:val="hy-AM"/>
        </w:rPr>
        <w:softHyphen/>
      </w:r>
      <w:r w:rsidRPr="00AC67B2">
        <w:rPr>
          <w:lang w:val="hy-AM"/>
        </w:rPr>
        <w:softHyphen/>
        <w:t xml:space="preserve">պատվությունը տալով վարկավորման առավել բարենպաստ պայմաններով և ազատ փոխարկելի արժույթով </w:t>
      </w:r>
      <w:r w:rsidRPr="00AC67B2">
        <w:rPr>
          <w:rFonts w:cs="Times Unicode"/>
          <w:lang w:val="hy-AM"/>
        </w:rPr>
        <w:t>փոխառու</w:t>
      </w:r>
      <w:r w:rsidRPr="00AC67B2">
        <w:rPr>
          <w:lang w:val="hy-AM"/>
        </w:rPr>
        <w:t xml:space="preserve"> </w:t>
      </w:r>
      <w:r w:rsidRPr="00AC67B2">
        <w:rPr>
          <w:rFonts w:cs="Times Unicode"/>
          <w:lang w:val="hy-AM"/>
        </w:rPr>
        <w:t>միջոցներ</w:t>
      </w:r>
      <w:r w:rsidRPr="00AC67B2">
        <w:rPr>
          <w:lang w:val="hy-AM"/>
        </w:rPr>
        <w:t xml:space="preserve"> </w:t>
      </w:r>
      <w:r w:rsidRPr="00AC67B2">
        <w:rPr>
          <w:rFonts w:cs="Times Unicode"/>
          <w:lang w:val="hy-AM"/>
        </w:rPr>
        <w:t>տրամադրող</w:t>
      </w:r>
      <w:r w:rsidRPr="00AC67B2">
        <w:rPr>
          <w:lang w:val="hy-AM"/>
        </w:rPr>
        <w:t xml:space="preserve"> </w:t>
      </w:r>
      <w:r w:rsidRPr="00AC67B2">
        <w:rPr>
          <w:rFonts w:cs="Times Unicode"/>
          <w:lang w:val="hy-AM"/>
        </w:rPr>
        <w:t>վարկատուների</w:t>
      </w:r>
      <w:r w:rsidRPr="00AC67B2">
        <w:rPr>
          <w:lang w:val="hy-AM"/>
        </w:rPr>
        <w:t xml:space="preserve"> </w:t>
      </w:r>
      <w:r w:rsidRPr="00AC67B2">
        <w:rPr>
          <w:rFonts w:cs="Times Unicode"/>
          <w:lang w:val="hy-AM"/>
        </w:rPr>
        <w:t>հետ</w:t>
      </w:r>
      <w:r w:rsidRPr="00AC67B2">
        <w:rPr>
          <w:lang w:val="hy-AM"/>
        </w:rPr>
        <w:t xml:space="preserve"> </w:t>
      </w:r>
      <w:r w:rsidRPr="00AC67B2">
        <w:rPr>
          <w:rFonts w:cs="Times Unicode"/>
          <w:lang w:val="hy-AM"/>
        </w:rPr>
        <w:t>համա</w:t>
      </w:r>
      <w:r w:rsidRPr="00AC67B2">
        <w:rPr>
          <w:rFonts w:cs="Times Unicode"/>
          <w:lang w:val="hy-AM"/>
        </w:rPr>
        <w:softHyphen/>
        <w:t>գործակ</w:t>
      </w:r>
      <w:r w:rsidRPr="00AC67B2">
        <w:rPr>
          <w:rFonts w:cs="Times Unicode"/>
          <w:lang w:val="hy-AM"/>
        </w:rPr>
        <w:softHyphen/>
        <w:t>ցությանը</w:t>
      </w:r>
      <w:r w:rsidRPr="00BF6DA6">
        <w:rPr>
          <w:rFonts w:cs="Times Unicode"/>
          <w:lang w:val="hy-AM"/>
        </w:rPr>
        <w:t>, և աստիճանաբար անցում կկատարվի շուկայական գործիքներով պակասուրդի ֆինանսավորմանը</w:t>
      </w:r>
      <w:r w:rsidRPr="00AC67B2">
        <w:rPr>
          <w:lang w:val="hy-AM"/>
        </w:rPr>
        <w:t xml:space="preserve">: </w:t>
      </w:r>
    </w:p>
    <w:p w14:paraId="3F22CA4F" w14:textId="77777777" w:rsidR="00F1465E" w:rsidRPr="00AC67B2" w:rsidRDefault="00F1465E" w:rsidP="007B05B7">
      <w:pPr>
        <w:spacing w:after="100" w:afterAutospacing="1" w:line="276" w:lineRule="auto"/>
        <w:ind w:firstLine="709"/>
        <w:rPr>
          <w:rFonts w:cs="Times Unicode"/>
          <w:u w:val="single"/>
          <w:lang w:val="hy-AM"/>
        </w:rPr>
      </w:pPr>
      <w:r>
        <w:rPr>
          <w:rFonts w:cs="Times Unicode"/>
          <w:u w:val="single"/>
          <w:lang w:val="hy-AM"/>
        </w:rPr>
        <w:br w:type="page"/>
      </w:r>
      <w:r w:rsidRPr="00AC67B2">
        <w:rPr>
          <w:rFonts w:cs="Times Unicode"/>
          <w:u w:val="single"/>
          <w:lang w:val="hy-AM"/>
        </w:rPr>
        <w:lastRenderedPageBreak/>
        <w:t>Ուղենշային ցուցանիշները</w:t>
      </w:r>
    </w:p>
    <w:p w14:paraId="34B80055" w14:textId="77777777" w:rsidR="00F1465E" w:rsidRPr="00AC67B2" w:rsidRDefault="00F1465E" w:rsidP="007B05B7">
      <w:pPr>
        <w:spacing w:after="120" w:line="276" w:lineRule="auto"/>
        <w:ind w:firstLine="709"/>
        <w:rPr>
          <w:rFonts w:cs="Times Unicode"/>
          <w:lang w:val="hy-AM"/>
        </w:rPr>
      </w:pPr>
      <w:r w:rsidRPr="00AC67B2">
        <w:rPr>
          <w:rFonts w:cs="Times Unicode"/>
          <w:lang w:val="hy-AM"/>
        </w:rPr>
        <w:t>ՀՀ կառավարության պարտքի պորտֆելի արդյունավետ կառավարման նպատակով անհրաժեշտ է բացահայտել և գնահատել ՀՀ կառավարության պարտքի պորտֆելին բնորոշ ռիսկերը: Այդ պատճառով ՀՀ կառավարության պարտքի կառավարման ռազմավարությունը սահմանում է պարտքի պորտֆելի ռիսկերի ուղենշային ցուցանիշներ, որոնց նպատակն է որոշակի սահմանափակումների միջոցով պահպանել փոխարժեքի, տոկոսադրույքի և վերաֆինանսավորման ռիսկերը վերահսկելիության շրջանակներում: Ուղենշային ցուցանիշները սահմանվել են՝ հաշվի առնելով ՀՀ կառավարության պարտքի կառավարման միջավայրին բնորոշ առանձնահատկություններն ու սահմանափակումները:</w:t>
      </w:r>
    </w:p>
    <w:p w14:paraId="11F1893C" w14:textId="77777777" w:rsidR="00F1465E" w:rsidRPr="007B05B7" w:rsidRDefault="00F1465E" w:rsidP="007B05B7">
      <w:pPr>
        <w:spacing w:line="276" w:lineRule="auto"/>
        <w:rPr>
          <w:rFonts w:cs="Times Unicode"/>
          <w:i/>
          <w:sz w:val="20"/>
          <w:szCs w:val="20"/>
          <w:lang w:val="hy-AM"/>
        </w:rPr>
      </w:pPr>
      <w:r w:rsidRPr="007B05B7">
        <w:rPr>
          <w:rFonts w:cs="Times Unicode"/>
          <w:b/>
          <w:sz w:val="20"/>
          <w:szCs w:val="20"/>
          <w:lang w:val="hy-AM"/>
        </w:rPr>
        <w:t xml:space="preserve">Աղյուսակ </w:t>
      </w:r>
      <w:r w:rsidR="007B05B7" w:rsidRPr="00BE7F99">
        <w:rPr>
          <w:rFonts w:cs="Times Unicode"/>
          <w:b/>
          <w:sz w:val="20"/>
          <w:szCs w:val="20"/>
          <w:lang w:val="hy-AM"/>
        </w:rPr>
        <w:t>1.</w:t>
      </w:r>
      <w:r w:rsidRPr="007B05B7">
        <w:rPr>
          <w:rFonts w:cs="Times Unicode"/>
          <w:b/>
          <w:sz w:val="20"/>
          <w:szCs w:val="20"/>
          <w:lang w:val="hy-AM"/>
        </w:rPr>
        <w:t>4</w:t>
      </w:r>
      <w:r w:rsidRPr="007B05B7">
        <w:rPr>
          <w:sz w:val="20"/>
          <w:szCs w:val="20"/>
          <w:lang w:val="hy-AM"/>
        </w:rPr>
        <w:t xml:space="preserve"> </w:t>
      </w:r>
      <w:r w:rsidRPr="007B05B7">
        <w:rPr>
          <w:rFonts w:cs="Times Unicode"/>
          <w:i/>
          <w:sz w:val="20"/>
          <w:szCs w:val="20"/>
          <w:lang w:val="hy-AM"/>
        </w:rPr>
        <w:t>ՀՀ</w:t>
      </w:r>
      <w:r w:rsidRPr="007B05B7">
        <w:rPr>
          <w:i/>
          <w:sz w:val="20"/>
          <w:szCs w:val="20"/>
          <w:lang w:val="hy-AM"/>
        </w:rPr>
        <w:t xml:space="preserve"> </w:t>
      </w:r>
      <w:r w:rsidRPr="007B05B7">
        <w:rPr>
          <w:rFonts w:cs="Times Unicode"/>
          <w:i/>
          <w:sz w:val="20"/>
          <w:szCs w:val="20"/>
          <w:lang w:val="hy-AM"/>
        </w:rPr>
        <w:t>կառավարության</w:t>
      </w:r>
      <w:r w:rsidRPr="007B05B7">
        <w:rPr>
          <w:i/>
          <w:sz w:val="20"/>
          <w:szCs w:val="20"/>
          <w:lang w:val="hy-AM"/>
        </w:rPr>
        <w:t xml:space="preserve"> </w:t>
      </w:r>
      <w:r w:rsidRPr="007B05B7">
        <w:rPr>
          <w:rFonts w:cs="Times Unicode"/>
          <w:i/>
          <w:sz w:val="20"/>
          <w:szCs w:val="20"/>
          <w:lang w:val="hy-AM"/>
        </w:rPr>
        <w:t>պարտքի</w:t>
      </w:r>
      <w:r w:rsidRPr="007B05B7">
        <w:rPr>
          <w:i/>
          <w:sz w:val="20"/>
          <w:szCs w:val="20"/>
          <w:lang w:val="hy-AM"/>
        </w:rPr>
        <w:t xml:space="preserve"> </w:t>
      </w:r>
      <w:r w:rsidRPr="007B05B7">
        <w:rPr>
          <w:rFonts w:cs="Times Unicode"/>
          <w:i/>
          <w:sz w:val="20"/>
          <w:szCs w:val="20"/>
          <w:lang w:val="hy-AM"/>
        </w:rPr>
        <w:t>պորտֆելի</w:t>
      </w:r>
      <w:r w:rsidRPr="007B05B7">
        <w:rPr>
          <w:i/>
          <w:sz w:val="20"/>
          <w:szCs w:val="20"/>
          <w:lang w:val="hy-AM"/>
        </w:rPr>
        <w:t xml:space="preserve"> 2021-2023թթ. </w:t>
      </w:r>
      <w:r w:rsidRPr="007B05B7">
        <w:rPr>
          <w:rFonts w:cs="Times Unicode"/>
          <w:i/>
          <w:sz w:val="20"/>
          <w:szCs w:val="20"/>
          <w:lang w:val="hy-AM"/>
        </w:rPr>
        <w:t>ուղենշային ցուցանիշները</w:t>
      </w:r>
    </w:p>
    <w:p w14:paraId="7A2A79CB" w14:textId="77777777" w:rsidR="00F1465E" w:rsidRPr="00AC67B2" w:rsidRDefault="00F1465E" w:rsidP="007B05B7">
      <w:pPr>
        <w:spacing w:line="276" w:lineRule="auto"/>
        <w:jc w:val="right"/>
        <w:rPr>
          <w:rFonts w:cs="Times Unicode"/>
          <w:sz w:val="20"/>
          <w:szCs w:val="20"/>
          <w:lang w:val="hy-A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2"/>
        <w:gridCol w:w="2780"/>
      </w:tblGrid>
      <w:tr w:rsidR="00F1465E" w:rsidRPr="00231DF7" w14:paraId="441FD45E" w14:textId="77777777" w:rsidTr="00231073">
        <w:trPr>
          <w:tblHeader/>
          <w:jc w:val="center"/>
        </w:trPr>
        <w:tc>
          <w:tcPr>
            <w:tcW w:w="7022" w:type="dxa"/>
            <w:tcBorders>
              <w:top w:val="thinThickThinSmallGap" w:sz="24" w:space="0" w:color="auto"/>
              <w:left w:val="nil"/>
              <w:bottom w:val="thinThickSmallGap" w:sz="24" w:space="0" w:color="auto"/>
              <w:right w:val="nil"/>
            </w:tcBorders>
            <w:shd w:val="clear" w:color="auto" w:fill="0B70B5"/>
          </w:tcPr>
          <w:p w14:paraId="4A8F4706" w14:textId="77777777" w:rsidR="00F1465E" w:rsidRPr="00C35116" w:rsidRDefault="00F1465E" w:rsidP="00231073">
            <w:pPr>
              <w:spacing w:before="0" w:after="0" w:line="360" w:lineRule="auto"/>
              <w:ind w:firstLine="35"/>
              <w:rPr>
                <w:color w:val="FFFFFF" w:themeColor="background1"/>
                <w:sz w:val="20"/>
                <w:szCs w:val="20"/>
                <w:lang w:val="hy-AM"/>
              </w:rPr>
            </w:pPr>
          </w:p>
        </w:tc>
        <w:tc>
          <w:tcPr>
            <w:tcW w:w="2780" w:type="dxa"/>
            <w:tcBorders>
              <w:top w:val="thinThickThinSmallGap" w:sz="24" w:space="0" w:color="auto"/>
              <w:left w:val="nil"/>
              <w:bottom w:val="thinThickSmallGap" w:sz="24" w:space="0" w:color="auto"/>
              <w:right w:val="nil"/>
            </w:tcBorders>
            <w:shd w:val="clear" w:color="auto" w:fill="0B70B5"/>
            <w:vAlign w:val="center"/>
          </w:tcPr>
          <w:p w14:paraId="75A488C5" w14:textId="77777777" w:rsidR="00F1465E" w:rsidRPr="00C35116" w:rsidRDefault="00F1465E" w:rsidP="00231073">
            <w:pPr>
              <w:spacing w:before="0" w:after="0"/>
              <w:ind w:firstLine="35"/>
              <w:jc w:val="center"/>
              <w:rPr>
                <w:color w:val="FFFFFF" w:themeColor="background1"/>
                <w:sz w:val="20"/>
                <w:szCs w:val="20"/>
                <w:lang w:val="hy-AM"/>
              </w:rPr>
            </w:pPr>
            <w:r w:rsidRPr="00C35116">
              <w:rPr>
                <w:rFonts w:cs="Times Unicode"/>
                <w:color w:val="FFFFFF" w:themeColor="background1"/>
                <w:sz w:val="20"/>
                <w:szCs w:val="20"/>
                <w:lang w:val="hy-AM"/>
              </w:rPr>
              <w:t>Ուղենիշ</w:t>
            </w:r>
          </w:p>
        </w:tc>
      </w:tr>
      <w:tr w:rsidR="00F1465E" w:rsidRPr="00AC67B2" w14:paraId="73DF93B5" w14:textId="77777777" w:rsidTr="00231073">
        <w:trPr>
          <w:jc w:val="center"/>
        </w:trPr>
        <w:tc>
          <w:tcPr>
            <w:tcW w:w="7022" w:type="dxa"/>
            <w:tcBorders>
              <w:top w:val="thinThickSmallGap" w:sz="24" w:space="0" w:color="auto"/>
              <w:left w:val="nil"/>
              <w:right w:val="nil"/>
            </w:tcBorders>
          </w:tcPr>
          <w:p w14:paraId="1422FC15" w14:textId="77777777" w:rsidR="00F1465E" w:rsidRPr="00AC67B2" w:rsidRDefault="00F1465E" w:rsidP="00231073">
            <w:pPr>
              <w:spacing w:before="0" w:after="0"/>
              <w:ind w:firstLine="35"/>
              <w:rPr>
                <w:rFonts w:cs="Times Unicode"/>
                <w:b/>
                <w:sz w:val="20"/>
                <w:szCs w:val="20"/>
                <w:lang w:val="hy-AM"/>
              </w:rPr>
            </w:pPr>
            <w:r w:rsidRPr="00AC67B2">
              <w:rPr>
                <w:rFonts w:cs="Times Unicode"/>
                <w:b/>
                <w:sz w:val="20"/>
                <w:szCs w:val="20"/>
                <w:lang w:val="hy-AM"/>
              </w:rPr>
              <w:t>Վերաֆինանսավորման ռիսկ</w:t>
            </w:r>
          </w:p>
        </w:tc>
        <w:tc>
          <w:tcPr>
            <w:tcW w:w="2780" w:type="dxa"/>
            <w:tcBorders>
              <w:top w:val="thinThickSmallGap" w:sz="24" w:space="0" w:color="auto"/>
              <w:left w:val="nil"/>
              <w:right w:val="nil"/>
            </w:tcBorders>
            <w:vAlign w:val="center"/>
          </w:tcPr>
          <w:p w14:paraId="1D2D749E" w14:textId="77777777" w:rsidR="00F1465E" w:rsidRPr="00AC67B2" w:rsidRDefault="00F1465E" w:rsidP="00231073">
            <w:pPr>
              <w:spacing w:before="0" w:after="0"/>
              <w:ind w:firstLine="35"/>
              <w:jc w:val="center"/>
              <w:rPr>
                <w:sz w:val="20"/>
                <w:szCs w:val="20"/>
                <w:lang w:val="hy-AM"/>
              </w:rPr>
            </w:pPr>
          </w:p>
        </w:tc>
      </w:tr>
      <w:tr w:rsidR="00F1465E" w:rsidRPr="00AC67B2" w14:paraId="4AFFDC1F" w14:textId="77777777" w:rsidTr="00231073">
        <w:trPr>
          <w:jc w:val="center"/>
        </w:trPr>
        <w:tc>
          <w:tcPr>
            <w:tcW w:w="7022" w:type="dxa"/>
            <w:tcBorders>
              <w:left w:val="nil"/>
              <w:right w:val="nil"/>
            </w:tcBorders>
          </w:tcPr>
          <w:p w14:paraId="63327D70" w14:textId="77777777" w:rsidR="00F1465E" w:rsidRPr="00AC67B2" w:rsidRDefault="00F1465E" w:rsidP="00231073">
            <w:pPr>
              <w:spacing w:before="0" w:after="0"/>
              <w:ind w:left="607" w:firstLine="35"/>
              <w:jc w:val="left"/>
              <w:rPr>
                <w:rFonts w:cs="Times Unicode"/>
                <w:sz w:val="20"/>
                <w:szCs w:val="20"/>
                <w:lang w:val="hy-AM"/>
              </w:rPr>
            </w:pPr>
            <w:r w:rsidRPr="00AC67B2">
              <w:rPr>
                <w:rFonts w:cs="Times Unicode"/>
                <w:sz w:val="20"/>
                <w:szCs w:val="20"/>
                <w:lang w:val="hy-AM"/>
              </w:rPr>
              <w:t xml:space="preserve">Մինչև մարում միջին ժամկետը </w:t>
            </w:r>
          </w:p>
        </w:tc>
        <w:tc>
          <w:tcPr>
            <w:tcW w:w="2780" w:type="dxa"/>
            <w:tcBorders>
              <w:left w:val="nil"/>
              <w:right w:val="nil"/>
            </w:tcBorders>
            <w:vAlign w:val="center"/>
          </w:tcPr>
          <w:p w14:paraId="2303271A" w14:textId="77777777" w:rsidR="00F1465E" w:rsidRPr="00AC67B2" w:rsidRDefault="00F1465E" w:rsidP="00231073">
            <w:pPr>
              <w:spacing w:before="0" w:after="0"/>
              <w:ind w:firstLine="35"/>
              <w:jc w:val="center"/>
              <w:rPr>
                <w:sz w:val="20"/>
                <w:szCs w:val="20"/>
                <w:lang w:val="hy-AM"/>
              </w:rPr>
            </w:pPr>
            <w:r w:rsidRPr="00AC67B2">
              <w:rPr>
                <w:sz w:val="20"/>
                <w:szCs w:val="20"/>
                <w:lang w:val="hy-AM"/>
              </w:rPr>
              <w:t>8 – 11 տարի</w:t>
            </w:r>
          </w:p>
        </w:tc>
      </w:tr>
      <w:tr w:rsidR="00F1465E" w:rsidRPr="00AC67B2" w14:paraId="5309A0B4" w14:textId="77777777" w:rsidTr="00231073">
        <w:trPr>
          <w:jc w:val="center"/>
        </w:trPr>
        <w:tc>
          <w:tcPr>
            <w:tcW w:w="7022" w:type="dxa"/>
            <w:tcBorders>
              <w:left w:val="nil"/>
              <w:right w:val="nil"/>
            </w:tcBorders>
          </w:tcPr>
          <w:p w14:paraId="54AC7CA2" w14:textId="77777777" w:rsidR="00F1465E" w:rsidRPr="00AC67B2" w:rsidRDefault="00F1465E" w:rsidP="00231073">
            <w:pPr>
              <w:spacing w:before="0" w:after="0"/>
              <w:ind w:left="607" w:firstLine="35"/>
              <w:jc w:val="left"/>
              <w:rPr>
                <w:rFonts w:cs="Times Unicode"/>
                <w:sz w:val="20"/>
                <w:szCs w:val="20"/>
                <w:lang w:val="hy-AM"/>
              </w:rPr>
            </w:pPr>
            <w:r w:rsidRPr="00AC67B2">
              <w:rPr>
                <w:rFonts w:cs="Times Unicode"/>
                <w:sz w:val="20"/>
                <w:szCs w:val="20"/>
                <w:lang w:val="hy-AM"/>
              </w:rPr>
              <w:t>Առաջիկա տարվա ընթացքում մարվող պետական գանձապետական պարտատոմսերի (ՊԳՊ) կշիռը ՊԳՊ-երի ծավալի մեջ (տարեվերջին)</w:t>
            </w:r>
          </w:p>
        </w:tc>
        <w:tc>
          <w:tcPr>
            <w:tcW w:w="2780" w:type="dxa"/>
            <w:tcBorders>
              <w:left w:val="nil"/>
              <w:right w:val="nil"/>
            </w:tcBorders>
            <w:vAlign w:val="center"/>
          </w:tcPr>
          <w:p w14:paraId="783637DA" w14:textId="77777777" w:rsidR="00F1465E" w:rsidRPr="00AC67B2" w:rsidRDefault="00F1465E" w:rsidP="00231073">
            <w:pPr>
              <w:spacing w:before="0" w:after="0"/>
              <w:ind w:firstLine="35"/>
              <w:jc w:val="center"/>
              <w:rPr>
                <w:sz w:val="20"/>
                <w:szCs w:val="20"/>
                <w:lang w:val="hy-AM"/>
              </w:rPr>
            </w:pPr>
            <w:r w:rsidRPr="00AC67B2">
              <w:rPr>
                <w:sz w:val="20"/>
                <w:szCs w:val="20"/>
                <w:lang w:val="hy-AM"/>
              </w:rPr>
              <w:t>առավելագույնը 20%</w:t>
            </w:r>
          </w:p>
        </w:tc>
      </w:tr>
      <w:tr w:rsidR="00F1465E" w:rsidRPr="00AC67B2" w14:paraId="610DC612" w14:textId="77777777" w:rsidTr="00231073">
        <w:trPr>
          <w:jc w:val="center"/>
        </w:trPr>
        <w:tc>
          <w:tcPr>
            <w:tcW w:w="7022" w:type="dxa"/>
            <w:tcBorders>
              <w:left w:val="nil"/>
              <w:right w:val="nil"/>
            </w:tcBorders>
          </w:tcPr>
          <w:p w14:paraId="3366F2A2" w14:textId="77777777" w:rsidR="00F1465E" w:rsidRPr="00AC67B2" w:rsidRDefault="00F1465E" w:rsidP="00231073">
            <w:pPr>
              <w:spacing w:before="0" w:after="0"/>
              <w:ind w:firstLine="35"/>
              <w:rPr>
                <w:rFonts w:cs="Times Unicode"/>
                <w:b/>
                <w:sz w:val="20"/>
                <w:szCs w:val="20"/>
                <w:lang w:val="hy-AM"/>
              </w:rPr>
            </w:pPr>
            <w:r w:rsidRPr="00AC67B2">
              <w:rPr>
                <w:rFonts w:cs="Times Unicode"/>
                <w:b/>
                <w:sz w:val="20"/>
                <w:szCs w:val="20"/>
                <w:lang w:val="hy-AM"/>
              </w:rPr>
              <w:t>Տոկոսադրույքի ռիսկ</w:t>
            </w:r>
          </w:p>
        </w:tc>
        <w:tc>
          <w:tcPr>
            <w:tcW w:w="2780" w:type="dxa"/>
            <w:tcBorders>
              <w:left w:val="nil"/>
              <w:right w:val="nil"/>
            </w:tcBorders>
            <w:vAlign w:val="center"/>
          </w:tcPr>
          <w:p w14:paraId="0F76F125" w14:textId="77777777" w:rsidR="00F1465E" w:rsidRPr="00AC67B2" w:rsidRDefault="00F1465E" w:rsidP="00231073">
            <w:pPr>
              <w:spacing w:before="0" w:after="0"/>
              <w:ind w:firstLine="35"/>
              <w:jc w:val="center"/>
              <w:rPr>
                <w:b/>
                <w:sz w:val="20"/>
                <w:szCs w:val="20"/>
                <w:lang w:val="hy-AM"/>
              </w:rPr>
            </w:pPr>
          </w:p>
        </w:tc>
      </w:tr>
      <w:tr w:rsidR="00F1465E" w:rsidRPr="00AC67B2" w14:paraId="18325F61" w14:textId="77777777" w:rsidTr="00231073">
        <w:trPr>
          <w:jc w:val="center"/>
        </w:trPr>
        <w:tc>
          <w:tcPr>
            <w:tcW w:w="7022" w:type="dxa"/>
            <w:tcBorders>
              <w:left w:val="nil"/>
              <w:right w:val="nil"/>
            </w:tcBorders>
          </w:tcPr>
          <w:p w14:paraId="68749221" w14:textId="77777777" w:rsidR="00F1465E" w:rsidRPr="00AC67B2" w:rsidRDefault="00F1465E" w:rsidP="00231073">
            <w:pPr>
              <w:spacing w:before="0" w:after="0"/>
              <w:ind w:left="607" w:firstLine="35"/>
              <w:jc w:val="left"/>
              <w:rPr>
                <w:rFonts w:cs="Times Unicode"/>
                <w:sz w:val="20"/>
                <w:szCs w:val="20"/>
                <w:lang w:val="hy-AM"/>
              </w:rPr>
            </w:pPr>
            <w:r w:rsidRPr="00AC67B2">
              <w:rPr>
                <w:rFonts w:cs="Times Unicode"/>
                <w:sz w:val="20"/>
                <w:szCs w:val="20"/>
                <w:lang w:val="hy-AM"/>
              </w:rPr>
              <w:t>Ֆիքսված տոկոսադրույքով պարտքի կշիռն ընդամենը պարտքի մեջ</w:t>
            </w:r>
          </w:p>
        </w:tc>
        <w:tc>
          <w:tcPr>
            <w:tcW w:w="2780" w:type="dxa"/>
            <w:tcBorders>
              <w:left w:val="nil"/>
              <w:right w:val="nil"/>
            </w:tcBorders>
            <w:vAlign w:val="center"/>
          </w:tcPr>
          <w:p w14:paraId="5B16E3EA" w14:textId="77777777" w:rsidR="00F1465E" w:rsidRPr="00AC67B2" w:rsidRDefault="00F1465E" w:rsidP="00231073">
            <w:pPr>
              <w:spacing w:before="0" w:after="0"/>
              <w:ind w:firstLine="35"/>
              <w:jc w:val="center"/>
              <w:rPr>
                <w:sz w:val="20"/>
                <w:szCs w:val="20"/>
                <w:lang w:val="hy-AM"/>
              </w:rPr>
            </w:pPr>
            <w:r w:rsidRPr="00AC67B2">
              <w:rPr>
                <w:sz w:val="20"/>
                <w:szCs w:val="20"/>
                <w:lang w:val="hy-AM"/>
              </w:rPr>
              <w:t>առնվազն 80%</w:t>
            </w:r>
          </w:p>
        </w:tc>
      </w:tr>
      <w:tr w:rsidR="00F1465E" w:rsidRPr="00AC67B2" w14:paraId="109F5626" w14:textId="77777777" w:rsidTr="00231073">
        <w:trPr>
          <w:jc w:val="center"/>
        </w:trPr>
        <w:tc>
          <w:tcPr>
            <w:tcW w:w="7022" w:type="dxa"/>
            <w:tcBorders>
              <w:left w:val="nil"/>
              <w:right w:val="nil"/>
            </w:tcBorders>
          </w:tcPr>
          <w:p w14:paraId="5F81B7C5" w14:textId="77777777" w:rsidR="00F1465E" w:rsidRPr="00AC67B2" w:rsidRDefault="00F1465E" w:rsidP="00231073">
            <w:pPr>
              <w:spacing w:before="0" w:after="0"/>
              <w:ind w:firstLine="35"/>
              <w:rPr>
                <w:rFonts w:cs="Times Unicode"/>
                <w:b/>
                <w:sz w:val="20"/>
                <w:szCs w:val="20"/>
                <w:lang w:val="hy-AM"/>
              </w:rPr>
            </w:pPr>
            <w:r w:rsidRPr="00AC67B2">
              <w:rPr>
                <w:rFonts w:cs="Times Unicode"/>
                <w:b/>
                <w:sz w:val="20"/>
                <w:szCs w:val="20"/>
                <w:lang w:val="hy-AM"/>
              </w:rPr>
              <w:t>Փոխարժեքի ռիսկ</w:t>
            </w:r>
          </w:p>
        </w:tc>
        <w:tc>
          <w:tcPr>
            <w:tcW w:w="2780" w:type="dxa"/>
            <w:tcBorders>
              <w:left w:val="nil"/>
              <w:right w:val="nil"/>
            </w:tcBorders>
            <w:vAlign w:val="center"/>
          </w:tcPr>
          <w:p w14:paraId="0E73EEDD" w14:textId="77777777" w:rsidR="00F1465E" w:rsidRPr="00AC67B2" w:rsidRDefault="00F1465E" w:rsidP="00231073">
            <w:pPr>
              <w:spacing w:before="0" w:after="0"/>
              <w:ind w:firstLine="35"/>
              <w:jc w:val="center"/>
              <w:rPr>
                <w:b/>
                <w:sz w:val="20"/>
                <w:szCs w:val="20"/>
                <w:lang w:val="hy-AM"/>
              </w:rPr>
            </w:pPr>
          </w:p>
        </w:tc>
      </w:tr>
      <w:tr w:rsidR="00F1465E" w:rsidRPr="00AC67B2" w14:paraId="5C4F2157" w14:textId="77777777" w:rsidTr="00231073">
        <w:trPr>
          <w:jc w:val="center"/>
        </w:trPr>
        <w:tc>
          <w:tcPr>
            <w:tcW w:w="7022" w:type="dxa"/>
            <w:tcBorders>
              <w:left w:val="nil"/>
              <w:right w:val="nil"/>
            </w:tcBorders>
          </w:tcPr>
          <w:p w14:paraId="4BB8BCAE" w14:textId="77777777" w:rsidR="00F1465E" w:rsidRPr="00AC67B2" w:rsidRDefault="00F1465E" w:rsidP="00231073">
            <w:pPr>
              <w:spacing w:before="0" w:after="0"/>
              <w:ind w:left="607" w:firstLine="35"/>
              <w:jc w:val="left"/>
              <w:rPr>
                <w:rFonts w:cs="Times Unicode"/>
                <w:sz w:val="20"/>
                <w:szCs w:val="20"/>
                <w:lang w:val="hy-AM"/>
              </w:rPr>
            </w:pPr>
            <w:r w:rsidRPr="00AC67B2">
              <w:rPr>
                <w:rFonts w:cs="Times Unicode"/>
                <w:sz w:val="20"/>
                <w:szCs w:val="20"/>
                <w:lang w:val="hy-AM"/>
              </w:rPr>
              <w:t>Ներքին պարտքի կշիռն ընդամենը պարտքի մեջ</w:t>
            </w:r>
          </w:p>
        </w:tc>
        <w:tc>
          <w:tcPr>
            <w:tcW w:w="2780" w:type="dxa"/>
            <w:tcBorders>
              <w:left w:val="nil"/>
              <w:right w:val="nil"/>
            </w:tcBorders>
            <w:vAlign w:val="center"/>
          </w:tcPr>
          <w:p w14:paraId="092B46FE" w14:textId="77777777" w:rsidR="00F1465E" w:rsidRPr="00AC67B2" w:rsidRDefault="00F1465E" w:rsidP="00231073">
            <w:pPr>
              <w:spacing w:before="0" w:after="0"/>
              <w:ind w:firstLine="35"/>
              <w:jc w:val="center"/>
              <w:rPr>
                <w:rFonts w:cs="Times Unicode"/>
                <w:sz w:val="20"/>
                <w:szCs w:val="20"/>
                <w:lang w:val="hy-AM"/>
              </w:rPr>
            </w:pPr>
            <w:r w:rsidRPr="00AC67B2">
              <w:rPr>
                <w:rFonts w:cs="Times Unicode"/>
                <w:sz w:val="20"/>
                <w:szCs w:val="20"/>
                <w:lang w:val="hy-AM"/>
              </w:rPr>
              <w:t xml:space="preserve">առնվազն </w:t>
            </w:r>
            <w:r>
              <w:rPr>
                <w:rFonts w:cs="Times Unicode"/>
                <w:sz w:val="20"/>
                <w:szCs w:val="20"/>
              </w:rPr>
              <w:t>25</w:t>
            </w:r>
            <w:r w:rsidRPr="00AC67B2">
              <w:rPr>
                <w:rFonts w:cs="Times Unicode"/>
                <w:sz w:val="20"/>
                <w:szCs w:val="20"/>
                <w:lang w:val="hy-AM"/>
              </w:rPr>
              <w:t>%</w:t>
            </w:r>
          </w:p>
        </w:tc>
      </w:tr>
      <w:tr w:rsidR="00F1465E" w:rsidRPr="00AC67B2" w14:paraId="318E97F2" w14:textId="77777777" w:rsidTr="00231073">
        <w:trPr>
          <w:jc w:val="center"/>
        </w:trPr>
        <w:tc>
          <w:tcPr>
            <w:tcW w:w="7022" w:type="dxa"/>
            <w:tcBorders>
              <w:left w:val="nil"/>
              <w:bottom w:val="thickThinSmallGap" w:sz="24" w:space="0" w:color="auto"/>
              <w:right w:val="nil"/>
            </w:tcBorders>
          </w:tcPr>
          <w:p w14:paraId="62BEE0BE" w14:textId="77777777" w:rsidR="00F1465E" w:rsidRPr="00AC67B2" w:rsidRDefault="00F1465E" w:rsidP="00231073">
            <w:pPr>
              <w:spacing w:before="0" w:after="0"/>
              <w:ind w:left="607" w:firstLine="35"/>
              <w:jc w:val="left"/>
              <w:rPr>
                <w:rFonts w:cs="Times Unicode"/>
                <w:strike/>
                <w:sz w:val="20"/>
                <w:szCs w:val="20"/>
                <w:lang w:val="hy-AM"/>
              </w:rPr>
            </w:pPr>
            <w:r w:rsidRPr="00AC67B2">
              <w:rPr>
                <w:rFonts w:cs="Times Unicode"/>
                <w:sz w:val="20"/>
                <w:szCs w:val="20"/>
                <w:lang w:val="hy-AM"/>
              </w:rPr>
              <w:t>ՀՀ դրամով ներգրավված պարտքի կշիռն ընդամենը պարտքի մեջ</w:t>
            </w:r>
          </w:p>
        </w:tc>
        <w:tc>
          <w:tcPr>
            <w:tcW w:w="2780" w:type="dxa"/>
            <w:tcBorders>
              <w:left w:val="nil"/>
              <w:bottom w:val="thickThinSmallGap" w:sz="24" w:space="0" w:color="auto"/>
              <w:right w:val="nil"/>
            </w:tcBorders>
            <w:vAlign w:val="center"/>
          </w:tcPr>
          <w:p w14:paraId="4FC0C691" w14:textId="77777777" w:rsidR="00F1465E" w:rsidRPr="00AC67B2" w:rsidRDefault="00F1465E" w:rsidP="00231073">
            <w:pPr>
              <w:spacing w:before="0" w:after="0"/>
              <w:ind w:firstLine="35"/>
              <w:jc w:val="center"/>
              <w:rPr>
                <w:strike/>
                <w:sz w:val="20"/>
                <w:szCs w:val="20"/>
                <w:lang w:val="hy-AM"/>
              </w:rPr>
            </w:pPr>
            <w:r w:rsidRPr="00AC67B2">
              <w:rPr>
                <w:rFonts w:cs="Times Unicode"/>
                <w:sz w:val="20"/>
                <w:szCs w:val="20"/>
                <w:lang w:val="hy-AM"/>
              </w:rPr>
              <w:t xml:space="preserve">առնվազն </w:t>
            </w:r>
            <w:r>
              <w:rPr>
                <w:rFonts w:cs="Times Unicode"/>
                <w:sz w:val="20"/>
                <w:szCs w:val="20"/>
              </w:rPr>
              <w:t>25</w:t>
            </w:r>
            <w:r w:rsidRPr="00AC67B2">
              <w:rPr>
                <w:rFonts w:cs="Times Unicode"/>
                <w:sz w:val="20"/>
                <w:szCs w:val="20"/>
                <w:lang w:val="hy-AM"/>
              </w:rPr>
              <w:t>%</w:t>
            </w:r>
          </w:p>
        </w:tc>
      </w:tr>
    </w:tbl>
    <w:p w14:paraId="4667EEA3" w14:textId="77777777" w:rsidR="00F1465E" w:rsidRPr="00AC67B2" w:rsidRDefault="00F1465E" w:rsidP="00F1465E">
      <w:pPr>
        <w:spacing w:before="0" w:after="0" w:line="360" w:lineRule="auto"/>
        <w:ind w:firstLine="720"/>
        <w:rPr>
          <w:rFonts w:cs="Times Unicode"/>
          <w:color w:val="FF0000"/>
          <w:lang w:val="hy-AM"/>
        </w:rPr>
      </w:pPr>
      <w:r w:rsidRPr="00AC67B2">
        <w:rPr>
          <w:rFonts w:cs="Times Unicode"/>
          <w:color w:val="FF0000"/>
          <w:lang w:val="hy-AM"/>
        </w:rPr>
        <w:t xml:space="preserve"> </w:t>
      </w:r>
    </w:p>
    <w:p w14:paraId="1C3AC73F" w14:textId="77777777" w:rsidR="00F1465E" w:rsidRPr="00AC67B2" w:rsidRDefault="00F1465E" w:rsidP="00F1465E">
      <w:pPr>
        <w:spacing w:line="360" w:lineRule="auto"/>
        <w:ind w:firstLine="709"/>
        <w:rPr>
          <w:rFonts w:cs="Times Unicode"/>
          <w:u w:val="single"/>
          <w:lang w:val="hy-AM"/>
        </w:rPr>
      </w:pPr>
    </w:p>
    <w:p w14:paraId="15FA822C" w14:textId="77777777" w:rsidR="00F1465E" w:rsidRDefault="00F1465E" w:rsidP="00F1465E">
      <w:pPr>
        <w:spacing w:after="100" w:afterAutospacing="1" w:line="360" w:lineRule="auto"/>
        <w:ind w:firstLine="709"/>
        <w:rPr>
          <w:rFonts w:cs="Times Unicode"/>
          <w:lang w:val="hy-AM"/>
        </w:rPr>
      </w:pPr>
      <w:r w:rsidRPr="00AC67B2">
        <w:rPr>
          <w:rFonts w:cs="Times Unicode"/>
          <w:lang w:val="hy-AM"/>
        </w:rPr>
        <w:t xml:space="preserve"> </w:t>
      </w:r>
    </w:p>
    <w:p w14:paraId="466093FF" w14:textId="77777777" w:rsidR="00F1465E" w:rsidRPr="00AC67B2" w:rsidRDefault="00F1465E" w:rsidP="007B05B7">
      <w:pPr>
        <w:spacing w:after="100" w:afterAutospacing="1" w:line="276" w:lineRule="auto"/>
        <w:ind w:firstLine="709"/>
        <w:rPr>
          <w:rFonts w:cs="Times Unicode"/>
          <w:u w:val="single"/>
          <w:lang w:val="hy-AM"/>
        </w:rPr>
      </w:pPr>
      <w:r>
        <w:rPr>
          <w:rFonts w:cs="Times Unicode"/>
          <w:lang w:val="hy-AM"/>
        </w:rPr>
        <w:br w:type="page"/>
      </w:r>
      <w:r w:rsidRPr="00C31844">
        <w:rPr>
          <w:rFonts w:cs="Times Unicode"/>
          <w:u w:val="single"/>
          <w:lang w:val="hy-AM"/>
        </w:rPr>
        <w:lastRenderedPageBreak/>
        <w:t>ՀՀ կառավարության պարտքի կառավարման ռազմավարության ընտրությունը</w:t>
      </w:r>
    </w:p>
    <w:p w14:paraId="021A7874" w14:textId="77777777" w:rsidR="00F1465E" w:rsidRPr="00AC67B2" w:rsidRDefault="00F1465E" w:rsidP="007B05B7">
      <w:pPr>
        <w:spacing w:line="276" w:lineRule="auto"/>
        <w:ind w:firstLine="709"/>
        <w:rPr>
          <w:rFonts w:cs="Times Unicode"/>
          <w:lang w:val="hy-AM"/>
        </w:rPr>
      </w:pPr>
      <w:r w:rsidRPr="00AC67B2">
        <w:rPr>
          <w:rFonts w:cs="Times Unicode"/>
          <w:lang w:val="hy-AM"/>
        </w:rPr>
        <w:t>ՀՀ կառավարության պարտքի կառավարման հիմնական ռիսկերը</w:t>
      </w:r>
      <w:r w:rsidRPr="006466FC">
        <w:rPr>
          <w:rFonts w:cs="Times Unicode"/>
          <w:lang w:val="hy-AM"/>
        </w:rPr>
        <w:t xml:space="preserve"> կառավարելիության շրջանակներում պահելու</w:t>
      </w:r>
      <w:r w:rsidRPr="00AC67B2">
        <w:rPr>
          <w:rFonts w:cs="Times Unicode"/>
          <w:lang w:val="hy-AM"/>
        </w:rPr>
        <w:t xml:space="preserve">, </w:t>
      </w:r>
      <w:r w:rsidRPr="006466FC">
        <w:rPr>
          <w:rFonts w:cs="Times Unicode"/>
          <w:lang w:val="hy-AM"/>
        </w:rPr>
        <w:t xml:space="preserve">և </w:t>
      </w:r>
      <w:r w:rsidRPr="00AC67B2">
        <w:rPr>
          <w:rFonts w:cs="Times Unicode"/>
          <w:lang w:val="hy-AM"/>
        </w:rPr>
        <w:t xml:space="preserve">հատկապես փոխարժեքի </w:t>
      </w:r>
      <w:r w:rsidRPr="006466FC">
        <w:rPr>
          <w:rFonts w:cs="Times Unicode"/>
          <w:lang w:val="hy-AM"/>
        </w:rPr>
        <w:t xml:space="preserve">բարձր </w:t>
      </w:r>
      <w:r w:rsidRPr="00AC67B2">
        <w:rPr>
          <w:rFonts w:cs="Times Unicode"/>
          <w:lang w:val="hy-AM"/>
        </w:rPr>
        <w:t>ռիսկը նվազեցնելու նպատակով որպես ռազմավարական նպատա</w:t>
      </w:r>
      <w:r w:rsidRPr="00AC67B2">
        <w:rPr>
          <w:rFonts w:cs="Times Unicode"/>
          <w:lang w:val="hy-AM"/>
        </w:rPr>
        <w:softHyphen/>
        <w:t>կա</w:t>
      </w:r>
      <w:r w:rsidRPr="00AC67B2">
        <w:rPr>
          <w:rFonts w:cs="Times Unicode"/>
          <w:lang w:val="hy-AM"/>
        </w:rPr>
        <w:softHyphen/>
        <w:t>դ</w:t>
      </w:r>
      <w:r w:rsidRPr="00AC67B2">
        <w:rPr>
          <w:rFonts w:cs="Times Unicode"/>
          <w:lang w:val="hy-AM"/>
        </w:rPr>
        <w:softHyphen/>
        <w:t>րում դիտարկվում է ներքին պետական պարտքի շուկայի զարգացումը և կառավարության պարտքի մեջ ՀՀ դրամով ներգրավված պարտքի կշռի ավելա</w:t>
      </w:r>
      <w:r w:rsidRPr="00AC67B2">
        <w:rPr>
          <w:rFonts w:cs="Times Unicode"/>
          <w:lang w:val="hy-AM"/>
        </w:rPr>
        <w:softHyphen/>
        <w:t xml:space="preserve">ցումը: </w:t>
      </w:r>
    </w:p>
    <w:p w14:paraId="4C8BB34F" w14:textId="77777777" w:rsidR="00F1465E" w:rsidRPr="00AC67B2" w:rsidRDefault="00F1465E" w:rsidP="007B05B7">
      <w:pPr>
        <w:spacing w:line="276" w:lineRule="auto"/>
        <w:ind w:firstLine="720"/>
        <w:rPr>
          <w:rFonts w:cs="Times Unicode"/>
          <w:lang w:val="hy-AM"/>
        </w:rPr>
      </w:pPr>
      <w:r w:rsidRPr="00AC67B2">
        <w:rPr>
          <w:rFonts w:cs="Times Unicode"/>
          <w:lang w:val="hy-AM"/>
        </w:rPr>
        <w:t>Ստորև ներկայացվում է համադրելի միջազգային վարկանիշ ունեցող որոշ երկրների «Կառա</w:t>
      </w:r>
      <w:r w:rsidRPr="00AC67B2">
        <w:rPr>
          <w:rFonts w:cs="Times Unicode"/>
          <w:lang w:val="hy-AM"/>
        </w:rPr>
        <w:softHyphen/>
        <w:t>վա</w:t>
      </w:r>
      <w:r w:rsidRPr="00AC67B2">
        <w:rPr>
          <w:rFonts w:cs="Times Unicode"/>
          <w:lang w:val="hy-AM"/>
        </w:rPr>
        <w:softHyphen/>
        <w:t>րության արտա</w:t>
      </w:r>
      <w:r w:rsidRPr="006466FC">
        <w:rPr>
          <w:rFonts w:cs="Times Unicode"/>
          <w:lang w:val="hy-AM"/>
        </w:rPr>
        <w:t>րժութային</w:t>
      </w:r>
      <w:r w:rsidRPr="00AC67B2">
        <w:rPr>
          <w:rFonts w:cs="Times Unicode"/>
          <w:lang w:val="hy-AM"/>
        </w:rPr>
        <w:t xml:space="preserve"> պարտքի կշիռն ընդհանուր պարտքի մեջ» ցուցանիշի համեմատականը:</w:t>
      </w:r>
    </w:p>
    <w:p w14:paraId="266ACE3F" w14:textId="77777777" w:rsidR="00F1465E" w:rsidRPr="00A205DB" w:rsidRDefault="00F1465E" w:rsidP="007B05B7">
      <w:pPr>
        <w:spacing w:line="276" w:lineRule="auto"/>
        <w:ind w:left="1701" w:hanging="1701"/>
        <w:rPr>
          <w:b/>
          <w:sz w:val="20"/>
          <w:szCs w:val="20"/>
          <w:lang w:val="hy-AM"/>
        </w:rPr>
      </w:pPr>
    </w:p>
    <w:p w14:paraId="6A770A9F" w14:textId="77777777" w:rsidR="00F1465E" w:rsidRPr="007B05B7" w:rsidRDefault="00F1465E" w:rsidP="007B05B7">
      <w:pPr>
        <w:spacing w:line="276" w:lineRule="auto"/>
        <w:ind w:left="1701" w:hanging="1701"/>
        <w:rPr>
          <w:i/>
          <w:sz w:val="20"/>
          <w:szCs w:val="20"/>
          <w:lang w:val="hy-AM"/>
        </w:rPr>
      </w:pPr>
      <w:r w:rsidRPr="007B05B7">
        <w:rPr>
          <w:b/>
          <w:sz w:val="20"/>
          <w:szCs w:val="20"/>
          <w:lang w:val="hy-AM"/>
        </w:rPr>
        <w:t>Գծապատկեր 6.</w:t>
      </w:r>
      <w:r w:rsidRPr="007B05B7">
        <w:rPr>
          <w:rFonts w:cs="Times Unicode"/>
          <w:sz w:val="20"/>
          <w:szCs w:val="20"/>
          <w:lang w:val="hy-AM"/>
        </w:rPr>
        <w:t xml:space="preserve"> </w:t>
      </w:r>
      <w:r w:rsidRPr="007B05B7">
        <w:rPr>
          <w:rFonts w:cs="Times Unicode"/>
          <w:i/>
          <w:sz w:val="20"/>
          <w:szCs w:val="20"/>
          <w:lang w:val="hy-AM"/>
        </w:rPr>
        <w:t>Համադրելի միջազգային վարկանիշ ունեցող երկրների</w:t>
      </w:r>
      <w:r w:rsidRPr="007B05B7">
        <w:rPr>
          <w:i/>
          <w:sz w:val="20"/>
          <w:szCs w:val="20"/>
          <w:lang w:val="hy-AM"/>
        </w:rPr>
        <w:t xml:space="preserve"> </w:t>
      </w:r>
      <w:r w:rsidRPr="007B05B7">
        <w:rPr>
          <w:rFonts w:cs="Times Unicode"/>
          <w:i/>
          <w:sz w:val="20"/>
          <w:szCs w:val="20"/>
          <w:lang w:val="hy-AM"/>
        </w:rPr>
        <w:t>կառավարությունների</w:t>
      </w:r>
      <w:r w:rsidRPr="007B05B7">
        <w:rPr>
          <w:i/>
          <w:sz w:val="20"/>
          <w:szCs w:val="20"/>
          <w:lang w:val="hy-AM"/>
        </w:rPr>
        <w:t xml:space="preserve"> արտարժութային </w:t>
      </w:r>
      <w:r w:rsidRPr="007B05B7">
        <w:rPr>
          <w:rFonts w:cs="Times Unicode"/>
          <w:i/>
          <w:sz w:val="20"/>
          <w:szCs w:val="20"/>
          <w:lang w:val="hy-AM"/>
        </w:rPr>
        <w:t xml:space="preserve">պարտքի կշիռն ընդհանուր պարտքի մեջ 2019թ. տարեվերջի դրությամբ </w:t>
      </w:r>
    </w:p>
    <w:p w14:paraId="73DF5764" w14:textId="77777777" w:rsidR="00F1465E" w:rsidRPr="00A205DB" w:rsidRDefault="00F1465E" w:rsidP="00F1465E">
      <w:pPr>
        <w:spacing w:line="360" w:lineRule="auto"/>
        <w:rPr>
          <w:noProof/>
          <w:color w:val="FF0000"/>
          <w:lang w:val="hy-AM"/>
        </w:rPr>
      </w:pPr>
    </w:p>
    <w:p w14:paraId="5A288B2A" w14:textId="77777777" w:rsidR="00F1465E" w:rsidRPr="00C97705" w:rsidRDefault="00F1465E" w:rsidP="00F1465E">
      <w:pPr>
        <w:spacing w:line="360" w:lineRule="auto"/>
        <w:rPr>
          <w:noProof/>
          <w:color w:val="FF0000"/>
        </w:rPr>
      </w:pPr>
      <w:r>
        <w:rPr>
          <w:noProof/>
          <w:color w:val="FF0000"/>
        </w:rPr>
        <w:drawing>
          <wp:inline distT="0" distB="0" distL="0" distR="0" wp14:anchorId="28F20E6D" wp14:editId="69204210">
            <wp:extent cx="6405880" cy="38042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405880" cy="3804285"/>
                    </a:xfrm>
                    <a:prstGeom prst="rect">
                      <a:avLst/>
                    </a:prstGeom>
                    <a:noFill/>
                  </pic:spPr>
                </pic:pic>
              </a:graphicData>
            </a:graphic>
          </wp:inline>
        </w:drawing>
      </w:r>
    </w:p>
    <w:p w14:paraId="606FC391" w14:textId="77777777" w:rsidR="00F1465E" w:rsidRPr="00AC67B2" w:rsidRDefault="00F1465E" w:rsidP="007B05B7">
      <w:pPr>
        <w:spacing w:line="240" w:lineRule="auto"/>
        <w:ind w:firstLine="562"/>
        <w:rPr>
          <w:noProof/>
          <w:sz w:val="20"/>
          <w:szCs w:val="20"/>
          <w:lang w:val="hy-AM"/>
        </w:rPr>
      </w:pPr>
      <w:r w:rsidRPr="00AC67B2">
        <w:rPr>
          <w:noProof/>
          <w:sz w:val="20"/>
          <w:szCs w:val="20"/>
          <w:lang w:val="hy-AM"/>
        </w:rPr>
        <w:t>Աղբյուրը. Պարտքի ցուցանիշների մասով՝ համապատասխան երկրների ֆինանսների նախարարությունների կայքէջեր</w:t>
      </w:r>
      <w:r>
        <w:rPr>
          <w:noProof/>
          <w:sz w:val="20"/>
          <w:szCs w:val="20"/>
        </w:rPr>
        <w:t>, իսկ</w:t>
      </w:r>
      <w:r w:rsidRPr="00AC67B2">
        <w:rPr>
          <w:noProof/>
          <w:sz w:val="20"/>
          <w:szCs w:val="20"/>
          <w:lang w:val="hy-AM"/>
        </w:rPr>
        <w:t xml:space="preserve"> վարկանիշի մասով՝ </w:t>
      </w:r>
      <w:hyperlink r:id="rId82" w:history="1">
        <w:r w:rsidRPr="00AC67B2">
          <w:rPr>
            <w:noProof/>
            <w:sz w:val="20"/>
            <w:szCs w:val="20"/>
            <w:u w:val="single"/>
            <w:lang w:val="hy-AM"/>
          </w:rPr>
          <w:t>https://tradingeconomics.com/country-list/rating</w:t>
        </w:r>
      </w:hyperlink>
      <w:r w:rsidRPr="00AC67B2">
        <w:rPr>
          <w:noProof/>
          <w:sz w:val="20"/>
          <w:szCs w:val="20"/>
          <w:lang w:val="hy-AM"/>
        </w:rPr>
        <w:t xml:space="preserve"> կայք: </w:t>
      </w:r>
    </w:p>
    <w:p w14:paraId="3AAE6E70" w14:textId="77777777" w:rsidR="00F1465E" w:rsidRPr="00AC67B2" w:rsidRDefault="00F1465E" w:rsidP="00F1465E">
      <w:pPr>
        <w:spacing w:line="360" w:lineRule="auto"/>
        <w:rPr>
          <w:noProof/>
          <w:lang w:val="hy-AM"/>
        </w:rPr>
      </w:pPr>
    </w:p>
    <w:p w14:paraId="50CF9395" w14:textId="77777777" w:rsidR="00F1465E" w:rsidRPr="006466FC" w:rsidRDefault="00F1465E" w:rsidP="007B05B7">
      <w:pPr>
        <w:spacing w:line="276" w:lineRule="auto"/>
        <w:ind w:firstLine="709"/>
        <w:rPr>
          <w:rFonts w:cs="Times Unicode"/>
          <w:lang w:val="hy-AM" w:eastAsia="ru-RU"/>
        </w:rPr>
      </w:pPr>
      <w:r w:rsidRPr="006466FC">
        <w:rPr>
          <w:rFonts w:cs="Times Unicode"/>
          <w:lang w:val="hy-AM" w:eastAsia="ru-RU"/>
        </w:rPr>
        <w:t xml:space="preserve">Ընդ որում, </w:t>
      </w:r>
      <w:r>
        <w:rPr>
          <w:rFonts w:cs="Times Unicode"/>
          <w:lang w:val="hy-AM" w:eastAsia="ru-RU"/>
        </w:rPr>
        <w:t xml:space="preserve">ուշադրության է արժանի այն հանգամանքը, որ </w:t>
      </w:r>
      <w:r w:rsidRPr="006466FC">
        <w:rPr>
          <w:rFonts w:cs="Times Unicode"/>
          <w:lang w:val="hy-AM" w:eastAsia="ru-RU"/>
        </w:rPr>
        <w:t xml:space="preserve">ԱՄՀ-ի կողմից հրապարակված (մայիսի 9, 2013թ.) կապիտալի շուկա մուտք ունեցող երկրների պետական պարտքի կայունության ուղեցույցում զարգացող երկրների համար պարտքի պորտֆելի ուղենշային ցուցանիշների շարքում ոչ </w:t>
      </w:r>
      <w:r w:rsidRPr="006466FC">
        <w:rPr>
          <w:rFonts w:cs="Times Unicode"/>
          <w:lang w:val="hy-AM" w:eastAsia="ru-RU"/>
        </w:rPr>
        <w:lastRenderedPageBreak/>
        <w:t>ռեզիդենտների նկատմամբ պետական պարտքի մասնաբաժնի ռիսկային համարվող մակարդակը 60%-ն է:</w:t>
      </w:r>
    </w:p>
    <w:p w14:paraId="465D8D40" w14:textId="77777777" w:rsidR="00F1465E" w:rsidRPr="00AC67B2" w:rsidRDefault="00F1465E" w:rsidP="007B05B7">
      <w:pPr>
        <w:spacing w:line="276" w:lineRule="auto"/>
        <w:ind w:firstLine="709"/>
        <w:rPr>
          <w:rFonts w:cs="Times Unicode"/>
          <w:lang w:val="hy-AM" w:eastAsia="ru-RU"/>
        </w:rPr>
      </w:pPr>
      <w:r w:rsidRPr="00AC67B2">
        <w:rPr>
          <w:rFonts w:cs="Times Unicode"/>
          <w:lang w:val="hy-AM" w:eastAsia="ru-RU"/>
        </w:rPr>
        <w:t xml:space="preserve">Ներքին փոխառու զուտ միջոցների հաշվին դեֆիցիտի ֆինանսավորումն իրականացվելու է մինչև մեկ տարի մարման ժամկետով պետական գանձապետական կարճաժամկետ պարտատոմսեր, 3 և 5 տարի մարման ժամկետով միջնաժամկետ արժեկտրոնային պարտատոմսեր, 10 և 30  տարի մարման ժամկետով երկարաժամկետ արժեկտրոնային պարտատոմսեր, ինչպես նաև 6 ամիս, 1, 2 և 3 տարի մարման ժամկետով  խնայողական արժեկտրոնային պարտատոմսեր տեղաբաշխելու միջոցով: </w:t>
      </w:r>
    </w:p>
    <w:p w14:paraId="0E00AD17" w14:textId="77777777" w:rsidR="00F1465E" w:rsidRDefault="00F1465E" w:rsidP="007B05B7">
      <w:pPr>
        <w:spacing w:line="276" w:lineRule="auto"/>
        <w:ind w:firstLine="709"/>
        <w:rPr>
          <w:rFonts w:cs="Times Unicode"/>
          <w:lang w:val="hy-AM" w:eastAsia="ru-RU"/>
        </w:rPr>
      </w:pPr>
      <w:r w:rsidRPr="00AC67B2">
        <w:rPr>
          <w:rFonts w:cs="Times Unicode"/>
          <w:lang w:val="hy-AM" w:eastAsia="ru-RU"/>
        </w:rPr>
        <w:t>Արտաքին փոխառու զուտ միջոցների հաշվին դեֆիցիտի ֆինանսավորումն իրականացվելու է երկկողմ և բազմակողմ միջազգային վարկատուներից նպատակային վարկեր ներգրավելու միջոցով:</w:t>
      </w:r>
    </w:p>
    <w:p w14:paraId="4AFD00DB" w14:textId="509664C0" w:rsidR="00F1465E" w:rsidRPr="006466FC" w:rsidRDefault="00F1465E" w:rsidP="007B05B7">
      <w:pPr>
        <w:spacing w:line="276" w:lineRule="auto"/>
        <w:ind w:firstLine="720"/>
        <w:rPr>
          <w:rFonts w:cs="Times Unicode"/>
          <w:lang w:val="hy-AM"/>
        </w:rPr>
      </w:pPr>
      <w:r w:rsidRPr="006466FC">
        <w:rPr>
          <w:rFonts w:cs="Times Unicode"/>
          <w:lang w:val="hy-AM"/>
        </w:rPr>
        <w:t xml:space="preserve">Ստորև ներկայացվում է ծախսերի և ռիսկի տեսակետից ընտրված </w:t>
      </w:r>
      <w:r w:rsidRPr="00A205DB">
        <w:rPr>
          <w:rFonts w:cs="Times Unicode"/>
          <w:lang w:val="hy-AM"/>
        </w:rPr>
        <w:t>ռազմավարության</w:t>
      </w:r>
      <w:r w:rsidRPr="006466FC">
        <w:rPr>
          <w:rFonts w:cs="Times Unicode"/>
          <w:lang w:val="hy-AM"/>
        </w:rPr>
        <w:t xml:space="preserve"> (Ռ1) ու այլընտրանքային երկու </w:t>
      </w:r>
      <w:r w:rsidRPr="00A205DB">
        <w:rPr>
          <w:rFonts w:cs="Times Unicode"/>
          <w:lang w:val="hy-AM"/>
        </w:rPr>
        <w:t>ռազմավարությունների</w:t>
      </w:r>
      <w:r w:rsidRPr="006466FC">
        <w:rPr>
          <w:rFonts w:cs="Times Unicode"/>
          <w:lang w:val="hy-AM"/>
        </w:rPr>
        <w:t xml:space="preserve"> արդյունքները: Որպես այլընտրանքային երկրորդ </w:t>
      </w:r>
      <w:r w:rsidRPr="00A205DB">
        <w:rPr>
          <w:rFonts w:cs="Times Unicode"/>
          <w:lang w:val="hy-AM"/>
        </w:rPr>
        <w:t>ռազմավարություն</w:t>
      </w:r>
      <w:r w:rsidRPr="006466FC">
        <w:rPr>
          <w:rFonts w:cs="Times Unicode"/>
          <w:lang w:val="hy-AM"/>
        </w:rPr>
        <w:t xml:space="preserve"> (Ռ2) է դիտարկվել ներքին փոխառու զուտ միջոցների հաշվին դեֆիցիտի կրկնակի ավել ծավալներով ֆինանսավորումը՝ ընտրված </w:t>
      </w:r>
      <w:r w:rsidRPr="00A205DB">
        <w:rPr>
          <w:rFonts w:cs="Times Unicode"/>
          <w:lang w:val="hy-AM"/>
        </w:rPr>
        <w:t>ռազմավարության</w:t>
      </w:r>
      <w:r w:rsidRPr="006466FC">
        <w:rPr>
          <w:rFonts w:cs="Times Unicode"/>
          <w:lang w:val="hy-AM"/>
        </w:rPr>
        <w:t xml:space="preserve"> նկատմամբ, և որպես այլընտրանքային երրորդ </w:t>
      </w:r>
      <w:r w:rsidRPr="00A205DB">
        <w:rPr>
          <w:rFonts w:cs="Times Unicode"/>
          <w:lang w:val="hy-AM"/>
        </w:rPr>
        <w:t>ռազմավարութ</w:t>
      </w:r>
      <w:r w:rsidR="007724F4">
        <w:rPr>
          <w:rFonts w:cs="Times Unicode"/>
          <w:lang w:val="hy-AM"/>
        </w:rPr>
        <w:t>յ</w:t>
      </w:r>
      <w:r w:rsidRPr="00A205DB">
        <w:rPr>
          <w:rFonts w:cs="Times Unicode"/>
          <w:lang w:val="hy-AM"/>
        </w:rPr>
        <w:t>ուն</w:t>
      </w:r>
      <w:r w:rsidRPr="006466FC">
        <w:rPr>
          <w:rFonts w:cs="Times Unicode"/>
          <w:lang w:val="hy-AM"/>
        </w:rPr>
        <w:t xml:space="preserve"> (Ռ3) է դիտարկվել ներքին փոխառու զուտ միջոցների հաշվին դեֆիցիտի կրկնակի պակաս ծավալներով ֆինանսավորումը, կամ որ նույնն է՝ արտաքին փոխառու զուտ միջոցների հաշվին ավելի մեծ ծավալներով դեֆիցիտի ֆինանսավորումը: Արդյունքում ստացվել է հետևյալը.</w:t>
      </w:r>
    </w:p>
    <w:p w14:paraId="67169F8F" w14:textId="77777777" w:rsidR="00F1465E" w:rsidRPr="007A7A4B" w:rsidRDefault="00F1465E" w:rsidP="007B05B7">
      <w:pPr>
        <w:spacing w:line="276" w:lineRule="auto"/>
        <w:ind w:firstLine="720"/>
        <w:rPr>
          <w:sz w:val="20"/>
          <w:szCs w:val="20"/>
          <w:lang w:val="hy-AM"/>
        </w:rPr>
      </w:pPr>
    </w:p>
    <w:p w14:paraId="69F40E28" w14:textId="77777777" w:rsidR="00F1465E" w:rsidRPr="007B05B7" w:rsidRDefault="00F1465E" w:rsidP="007B05B7">
      <w:pPr>
        <w:spacing w:line="276" w:lineRule="auto"/>
        <w:rPr>
          <w:i/>
          <w:sz w:val="20"/>
          <w:szCs w:val="20"/>
          <w:lang w:val="hy-AM"/>
        </w:rPr>
      </w:pPr>
      <w:r w:rsidRPr="007B05B7">
        <w:rPr>
          <w:b/>
          <w:sz w:val="20"/>
          <w:szCs w:val="20"/>
          <w:lang w:val="hy-AM"/>
        </w:rPr>
        <w:t>Գծապատկեր 7.</w:t>
      </w:r>
      <w:r w:rsidRPr="007B05B7">
        <w:rPr>
          <w:sz w:val="20"/>
          <w:szCs w:val="20"/>
          <w:lang w:val="hy-AM"/>
        </w:rPr>
        <w:t xml:space="preserve"> </w:t>
      </w:r>
      <w:r w:rsidRPr="007B05B7">
        <w:rPr>
          <w:rFonts w:cs="Times Unicode"/>
          <w:i/>
          <w:sz w:val="20"/>
          <w:szCs w:val="20"/>
          <w:lang w:val="hy-AM"/>
        </w:rPr>
        <w:t>ՀՀ</w:t>
      </w:r>
      <w:r w:rsidRPr="007B05B7">
        <w:rPr>
          <w:i/>
          <w:sz w:val="20"/>
          <w:szCs w:val="20"/>
          <w:lang w:val="hy-AM"/>
        </w:rPr>
        <w:t xml:space="preserve"> </w:t>
      </w:r>
      <w:r w:rsidRPr="007B05B7">
        <w:rPr>
          <w:rFonts w:cs="Times Unicode"/>
          <w:i/>
          <w:sz w:val="20"/>
          <w:szCs w:val="20"/>
          <w:lang w:val="hy-AM"/>
        </w:rPr>
        <w:t>կառավարության</w:t>
      </w:r>
      <w:r w:rsidRPr="007B05B7">
        <w:rPr>
          <w:i/>
          <w:sz w:val="20"/>
          <w:szCs w:val="20"/>
          <w:lang w:val="hy-AM"/>
        </w:rPr>
        <w:t xml:space="preserve"> </w:t>
      </w:r>
      <w:r w:rsidRPr="007B05B7">
        <w:rPr>
          <w:rFonts w:cs="Times Unicode"/>
          <w:i/>
          <w:sz w:val="20"/>
          <w:szCs w:val="20"/>
          <w:lang w:val="hy-AM"/>
        </w:rPr>
        <w:t xml:space="preserve">պարտք/ՀՆԱ ցուցանիշը </w:t>
      </w:r>
      <w:r w:rsidRPr="007B05B7">
        <w:rPr>
          <w:i/>
          <w:sz w:val="20"/>
          <w:szCs w:val="20"/>
          <w:lang w:val="hy-AM"/>
        </w:rPr>
        <w:t>2023</w:t>
      </w:r>
      <w:r w:rsidRPr="007B05B7">
        <w:rPr>
          <w:rFonts w:cs="Times Unicode"/>
          <w:i/>
          <w:sz w:val="20"/>
          <w:szCs w:val="20"/>
          <w:lang w:val="hy-AM"/>
        </w:rPr>
        <w:t>թ</w:t>
      </w:r>
      <w:r w:rsidRPr="007B05B7">
        <w:rPr>
          <w:i/>
          <w:sz w:val="20"/>
          <w:szCs w:val="20"/>
          <w:lang w:val="hy-AM"/>
        </w:rPr>
        <w:t>.</w:t>
      </w:r>
    </w:p>
    <w:p w14:paraId="52D0133C" w14:textId="77777777" w:rsidR="00F1465E" w:rsidRPr="00FD42C1" w:rsidRDefault="00F1465E" w:rsidP="00F1465E">
      <w:pPr>
        <w:spacing w:line="360" w:lineRule="auto"/>
        <w:ind w:firstLine="709"/>
        <w:rPr>
          <w:color w:val="FF0000"/>
          <w:sz w:val="20"/>
          <w:szCs w:val="20"/>
        </w:rPr>
      </w:pPr>
      <w:r>
        <w:rPr>
          <w:noProof/>
          <w:color w:val="FF0000"/>
          <w:sz w:val="20"/>
          <w:szCs w:val="20"/>
        </w:rPr>
        <w:drawing>
          <wp:inline distT="0" distB="0" distL="0" distR="0" wp14:anchorId="1593512F" wp14:editId="4F9E24BB">
            <wp:extent cx="5385435" cy="3226435"/>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385435" cy="3226435"/>
                    </a:xfrm>
                    <a:prstGeom prst="rect">
                      <a:avLst/>
                    </a:prstGeom>
                    <a:noFill/>
                  </pic:spPr>
                </pic:pic>
              </a:graphicData>
            </a:graphic>
          </wp:inline>
        </w:drawing>
      </w:r>
    </w:p>
    <w:p w14:paraId="137EC48F" w14:textId="77777777" w:rsidR="00F1465E" w:rsidRDefault="00F1465E" w:rsidP="007B05B7">
      <w:pPr>
        <w:spacing w:line="276" w:lineRule="auto"/>
        <w:ind w:firstLine="720"/>
        <w:rPr>
          <w:rFonts w:cs="Times Unicode"/>
        </w:rPr>
      </w:pPr>
      <w:r w:rsidRPr="007452E6">
        <w:rPr>
          <w:rFonts w:cs="Times Unicode"/>
          <w:color w:val="000000"/>
        </w:rPr>
        <w:lastRenderedPageBreak/>
        <w:t>Գծ</w:t>
      </w:r>
      <w:r w:rsidRPr="00A900A7">
        <w:rPr>
          <w:rFonts w:cs="Times Unicode"/>
          <w:color w:val="000000"/>
        </w:rPr>
        <w:t xml:space="preserve">ապատկերը ցույց է տալիս, որ նշված երեք ռազմավարություններից ակնհայտ ոչ նախընտրելին Ռ2-ն է, քանի </w:t>
      </w:r>
      <w:proofErr w:type="gramStart"/>
      <w:r w:rsidRPr="00A900A7">
        <w:rPr>
          <w:rFonts w:cs="Times Unicode"/>
          <w:color w:val="000000"/>
        </w:rPr>
        <w:t xml:space="preserve">որ  </w:t>
      </w:r>
      <w:r w:rsidRPr="00F21F17">
        <w:rPr>
          <w:rFonts w:cs="Times Unicode"/>
          <w:color w:val="000000"/>
        </w:rPr>
        <w:t>ՀՀ</w:t>
      </w:r>
      <w:proofErr w:type="gramEnd"/>
      <w:r w:rsidRPr="00F21F17">
        <w:rPr>
          <w:rFonts w:cs="Times Unicode"/>
          <w:color w:val="000000"/>
        </w:rPr>
        <w:t xml:space="preserve"> կառավարության պարտք/ՀՆԱ ցուցանիշ</w:t>
      </w:r>
      <w:r>
        <w:rPr>
          <w:rFonts w:cs="Times Unicode"/>
          <w:color w:val="000000"/>
        </w:rPr>
        <w:t>ը, որպես ծախսի ցուցանիշ,</w:t>
      </w:r>
      <w:r w:rsidRPr="00D02688">
        <w:rPr>
          <w:rFonts w:cs="Times Unicode"/>
          <w:color w:val="000000"/>
        </w:rPr>
        <w:t xml:space="preserve"> </w:t>
      </w:r>
      <w:r>
        <w:rPr>
          <w:rFonts w:cs="Times Unicode"/>
          <w:color w:val="000000"/>
        </w:rPr>
        <w:t xml:space="preserve">ամենաբարձրն է </w:t>
      </w:r>
      <w:r w:rsidRPr="00F21F17">
        <w:rPr>
          <w:rFonts w:cs="Times Unicode"/>
          <w:color w:val="000000"/>
        </w:rPr>
        <w:t>և միաժամանակ 202</w:t>
      </w:r>
      <w:r>
        <w:rPr>
          <w:rFonts w:cs="Times Unicode"/>
          <w:color w:val="000000"/>
        </w:rPr>
        <w:t>1</w:t>
      </w:r>
      <w:r w:rsidRPr="00F21F17">
        <w:rPr>
          <w:rFonts w:cs="Times Unicode"/>
          <w:color w:val="000000"/>
        </w:rPr>
        <w:t xml:space="preserve">թ. կիրառված </w:t>
      </w:r>
      <w:r w:rsidRPr="00396A69">
        <w:rPr>
          <w:rFonts w:cs="Times Unicode"/>
        </w:rPr>
        <w:t>փոխարժեքի 30% շոկի</w:t>
      </w:r>
      <w:r w:rsidRPr="00F21F17">
        <w:rPr>
          <w:rFonts w:cs="Times Unicode"/>
          <w:color w:val="000000"/>
        </w:rPr>
        <w:t xml:space="preserve"> դեպքում ամենամեծ ռիսկը պարունակում է Ռ2 ռազմավարությունը:</w:t>
      </w:r>
      <w:r>
        <w:rPr>
          <w:rFonts w:cs="Times Unicode"/>
          <w:color w:val="000000"/>
        </w:rPr>
        <w:t xml:space="preserve"> Առաջին հայացքից կարող է թվալ, որ ամենանախընտրելին Ռ3 ռազմավարությունն </w:t>
      </w:r>
      <w:r w:rsidRPr="00396A69">
        <w:rPr>
          <w:rFonts w:cs="Times Unicode"/>
        </w:rPr>
        <w:t>է (Ռ1 ռազմավարության նկատմամբ 0.11 տոկոսային կետով պակաս ծախս, սակայն 0.001 տոկոսային կետով</w:t>
      </w:r>
      <w:r w:rsidRPr="00F21F17">
        <w:rPr>
          <w:rFonts w:cs="Times Unicode"/>
          <w:color w:val="000000"/>
        </w:rPr>
        <w:t xml:space="preserve"> </w:t>
      </w:r>
      <w:r>
        <w:rPr>
          <w:rFonts w:cs="Times Unicode"/>
          <w:color w:val="000000"/>
        </w:rPr>
        <w:t xml:space="preserve">ավել </w:t>
      </w:r>
      <w:r w:rsidRPr="00F21F17">
        <w:rPr>
          <w:rFonts w:cs="Times Unicode"/>
          <w:color w:val="000000"/>
        </w:rPr>
        <w:t>ռիսկ)</w:t>
      </w:r>
      <w:r>
        <w:rPr>
          <w:rFonts w:cs="Times Unicode"/>
          <w:color w:val="000000"/>
        </w:rPr>
        <w:t>, սակայն ռազմավարությունների ընտրությունը կատարվում է ծախսերի և ռիսկերի ցուցանիշների մի ամբողջ համակարգի ուսումնասիրության և վերլուծության արդյունքում: Մասնավորապես, ե</w:t>
      </w:r>
      <w:r w:rsidRPr="00D005B4">
        <w:rPr>
          <w:rFonts w:cs="Times Unicode"/>
        </w:rPr>
        <w:t xml:space="preserve">թե Ռ3 և Ռ1 սցենարների նկատմամբ </w:t>
      </w:r>
      <w:r w:rsidRPr="00396A69">
        <w:rPr>
          <w:rFonts w:cs="Times Unicode"/>
        </w:rPr>
        <w:t>կ</w:t>
      </w:r>
      <w:r w:rsidRPr="00396A69">
        <w:rPr>
          <w:rFonts w:cs="Times Unicode"/>
          <w:lang w:val="hy-AM"/>
        </w:rPr>
        <w:t>իրառե</w:t>
      </w:r>
      <w:r w:rsidRPr="00396A69">
        <w:rPr>
          <w:rFonts w:cs="Times Unicode"/>
        </w:rPr>
        <w:t>նք</w:t>
      </w:r>
      <w:r w:rsidRPr="00396A69">
        <w:rPr>
          <w:rFonts w:cs="Times Unicode"/>
          <w:lang w:val="hy-AM"/>
        </w:rPr>
        <w:t xml:space="preserve"> 30% </w:t>
      </w:r>
      <w:r w:rsidRPr="00396A69">
        <w:rPr>
          <w:rFonts w:cs="Times Unicode"/>
        </w:rPr>
        <w:t xml:space="preserve">փոխարժեքի </w:t>
      </w:r>
      <w:r w:rsidRPr="00396A69">
        <w:rPr>
          <w:rFonts w:cs="Times Unicode"/>
          <w:lang w:val="hy-AM"/>
        </w:rPr>
        <w:t>շոկ</w:t>
      </w:r>
      <w:r w:rsidRPr="00D005B4">
        <w:rPr>
          <w:rFonts w:cs="Times Unicode"/>
          <w:lang w:val="hy-AM"/>
        </w:rPr>
        <w:t>՝ 202</w:t>
      </w:r>
      <w:r>
        <w:rPr>
          <w:rFonts w:cs="Times Unicode"/>
        </w:rPr>
        <w:t>1</w:t>
      </w:r>
      <w:r w:rsidRPr="00D005B4">
        <w:rPr>
          <w:rFonts w:cs="Times Unicode"/>
          <w:lang w:val="hy-AM"/>
        </w:rPr>
        <w:t>թ</w:t>
      </w:r>
      <w:r w:rsidRPr="00D005B4">
        <w:rPr>
          <w:rFonts w:cs="Times Unicode"/>
        </w:rPr>
        <w:t>.</w:t>
      </w:r>
      <w:r w:rsidRPr="00D005B4">
        <w:rPr>
          <w:rFonts w:cs="Times Unicode"/>
          <w:lang w:val="hy-AM"/>
        </w:rPr>
        <w:t xml:space="preserve"> արժեզրկելով ՀՀ դրամը ԱՄՆ դոլարի, եվրոյի և SDR-ի նկատմամբ, </w:t>
      </w:r>
      <w:r w:rsidRPr="00D005B4">
        <w:rPr>
          <w:rFonts w:cs="Times Unicode"/>
        </w:rPr>
        <w:t xml:space="preserve">ապա </w:t>
      </w:r>
      <w:r>
        <w:rPr>
          <w:rFonts w:cs="Times Unicode"/>
        </w:rPr>
        <w:t xml:space="preserve">այն </w:t>
      </w:r>
      <w:r w:rsidRPr="00D005B4">
        <w:rPr>
          <w:rFonts w:cs="Times Unicode"/>
          <w:lang w:val="hy-AM"/>
        </w:rPr>
        <w:t>ՀՀ կառա</w:t>
      </w:r>
      <w:r w:rsidRPr="00D005B4">
        <w:rPr>
          <w:rFonts w:cs="Times Unicode"/>
          <w:lang w:val="hy-AM"/>
        </w:rPr>
        <w:softHyphen/>
        <w:t>վարության պարտք/ՀՆԱ հարաբերակցությունը 202</w:t>
      </w:r>
      <w:r>
        <w:rPr>
          <w:rFonts w:cs="Times Unicode"/>
        </w:rPr>
        <w:t>3</w:t>
      </w:r>
      <w:r w:rsidRPr="00D005B4">
        <w:rPr>
          <w:rFonts w:cs="Times Unicode"/>
          <w:lang w:val="hy-AM"/>
        </w:rPr>
        <w:t xml:space="preserve">թ. տարեվերջին </w:t>
      </w:r>
      <w:r w:rsidRPr="00D005B4">
        <w:rPr>
          <w:rFonts w:cs="Times Unicode"/>
        </w:rPr>
        <w:t xml:space="preserve">Ռ3 սցենարի </w:t>
      </w:r>
      <w:r w:rsidRPr="0046419B">
        <w:rPr>
          <w:rFonts w:cs="Times Unicode"/>
        </w:rPr>
        <w:t>համար կավելացնի 11.18 տոկոսային կետով՝ ավել լինելով Ռ1 սցենարից 0.01 տոկոսային կետով:</w:t>
      </w:r>
      <w:r>
        <w:rPr>
          <w:rFonts w:cs="Times Unicode"/>
        </w:rPr>
        <w:t xml:space="preserve"> </w:t>
      </w:r>
      <w:r>
        <w:rPr>
          <w:rFonts w:cs="Times Unicode"/>
          <w:color w:val="000000"/>
        </w:rPr>
        <w:t xml:space="preserve">Ռ3 ռազմավարությունը ենթադրում է  </w:t>
      </w:r>
      <w:r w:rsidRPr="00D005B4">
        <w:rPr>
          <w:rFonts w:cs="Times Unicode"/>
        </w:rPr>
        <w:t>արտարժութային պարտքի կշռի ավելաց</w:t>
      </w:r>
      <w:r>
        <w:rPr>
          <w:rFonts w:cs="Times Unicode"/>
        </w:rPr>
        <w:t>ու</w:t>
      </w:r>
      <w:r w:rsidRPr="00D005B4">
        <w:rPr>
          <w:rFonts w:cs="Times Unicode"/>
        </w:rPr>
        <w:t>մ</w:t>
      </w:r>
      <w:r>
        <w:rPr>
          <w:rFonts w:cs="Times Unicode"/>
        </w:rPr>
        <w:t xml:space="preserve">, հետևաբար ավելի մեծ փոխարժեքի ռիսկ, որն արդեն իսկ կառավարության առկա պարտքի գծով ամենաէական ռիսկն է: </w:t>
      </w:r>
    </w:p>
    <w:p w14:paraId="01475AAD" w14:textId="77777777" w:rsidR="00F1465E" w:rsidRDefault="00F1465E" w:rsidP="007B05B7">
      <w:pPr>
        <w:spacing w:line="276" w:lineRule="auto"/>
        <w:ind w:firstLine="720"/>
        <w:rPr>
          <w:rFonts w:cs="Times Unicode"/>
        </w:rPr>
      </w:pPr>
      <w:r>
        <w:rPr>
          <w:rFonts w:cs="Times Unicode"/>
        </w:rPr>
        <w:t>Ավելացնենք, որ փոխարժեքի 30% արժեզրկման շոկը Համաշխարհային բանկի և ԱՄՀ կողմից մշակված պարտքի միջնաժամկետ ռազմավարության վերլուծական գործիքում կիրառվող ներքին արժույթի արժեզրկման տիպային առավելագույն շոկն է: ՀՀ դրամի արժեզրկման պատմական առավելագույն մեծությունը կազմել է 23.6%` 2009թ. (հիմք է ընդունվել ԱՄՆ դոլարի նկատմամբ ՀՀ դրամի տարեվերջի դրությամբ ձևավորված փոխարժեքները):</w:t>
      </w:r>
    </w:p>
    <w:p w14:paraId="296E3F38" w14:textId="77777777" w:rsidR="00F1465E" w:rsidRDefault="00F1465E" w:rsidP="007B05B7">
      <w:pPr>
        <w:spacing w:line="276" w:lineRule="auto"/>
        <w:ind w:firstLine="720"/>
        <w:rPr>
          <w:rFonts w:cs="Times Unicode"/>
        </w:rPr>
      </w:pPr>
      <w:r>
        <w:rPr>
          <w:rFonts w:cs="Times Unicode"/>
        </w:rPr>
        <w:t xml:space="preserve">Վերը նշված վերլուծությունը հավաստում է, որ անհրաժեշտ է զարգացնել ներքին պետական պարտքի շուկան և աստիճանաբար ավելացնել փոխառու զուտ միջոցների հաշվին դեֆիցիտի ֆինանսավորման մեջ ներքին փոխառու զուտ միջոցների հաշվին դեֆիցիտի ֆինանսավորման կշիռը՝ հաշվի առնելով պոտենցիալ </w:t>
      </w:r>
      <w:r w:rsidRPr="00541257">
        <w:rPr>
          <w:rFonts w:cs="Times Unicode"/>
        </w:rPr>
        <w:t>ռիսկերը: Ուստի, համադրելով բոլոր գործոնները, նախընտրելի է համարվել Ռ1 ռազմավարությունը (հիմնական սցենարը):</w:t>
      </w:r>
    </w:p>
    <w:p w14:paraId="057C0CCF" w14:textId="77777777" w:rsidR="00F1465E" w:rsidRDefault="00F1465E" w:rsidP="007B05B7">
      <w:pPr>
        <w:spacing w:line="276" w:lineRule="auto"/>
        <w:ind w:firstLine="720"/>
        <w:rPr>
          <w:rFonts w:cs="Times Unicode"/>
        </w:rPr>
      </w:pPr>
      <w:r w:rsidRPr="00AC67B2">
        <w:rPr>
          <w:rFonts w:cs="Times Unicode"/>
          <w:lang w:val="hy-AM" w:eastAsia="ru-RU"/>
        </w:rPr>
        <w:t>Ներքին փոխառու զուտ միջոցների հաշվին դեֆիցիտի ֆինանսավորման կառուցվածքը նախատեսելիս հաշվի են առնվել տնտեսությունում մակրոմիջավայրի բարելավման միտումները, իրացվելիության առկա մակարդակն ու պետական գանձապետական պարտատոմսերի նկատմամբ ձևավորված կայուն պահանջարկը:</w:t>
      </w:r>
    </w:p>
    <w:p w14:paraId="0304086E" w14:textId="77777777" w:rsidR="00F1465E" w:rsidRPr="00AC67B2" w:rsidRDefault="00F1465E" w:rsidP="007B05B7">
      <w:pPr>
        <w:spacing w:line="276" w:lineRule="auto"/>
        <w:ind w:firstLine="709"/>
        <w:rPr>
          <w:rFonts w:cs="Times Unicode"/>
          <w:lang w:val="hy-AM"/>
        </w:rPr>
      </w:pPr>
      <w:r w:rsidRPr="00AC67B2">
        <w:rPr>
          <w:rFonts w:cs="Times Unicode"/>
          <w:lang w:val="hy-AM"/>
        </w:rPr>
        <w:t>20</w:t>
      </w:r>
      <w:r>
        <w:rPr>
          <w:rFonts w:cs="Times Unicode"/>
        </w:rPr>
        <w:t>20</w:t>
      </w:r>
      <w:r w:rsidRPr="00AC67B2">
        <w:rPr>
          <w:rFonts w:cs="Times Unicode"/>
          <w:lang w:val="hy-AM"/>
        </w:rPr>
        <w:t>-202</w:t>
      </w:r>
      <w:r>
        <w:rPr>
          <w:rFonts w:cs="Times Unicode"/>
        </w:rPr>
        <w:t>3</w:t>
      </w:r>
      <w:r w:rsidRPr="00AC67B2">
        <w:rPr>
          <w:rFonts w:cs="Times Unicode"/>
          <w:lang w:val="hy-AM"/>
        </w:rPr>
        <w:t>թթ. համար պետական բյուջեի դեֆիցիտի ֆինանսավորումը փոխառու զուտ միջոցների հաշվին նախատեսվում է իրականացնել հետևյալ կերպ.</w:t>
      </w:r>
    </w:p>
    <w:p w14:paraId="4CC407AA" w14:textId="77777777" w:rsidR="00F1465E" w:rsidRDefault="00F1465E" w:rsidP="007B05B7">
      <w:pPr>
        <w:spacing w:after="120" w:line="276" w:lineRule="auto"/>
        <w:ind w:left="1276" w:hanging="1276"/>
        <w:rPr>
          <w:rFonts w:cs="Times Unicode"/>
          <w:b/>
        </w:rPr>
      </w:pPr>
    </w:p>
    <w:p w14:paraId="1766E096" w14:textId="77777777" w:rsidR="007B05B7" w:rsidRDefault="007B05B7" w:rsidP="007B05B7">
      <w:pPr>
        <w:spacing w:after="120" w:line="276" w:lineRule="auto"/>
        <w:ind w:left="1276" w:hanging="1276"/>
        <w:rPr>
          <w:rFonts w:cs="Times Unicode"/>
          <w:b/>
          <w:sz w:val="20"/>
          <w:szCs w:val="20"/>
          <w:lang w:val="hy-AM"/>
        </w:rPr>
      </w:pPr>
    </w:p>
    <w:p w14:paraId="60C2A8CA" w14:textId="77777777" w:rsidR="007B05B7" w:rsidRDefault="007B05B7" w:rsidP="007B05B7">
      <w:pPr>
        <w:spacing w:after="120" w:line="276" w:lineRule="auto"/>
        <w:ind w:left="1276" w:hanging="1276"/>
        <w:rPr>
          <w:rFonts w:cs="Times Unicode"/>
          <w:b/>
          <w:sz w:val="20"/>
          <w:szCs w:val="20"/>
          <w:lang w:val="hy-AM"/>
        </w:rPr>
      </w:pPr>
    </w:p>
    <w:p w14:paraId="26D24678" w14:textId="77777777" w:rsidR="00F1465E" w:rsidRPr="007B05B7" w:rsidRDefault="00F1465E" w:rsidP="007B05B7">
      <w:pPr>
        <w:spacing w:after="120" w:line="276" w:lineRule="auto"/>
        <w:ind w:left="1276" w:hanging="1276"/>
        <w:rPr>
          <w:rFonts w:cs="Times Unicode"/>
          <w:i/>
          <w:sz w:val="20"/>
          <w:szCs w:val="20"/>
          <w:lang w:val="hy-AM"/>
        </w:rPr>
      </w:pPr>
      <w:r w:rsidRPr="007B05B7">
        <w:rPr>
          <w:rFonts w:cs="Times Unicode"/>
          <w:b/>
          <w:sz w:val="20"/>
          <w:szCs w:val="20"/>
          <w:lang w:val="hy-AM"/>
        </w:rPr>
        <w:t xml:space="preserve">Աղյուսակ </w:t>
      </w:r>
      <w:r w:rsidR="007B05B7" w:rsidRPr="00BE7F99">
        <w:rPr>
          <w:rFonts w:cs="Times Unicode"/>
          <w:b/>
          <w:sz w:val="20"/>
          <w:szCs w:val="20"/>
          <w:lang w:val="hy-AM"/>
        </w:rPr>
        <w:t>1.</w:t>
      </w:r>
      <w:r w:rsidRPr="007B05B7">
        <w:rPr>
          <w:rFonts w:cs="Times Unicode"/>
          <w:b/>
          <w:sz w:val="20"/>
          <w:szCs w:val="20"/>
          <w:lang w:val="hy-AM"/>
        </w:rPr>
        <w:t>5</w:t>
      </w:r>
      <w:r w:rsidRPr="007B05B7">
        <w:rPr>
          <w:sz w:val="20"/>
          <w:szCs w:val="20"/>
          <w:lang w:val="hy-AM"/>
        </w:rPr>
        <w:t xml:space="preserve"> </w:t>
      </w:r>
      <w:r w:rsidRPr="007B05B7">
        <w:rPr>
          <w:i/>
          <w:sz w:val="20"/>
          <w:szCs w:val="20"/>
          <w:lang w:val="hy-AM"/>
        </w:rPr>
        <w:t>Պետական բյուջեի դեֆիցիտի ֆինանսավորումը փոխառու զուտ միջոցների հաշվին 20</w:t>
      </w:r>
      <w:r w:rsidRPr="00BE7F99">
        <w:rPr>
          <w:i/>
          <w:sz w:val="20"/>
          <w:szCs w:val="20"/>
          <w:lang w:val="hy-AM"/>
        </w:rPr>
        <w:t>20</w:t>
      </w:r>
      <w:r w:rsidRPr="007B05B7">
        <w:rPr>
          <w:i/>
          <w:sz w:val="20"/>
          <w:szCs w:val="20"/>
          <w:lang w:val="hy-AM"/>
        </w:rPr>
        <w:t>-202</w:t>
      </w:r>
      <w:r w:rsidRPr="00BE7F99">
        <w:rPr>
          <w:i/>
          <w:sz w:val="20"/>
          <w:szCs w:val="20"/>
          <w:lang w:val="hy-AM"/>
        </w:rPr>
        <w:t>3</w:t>
      </w:r>
      <w:r w:rsidRPr="007B05B7">
        <w:rPr>
          <w:i/>
          <w:sz w:val="20"/>
          <w:szCs w:val="20"/>
          <w:lang w:val="hy-AM"/>
        </w:rPr>
        <w:t>թթ  (</w:t>
      </w:r>
      <w:r w:rsidRPr="007B05B7">
        <w:rPr>
          <w:rFonts w:cs="Times Unicode"/>
          <w:i/>
          <w:sz w:val="20"/>
          <w:szCs w:val="20"/>
          <w:lang w:val="hy-AM"/>
        </w:rPr>
        <w:t>մլրդ</w:t>
      </w:r>
      <w:r w:rsidRPr="007B05B7">
        <w:rPr>
          <w:i/>
          <w:sz w:val="20"/>
          <w:szCs w:val="20"/>
          <w:lang w:val="hy-AM"/>
        </w:rPr>
        <w:t xml:space="preserve"> </w:t>
      </w:r>
      <w:r w:rsidRPr="007B05B7">
        <w:rPr>
          <w:rFonts w:cs="Times Unicode"/>
          <w:i/>
          <w:sz w:val="20"/>
          <w:szCs w:val="20"/>
          <w:lang w:val="hy-AM"/>
        </w:rPr>
        <w:t>դրամ</w:t>
      </w:r>
      <w:r w:rsidRPr="007B05B7">
        <w:rPr>
          <w:i/>
          <w:sz w:val="20"/>
          <w:szCs w:val="20"/>
          <w:lang w:val="hy-AM"/>
        </w:rPr>
        <w:t>)</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8"/>
        <w:gridCol w:w="1468"/>
        <w:gridCol w:w="994"/>
        <w:gridCol w:w="1007"/>
        <w:gridCol w:w="1009"/>
        <w:gridCol w:w="1030"/>
      </w:tblGrid>
      <w:tr w:rsidR="00F1465E" w:rsidRPr="00231DF7" w14:paraId="75DEA7F4" w14:textId="77777777" w:rsidTr="00231073">
        <w:trPr>
          <w:trHeight w:val="797"/>
          <w:tblHeader/>
          <w:jc w:val="center"/>
        </w:trPr>
        <w:tc>
          <w:tcPr>
            <w:tcW w:w="4918" w:type="dxa"/>
            <w:tcBorders>
              <w:top w:val="thinThickThinSmallGap" w:sz="24" w:space="0" w:color="auto"/>
              <w:left w:val="nil"/>
              <w:bottom w:val="thinThickSmallGap" w:sz="24" w:space="0" w:color="auto"/>
              <w:right w:val="nil"/>
            </w:tcBorders>
            <w:shd w:val="clear" w:color="auto" w:fill="0B70B5"/>
          </w:tcPr>
          <w:p w14:paraId="6BE63173" w14:textId="77777777" w:rsidR="00F1465E" w:rsidRPr="00C35116" w:rsidRDefault="00F1465E" w:rsidP="00231073">
            <w:pPr>
              <w:spacing w:before="0" w:after="0" w:line="360" w:lineRule="auto"/>
              <w:ind w:firstLine="63"/>
              <w:rPr>
                <w:color w:val="FFFFFF" w:themeColor="background1"/>
                <w:sz w:val="20"/>
                <w:szCs w:val="20"/>
                <w:lang w:val="hy-AM"/>
              </w:rPr>
            </w:pPr>
          </w:p>
        </w:tc>
        <w:tc>
          <w:tcPr>
            <w:tcW w:w="1468" w:type="dxa"/>
            <w:tcBorders>
              <w:top w:val="thinThickThinSmallGap" w:sz="24" w:space="0" w:color="auto"/>
              <w:left w:val="nil"/>
              <w:bottom w:val="thinThickSmallGap" w:sz="24" w:space="0" w:color="auto"/>
              <w:right w:val="double" w:sz="4" w:space="0" w:color="auto"/>
            </w:tcBorders>
            <w:shd w:val="clear" w:color="auto" w:fill="0B70B5"/>
            <w:vAlign w:val="center"/>
          </w:tcPr>
          <w:p w14:paraId="7903EA08" w14:textId="77777777" w:rsidR="00F1465E" w:rsidRPr="00C35116" w:rsidRDefault="00F1465E" w:rsidP="00231073">
            <w:pPr>
              <w:spacing w:before="0" w:after="0"/>
              <w:ind w:firstLine="63"/>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պետբյուջեի ծրագիր</w:t>
            </w:r>
          </w:p>
        </w:tc>
        <w:tc>
          <w:tcPr>
            <w:tcW w:w="994" w:type="dxa"/>
            <w:tcBorders>
              <w:top w:val="thinThickThinSmallGap" w:sz="24" w:space="0" w:color="auto"/>
              <w:left w:val="double" w:sz="4" w:space="0" w:color="auto"/>
              <w:bottom w:val="thinThickSmallGap" w:sz="24" w:space="0" w:color="auto"/>
              <w:right w:val="nil"/>
            </w:tcBorders>
            <w:shd w:val="clear" w:color="auto" w:fill="0B70B5"/>
            <w:vAlign w:val="center"/>
          </w:tcPr>
          <w:p w14:paraId="26362C6B" w14:textId="77777777" w:rsidR="00F1465E" w:rsidRPr="00C35116" w:rsidRDefault="00F1465E" w:rsidP="00231073">
            <w:pPr>
              <w:spacing w:before="0" w:after="0"/>
              <w:ind w:firstLine="63"/>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07" w:type="dxa"/>
            <w:tcBorders>
              <w:top w:val="thinThickThinSmallGap" w:sz="24" w:space="0" w:color="auto"/>
              <w:left w:val="nil"/>
              <w:bottom w:val="thinThickSmallGap" w:sz="24" w:space="0" w:color="auto"/>
              <w:right w:val="nil"/>
            </w:tcBorders>
            <w:shd w:val="clear" w:color="auto" w:fill="0B70B5"/>
            <w:vAlign w:val="center"/>
          </w:tcPr>
          <w:p w14:paraId="0752D3ED" w14:textId="77777777" w:rsidR="00F1465E" w:rsidRPr="00C35116" w:rsidRDefault="00F1465E" w:rsidP="00231073">
            <w:pPr>
              <w:spacing w:before="0" w:after="0"/>
              <w:ind w:firstLine="63"/>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09" w:type="dxa"/>
            <w:tcBorders>
              <w:top w:val="thinThickThinSmallGap" w:sz="24" w:space="0" w:color="auto"/>
              <w:left w:val="nil"/>
              <w:bottom w:val="thinThickSmallGap" w:sz="24" w:space="0" w:color="auto"/>
              <w:right w:val="nil"/>
            </w:tcBorders>
            <w:shd w:val="clear" w:color="auto" w:fill="0B70B5"/>
            <w:vAlign w:val="center"/>
          </w:tcPr>
          <w:p w14:paraId="0F98D06A" w14:textId="77777777" w:rsidR="00F1465E" w:rsidRPr="00C35116" w:rsidRDefault="00F1465E" w:rsidP="00231073">
            <w:pPr>
              <w:spacing w:before="0" w:after="0"/>
              <w:ind w:firstLine="63"/>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30" w:type="dxa"/>
            <w:tcBorders>
              <w:top w:val="thinThickThinSmallGap" w:sz="24" w:space="0" w:color="auto"/>
              <w:left w:val="nil"/>
              <w:bottom w:val="thinThickSmallGap" w:sz="24" w:space="0" w:color="auto"/>
              <w:right w:val="nil"/>
            </w:tcBorders>
            <w:shd w:val="clear" w:color="auto" w:fill="0B70B5"/>
            <w:vAlign w:val="center"/>
          </w:tcPr>
          <w:p w14:paraId="74803784" w14:textId="77777777" w:rsidR="00F1465E" w:rsidRPr="00C35116" w:rsidRDefault="00F1465E" w:rsidP="00231073">
            <w:pPr>
              <w:spacing w:before="0" w:after="0"/>
              <w:ind w:firstLine="63"/>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AC67B2" w14:paraId="1F3C6EE1" w14:textId="77777777" w:rsidTr="00231073">
        <w:trPr>
          <w:trHeight w:val="525"/>
          <w:jc w:val="center"/>
        </w:trPr>
        <w:tc>
          <w:tcPr>
            <w:tcW w:w="4918" w:type="dxa"/>
            <w:tcBorders>
              <w:top w:val="thinThickSmallGap" w:sz="24" w:space="0" w:color="auto"/>
              <w:left w:val="nil"/>
              <w:right w:val="nil"/>
            </w:tcBorders>
            <w:vAlign w:val="center"/>
          </w:tcPr>
          <w:p w14:paraId="79DE3625" w14:textId="77777777" w:rsidR="00F1465E" w:rsidRPr="00AC67B2" w:rsidRDefault="00F1465E" w:rsidP="00231073">
            <w:pPr>
              <w:spacing w:before="0" w:after="0"/>
              <w:ind w:left="84" w:firstLine="63"/>
              <w:jc w:val="left"/>
              <w:rPr>
                <w:sz w:val="20"/>
                <w:szCs w:val="20"/>
                <w:lang w:val="hy-AM"/>
              </w:rPr>
            </w:pPr>
            <w:r w:rsidRPr="00AC67B2">
              <w:rPr>
                <w:rFonts w:cs="Times Unicode"/>
                <w:sz w:val="20"/>
                <w:szCs w:val="20"/>
                <w:lang w:val="hy-AM"/>
              </w:rPr>
              <w:t>Պետական բյուջեի դեֆիցիտի ֆինանսավորումը փոխառու զուտ միջոցների հաշվին</w:t>
            </w:r>
          </w:p>
        </w:tc>
        <w:tc>
          <w:tcPr>
            <w:tcW w:w="1468" w:type="dxa"/>
            <w:tcBorders>
              <w:top w:val="thinThickSmallGap" w:sz="24" w:space="0" w:color="auto"/>
              <w:left w:val="nil"/>
              <w:right w:val="double" w:sz="4" w:space="0" w:color="auto"/>
            </w:tcBorders>
            <w:vAlign w:val="center"/>
          </w:tcPr>
          <w:p w14:paraId="5CD0290B" w14:textId="77777777" w:rsidR="00F1465E" w:rsidRPr="00D840A9" w:rsidRDefault="00F1465E" w:rsidP="00231073">
            <w:pPr>
              <w:spacing w:before="0" w:after="0"/>
              <w:ind w:firstLine="63"/>
              <w:jc w:val="center"/>
              <w:rPr>
                <w:sz w:val="20"/>
                <w:szCs w:val="20"/>
                <w:lang w:val="hy-AM"/>
              </w:rPr>
            </w:pPr>
            <w:r w:rsidRPr="00D840A9">
              <w:rPr>
                <w:sz w:val="20"/>
                <w:szCs w:val="20"/>
              </w:rPr>
              <w:t xml:space="preserve">159.5 </w:t>
            </w:r>
          </w:p>
        </w:tc>
        <w:tc>
          <w:tcPr>
            <w:tcW w:w="994" w:type="dxa"/>
            <w:tcBorders>
              <w:top w:val="thinThickSmallGap" w:sz="24" w:space="0" w:color="auto"/>
              <w:left w:val="double" w:sz="4" w:space="0" w:color="auto"/>
              <w:right w:val="nil"/>
            </w:tcBorders>
            <w:vAlign w:val="center"/>
          </w:tcPr>
          <w:p w14:paraId="38C371B9" w14:textId="77777777" w:rsidR="00F1465E" w:rsidRPr="00D840A9" w:rsidRDefault="00F1465E" w:rsidP="00231073">
            <w:pPr>
              <w:spacing w:before="0" w:after="0"/>
              <w:ind w:firstLine="63"/>
              <w:jc w:val="center"/>
              <w:rPr>
                <w:sz w:val="20"/>
                <w:szCs w:val="20"/>
                <w:lang w:val="hy-AM"/>
              </w:rPr>
            </w:pPr>
            <w:r w:rsidRPr="00D840A9">
              <w:rPr>
                <w:sz w:val="20"/>
                <w:szCs w:val="20"/>
              </w:rPr>
              <w:t xml:space="preserve">376.8 </w:t>
            </w:r>
          </w:p>
        </w:tc>
        <w:tc>
          <w:tcPr>
            <w:tcW w:w="1007" w:type="dxa"/>
            <w:tcBorders>
              <w:top w:val="thinThickSmallGap" w:sz="24" w:space="0" w:color="auto"/>
              <w:left w:val="nil"/>
              <w:right w:val="nil"/>
            </w:tcBorders>
            <w:vAlign w:val="center"/>
          </w:tcPr>
          <w:p w14:paraId="3CEEA12C" w14:textId="77777777" w:rsidR="00F1465E" w:rsidRPr="00D840A9" w:rsidRDefault="00F1465E" w:rsidP="00231073">
            <w:pPr>
              <w:spacing w:before="0" w:after="0"/>
              <w:ind w:firstLine="63"/>
              <w:jc w:val="center"/>
              <w:rPr>
                <w:sz w:val="20"/>
                <w:szCs w:val="20"/>
                <w:lang w:val="hy-AM"/>
              </w:rPr>
            </w:pPr>
            <w:r w:rsidRPr="00D840A9">
              <w:rPr>
                <w:sz w:val="20"/>
                <w:szCs w:val="20"/>
              </w:rPr>
              <w:t>322.3</w:t>
            </w:r>
          </w:p>
        </w:tc>
        <w:tc>
          <w:tcPr>
            <w:tcW w:w="1009" w:type="dxa"/>
            <w:tcBorders>
              <w:top w:val="thinThickSmallGap" w:sz="24" w:space="0" w:color="auto"/>
              <w:left w:val="nil"/>
              <w:right w:val="nil"/>
            </w:tcBorders>
            <w:vAlign w:val="center"/>
          </w:tcPr>
          <w:p w14:paraId="29A9DC18" w14:textId="77777777" w:rsidR="00F1465E" w:rsidRPr="00D840A9" w:rsidRDefault="00F1465E" w:rsidP="00231073">
            <w:pPr>
              <w:spacing w:before="0" w:after="0"/>
              <w:ind w:firstLine="63"/>
              <w:jc w:val="center"/>
              <w:rPr>
                <w:sz w:val="20"/>
                <w:szCs w:val="20"/>
                <w:lang w:val="hy-AM"/>
              </w:rPr>
            </w:pPr>
            <w:r w:rsidRPr="00D840A9">
              <w:rPr>
                <w:sz w:val="20"/>
                <w:szCs w:val="20"/>
              </w:rPr>
              <w:t xml:space="preserve">230.5 </w:t>
            </w:r>
          </w:p>
        </w:tc>
        <w:tc>
          <w:tcPr>
            <w:tcW w:w="1030" w:type="dxa"/>
            <w:tcBorders>
              <w:top w:val="thinThickSmallGap" w:sz="24" w:space="0" w:color="auto"/>
              <w:left w:val="nil"/>
              <w:right w:val="nil"/>
            </w:tcBorders>
            <w:vAlign w:val="center"/>
          </w:tcPr>
          <w:p w14:paraId="746D46A7" w14:textId="77777777" w:rsidR="00F1465E" w:rsidRPr="00D840A9" w:rsidRDefault="00F1465E" w:rsidP="00231073">
            <w:pPr>
              <w:spacing w:before="0" w:after="0"/>
              <w:ind w:firstLine="63"/>
              <w:jc w:val="center"/>
              <w:rPr>
                <w:sz w:val="20"/>
                <w:szCs w:val="20"/>
                <w:lang w:val="hy-AM"/>
              </w:rPr>
            </w:pPr>
            <w:r w:rsidRPr="00D840A9">
              <w:rPr>
                <w:sz w:val="20"/>
                <w:szCs w:val="20"/>
              </w:rPr>
              <w:t xml:space="preserve">206.4 </w:t>
            </w:r>
          </w:p>
        </w:tc>
      </w:tr>
      <w:tr w:rsidR="00F1465E" w:rsidRPr="00AC67B2" w14:paraId="4BE6F9BE" w14:textId="77777777" w:rsidTr="00231073">
        <w:trPr>
          <w:trHeight w:val="322"/>
          <w:jc w:val="center"/>
        </w:trPr>
        <w:tc>
          <w:tcPr>
            <w:tcW w:w="4918" w:type="dxa"/>
            <w:tcBorders>
              <w:left w:val="nil"/>
              <w:right w:val="nil"/>
            </w:tcBorders>
            <w:vAlign w:val="center"/>
          </w:tcPr>
          <w:p w14:paraId="6C766B1A" w14:textId="77777777" w:rsidR="00F1465E" w:rsidRPr="00AC67B2" w:rsidRDefault="00F1465E" w:rsidP="00231073">
            <w:pPr>
              <w:spacing w:before="0" w:after="0"/>
              <w:ind w:left="793" w:firstLine="63"/>
              <w:rPr>
                <w:sz w:val="20"/>
                <w:szCs w:val="20"/>
                <w:lang w:val="hy-AM"/>
              </w:rPr>
            </w:pPr>
            <w:r w:rsidRPr="00AC67B2">
              <w:rPr>
                <w:rFonts w:cs="Times Unicode"/>
                <w:sz w:val="20"/>
                <w:szCs w:val="20"/>
                <w:lang w:val="hy-AM"/>
              </w:rPr>
              <w:t>որից</w:t>
            </w:r>
            <w:r w:rsidRPr="00AC67B2">
              <w:rPr>
                <w:sz w:val="20"/>
                <w:szCs w:val="20"/>
                <w:lang w:val="hy-AM"/>
              </w:rPr>
              <w:t xml:space="preserve">` </w:t>
            </w:r>
          </w:p>
        </w:tc>
        <w:tc>
          <w:tcPr>
            <w:tcW w:w="1468" w:type="dxa"/>
            <w:tcBorders>
              <w:left w:val="nil"/>
              <w:right w:val="double" w:sz="4" w:space="0" w:color="auto"/>
            </w:tcBorders>
            <w:vAlign w:val="center"/>
          </w:tcPr>
          <w:p w14:paraId="15F7BB96" w14:textId="77777777" w:rsidR="00F1465E" w:rsidRPr="00796972" w:rsidRDefault="00F1465E" w:rsidP="00231073">
            <w:pPr>
              <w:spacing w:before="0" w:after="0"/>
              <w:ind w:firstLine="63"/>
              <w:jc w:val="center"/>
              <w:rPr>
                <w:sz w:val="20"/>
                <w:szCs w:val="20"/>
                <w:lang w:val="hy-AM"/>
              </w:rPr>
            </w:pPr>
          </w:p>
        </w:tc>
        <w:tc>
          <w:tcPr>
            <w:tcW w:w="994" w:type="dxa"/>
            <w:tcBorders>
              <w:left w:val="double" w:sz="4" w:space="0" w:color="auto"/>
              <w:right w:val="nil"/>
            </w:tcBorders>
            <w:vAlign w:val="center"/>
          </w:tcPr>
          <w:p w14:paraId="5BE415C6" w14:textId="77777777" w:rsidR="00F1465E" w:rsidRPr="00796972" w:rsidRDefault="00F1465E" w:rsidP="00231073">
            <w:pPr>
              <w:spacing w:before="0" w:after="0"/>
              <w:ind w:firstLine="63"/>
              <w:jc w:val="center"/>
              <w:rPr>
                <w:sz w:val="20"/>
                <w:szCs w:val="20"/>
                <w:lang w:val="hy-AM"/>
              </w:rPr>
            </w:pPr>
          </w:p>
        </w:tc>
        <w:tc>
          <w:tcPr>
            <w:tcW w:w="1007" w:type="dxa"/>
            <w:tcBorders>
              <w:left w:val="nil"/>
              <w:right w:val="nil"/>
            </w:tcBorders>
            <w:vAlign w:val="center"/>
          </w:tcPr>
          <w:p w14:paraId="5824342E" w14:textId="77777777" w:rsidR="00F1465E" w:rsidRPr="00796972" w:rsidRDefault="00F1465E" w:rsidP="00231073">
            <w:pPr>
              <w:spacing w:before="0" w:after="0"/>
              <w:ind w:firstLine="63"/>
              <w:jc w:val="center"/>
              <w:rPr>
                <w:sz w:val="20"/>
                <w:szCs w:val="20"/>
                <w:lang w:val="hy-AM"/>
              </w:rPr>
            </w:pPr>
          </w:p>
        </w:tc>
        <w:tc>
          <w:tcPr>
            <w:tcW w:w="1009" w:type="dxa"/>
            <w:tcBorders>
              <w:left w:val="nil"/>
              <w:right w:val="nil"/>
            </w:tcBorders>
            <w:vAlign w:val="center"/>
          </w:tcPr>
          <w:p w14:paraId="7FF2AE16" w14:textId="77777777" w:rsidR="00F1465E" w:rsidRPr="00796972" w:rsidRDefault="00F1465E" w:rsidP="00231073">
            <w:pPr>
              <w:spacing w:before="0" w:after="0"/>
              <w:ind w:firstLine="63"/>
              <w:jc w:val="center"/>
              <w:rPr>
                <w:sz w:val="20"/>
                <w:szCs w:val="20"/>
                <w:lang w:val="hy-AM"/>
              </w:rPr>
            </w:pPr>
          </w:p>
        </w:tc>
        <w:tc>
          <w:tcPr>
            <w:tcW w:w="1030" w:type="dxa"/>
            <w:tcBorders>
              <w:left w:val="nil"/>
              <w:right w:val="nil"/>
            </w:tcBorders>
            <w:vAlign w:val="center"/>
          </w:tcPr>
          <w:p w14:paraId="1C0D78FB" w14:textId="77777777" w:rsidR="00F1465E" w:rsidRPr="00796972" w:rsidRDefault="00F1465E" w:rsidP="00231073">
            <w:pPr>
              <w:spacing w:before="0" w:after="0"/>
              <w:ind w:firstLine="63"/>
              <w:jc w:val="center"/>
              <w:rPr>
                <w:sz w:val="20"/>
                <w:szCs w:val="20"/>
                <w:lang w:val="hy-AM"/>
              </w:rPr>
            </w:pPr>
          </w:p>
        </w:tc>
      </w:tr>
      <w:tr w:rsidR="00F1465E" w:rsidRPr="00AC67B2" w14:paraId="5A35408A" w14:textId="77777777" w:rsidTr="00231073">
        <w:trPr>
          <w:trHeight w:val="505"/>
          <w:jc w:val="center"/>
        </w:trPr>
        <w:tc>
          <w:tcPr>
            <w:tcW w:w="4918" w:type="dxa"/>
            <w:tcBorders>
              <w:left w:val="nil"/>
              <w:right w:val="nil"/>
            </w:tcBorders>
            <w:vAlign w:val="center"/>
          </w:tcPr>
          <w:p w14:paraId="7707CF94" w14:textId="77777777" w:rsidR="00F1465E" w:rsidRPr="00AC67B2" w:rsidRDefault="00F1465E" w:rsidP="00231073">
            <w:pPr>
              <w:spacing w:before="0" w:after="0"/>
              <w:ind w:left="367" w:firstLine="63"/>
              <w:jc w:val="left"/>
              <w:rPr>
                <w:rFonts w:cs="Times Unicode"/>
                <w:sz w:val="20"/>
                <w:szCs w:val="20"/>
                <w:lang w:val="hy-AM"/>
              </w:rPr>
            </w:pPr>
            <w:r w:rsidRPr="00AC67B2">
              <w:rPr>
                <w:rFonts w:cs="Times Unicode"/>
                <w:sz w:val="20"/>
                <w:szCs w:val="20"/>
                <w:lang w:val="hy-AM"/>
              </w:rPr>
              <w:t>Ներքին փոխառու զուտ միջոցներ (առանց մուրհակների)</w:t>
            </w:r>
          </w:p>
        </w:tc>
        <w:tc>
          <w:tcPr>
            <w:tcW w:w="1468" w:type="dxa"/>
            <w:tcBorders>
              <w:left w:val="nil"/>
              <w:right w:val="double" w:sz="4" w:space="0" w:color="auto"/>
            </w:tcBorders>
            <w:vAlign w:val="center"/>
          </w:tcPr>
          <w:p w14:paraId="01B34DA4" w14:textId="77777777" w:rsidR="00F1465E" w:rsidRPr="00796972" w:rsidRDefault="00F1465E" w:rsidP="00231073">
            <w:pPr>
              <w:spacing w:before="0" w:after="0"/>
              <w:ind w:firstLine="63"/>
              <w:jc w:val="center"/>
              <w:rPr>
                <w:sz w:val="20"/>
                <w:szCs w:val="20"/>
                <w:lang w:val="hy-AM"/>
              </w:rPr>
            </w:pPr>
            <w:r>
              <w:rPr>
                <w:sz w:val="20"/>
                <w:szCs w:val="20"/>
              </w:rPr>
              <w:t xml:space="preserve">145.0 </w:t>
            </w:r>
          </w:p>
        </w:tc>
        <w:tc>
          <w:tcPr>
            <w:tcW w:w="994" w:type="dxa"/>
            <w:tcBorders>
              <w:left w:val="double" w:sz="4" w:space="0" w:color="auto"/>
              <w:right w:val="nil"/>
            </w:tcBorders>
            <w:vAlign w:val="center"/>
          </w:tcPr>
          <w:p w14:paraId="56B63D35" w14:textId="77777777" w:rsidR="00F1465E" w:rsidRPr="00796972" w:rsidRDefault="00F1465E" w:rsidP="00231073">
            <w:pPr>
              <w:spacing w:before="0" w:after="0"/>
              <w:ind w:firstLine="63"/>
              <w:jc w:val="center"/>
              <w:rPr>
                <w:sz w:val="20"/>
                <w:szCs w:val="20"/>
                <w:lang w:val="hy-AM"/>
              </w:rPr>
            </w:pPr>
            <w:r>
              <w:rPr>
                <w:sz w:val="20"/>
                <w:szCs w:val="20"/>
              </w:rPr>
              <w:t xml:space="preserve">220.0 </w:t>
            </w:r>
          </w:p>
        </w:tc>
        <w:tc>
          <w:tcPr>
            <w:tcW w:w="1007" w:type="dxa"/>
            <w:tcBorders>
              <w:left w:val="nil"/>
              <w:right w:val="nil"/>
            </w:tcBorders>
            <w:vAlign w:val="center"/>
          </w:tcPr>
          <w:p w14:paraId="2856EFAD" w14:textId="77777777" w:rsidR="00F1465E" w:rsidRPr="00796972" w:rsidDel="00796972" w:rsidRDefault="00F1465E" w:rsidP="00231073">
            <w:pPr>
              <w:spacing w:before="0" w:after="0"/>
              <w:ind w:firstLine="63"/>
              <w:jc w:val="center"/>
              <w:rPr>
                <w:sz w:val="20"/>
                <w:szCs w:val="20"/>
                <w:lang w:val="hy-AM"/>
              </w:rPr>
            </w:pPr>
            <w:r>
              <w:rPr>
                <w:sz w:val="20"/>
                <w:szCs w:val="20"/>
              </w:rPr>
              <w:t>304.8</w:t>
            </w:r>
          </w:p>
        </w:tc>
        <w:tc>
          <w:tcPr>
            <w:tcW w:w="1009" w:type="dxa"/>
            <w:tcBorders>
              <w:left w:val="nil"/>
              <w:right w:val="nil"/>
            </w:tcBorders>
            <w:vAlign w:val="center"/>
          </w:tcPr>
          <w:p w14:paraId="2A358D07" w14:textId="77777777" w:rsidR="00F1465E" w:rsidRPr="00796972" w:rsidRDefault="00F1465E" w:rsidP="00231073">
            <w:pPr>
              <w:spacing w:before="0" w:after="0"/>
              <w:ind w:firstLine="63"/>
              <w:jc w:val="center"/>
              <w:rPr>
                <w:sz w:val="20"/>
                <w:szCs w:val="20"/>
                <w:lang w:val="hy-AM"/>
              </w:rPr>
            </w:pPr>
            <w:r>
              <w:rPr>
                <w:sz w:val="20"/>
                <w:szCs w:val="20"/>
              </w:rPr>
              <w:t xml:space="preserve">190.0 </w:t>
            </w:r>
          </w:p>
        </w:tc>
        <w:tc>
          <w:tcPr>
            <w:tcW w:w="1030" w:type="dxa"/>
            <w:tcBorders>
              <w:left w:val="nil"/>
              <w:right w:val="nil"/>
            </w:tcBorders>
            <w:vAlign w:val="center"/>
          </w:tcPr>
          <w:p w14:paraId="636FFC77" w14:textId="77777777" w:rsidR="00F1465E" w:rsidRPr="00796972" w:rsidRDefault="00F1465E" w:rsidP="00231073">
            <w:pPr>
              <w:spacing w:before="0" w:after="0"/>
              <w:ind w:firstLine="63"/>
              <w:jc w:val="center"/>
              <w:rPr>
                <w:sz w:val="20"/>
                <w:szCs w:val="20"/>
                <w:lang w:val="hy-AM"/>
              </w:rPr>
            </w:pPr>
            <w:r>
              <w:rPr>
                <w:sz w:val="20"/>
                <w:szCs w:val="20"/>
              </w:rPr>
              <w:t xml:space="preserve">327.9 </w:t>
            </w:r>
          </w:p>
        </w:tc>
      </w:tr>
      <w:tr w:rsidR="00F1465E" w:rsidRPr="00AC67B2" w14:paraId="0000E346" w14:textId="77777777" w:rsidTr="00231073">
        <w:trPr>
          <w:trHeight w:val="397"/>
          <w:jc w:val="center"/>
        </w:trPr>
        <w:tc>
          <w:tcPr>
            <w:tcW w:w="4918" w:type="dxa"/>
            <w:tcBorders>
              <w:left w:val="nil"/>
              <w:bottom w:val="thickThinSmallGap" w:sz="24" w:space="0" w:color="auto"/>
              <w:right w:val="nil"/>
            </w:tcBorders>
            <w:vAlign w:val="center"/>
          </w:tcPr>
          <w:p w14:paraId="47F9C9C5" w14:textId="77777777" w:rsidR="00F1465E" w:rsidRPr="00AC67B2" w:rsidRDefault="00F1465E" w:rsidP="00231073">
            <w:pPr>
              <w:spacing w:before="0" w:after="0"/>
              <w:ind w:left="367" w:firstLine="63"/>
              <w:jc w:val="left"/>
              <w:rPr>
                <w:sz w:val="20"/>
                <w:szCs w:val="20"/>
                <w:lang w:val="hy-AM"/>
              </w:rPr>
            </w:pPr>
            <w:r w:rsidRPr="00AC67B2">
              <w:rPr>
                <w:rFonts w:cs="Times Unicode"/>
                <w:sz w:val="20"/>
                <w:szCs w:val="20"/>
                <w:lang w:val="hy-AM"/>
              </w:rPr>
              <w:t>Արտաքին փոխառու զուտ միջոցներ</w:t>
            </w:r>
          </w:p>
        </w:tc>
        <w:tc>
          <w:tcPr>
            <w:tcW w:w="1468" w:type="dxa"/>
            <w:tcBorders>
              <w:left w:val="nil"/>
              <w:bottom w:val="thickThinSmallGap" w:sz="24" w:space="0" w:color="auto"/>
              <w:right w:val="double" w:sz="4" w:space="0" w:color="auto"/>
            </w:tcBorders>
            <w:vAlign w:val="center"/>
          </w:tcPr>
          <w:p w14:paraId="54BE6A06" w14:textId="77777777" w:rsidR="00F1465E" w:rsidRPr="00796972" w:rsidRDefault="00F1465E" w:rsidP="00231073">
            <w:pPr>
              <w:spacing w:before="0" w:after="0"/>
              <w:ind w:firstLine="63"/>
              <w:jc w:val="center"/>
              <w:rPr>
                <w:color w:val="FF0000"/>
                <w:sz w:val="20"/>
                <w:szCs w:val="20"/>
                <w:lang w:val="hy-AM"/>
              </w:rPr>
            </w:pPr>
            <w:r>
              <w:rPr>
                <w:sz w:val="20"/>
                <w:szCs w:val="20"/>
              </w:rPr>
              <w:t xml:space="preserve">14.5 </w:t>
            </w:r>
          </w:p>
        </w:tc>
        <w:tc>
          <w:tcPr>
            <w:tcW w:w="994" w:type="dxa"/>
            <w:tcBorders>
              <w:left w:val="double" w:sz="4" w:space="0" w:color="auto"/>
              <w:bottom w:val="thickThinSmallGap" w:sz="24" w:space="0" w:color="auto"/>
              <w:right w:val="nil"/>
            </w:tcBorders>
            <w:vAlign w:val="center"/>
          </w:tcPr>
          <w:p w14:paraId="27F651C1" w14:textId="77777777" w:rsidR="00F1465E" w:rsidRPr="00796972" w:rsidRDefault="00F1465E" w:rsidP="00231073">
            <w:pPr>
              <w:spacing w:before="0" w:after="0"/>
              <w:ind w:firstLine="63"/>
              <w:jc w:val="center"/>
              <w:rPr>
                <w:color w:val="FF0000"/>
                <w:sz w:val="20"/>
                <w:szCs w:val="20"/>
                <w:lang w:val="hy-AM"/>
              </w:rPr>
            </w:pPr>
            <w:r>
              <w:rPr>
                <w:sz w:val="20"/>
                <w:szCs w:val="20"/>
              </w:rPr>
              <w:t xml:space="preserve">156.8 </w:t>
            </w:r>
          </w:p>
        </w:tc>
        <w:tc>
          <w:tcPr>
            <w:tcW w:w="1007" w:type="dxa"/>
            <w:tcBorders>
              <w:left w:val="nil"/>
              <w:bottom w:val="thickThinSmallGap" w:sz="24" w:space="0" w:color="auto"/>
              <w:right w:val="nil"/>
            </w:tcBorders>
            <w:vAlign w:val="center"/>
          </w:tcPr>
          <w:p w14:paraId="2FAB3055" w14:textId="77777777" w:rsidR="00F1465E" w:rsidRPr="00796972" w:rsidRDefault="00F1465E" w:rsidP="00231073">
            <w:pPr>
              <w:spacing w:before="0" w:after="0"/>
              <w:ind w:firstLine="63"/>
              <w:jc w:val="center"/>
              <w:rPr>
                <w:color w:val="FF0000"/>
                <w:sz w:val="20"/>
                <w:szCs w:val="20"/>
                <w:lang w:val="hy-AM"/>
              </w:rPr>
            </w:pPr>
            <w:r>
              <w:rPr>
                <w:sz w:val="20"/>
                <w:szCs w:val="20"/>
              </w:rPr>
              <w:t>17.6</w:t>
            </w:r>
          </w:p>
        </w:tc>
        <w:tc>
          <w:tcPr>
            <w:tcW w:w="1009" w:type="dxa"/>
            <w:tcBorders>
              <w:left w:val="nil"/>
              <w:bottom w:val="thickThinSmallGap" w:sz="24" w:space="0" w:color="auto"/>
              <w:right w:val="nil"/>
            </w:tcBorders>
            <w:vAlign w:val="center"/>
          </w:tcPr>
          <w:p w14:paraId="5569F0D6" w14:textId="77777777" w:rsidR="00F1465E" w:rsidRPr="00796972" w:rsidRDefault="00F1465E" w:rsidP="00231073">
            <w:pPr>
              <w:spacing w:before="0" w:after="0"/>
              <w:ind w:firstLine="63"/>
              <w:jc w:val="center"/>
              <w:rPr>
                <w:color w:val="FF0000"/>
                <w:sz w:val="20"/>
                <w:szCs w:val="20"/>
                <w:lang w:val="hy-AM"/>
              </w:rPr>
            </w:pPr>
            <w:r>
              <w:rPr>
                <w:sz w:val="20"/>
                <w:szCs w:val="20"/>
              </w:rPr>
              <w:t xml:space="preserve">40.5 </w:t>
            </w:r>
          </w:p>
        </w:tc>
        <w:tc>
          <w:tcPr>
            <w:tcW w:w="1030" w:type="dxa"/>
            <w:tcBorders>
              <w:left w:val="nil"/>
              <w:bottom w:val="thickThinSmallGap" w:sz="24" w:space="0" w:color="auto"/>
              <w:right w:val="nil"/>
            </w:tcBorders>
            <w:vAlign w:val="center"/>
          </w:tcPr>
          <w:p w14:paraId="5C493847" w14:textId="77777777" w:rsidR="00F1465E" w:rsidRPr="00796972" w:rsidRDefault="00F1465E" w:rsidP="00231073">
            <w:pPr>
              <w:spacing w:before="0" w:after="0"/>
              <w:ind w:firstLine="63"/>
              <w:jc w:val="center"/>
              <w:rPr>
                <w:color w:val="FF0000"/>
                <w:sz w:val="20"/>
                <w:szCs w:val="20"/>
                <w:lang w:val="hy-AM"/>
              </w:rPr>
            </w:pPr>
            <w:r>
              <w:rPr>
                <w:sz w:val="20"/>
                <w:szCs w:val="20"/>
              </w:rPr>
              <w:t>(121.5)</w:t>
            </w:r>
          </w:p>
        </w:tc>
      </w:tr>
    </w:tbl>
    <w:p w14:paraId="3D1BA1FD" w14:textId="77777777" w:rsidR="00F1465E" w:rsidRDefault="00F1465E" w:rsidP="00F1465E">
      <w:pPr>
        <w:spacing w:before="0" w:after="0"/>
        <w:ind w:left="1843" w:hanging="1843"/>
        <w:rPr>
          <w:rFonts w:cs="Times Unicode"/>
          <w:b/>
          <w:sz w:val="20"/>
          <w:szCs w:val="20"/>
        </w:rPr>
      </w:pPr>
    </w:p>
    <w:p w14:paraId="68222B2B" w14:textId="77777777" w:rsidR="00F1465E" w:rsidRDefault="00F1465E" w:rsidP="00F1465E">
      <w:pPr>
        <w:ind w:left="1843" w:hanging="1843"/>
        <w:rPr>
          <w:rFonts w:cs="Times Unicode"/>
          <w:b/>
          <w:sz w:val="20"/>
          <w:szCs w:val="20"/>
        </w:rPr>
      </w:pPr>
    </w:p>
    <w:p w14:paraId="01DF0A75" w14:textId="77777777" w:rsidR="00F1465E" w:rsidRPr="007B05B7" w:rsidRDefault="00F1465E" w:rsidP="007B05B7">
      <w:pPr>
        <w:spacing w:line="276" w:lineRule="auto"/>
        <w:ind w:left="2131" w:hanging="2131"/>
        <w:rPr>
          <w:i/>
          <w:lang w:val="hy-AM"/>
        </w:rPr>
      </w:pPr>
      <w:r w:rsidRPr="007B05B7">
        <w:rPr>
          <w:rFonts w:cs="Times Unicode"/>
          <w:b/>
          <w:sz w:val="20"/>
          <w:szCs w:val="20"/>
          <w:lang w:val="hy-AM"/>
        </w:rPr>
        <w:t>Գծապատկեր</w:t>
      </w:r>
      <w:r w:rsidRPr="007B05B7">
        <w:rPr>
          <w:b/>
          <w:sz w:val="20"/>
          <w:szCs w:val="20"/>
          <w:lang w:val="hy-AM"/>
        </w:rPr>
        <w:t xml:space="preserve"> </w:t>
      </w:r>
      <w:r w:rsidRPr="007B05B7">
        <w:rPr>
          <w:b/>
          <w:sz w:val="20"/>
          <w:szCs w:val="20"/>
        </w:rPr>
        <w:t>8</w:t>
      </w:r>
      <w:r w:rsidRPr="007B05B7">
        <w:rPr>
          <w:b/>
          <w:color w:val="FF0000"/>
          <w:sz w:val="20"/>
          <w:szCs w:val="20"/>
          <w:lang w:val="hy-AM"/>
        </w:rPr>
        <w:t>.</w:t>
      </w:r>
      <w:r w:rsidRPr="007B05B7">
        <w:rPr>
          <w:color w:val="FF0000"/>
          <w:sz w:val="20"/>
          <w:szCs w:val="20"/>
          <w:lang w:val="hy-AM"/>
        </w:rPr>
        <w:t xml:space="preserve"> </w:t>
      </w:r>
      <w:r w:rsidRPr="007B05B7">
        <w:rPr>
          <w:i/>
          <w:sz w:val="20"/>
          <w:szCs w:val="20"/>
          <w:lang w:val="hy-AM"/>
        </w:rPr>
        <w:t>Ներքին և արտաքին փոխառու զուտ միջոցների հաշվին դեֆիցիտի ֆինանսավորման կառուցվածքը 2018-2023թթ</w:t>
      </w:r>
      <w:r w:rsidRPr="007B05B7">
        <w:rPr>
          <w:i/>
          <w:lang w:val="hy-AM"/>
        </w:rPr>
        <w:t>.</w:t>
      </w:r>
    </w:p>
    <w:p w14:paraId="64A0EB51" w14:textId="77777777" w:rsidR="00F1465E" w:rsidRPr="007847DA" w:rsidRDefault="00F1465E" w:rsidP="00F1465E">
      <w:pPr>
        <w:jc w:val="center"/>
        <w:rPr>
          <w:noProof/>
          <w:lang w:val="hy-AM"/>
        </w:rPr>
      </w:pPr>
    </w:p>
    <w:p w14:paraId="0C7060D7" w14:textId="77777777" w:rsidR="00F1465E" w:rsidRPr="00BC2874" w:rsidRDefault="00F1465E" w:rsidP="00F1465E">
      <w:pPr>
        <w:jc w:val="center"/>
        <w:rPr>
          <w:noProof/>
        </w:rPr>
      </w:pPr>
      <w:r>
        <w:rPr>
          <w:noProof/>
        </w:rPr>
        <w:drawing>
          <wp:inline distT="0" distB="0" distL="0" distR="0" wp14:anchorId="00F3FDAB" wp14:editId="2B573388">
            <wp:extent cx="6234430" cy="3225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234430" cy="3225800"/>
                    </a:xfrm>
                    <a:prstGeom prst="rect">
                      <a:avLst/>
                    </a:prstGeom>
                    <a:noFill/>
                  </pic:spPr>
                </pic:pic>
              </a:graphicData>
            </a:graphic>
          </wp:inline>
        </w:drawing>
      </w:r>
    </w:p>
    <w:p w14:paraId="4E3FDD7D" w14:textId="77777777" w:rsidR="00F1465E" w:rsidRPr="00AC67B2" w:rsidRDefault="00F1465E" w:rsidP="00F1465E">
      <w:pPr>
        <w:jc w:val="center"/>
        <w:rPr>
          <w:rFonts w:cs="Times Unicode"/>
          <w:color w:val="FF0000"/>
          <w:lang w:val="hy-AM"/>
        </w:rPr>
      </w:pPr>
    </w:p>
    <w:p w14:paraId="0320E5E5" w14:textId="77777777" w:rsidR="00774AC5" w:rsidRDefault="00F1465E" w:rsidP="00774AC5">
      <w:pPr>
        <w:spacing w:line="276" w:lineRule="auto"/>
        <w:ind w:firstLine="720"/>
        <w:rPr>
          <w:rFonts w:cs="Times Unicode"/>
          <w:lang w:val="hy-AM"/>
        </w:rPr>
      </w:pPr>
      <w:r w:rsidRPr="00AC67B2">
        <w:rPr>
          <w:rFonts w:cs="Times Unicode"/>
          <w:lang w:val="hy-AM"/>
        </w:rPr>
        <w:t xml:space="preserve">ՀՀ կառավարության արտաքին պարտքն աստիճանաբար ներքինով փոխարինելու դեպքում պարտքի սպասարկման ծախսերի էական աճ չի սպասվում: Ավելին, հաշվի առնելով այն, որ արտաքին աղբյուրներից ստացվող վարկային միջոցների արտոնյալությունը գնալով նվազում է, </w:t>
      </w:r>
      <w:r w:rsidRPr="00A205DB">
        <w:rPr>
          <w:rFonts w:cs="Times Unicode"/>
          <w:lang w:val="hy-AM"/>
        </w:rPr>
        <w:t>ինչպես նաև</w:t>
      </w:r>
      <w:r w:rsidRPr="00AC67B2">
        <w:rPr>
          <w:rFonts w:cs="Times Unicode"/>
          <w:lang w:val="hy-AM"/>
        </w:rPr>
        <w:t xml:space="preserve"> ներքին պարտքի կազմում արդեն իսկ առկա են մինչև 30 տարի ժամկետայնությամբ պարտատոմսեր, </w:t>
      </w:r>
      <w:r w:rsidRPr="00AC67B2">
        <w:rPr>
          <w:rFonts w:cs="Times Unicode"/>
          <w:lang w:val="hy-AM"/>
        </w:rPr>
        <w:lastRenderedPageBreak/>
        <w:t xml:space="preserve">ապա ներքին պարտքի կշռի աստիճանական ավելացումը դրական է անդրադառնում </w:t>
      </w:r>
      <w:r w:rsidRPr="00A205DB">
        <w:rPr>
          <w:rFonts w:cs="Times Unicode"/>
          <w:lang w:val="hy-AM"/>
        </w:rPr>
        <w:t xml:space="preserve">նաև </w:t>
      </w:r>
      <w:r w:rsidRPr="00AC67B2">
        <w:rPr>
          <w:rFonts w:cs="Times Unicode"/>
          <w:lang w:val="hy-AM"/>
        </w:rPr>
        <w:t>վերաֆինանսավորման ռիսկի ցուցանիշի վրա: Քանի որ վերաֆինանսավորման ռիսկը գտնվում է չափավոր մակարդակում, ապա այն հնարավոր է պահպանել կառավարելիության շրջանակներում` պարտքի կառավարման տարբեր գործիքների կիրառման միջոցով:</w:t>
      </w:r>
    </w:p>
    <w:p w14:paraId="202041BC" w14:textId="77777777" w:rsidR="00774AC5" w:rsidRDefault="00774AC5" w:rsidP="00774AC5">
      <w:pPr>
        <w:spacing w:line="276" w:lineRule="auto"/>
        <w:ind w:firstLine="720"/>
        <w:rPr>
          <w:rFonts w:cs="Times Unicode"/>
          <w:lang w:val="hy-AM"/>
        </w:rPr>
      </w:pPr>
    </w:p>
    <w:p w14:paraId="10867DFA" w14:textId="77777777" w:rsidR="00F1465E" w:rsidRPr="00AD2BAF" w:rsidRDefault="00F1465E" w:rsidP="00774AC5">
      <w:pPr>
        <w:spacing w:line="276" w:lineRule="auto"/>
        <w:ind w:firstLine="720"/>
        <w:rPr>
          <w:rFonts w:cs="Times Unicode"/>
          <w:u w:val="single"/>
          <w:lang w:val="hy-AM"/>
        </w:rPr>
      </w:pPr>
      <w:r w:rsidRPr="00AD2BAF">
        <w:rPr>
          <w:rFonts w:cs="Times Unicode"/>
          <w:u w:val="single"/>
          <w:lang w:val="hy-AM"/>
        </w:rPr>
        <w:t>Ընտրված ռազմավարության ծախսերի և ռիսկերի վերլուծությունը</w:t>
      </w:r>
    </w:p>
    <w:p w14:paraId="129B9E8A" w14:textId="77777777" w:rsidR="00F1465E" w:rsidRPr="00AC67B2" w:rsidRDefault="00F1465E" w:rsidP="00774AC5">
      <w:pPr>
        <w:spacing w:line="276" w:lineRule="auto"/>
        <w:ind w:firstLine="720"/>
        <w:rPr>
          <w:rFonts w:cs="Times Unicode"/>
          <w:b/>
          <w:lang w:val="hy-AM"/>
        </w:rPr>
      </w:pPr>
      <w:r w:rsidRPr="00AC67B2">
        <w:rPr>
          <w:rFonts w:cs="Times Unicode"/>
          <w:lang w:val="hy-AM"/>
        </w:rPr>
        <w:t xml:space="preserve">Կանխատեսված մակրոտնտեսական միջավայրի պայմաններում ՀՀ կառավարության պարտքի ծախսի </w:t>
      </w:r>
      <w:r w:rsidRPr="00DC187F">
        <w:rPr>
          <w:rFonts w:cs="Times Unicode"/>
          <w:lang w:val="hy-AM"/>
        </w:rPr>
        <w:t>ցուցանիշներ</w:t>
      </w:r>
      <w:r w:rsidRPr="00A205DB">
        <w:rPr>
          <w:rFonts w:cs="Times Unicode"/>
          <w:lang w:val="hy-AM"/>
        </w:rPr>
        <w:t>ն</w:t>
      </w:r>
      <w:r w:rsidRPr="00DC187F">
        <w:rPr>
          <w:rFonts w:cs="Times Unicode"/>
          <w:lang w:val="hy-AM"/>
        </w:rPr>
        <w:t xml:space="preserve"> էապես չեն փոխվի կանխատեսվող</w:t>
      </w:r>
      <w:r w:rsidRPr="00AC67B2">
        <w:rPr>
          <w:rFonts w:cs="Times Unicode"/>
          <w:lang w:val="hy-AM"/>
        </w:rPr>
        <w:t xml:space="preserve"> ժամանակա</w:t>
      </w:r>
      <w:r w:rsidRPr="00AC67B2">
        <w:rPr>
          <w:rFonts w:cs="Times Unicode"/>
          <w:lang w:val="hy-AM"/>
        </w:rPr>
        <w:softHyphen/>
        <w:t>հատ</w:t>
      </w:r>
      <w:r w:rsidRPr="00AC67B2">
        <w:rPr>
          <w:rFonts w:cs="Times Unicode"/>
          <w:lang w:val="hy-AM"/>
        </w:rPr>
        <w:softHyphen/>
        <w:t>վածում:</w:t>
      </w:r>
    </w:p>
    <w:p w14:paraId="771DC8E1" w14:textId="77777777" w:rsidR="00F1465E" w:rsidRDefault="00F1465E" w:rsidP="00F1465E">
      <w:pPr>
        <w:ind w:firstLine="720"/>
        <w:rPr>
          <w:rFonts w:cs="Times Unicode"/>
          <w:sz w:val="20"/>
          <w:szCs w:val="20"/>
          <w:lang w:val="hy-AM"/>
        </w:rPr>
      </w:pPr>
    </w:p>
    <w:p w14:paraId="4CB05B25" w14:textId="77777777" w:rsidR="00F1465E" w:rsidRPr="00774AC5" w:rsidRDefault="00F1465E" w:rsidP="00F1465E">
      <w:pPr>
        <w:rPr>
          <w:rFonts w:cs="Times Unicode"/>
          <w:i/>
          <w:sz w:val="20"/>
          <w:szCs w:val="20"/>
          <w:lang w:val="hy-AM"/>
        </w:rPr>
      </w:pPr>
      <w:r w:rsidRPr="00774AC5">
        <w:rPr>
          <w:rFonts w:cs="Times Unicode"/>
          <w:b/>
          <w:sz w:val="20"/>
          <w:szCs w:val="20"/>
          <w:lang w:val="hy-AM"/>
        </w:rPr>
        <w:t xml:space="preserve">Աղյուսակ </w:t>
      </w:r>
      <w:r w:rsidR="00774AC5" w:rsidRPr="00BE7F99">
        <w:rPr>
          <w:rFonts w:cs="Times Unicode"/>
          <w:b/>
          <w:sz w:val="20"/>
          <w:szCs w:val="20"/>
          <w:lang w:val="hy-AM"/>
        </w:rPr>
        <w:t>1.</w:t>
      </w:r>
      <w:r w:rsidRPr="00774AC5">
        <w:rPr>
          <w:rFonts w:cs="Times Unicode"/>
          <w:b/>
          <w:sz w:val="20"/>
          <w:szCs w:val="20"/>
          <w:lang w:val="hy-AM"/>
        </w:rPr>
        <w:t>6</w:t>
      </w:r>
      <w:r w:rsidRPr="00774AC5">
        <w:rPr>
          <w:sz w:val="20"/>
          <w:szCs w:val="20"/>
          <w:lang w:val="hy-AM"/>
        </w:rPr>
        <w:t xml:space="preserve"> </w:t>
      </w:r>
      <w:r w:rsidRPr="00774AC5">
        <w:rPr>
          <w:rFonts w:cs="Times Unicode"/>
          <w:i/>
          <w:sz w:val="20"/>
          <w:szCs w:val="20"/>
          <w:lang w:val="hy-AM"/>
        </w:rPr>
        <w:t>ՀՀ</w:t>
      </w:r>
      <w:r w:rsidRPr="00774AC5">
        <w:rPr>
          <w:i/>
          <w:sz w:val="20"/>
          <w:szCs w:val="20"/>
          <w:lang w:val="hy-AM"/>
        </w:rPr>
        <w:t xml:space="preserve"> </w:t>
      </w:r>
      <w:r w:rsidRPr="00774AC5">
        <w:rPr>
          <w:rFonts w:cs="Times Unicode"/>
          <w:i/>
          <w:sz w:val="20"/>
          <w:szCs w:val="20"/>
          <w:lang w:val="hy-AM"/>
        </w:rPr>
        <w:t>կառավարության</w:t>
      </w:r>
      <w:r w:rsidRPr="00774AC5">
        <w:rPr>
          <w:i/>
          <w:sz w:val="20"/>
          <w:szCs w:val="20"/>
          <w:lang w:val="hy-AM"/>
        </w:rPr>
        <w:t xml:space="preserve"> </w:t>
      </w:r>
      <w:r w:rsidRPr="00774AC5">
        <w:rPr>
          <w:rFonts w:cs="Times Unicode"/>
          <w:i/>
          <w:sz w:val="20"/>
          <w:szCs w:val="20"/>
          <w:lang w:val="hy-AM"/>
        </w:rPr>
        <w:t>պարտքի պորտֆելի ծախսերի ցուցանիշների կանխատեսումները</w:t>
      </w:r>
    </w:p>
    <w:p w14:paraId="24A57A94" w14:textId="77777777" w:rsidR="00F1465E" w:rsidRPr="00AC67B2" w:rsidRDefault="00F1465E" w:rsidP="00F1465E">
      <w:pPr>
        <w:ind w:firstLine="720"/>
        <w:rPr>
          <w:rFonts w:cs="Times Unicode"/>
          <w:sz w:val="20"/>
          <w:szCs w:val="20"/>
          <w:lang w:val="hy-A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1"/>
        <w:gridCol w:w="1427"/>
        <w:gridCol w:w="1399"/>
        <w:gridCol w:w="942"/>
        <w:gridCol w:w="928"/>
        <w:gridCol w:w="1401"/>
      </w:tblGrid>
      <w:tr w:rsidR="00F1465E" w:rsidRPr="00577328" w14:paraId="3E2A8439" w14:textId="77777777" w:rsidTr="00231073">
        <w:trPr>
          <w:trHeight w:val="771"/>
          <w:tblHeader/>
          <w:jc w:val="center"/>
        </w:trPr>
        <w:tc>
          <w:tcPr>
            <w:tcW w:w="4393" w:type="dxa"/>
            <w:tcBorders>
              <w:top w:val="thinThickThinSmallGap" w:sz="24" w:space="0" w:color="auto"/>
              <w:left w:val="nil"/>
              <w:bottom w:val="thinThickSmallGap" w:sz="24" w:space="0" w:color="auto"/>
              <w:right w:val="nil"/>
            </w:tcBorders>
            <w:shd w:val="clear" w:color="auto" w:fill="0B70B5"/>
          </w:tcPr>
          <w:p w14:paraId="7B5C34F6" w14:textId="77777777" w:rsidR="00F1465E" w:rsidRPr="00C35116" w:rsidRDefault="00F1465E" w:rsidP="00231073">
            <w:pPr>
              <w:spacing w:before="0" w:after="0" w:line="360" w:lineRule="auto"/>
              <w:ind w:firstLine="0"/>
              <w:rPr>
                <w:color w:val="FFFFFF" w:themeColor="background1"/>
                <w:sz w:val="20"/>
                <w:szCs w:val="20"/>
                <w:lang w:val="hy-AM"/>
              </w:rPr>
            </w:pPr>
          </w:p>
        </w:tc>
        <w:tc>
          <w:tcPr>
            <w:tcW w:w="1435" w:type="dxa"/>
            <w:tcBorders>
              <w:top w:val="thinThickThinSmallGap" w:sz="24" w:space="0" w:color="auto"/>
              <w:left w:val="nil"/>
              <w:bottom w:val="thinThickSmallGap" w:sz="24" w:space="0" w:color="auto"/>
              <w:right w:val="double" w:sz="4" w:space="0" w:color="auto"/>
            </w:tcBorders>
            <w:shd w:val="clear" w:color="auto" w:fill="0B70B5"/>
            <w:vAlign w:val="center"/>
          </w:tcPr>
          <w:p w14:paraId="1B68C039"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պետբյուջեի ծրագիր</w:t>
            </w:r>
          </w:p>
        </w:tc>
        <w:tc>
          <w:tcPr>
            <w:tcW w:w="1435" w:type="dxa"/>
            <w:tcBorders>
              <w:top w:val="thinThickThinSmallGap" w:sz="24" w:space="0" w:color="auto"/>
              <w:left w:val="double" w:sz="4" w:space="0" w:color="auto"/>
              <w:bottom w:val="thinThickSmallGap" w:sz="24" w:space="0" w:color="auto"/>
              <w:right w:val="nil"/>
            </w:tcBorders>
            <w:shd w:val="clear" w:color="auto" w:fill="0B70B5"/>
            <w:vAlign w:val="center"/>
          </w:tcPr>
          <w:p w14:paraId="1CA3121E"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50" w:type="dxa"/>
            <w:tcBorders>
              <w:top w:val="thinThickThinSmallGap" w:sz="24" w:space="0" w:color="auto"/>
              <w:left w:val="nil"/>
              <w:bottom w:val="thinThickSmallGap" w:sz="24" w:space="0" w:color="auto"/>
              <w:right w:val="nil"/>
            </w:tcBorders>
            <w:shd w:val="clear" w:color="auto" w:fill="0B70B5"/>
            <w:vAlign w:val="center"/>
          </w:tcPr>
          <w:p w14:paraId="36FAC059"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33" w:type="dxa"/>
            <w:tcBorders>
              <w:top w:val="thinThickThinSmallGap" w:sz="24" w:space="0" w:color="auto"/>
              <w:left w:val="nil"/>
              <w:bottom w:val="thinThickSmallGap" w:sz="24" w:space="0" w:color="auto"/>
              <w:right w:val="nil"/>
            </w:tcBorders>
            <w:shd w:val="clear" w:color="auto" w:fill="0B70B5"/>
            <w:vAlign w:val="center"/>
          </w:tcPr>
          <w:p w14:paraId="4CB1D9B1"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438" w:type="dxa"/>
            <w:tcBorders>
              <w:top w:val="thinThickThinSmallGap" w:sz="24" w:space="0" w:color="auto"/>
              <w:left w:val="nil"/>
              <w:bottom w:val="thinThickSmallGap" w:sz="24" w:space="0" w:color="auto"/>
              <w:right w:val="nil"/>
            </w:tcBorders>
            <w:shd w:val="clear" w:color="auto" w:fill="0B70B5"/>
            <w:vAlign w:val="center"/>
          </w:tcPr>
          <w:p w14:paraId="5DF94074"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AC67B2" w14:paraId="7A274277" w14:textId="77777777" w:rsidTr="00231073">
        <w:trPr>
          <w:trHeight w:val="702"/>
          <w:jc w:val="center"/>
        </w:trPr>
        <w:tc>
          <w:tcPr>
            <w:tcW w:w="4393" w:type="dxa"/>
            <w:tcBorders>
              <w:left w:val="nil"/>
              <w:right w:val="nil"/>
            </w:tcBorders>
            <w:vAlign w:val="center"/>
          </w:tcPr>
          <w:p w14:paraId="001F4FA2" w14:textId="77777777" w:rsidR="00F1465E" w:rsidRPr="00AC67B2" w:rsidRDefault="00F1465E" w:rsidP="00231073">
            <w:pPr>
              <w:spacing w:before="0" w:after="0"/>
              <w:ind w:firstLine="0"/>
              <w:jc w:val="left"/>
              <w:rPr>
                <w:rFonts w:cs="Times Unicode"/>
                <w:sz w:val="20"/>
                <w:szCs w:val="20"/>
                <w:lang w:val="hy-AM"/>
              </w:rPr>
            </w:pPr>
            <w:r w:rsidRPr="00AC67B2">
              <w:rPr>
                <w:rFonts w:cs="Times Unicode"/>
                <w:sz w:val="20"/>
                <w:szCs w:val="20"/>
                <w:lang w:val="hy-AM"/>
              </w:rPr>
              <w:t>ՀՀ կառավարության պարտքի պորտֆելի միջին տոկոսադրույքը (%)</w:t>
            </w:r>
          </w:p>
        </w:tc>
        <w:tc>
          <w:tcPr>
            <w:tcW w:w="1435" w:type="dxa"/>
            <w:tcBorders>
              <w:left w:val="nil"/>
              <w:right w:val="double" w:sz="4" w:space="0" w:color="auto"/>
            </w:tcBorders>
            <w:vAlign w:val="center"/>
          </w:tcPr>
          <w:p w14:paraId="4C3EB3EC" w14:textId="77777777" w:rsidR="00F1465E" w:rsidRPr="00A6640F" w:rsidRDefault="00F1465E" w:rsidP="00231073">
            <w:pPr>
              <w:spacing w:before="0" w:after="0"/>
              <w:ind w:firstLine="0"/>
              <w:jc w:val="center"/>
              <w:rPr>
                <w:sz w:val="20"/>
                <w:szCs w:val="20"/>
                <w:lang w:val="hy-AM"/>
              </w:rPr>
            </w:pPr>
            <w:r w:rsidRPr="00A6640F">
              <w:rPr>
                <w:sz w:val="20"/>
                <w:szCs w:val="20"/>
              </w:rPr>
              <w:t xml:space="preserve">5.1 </w:t>
            </w:r>
          </w:p>
        </w:tc>
        <w:tc>
          <w:tcPr>
            <w:tcW w:w="1435" w:type="dxa"/>
            <w:tcBorders>
              <w:left w:val="double" w:sz="4" w:space="0" w:color="auto"/>
              <w:right w:val="nil"/>
            </w:tcBorders>
            <w:vAlign w:val="center"/>
          </w:tcPr>
          <w:p w14:paraId="1C8935D0" w14:textId="77777777" w:rsidR="00F1465E" w:rsidRPr="00A6640F" w:rsidRDefault="00F1465E" w:rsidP="00231073">
            <w:pPr>
              <w:spacing w:before="0" w:after="0"/>
              <w:ind w:firstLine="0"/>
              <w:jc w:val="center"/>
              <w:rPr>
                <w:sz w:val="20"/>
                <w:szCs w:val="20"/>
                <w:lang w:val="hy-AM"/>
              </w:rPr>
            </w:pPr>
            <w:r w:rsidRPr="00A6640F">
              <w:rPr>
                <w:sz w:val="20"/>
                <w:szCs w:val="20"/>
              </w:rPr>
              <w:t xml:space="preserve">5.1 </w:t>
            </w:r>
          </w:p>
        </w:tc>
        <w:tc>
          <w:tcPr>
            <w:tcW w:w="950" w:type="dxa"/>
            <w:tcBorders>
              <w:left w:val="nil"/>
              <w:right w:val="nil"/>
            </w:tcBorders>
            <w:vAlign w:val="center"/>
          </w:tcPr>
          <w:p w14:paraId="56E21C97" w14:textId="77777777" w:rsidR="00F1465E" w:rsidRPr="00A6640F" w:rsidRDefault="00F1465E" w:rsidP="00231073">
            <w:pPr>
              <w:spacing w:before="0" w:after="0"/>
              <w:ind w:firstLine="0"/>
              <w:jc w:val="center"/>
              <w:rPr>
                <w:sz w:val="20"/>
                <w:szCs w:val="20"/>
                <w:lang w:val="hy-AM"/>
              </w:rPr>
            </w:pPr>
            <w:r w:rsidRPr="00A6640F">
              <w:rPr>
                <w:sz w:val="20"/>
                <w:szCs w:val="20"/>
              </w:rPr>
              <w:t xml:space="preserve">4.9 </w:t>
            </w:r>
          </w:p>
        </w:tc>
        <w:tc>
          <w:tcPr>
            <w:tcW w:w="933" w:type="dxa"/>
            <w:tcBorders>
              <w:left w:val="nil"/>
              <w:right w:val="nil"/>
            </w:tcBorders>
            <w:vAlign w:val="center"/>
          </w:tcPr>
          <w:p w14:paraId="3B6FB741" w14:textId="77777777" w:rsidR="00F1465E" w:rsidRPr="00A6640F" w:rsidRDefault="00F1465E" w:rsidP="00231073">
            <w:pPr>
              <w:spacing w:before="0" w:after="0"/>
              <w:ind w:firstLine="0"/>
              <w:jc w:val="center"/>
              <w:rPr>
                <w:sz w:val="20"/>
                <w:szCs w:val="20"/>
                <w:lang w:val="hy-AM"/>
              </w:rPr>
            </w:pPr>
            <w:r w:rsidRPr="00A6640F">
              <w:rPr>
                <w:sz w:val="20"/>
                <w:szCs w:val="20"/>
              </w:rPr>
              <w:t xml:space="preserve">5.1 </w:t>
            </w:r>
          </w:p>
        </w:tc>
        <w:tc>
          <w:tcPr>
            <w:tcW w:w="1438" w:type="dxa"/>
            <w:tcBorders>
              <w:left w:val="nil"/>
              <w:right w:val="nil"/>
            </w:tcBorders>
            <w:vAlign w:val="center"/>
          </w:tcPr>
          <w:p w14:paraId="47D60FC1" w14:textId="77777777" w:rsidR="00F1465E" w:rsidRPr="00A6640F" w:rsidRDefault="00F1465E" w:rsidP="00231073">
            <w:pPr>
              <w:spacing w:before="0" w:after="0"/>
              <w:ind w:firstLine="0"/>
              <w:jc w:val="center"/>
              <w:rPr>
                <w:sz w:val="20"/>
                <w:szCs w:val="20"/>
                <w:lang w:val="hy-AM"/>
              </w:rPr>
            </w:pPr>
            <w:r w:rsidRPr="00A6640F">
              <w:rPr>
                <w:sz w:val="20"/>
                <w:szCs w:val="20"/>
              </w:rPr>
              <w:t xml:space="preserve">5.3 </w:t>
            </w:r>
          </w:p>
        </w:tc>
      </w:tr>
      <w:tr w:rsidR="00F1465E" w:rsidRPr="00AC67B2" w14:paraId="0CE83191" w14:textId="77777777" w:rsidTr="00231073">
        <w:trPr>
          <w:trHeight w:val="401"/>
          <w:jc w:val="center"/>
        </w:trPr>
        <w:tc>
          <w:tcPr>
            <w:tcW w:w="4393" w:type="dxa"/>
            <w:tcBorders>
              <w:left w:val="nil"/>
              <w:right w:val="nil"/>
            </w:tcBorders>
            <w:vAlign w:val="center"/>
          </w:tcPr>
          <w:p w14:paraId="4F2DC9E3" w14:textId="77777777" w:rsidR="00F1465E" w:rsidRPr="00AC67B2" w:rsidRDefault="00F1465E" w:rsidP="00231073">
            <w:pPr>
              <w:spacing w:before="0" w:after="0"/>
              <w:ind w:firstLine="0"/>
              <w:jc w:val="left"/>
              <w:rPr>
                <w:rFonts w:cs="Times Unicode"/>
                <w:sz w:val="20"/>
                <w:szCs w:val="20"/>
                <w:lang w:val="hy-AM"/>
              </w:rPr>
            </w:pPr>
            <w:r w:rsidRPr="00AC67B2">
              <w:rPr>
                <w:rFonts w:cs="Times Unicode"/>
                <w:sz w:val="20"/>
                <w:szCs w:val="20"/>
                <w:lang w:val="hy-AM"/>
              </w:rPr>
              <w:t>Տոկոսավճար</w:t>
            </w:r>
            <w:r w:rsidRPr="00AC67B2">
              <w:rPr>
                <w:sz w:val="20"/>
                <w:szCs w:val="20"/>
                <w:lang w:val="hy-AM"/>
              </w:rPr>
              <w:t>/պետական բյուջեի եկամուտներ(%)</w:t>
            </w:r>
          </w:p>
        </w:tc>
        <w:tc>
          <w:tcPr>
            <w:tcW w:w="1435" w:type="dxa"/>
            <w:tcBorders>
              <w:left w:val="nil"/>
              <w:right w:val="double" w:sz="4" w:space="0" w:color="auto"/>
            </w:tcBorders>
            <w:vAlign w:val="center"/>
          </w:tcPr>
          <w:p w14:paraId="2AA6F0A5" w14:textId="77777777" w:rsidR="00F1465E" w:rsidRPr="00A6640F" w:rsidRDefault="00F1465E" w:rsidP="00231073">
            <w:pPr>
              <w:spacing w:before="0" w:after="0"/>
              <w:ind w:firstLine="0"/>
              <w:jc w:val="center"/>
              <w:rPr>
                <w:sz w:val="20"/>
                <w:szCs w:val="20"/>
                <w:lang w:val="hy-AM"/>
              </w:rPr>
            </w:pPr>
            <w:r w:rsidRPr="00A6640F">
              <w:rPr>
                <w:sz w:val="20"/>
                <w:szCs w:val="20"/>
              </w:rPr>
              <w:t xml:space="preserve">9.9 </w:t>
            </w:r>
          </w:p>
        </w:tc>
        <w:tc>
          <w:tcPr>
            <w:tcW w:w="1435" w:type="dxa"/>
            <w:tcBorders>
              <w:left w:val="double" w:sz="4" w:space="0" w:color="auto"/>
              <w:right w:val="nil"/>
            </w:tcBorders>
            <w:vAlign w:val="center"/>
          </w:tcPr>
          <w:p w14:paraId="616AA1FC" w14:textId="77777777" w:rsidR="00F1465E" w:rsidRPr="00A6640F" w:rsidRDefault="00F1465E" w:rsidP="00231073">
            <w:pPr>
              <w:spacing w:before="0" w:after="0"/>
              <w:ind w:firstLine="0"/>
              <w:jc w:val="center"/>
              <w:rPr>
                <w:sz w:val="20"/>
                <w:szCs w:val="20"/>
                <w:lang w:val="hy-AM"/>
              </w:rPr>
            </w:pPr>
            <w:r w:rsidRPr="00A6640F">
              <w:rPr>
                <w:sz w:val="20"/>
                <w:szCs w:val="20"/>
              </w:rPr>
              <w:t xml:space="preserve">11.2 </w:t>
            </w:r>
          </w:p>
        </w:tc>
        <w:tc>
          <w:tcPr>
            <w:tcW w:w="950" w:type="dxa"/>
            <w:tcBorders>
              <w:left w:val="nil"/>
              <w:right w:val="nil"/>
            </w:tcBorders>
            <w:vAlign w:val="center"/>
          </w:tcPr>
          <w:p w14:paraId="52D53BA7" w14:textId="77777777" w:rsidR="00F1465E" w:rsidRPr="00A6640F" w:rsidRDefault="00F1465E" w:rsidP="00231073">
            <w:pPr>
              <w:spacing w:before="0" w:after="0"/>
              <w:ind w:firstLine="0"/>
              <w:jc w:val="center"/>
              <w:rPr>
                <w:sz w:val="20"/>
                <w:szCs w:val="20"/>
                <w:lang w:val="hy-AM"/>
              </w:rPr>
            </w:pPr>
            <w:r w:rsidRPr="00A6640F">
              <w:rPr>
                <w:sz w:val="20"/>
                <w:szCs w:val="20"/>
              </w:rPr>
              <w:t xml:space="preserve">11.1 </w:t>
            </w:r>
          </w:p>
        </w:tc>
        <w:tc>
          <w:tcPr>
            <w:tcW w:w="933" w:type="dxa"/>
            <w:tcBorders>
              <w:left w:val="nil"/>
              <w:right w:val="nil"/>
            </w:tcBorders>
            <w:vAlign w:val="center"/>
          </w:tcPr>
          <w:p w14:paraId="595E6037" w14:textId="77777777" w:rsidR="00F1465E" w:rsidRPr="00A6640F" w:rsidRDefault="00F1465E" w:rsidP="00231073">
            <w:pPr>
              <w:spacing w:before="0" w:after="0"/>
              <w:ind w:firstLine="0"/>
              <w:jc w:val="center"/>
              <w:rPr>
                <w:sz w:val="20"/>
                <w:szCs w:val="20"/>
                <w:lang w:val="hy-AM"/>
              </w:rPr>
            </w:pPr>
            <w:r w:rsidRPr="00A6640F">
              <w:rPr>
                <w:sz w:val="20"/>
                <w:szCs w:val="20"/>
              </w:rPr>
              <w:t xml:space="preserve">11.2 </w:t>
            </w:r>
          </w:p>
        </w:tc>
        <w:tc>
          <w:tcPr>
            <w:tcW w:w="1438" w:type="dxa"/>
            <w:tcBorders>
              <w:left w:val="nil"/>
              <w:right w:val="nil"/>
            </w:tcBorders>
            <w:vAlign w:val="center"/>
          </w:tcPr>
          <w:p w14:paraId="149E0310" w14:textId="77777777" w:rsidR="00F1465E" w:rsidRPr="00A6640F" w:rsidRDefault="00F1465E" w:rsidP="00231073">
            <w:pPr>
              <w:spacing w:before="0" w:after="0"/>
              <w:ind w:firstLine="0"/>
              <w:jc w:val="center"/>
              <w:rPr>
                <w:sz w:val="20"/>
                <w:szCs w:val="20"/>
                <w:lang w:val="hy-AM"/>
              </w:rPr>
            </w:pPr>
            <w:r w:rsidRPr="00A6640F">
              <w:rPr>
                <w:sz w:val="20"/>
                <w:szCs w:val="20"/>
              </w:rPr>
              <w:t xml:space="preserve">11.4 </w:t>
            </w:r>
          </w:p>
        </w:tc>
      </w:tr>
      <w:tr w:rsidR="00F1465E" w:rsidRPr="00AC67B2" w14:paraId="0AED752C" w14:textId="77777777" w:rsidTr="00231073">
        <w:trPr>
          <w:trHeight w:val="408"/>
          <w:jc w:val="center"/>
        </w:trPr>
        <w:tc>
          <w:tcPr>
            <w:tcW w:w="4393" w:type="dxa"/>
            <w:tcBorders>
              <w:left w:val="nil"/>
              <w:right w:val="nil"/>
            </w:tcBorders>
            <w:vAlign w:val="center"/>
          </w:tcPr>
          <w:p w14:paraId="42C2365B" w14:textId="77777777" w:rsidR="00F1465E" w:rsidRPr="00AC67B2" w:rsidRDefault="00F1465E" w:rsidP="00231073">
            <w:pPr>
              <w:spacing w:before="0" w:after="0"/>
              <w:ind w:firstLine="0"/>
              <w:jc w:val="left"/>
              <w:rPr>
                <w:rFonts w:cs="Times Unicode"/>
                <w:sz w:val="20"/>
                <w:szCs w:val="20"/>
                <w:lang w:val="hy-AM"/>
              </w:rPr>
            </w:pPr>
            <w:r w:rsidRPr="00AC67B2">
              <w:rPr>
                <w:rFonts w:cs="Times Unicode"/>
                <w:sz w:val="20"/>
                <w:szCs w:val="20"/>
                <w:lang w:val="hy-AM"/>
              </w:rPr>
              <w:t>Տոկոսավճար</w:t>
            </w:r>
            <w:r w:rsidRPr="00AC67B2">
              <w:rPr>
                <w:sz w:val="20"/>
                <w:szCs w:val="20"/>
                <w:lang w:val="hy-AM"/>
              </w:rPr>
              <w:t>/</w:t>
            </w:r>
            <w:r w:rsidRPr="00AC67B2">
              <w:rPr>
                <w:rFonts w:cs="Times Unicode"/>
                <w:sz w:val="20"/>
                <w:szCs w:val="20"/>
                <w:lang w:val="hy-AM"/>
              </w:rPr>
              <w:t>պետական</w:t>
            </w:r>
            <w:r w:rsidRPr="00AC67B2">
              <w:rPr>
                <w:sz w:val="20"/>
                <w:szCs w:val="20"/>
                <w:lang w:val="hy-AM"/>
              </w:rPr>
              <w:t xml:space="preserve"> </w:t>
            </w:r>
            <w:r w:rsidRPr="00AC67B2">
              <w:rPr>
                <w:rFonts w:cs="Times Unicode"/>
                <w:sz w:val="20"/>
                <w:szCs w:val="20"/>
                <w:lang w:val="hy-AM"/>
              </w:rPr>
              <w:t>բյուջեի</w:t>
            </w:r>
            <w:r w:rsidRPr="00AC67B2">
              <w:rPr>
                <w:sz w:val="20"/>
                <w:szCs w:val="20"/>
                <w:lang w:val="hy-AM"/>
              </w:rPr>
              <w:t xml:space="preserve"> </w:t>
            </w:r>
            <w:r w:rsidRPr="00AC67B2">
              <w:rPr>
                <w:rFonts w:cs="Times Unicode"/>
                <w:sz w:val="20"/>
                <w:szCs w:val="20"/>
                <w:lang w:val="hy-AM"/>
              </w:rPr>
              <w:t>ծախսեր</w:t>
            </w:r>
            <w:r w:rsidRPr="00AC67B2">
              <w:rPr>
                <w:sz w:val="20"/>
                <w:szCs w:val="20"/>
                <w:lang w:val="hy-AM"/>
              </w:rPr>
              <w:t xml:space="preserve"> (%)</w:t>
            </w:r>
          </w:p>
        </w:tc>
        <w:tc>
          <w:tcPr>
            <w:tcW w:w="1435" w:type="dxa"/>
            <w:tcBorders>
              <w:left w:val="nil"/>
              <w:right w:val="double" w:sz="4" w:space="0" w:color="auto"/>
            </w:tcBorders>
            <w:vAlign w:val="center"/>
          </w:tcPr>
          <w:p w14:paraId="2FAC211E" w14:textId="77777777" w:rsidR="00F1465E" w:rsidRPr="00A6640F" w:rsidRDefault="00F1465E" w:rsidP="00231073">
            <w:pPr>
              <w:spacing w:before="0" w:after="0"/>
              <w:ind w:firstLine="0"/>
              <w:jc w:val="center"/>
              <w:rPr>
                <w:sz w:val="20"/>
                <w:szCs w:val="20"/>
                <w:lang w:val="hy-AM"/>
              </w:rPr>
            </w:pPr>
            <w:r w:rsidRPr="00A6640F">
              <w:rPr>
                <w:sz w:val="20"/>
                <w:szCs w:val="20"/>
              </w:rPr>
              <w:t xml:space="preserve">9.1 </w:t>
            </w:r>
          </w:p>
        </w:tc>
        <w:tc>
          <w:tcPr>
            <w:tcW w:w="1435" w:type="dxa"/>
            <w:tcBorders>
              <w:left w:val="double" w:sz="4" w:space="0" w:color="auto"/>
              <w:right w:val="nil"/>
            </w:tcBorders>
            <w:vAlign w:val="center"/>
          </w:tcPr>
          <w:p w14:paraId="797F507D" w14:textId="77777777" w:rsidR="00F1465E" w:rsidRPr="00A6640F" w:rsidRDefault="00F1465E" w:rsidP="00231073">
            <w:pPr>
              <w:spacing w:before="0" w:after="0"/>
              <w:ind w:firstLine="0"/>
              <w:jc w:val="center"/>
              <w:rPr>
                <w:sz w:val="20"/>
                <w:szCs w:val="20"/>
                <w:lang w:val="hy-AM"/>
              </w:rPr>
            </w:pPr>
            <w:r w:rsidRPr="00A6640F">
              <w:rPr>
                <w:sz w:val="20"/>
                <w:szCs w:val="20"/>
              </w:rPr>
              <w:t xml:space="preserve">9.0 </w:t>
            </w:r>
          </w:p>
        </w:tc>
        <w:tc>
          <w:tcPr>
            <w:tcW w:w="950" w:type="dxa"/>
            <w:tcBorders>
              <w:left w:val="nil"/>
              <w:right w:val="nil"/>
            </w:tcBorders>
            <w:vAlign w:val="center"/>
          </w:tcPr>
          <w:p w14:paraId="243FCE63" w14:textId="77777777" w:rsidR="00F1465E" w:rsidRPr="00A6640F" w:rsidRDefault="00F1465E" w:rsidP="00231073">
            <w:pPr>
              <w:spacing w:before="0" w:after="0"/>
              <w:ind w:firstLine="0"/>
              <w:jc w:val="center"/>
              <w:rPr>
                <w:sz w:val="20"/>
                <w:szCs w:val="20"/>
                <w:lang w:val="hy-AM"/>
              </w:rPr>
            </w:pPr>
            <w:r w:rsidRPr="00A6640F">
              <w:rPr>
                <w:sz w:val="20"/>
                <w:szCs w:val="20"/>
              </w:rPr>
              <w:t xml:space="preserve">9.9 </w:t>
            </w:r>
          </w:p>
        </w:tc>
        <w:tc>
          <w:tcPr>
            <w:tcW w:w="933" w:type="dxa"/>
            <w:tcBorders>
              <w:left w:val="nil"/>
              <w:right w:val="nil"/>
            </w:tcBorders>
            <w:vAlign w:val="center"/>
          </w:tcPr>
          <w:p w14:paraId="3EDD72EC" w14:textId="77777777" w:rsidR="00F1465E" w:rsidRPr="00A6640F" w:rsidRDefault="00F1465E" w:rsidP="00231073">
            <w:pPr>
              <w:spacing w:before="0" w:after="0"/>
              <w:ind w:firstLine="0"/>
              <w:jc w:val="center"/>
              <w:rPr>
                <w:sz w:val="20"/>
                <w:szCs w:val="20"/>
                <w:lang w:val="hy-AM"/>
              </w:rPr>
            </w:pPr>
            <w:r w:rsidRPr="00A6640F">
              <w:rPr>
                <w:sz w:val="20"/>
                <w:szCs w:val="20"/>
              </w:rPr>
              <w:t xml:space="preserve">10.4 </w:t>
            </w:r>
          </w:p>
        </w:tc>
        <w:tc>
          <w:tcPr>
            <w:tcW w:w="1438" w:type="dxa"/>
            <w:tcBorders>
              <w:left w:val="nil"/>
              <w:right w:val="nil"/>
            </w:tcBorders>
            <w:vAlign w:val="center"/>
          </w:tcPr>
          <w:p w14:paraId="508EA219" w14:textId="77777777" w:rsidR="00F1465E" w:rsidRPr="00A6640F" w:rsidRDefault="00F1465E" w:rsidP="00231073">
            <w:pPr>
              <w:spacing w:before="0" w:after="0"/>
              <w:ind w:firstLine="0"/>
              <w:jc w:val="center"/>
              <w:rPr>
                <w:sz w:val="20"/>
                <w:szCs w:val="20"/>
                <w:lang w:val="hy-AM"/>
              </w:rPr>
            </w:pPr>
            <w:r w:rsidRPr="00A6640F">
              <w:rPr>
                <w:sz w:val="20"/>
                <w:szCs w:val="20"/>
              </w:rPr>
              <w:t xml:space="preserve">10.6 </w:t>
            </w:r>
          </w:p>
        </w:tc>
      </w:tr>
      <w:tr w:rsidR="00F1465E" w:rsidRPr="00AC67B2" w14:paraId="1A5052DE" w14:textId="77777777" w:rsidTr="00231073">
        <w:trPr>
          <w:trHeight w:val="310"/>
          <w:jc w:val="center"/>
        </w:trPr>
        <w:tc>
          <w:tcPr>
            <w:tcW w:w="4393" w:type="dxa"/>
            <w:tcBorders>
              <w:left w:val="nil"/>
              <w:right w:val="nil"/>
            </w:tcBorders>
            <w:vAlign w:val="center"/>
          </w:tcPr>
          <w:p w14:paraId="52B4D587" w14:textId="77777777" w:rsidR="00F1465E" w:rsidRPr="00AC67B2" w:rsidRDefault="00F1465E" w:rsidP="00231073">
            <w:pPr>
              <w:spacing w:before="0" w:after="0"/>
              <w:ind w:firstLine="0"/>
              <w:jc w:val="left"/>
              <w:rPr>
                <w:sz w:val="20"/>
                <w:szCs w:val="20"/>
                <w:lang w:val="hy-AM"/>
              </w:rPr>
            </w:pPr>
            <w:r w:rsidRPr="00AC67B2">
              <w:rPr>
                <w:sz w:val="20"/>
                <w:szCs w:val="20"/>
                <w:lang w:val="hy-AM"/>
              </w:rPr>
              <w:t xml:space="preserve">Տոկոսավճար/ՀՆԱ </w:t>
            </w:r>
            <w:r w:rsidRPr="00AC67B2">
              <w:rPr>
                <w:rFonts w:cs="Times Unicode"/>
                <w:sz w:val="20"/>
                <w:szCs w:val="20"/>
                <w:lang w:val="hy-AM"/>
              </w:rPr>
              <w:t>(%)</w:t>
            </w:r>
          </w:p>
        </w:tc>
        <w:tc>
          <w:tcPr>
            <w:tcW w:w="1435" w:type="dxa"/>
            <w:tcBorders>
              <w:left w:val="nil"/>
              <w:right w:val="double" w:sz="4" w:space="0" w:color="auto"/>
            </w:tcBorders>
            <w:vAlign w:val="center"/>
          </w:tcPr>
          <w:p w14:paraId="7E706CE3" w14:textId="77777777" w:rsidR="00F1465E" w:rsidRPr="00A6640F" w:rsidRDefault="00F1465E" w:rsidP="00231073">
            <w:pPr>
              <w:spacing w:before="0" w:after="0"/>
              <w:ind w:firstLine="0"/>
              <w:jc w:val="center"/>
              <w:rPr>
                <w:sz w:val="20"/>
                <w:szCs w:val="20"/>
                <w:lang w:val="hy-AM"/>
              </w:rPr>
            </w:pPr>
            <w:r w:rsidRPr="00A6640F">
              <w:rPr>
                <w:sz w:val="20"/>
                <w:szCs w:val="20"/>
              </w:rPr>
              <w:t xml:space="preserve">2.4 </w:t>
            </w:r>
          </w:p>
        </w:tc>
        <w:tc>
          <w:tcPr>
            <w:tcW w:w="1435" w:type="dxa"/>
            <w:tcBorders>
              <w:left w:val="double" w:sz="4" w:space="0" w:color="auto"/>
              <w:right w:val="nil"/>
            </w:tcBorders>
            <w:vAlign w:val="center"/>
          </w:tcPr>
          <w:p w14:paraId="3A0E404B" w14:textId="77777777" w:rsidR="00F1465E" w:rsidRPr="00A6640F" w:rsidRDefault="00F1465E" w:rsidP="00231073">
            <w:pPr>
              <w:spacing w:before="0" w:after="0"/>
              <w:ind w:firstLine="0"/>
              <w:jc w:val="center"/>
              <w:rPr>
                <w:sz w:val="20"/>
                <w:szCs w:val="20"/>
                <w:lang w:val="hy-AM"/>
              </w:rPr>
            </w:pPr>
            <w:r w:rsidRPr="00A6640F">
              <w:rPr>
                <w:sz w:val="20"/>
                <w:szCs w:val="20"/>
              </w:rPr>
              <w:t xml:space="preserve">2.6 </w:t>
            </w:r>
          </w:p>
        </w:tc>
        <w:tc>
          <w:tcPr>
            <w:tcW w:w="950" w:type="dxa"/>
            <w:tcBorders>
              <w:left w:val="nil"/>
              <w:right w:val="nil"/>
            </w:tcBorders>
            <w:vAlign w:val="center"/>
          </w:tcPr>
          <w:p w14:paraId="4FC55297" w14:textId="77777777" w:rsidR="00F1465E" w:rsidRPr="00A6640F" w:rsidRDefault="00F1465E" w:rsidP="00231073">
            <w:pPr>
              <w:spacing w:before="0" w:after="0"/>
              <w:ind w:firstLine="0"/>
              <w:jc w:val="center"/>
              <w:rPr>
                <w:sz w:val="20"/>
                <w:szCs w:val="20"/>
                <w:lang w:val="hy-AM"/>
              </w:rPr>
            </w:pPr>
            <w:r w:rsidRPr="00A6640F">
              <w:rPr>
                <w:sz w:val="20"/>
                <w:szCs w:val="20"/>
              </w:rPr>
              <w:t xml:space="preserve">2.6 </w:t>
            </w:r>
          </w:p>
        </w:tc>
        <w:tc>
          <w:tcPr>
            <w:tcW w:w="933" w:type="dxa"/>
            <w:tcBorders>
              <w:left w:val="nil"/>
              <w:right w:val="nil"/>
            </w:tcBorders>
            <w:vAlign w:val="center"/>
          </w:tcPr>
          <w:p w14:paraId="5FFE406C" w14:textId="77777777" w:rsidR="00F1465E" w:rsidRPr="00A6640F" w:rsidRDefault="00F1465E" w:rsidP="00231073">
            <w:pPr>
              <w:spacing w:before="0" w:after="0"/>
              <w:ind w:firstLine="0"/>
              <w:jc w:val="center"/>
              <w:rPr>
                <w:sz w:val="20"/>
                <w:szCs w:val="20"/>
                <w:lang w:val="hy-AM"/>
              </w:rPr>
            </w:pPr>
            <w:r w:rsidRPr="00A6640F">
              <w:rPr>
                <w:sz w:val="20"/>
                <w:szCs w:val="20"/>
              </w:rPr>
              <w:t xml:space="preserve">2.7 </w:t>
            </w:r>
          </w:p>
        </w:tc>
        <w:tc>
          <w:tcPr>
            <w:tcW w:w="1438" w:type="dxa"/>
            <w:tcBorders>
              <w:left w:val="nil"/>
              <w:right w:val="nil"/>
            </w:tcBorders>
            <w:vAlign w:val="center"/>
          </w:tcPr>
          <w:p w14:paraId="37FA59B5" w14:textId="77777777" w:rsidR="00F1465E" w:rsidRPr="00A6640F" w:rsidRDefault="00F1465E" w:rsidP="00231073">
            <w:pPr>
              <w:spacing w:before="0" w:after="0"/>
              <w:ind w:firstLine="0"/>
              <w:jc w:val="center"/>
              <w:rPr>
                <w:sz w:val="20"/>
                <w:szCs w:val="20"/>
                <w:lang w:val="hy-AM"/>
              </w:rPr>
            </w:pPr>
            <w:r w:rsidRPr="00A6640F">
              <w:rPr>
                <w:sz w:val="20"/>
                <w:szCs w:val="20"/>
              </w:rPr>
              <w:t xml:space="preserve">2.8 </w:t>
            </w:r>
          </w:p>
        </w:tc>
      </w:tr>
    </w:tbl>
    <w:p w14:paraId="1687C786" w14:textId="77777777" w:rsidR="00F1465E" w:rsidRPr="005E1F20" w:rsidRDefault="00F1465E" w:rsidP="00F1465E">
      <w:pPr>
        <w:spacing w:before="0" w:after="0" w:line="360" w:lineRule="auto"/>
        <w:ind w:firstLine="720"/>
        <w:rPr>
          <w:rFonts w:cs="Times Unicode"/>
          <w:sz w:val="12"/>
          <w:szCs w:val="12"/>
          <w:lang w:val="hy-AM"/>
        </w:rPr>
      </w:pPr>
    </w:p>
    <w:p w14:paraId="71FE0DFC" w14:textId="77777777" w:rsidR="00F1465E" w:rsidRPr="00BE7F99" w:rsidRDefault="00F1465E" w:rsidP="00774AC5">
      <w:pPr>
        <w:spacing w:line="276" w:lineRule="auto"/>
        <w:ind w:firstLine="720"/>
        <w:rPr>
          <w:rFonts w:cs="Times Unicode"/>
          <w:lang w:val="hy-AM"/>
        </w:rPr>
      </w:pPr>
      <w:r w:rsidRPr="00AC67B2">
        <w:rPr>
          <w:rFonts w:cs="Times Unicode"/>
          <w:lang w:val="hy-AM"/>
        </w:rPr>
        <w:t>Ընդհանուր առմամբ, կանխատեսվո</w:t>
      </w:r>
      <w:r w:rsidRPr="00BE7F99">
        <w:rPr>
          <w:rFonts w:cs="Times Unicode"/>
          <w:lang w:val="hy-AM"/>
        </w:rPr>
        <w:t xml:space="preserve">ւմ է, որ 2020թ. տարեվերջին </w:t>
      </w:r>
      <w:r w:rsidRPr="00AC67B2">
        <w:rPr>
          <w:rFonts w:cs="Times Unicode"/>
          <w:lang w:val="hy-AM"/>
        </w:rPr>
        <w:t>ՀՀ կառավա</w:t>
      </w:r>
      <w:r w:rsidRPr="00AC67B2">
        <w:rPr>
          <w:rFonts w:cs="Times Unicode"/>
          <w:lang w:val="hy-AM"/>
        </w:rPr>
        <w:softHyphen/>
        <w:t>րության պարտք/ՀՆԱ ցուցանիշ</w:t>
      </w:r>
      <w:r w:rsidRPr="00BE7F99">
        <w:rPr>
          <w:rFonts w:cs="Times Unicode"/>
          <w:lang w:val="hy-AM"/>
        </w:rPr>
        <w:t>ը կարձանագրի աճ, որից հետո միջնաժամկետ հատվածում</w:t>
      </w:r>
      <w:r w:rsidRPr="00AC67B2">
        <w:rPr>
          <w:rFonts w:cs="Times Unicode"/>
          <w:lang w:val="hy-AM"/>
        </w:rPr>
        <w:t xml:space="preserve"> տեղի կունենա ՀՆԱ-ի առաջանցիկ աճ պարտքի ծավալի աճի նկատմամբ՝ հանգեցնելով ՀՀ կառավա</w:t>
      </w:r>
      <w:r w:rsidRPr="00AC67B2">
        <w:rPr>
          <w:rFonts w:cs="Times Unicode"/>
          <w:lang w:val="hy-AM"/>
        </w:rPr>
        <w:softHyphen/>
        <w:t>րության պարտք/ՀՆԱ ցուցանիշի նվազմանը, որը 202</w:t>
      </w:r>
      <w:r w:rsidRPr="00BE7F99">
        <w:rPr>
          <w:rFonts w:cs="Times Unicode"/>
          <w:lang w:val="hy-AM"/>
        </w:rPr>
        <w:t>3</w:t>
      </w:r>
      <w:r w:rsidRPr="00AC67B2">
        <w:rPr>
          <w:rFonts w:cs="Times Unicode"/>
          <w:lang w:val="hy-AM"/>
        </w:rPr>
        <w:t>թ. տարեվերջին կանխատեսվում է 5</w:t>
      </w:r>
      <w:r w:rsidRPr="00BE7F99">
        <w:rPr>
          <w:rFonts w:cs="Times Unicode"/>
          <w:lang w:val="hy-AM"/>
        </w:rPr>
        <w:t>4</w:t>
      </w:r>
      <w:r w:rsidRPr="00AC67B2">
        <w:rPr>
          <w:rFonts w:cs="Times Unicode"/>
          <w:lang w:val="hy-AM"/>
        </w:rPr>
        <w:t>.</w:t>
      </w:r>
      <w:r w:rsidRPr="00BE7F99">
        <w:rPr>
          <w:rFonts w:cs="Times Unicode"/>
          <w:lang w:val="hy-AM"/>
        </w:rPr>
        <w:t>7</w:t>
      </w:r>
      <w:r w:rsidRPr="00AC67B2">
        <w:rPr>
          <w:rFonts w:cs="Times Unicode"/>
          <w:lang w:val="hy-AM"/>
        </w:rPr>
        <w:t>%: ՀՀ կառավարության պարտքի միջին տոկոսադրույքը կանխատեսվող ժամանակա</w:t>
      </w:r>
      <w:r w:rsidRPr="00AC67B2">
        <w:rPr>
          <w:rFonts w:cs="Times Unicode"/>
          <w:lang w:val="hy-AM"/>
        </w:rPr>
        <w:softHyphen/>
        <w:t>հատվածի վերջում կկազմի 5.</w:t>
      </w:r>
      <w:r w:rsidRPr="00027405">
        <w:rPr>
          <w:rFonts w:cs="Times Unicode"/>
          <w:lang w:val="hy-AM"/>
        </w:rPr>
        <w:t xml:space="preserve">3%: ՀՀ կառավարության պարտքի տոկոսավճար/պետական բյուջեի եկամուտներ և ՀՀ կառավարության պարտքի տոկոսավճար/պետական բյուջեի ծախսեր ցուցանիշները միջնաժամկետ հատվածում </w:t>
      </w:r>
      <w:r w:rsidRPr="00BE7F99">
        <w:rPr>
          <w:rFonts w:cs="Times Unicode"/>
          <w:lang w:val="hy-AM"/>
        </w:rPr>
        <w:t>աճ</w:t>
      </w:r>
      <w:r w:rsidRPr="00027405">
        <w:rPr>
          <w:rFonts w:cs="Times Unicode"/>
          <w:lang w:val="hy-AM"/>
        </w:rPr>
        <w:t>ում են` ժամանակահատվածի վերջում կազմելով համապատասխանաբար 1</w:t>
      </w:r>
      <w:r w:rsidRPr="00BE7F99">
        <w:rPr>
          <w:rFonts w:cs="Times Unicode"/>
          <w:lang w:val="hy-AM"/>
        </w:rPr>
        <w:t>1</w:t>
      </w:r>
      <w:r w:rsidRPr="00027405">
        <w:rPr>
          <w:rFonts w:cs="Times Unicode"/>
          <w:lang w:val="hy-AM"/>
        </w:rPr>
        <w:t>.</w:t>
      </w:r>
      <w:r w:rsidRPr="00BE7F99">
        <w:rPr>
          <w:rFonts w:cs="Times Unicode"/>
          <w:lang w:val="hy-AM"/>
        </w:rPr>
        <w:t>4</w:t>
      </w:r>
      <w:r w:rsidRPr="00027405">
        <w:rPr>
          <w:rFonts w:cs="Times Unicode"/>
          <w:lang w:val="hy-AM"/>
        </w:rPr>
        <w:t xml:space="preserve">% և </w:t>
      </w:r>
      <w:r w:rsidRPr="00BE7F99">
        <w:rPr>
          <w:rFonts w:cs="Times Unicode"/>
          <w:lang w:val="hy-AM"/>
        </w:rPr>
        <w:t>10</w:t>
      </w:r>
      <w:r w:rsidRPr="00027405">
        <w:rPr>
          <w:rFonts w:cs="Times Unicode"/>
          <w:lang w:val="hy-AM"/>
        </w:rPr>
        <w:t>.</w:t>
      </w:r>
      <w:r w:rsidRPr="00BE7F99">
        <w:rPr>
          <w:rFonts w:cs="Times Unicode"/>
          <w:lang w:val="hy-AM"/>
        </w:rPr>
        <w:t>6</w:t>
      </w:r>
      <w:r w:rsidRPr="00027405">
        <w:rPr>
          <w:rFonts w:cs="Times Unicode"/>
          <w:lang w:val="hy-AM"/>
        </w:rPr>
        <w:t>%, իսկ ՀՀ կառավարության պարտքի տոկոսավճար/ՀՆԱ ցուցանիշը ժամանակահատվածի վերջում կկազմի 2.</w:t>
      </w:r>
      <w:r w:rsidRPr="00BE7F99">
        <w:rPr>
          <w:rFonts w:cs="Times Unicode"/>
          <w:lang w:val="hy-AM"/>
        </w:rPr>
        <w:t>8</w:t>
      </w:r>
      <w:r w:rsidRPr="00027405">
        <w:rPr>
          <w:rFonts w:cs="Times Unicode"/>
          <w:lang w:val="hy-AM"/>
        </w:rPr>
        <w:t>%:</w:t>
      </w:r>
      <w:r w:rsidRPr="00BE7F99">
        <w:rPr>
          <w:rFonts w:cs="Times Unicode"/>
          <w:lang w:val="hy-AM"/>
        </w:rPr>
        <w:t xml:space="preserve"> </w:t>
      </w:r>
    </w:p>
    <w:p w14:paraId="3A6B6021" w14:textId="77777777" w:rsidR="00F1465E" w:rsidRPr="00BE7F99" w:rsidRDefault="00F1465E" w:rsidP="00774AC5">
      <w:pPr>
        <w:spacing w:line="276" w:lineRule="auto"/>
        <w:ind w:firstLine="720"/>
        <w:rPr>
          <w:rFonts w:cs="Times Unicode"/>
          <w:lang w:val="hy-AM"/>
        </w:rPr>
      </w:pPr>
      <w:r w:rsidRPr="000F3685">
        <w:rPr>
          <w:rFonts w:cs="Times Unicode"/>
          <w:lang w:val="hy-AM"/>
        </w:rPr>
        <w:t>Բնականաբար, ՀՀ կառավարության պարտքի տոկոսավճարների աճ</w:t>
      </w:r>
      <w:r w:rsidRPr="00BE7F99">
        <w:rPr>
          <w:rFonts w:cs="Times Unicode"/>
          <w:lang w:val="hy-AM"/>
        </w:rPr>
        <w:t>ն</w:t>
      </w:r>
      <w:r w:rsidRPr="000F3685">
        <w:rPr>
          <w:rFonts w:cs="Times Unicode"/>
          <w:lang w:val="hy-AM"/>
        </w:rPr>
        <w:t xml:space="preserve"> առաջանցիկ է պետական բյուջեի եկամուտների,  պետական բյուջեի ծախսերի և անվանական ՀՆԱ</w:t>
      </w:r>
      <w:r w:rsidRPr="00BE7F99">
        <w:rPr>
          <w:rFonts w:cs="Times Unicode"/>
          <w:lang w:val="hy-AM"/>
        </w:rPr>
        <w:t>-</w:t>
      </w:r>
      <w:r w:rsidRPr="000F3685">
        <w:rPr>
          <w:rFonts w:cs="Times Unicode"/>
          <w:lang w:val="hy-AM"/>
        </w:rPr>
        <w:t xml:space="preserve">ի աճերի </w:t>
      </w:r>
      <w:r w:rsidRPr="000F3685">
        <w:rPr>
          <w:rFonts w:cs="Times Unicode"/>
          <w:lang w:val="hy-AM"/>
        </w:rPr>
        <w:lastRenderedPageBreak/>
        <w:t>նկատմամբ: Միջնաժամկետ հատվածում  ՀՀ կառավարության պարտքի տոկոսավճարների միջին աճի տեմպը կազմել է 12.4</w:t>
      </w:r>
      <w:r w:rsidRPr="00027405">
        <w:rPr>
          <w:rFonts w:cs="Times Unicode"/>
          <w:lang w:val="hy-AM"/>
        </w:rPr>
        <w:t>%</w:t>
      </w:r>
      <w:r w:rsidRPr="000F3685">
        <w:rPr>
          <w:rFonts w:cs="Times Unicode"/>
          <w:lang w:val="hy-AM"/>
        </w:rPr>
        <w:t>, որը միջինում գերազանցել է պետական բյուջեի եկամուտների աճի տեմպին 0.5 տոկոսային կետով, պետական բյուջեի ծախսերի աճի տեմպին՝ 5.7 տոկոսային կետով  և անվանական ՀՆԱ</w:t>
      </w:r>
      <w:r w:rsidRPr="00BE7F99">
        <w:rPr>
          <w:rFonts w:cs="Times Unicode"/>
          <w:lang w:val="hy-AM"/>
        </w:rPr>
        <w:t>-</w:t>
      </w:r>
      <w:r w:rsidRPr="000F3685">
        <w:rPr>
          <w:rFonts w:cs="Times Unicode"/>
          <w:lang w:val="hy-AM"/>
        </w:rPr>
        <w:t>ի աճի տեմպին՝ 2.7 տոկոսային կետով:  Նշենք նաև, որ ՀՀ կառավարության պարտքի տոկոսավճարների տարեկան աճ</w:t>
      </w:r>
      <w:r w:rsidRPr="00BE7F99">
        <w:rPr>
          <w:rFonts w:cs="Times Unicode"/>
          <w:lang w:val="hy-AM"/>
        </w:rPr>
        <w:t>ն</w:t>
      </w:r>
      <w:r w:rsidRPr="000F3685">
        <w:rPr>
          <w:rFonts w:cs="Times Unicode"/>
          <w:lang w:val="hy-AM"/>
        </w:rPr>
        <w:t xml:space="preserve"> արագանում է </w:t>
      </w:r>
      <w:r w:rsidRPr="00BE7F99">
        <w:rPr>
          <w:rFonts w:cs="Times Unicode"/>
          <w:lang w:val="hy-AM"/>
        </w:rPr>
        <w:t xml:space="preserve">և </w:t>
      </w:r>
      <w:r w:rsidRPr="000F3685">
        <w:rPr>
          <w:rFonts w:cs="Times Unicode"/>
          <w:lang w:val="hy-AM"/>
        </w:rPr>
        <w:t>2022թ. կազմ</w:t>
      </w:r>
      <w:r w:rsidRPr="00BE7F99">
        <w:rPr>
          <w:rFonts w:cs="Times Unicode"/>
          <w:lang w:val="hy-AM"/>
        </w:rPr>
        <w:t xml:space="preserve">ում է </w:t>
      </w:r>
      <w:r w:rsidRPr="000F3685">
        <w:rPr>
          <w:rFonts w:cs="Times Unicode"/>
          <w:lang w:val="hy-AM"/>
        </w:rPr>
        <w:t>13.9%</w:t>
      </w:r>
      <w:r w:rsidRPr="00BE7F99">
        <w:rPr>
          <w:rFonts w:cs="Times Unicode"/>
          <w:lang w:val="hy-AM"/>
        </w:rPr>
        <w:t>`</w:t>
      </w:r>
      <w:r w:rsidRPr="000F3685">
        <w:rPr>
          <w:rFonts w:cs="Times Unicode"/>
          <w:lang w:val="hy-AM"/>
        </w:rPr>
        <w:t xml:space="preserve"> նախորդ տարվա 11.3%-ի դիմաց, սակայն որոշ չափով դանդաղում է միջնաժամկետ հատվածի վերջ</w:t>
      </w:r>
      <w:r w:rsidRPr="00BE7F99">
        <w:rPr>
          <w:rFonts w:cs="Times Unicode"/>
          <w:lang w:val="hy-AM"/>
        </w:rPr>
        <w:t>ում`</w:t>
      </w:r>
      <w:r w:rsidRPr="000F3685">
        <w:rPr>
          <w:rFonts w:cs="Times Unicode"/>
          <w:lang w:val="hy-AM"/>
        </w:rPr>
        <w:t xml:space="preserve"> 2023թ. կազմելով 12</w:t>
      </w:r>
      <w:r w:rsidRPr="00BE7F99">
        <w:rPr>
          <w:rFonts w:cs="Times Unicode"/>
          <w:lang w:val="hy-AM"/>
        </w:rPr>
        <w:t>.0</w:t>
      </w:r>
      <w:r w:rsidRPr="000F3685">
        <w:rPr>
          <w:rFonts w:cs="Times Unicode"/>
          <w:lang w:val="hy-AM"/>
        </w:rPr>
        <w:t>%:</w:t>
      </w:r>
    </w:p>
    <w:p w14:paraId="445394E6" w14:textId="77777777" w:rsidR="00F1465E" w:rsidRPr="00AC67B2" w:rsidRDefault="00F1465E" w:rsidP="00774AC5">
      <w:pPr>
        <w:spacing w:line="276" w:lineRule="auto"/>
        <w:ind w:firstLine="720"/>
        <w:rPr>
          <w:rFonts w:cs="Times Unicode"/>
          <w:lang w:val="hy-AM"/>
        </w:rPr>
      </w:pPr>
      <w:r w:rsidRPr="00AC67B2">
        <w:rPr>
          <w:rFonts w:cs="Times Unicode"/>
          <w:lang w:val="hy-AM"/>
        </w:rPr>
        <w:t>Ռիսկերի կառավարման տեսակետից կարևոր</w:t>
      </w:r>
      <w:r w:rsidRPr="00BE7F99">
        <w:rPr>
          <w:rFonts w:cs="Times Unicode"/>
          <w:lang w:val="hy-AM"/>
        </w:rPr>
        <w:t>վել</w:t>
      </w:r>
      <w:r w:rsidRPr="00AC67B2">
        <w:rPr>
          <w:rFonts w:cs="Times Unicode"/>
          <w:lang w:val="hy-AM"/>
        </w:rPr>
        <w:t xml:space="preserve"> են փոխարժեքի, վերաֆինանսա</w:t>
      </w:r>
      <w:r w:rsidRPr="00AC67B2">
        <w:rPr>
          <w:rFonts w:cs="Times Unicode"/>
          <w:lang w:val="hy-AM"/>
        </w:rPr>
        <w:softHyphen/>
        <w:t xml:space="preserve">վորման, տոկոսադրույքի ու գործառնական ռիսկերը: </w:t>
      </w:r>
    </w:p>
    <w:p w14:paraId="55841D43" w14:textId="77777777" w:rsidR="00F1465E" w:rsidRPr="00BE7F99" w:rsidRDefault="00F1465E" w:rsidP="00774AC5">
      <w:pPr>
        <w:spacing w:line="276" w:lineRule="auto"/>
        <w:ind w:firstLine="720"/>
        <w:rPr>
          <w:rFonts w:cs="Times Unicode"/>
          <w:i/>
          <w:lang w:val="hy-AM"/>
        </w:rPr>
      </w:pPr>
    </w:p>
    <w:p w14:paraId="486367C9" w14:textId="77777777" w:rsidR="00F1465E" w:rsidRPr="00AC67B2" w:rsidRDefault="00F1465E" w:rsidP="00774AC5">
      <w:pPr>
        <w:spacing w:line="276" w:lineRule="auto"/>
        <w:ind w:firstLine="720"/>
        <w:rPr>
          <w:rFonts w:cs="Times Unicode"/>
          <w:i/>
          <w:lang w:val="hy-AM"/>
        </w:rPr>
      </w:pPr>
      <w:r w:rsidRPr="00AC67B2">
        <w:rPr>
          <w:rFonts w:cs="Times Unicode"/>
          <w:i/>
          <w:lang w:val="hy-AM"/>
        </w:rPr>
        <w:t>Փոխարժեքի ռիսկ</w:t>
      </w:r>
    </w:p>
    <w:p w14:paraId="289158B2" w14:textId="77777777" w:rsidR="00F1465E" w:rsidRPr="00BE7F99" w:rsidRDefault="00F1465E" w:rsidP="00774AC5">
      <w:pPr>
        <w:spacing w:line="276" w:lineRule="auto"/>
        <w:ind w:firstLine="720"/>
        <w:rPr>
          <w:rFonts w:cs="Times Unicode"/>
          <w:lang w:val="hy-AM"/>
        </w:rPr>
      </w:pPr>
      <w:r w:rsidRPr="00AC67B2">
        <w:rPr>
          <w:rFonts w:cs="Times Unicode"/>
          <w:lang w:val="hy-AM"/>
        </w:rPr>
        <w:t xml:space="preserve">Ներքին պարտքի կշիռն ընդամենը պարտքի մեջ ցուցանիշի մակարդակը միջնաժամկետ հատվածում կգտնվի սահմանված ուղենշային տիրույթում` ժամանակահատվածի վերջում հասնելով </w:t>
      </w:r>
      <w:r w:rsidRPr="00BE7F99">
        <w:rPr>
          <w:rFonts w:cs="Times Unicode"/>
          <w:lang w:val="hy-AM"/>
        </w:rPr>
        <w:t>37</w:t>
      </w:r>
      <w:r w:rsidRPr="00AC67B2">
        <w:rPr>
          <w:rFonts w:cs="Times Unicode"/>
          <w:lang w:val="hy-AM"/>
        </w:rPr>
        <w:t>.6%-ի:</w:t>
      </w:r>
    </w:p>
    <w:p w14:paraId="6B0473DC" w14:textId="77777777" w:rsidR="00F1465E" w:rsidRPr="00BE7F99" w:rsidRDefault="00F1465E" w:rsidP="00774AC5">
      <w:pPr>
        <w:spacing w:line="276" w:lineRule="auto"/>
        <w:ind w:firstLine="720"/>
        <w:rPr>
          <w:rFonts w:cs="Times Unicode"/>
          <w:lang w:val="hy-AM"/>
        </w:rPr>
      </w:pPr>
    </w:p>
    <w:p w14:paraId="24DDBEE7" w14:textId="77777777" w:rsidR="00F1465E" w:rsidRPr="00BE7F99" w:rsidRDefault="00F1465E" w:rsidP="00774AC5">
      <w:pPr>
        <w:spacing w:line="276" w:lineRule="auto"/>
        <w:ind w:left="1560" w:hanging="1560"/>
        <w:rPr>
          <w:rFonts w:cs="Times Unicode"/>
          <w:i/>
          <w:sz w:val="20"/>
          <w:szCs w:val="20"/>
          <w:lang w:val="hy-AM"/>
        </w:rPr>
      </w:pPr>
      <w:r w:rsidRPr="00774AC5">
        <w:rPr>
          <w:rFonts w:cs="Times Unicode"/>
          <w:b/>
          <w:sz w:val="20"/>
          <w:szCs w:val="20"/>
          <w:lang w:val="hy-AM"/>
        </w:rPr>
        <w:t xml:space="preserve">Աղյուսակ  </w:t>
      </w:r>
      <w:r w:rsidR="00774AC5" w:rsidRPr="00BE7F99">
        <w:rPr>
          <w:rFonts w:cs="Times Unicode"/>
          <w:b/>
          <w:sz w:val="20"/>
          <w:szCs w:val="20"/>
          <w:lang w:val="hy-AM"/>
        </w:rPr>
        <w:t>1.</w:t>
      </w:r>
      <w:r w:rsidRPr="00774AC5">
        <w:rPr>
          <w:rFonts w:cs="Times Unicode"/>
          <w:b/>
          <w:sz w:val="20"/>
          <w:szCs w:val="20"/>
          <w:lang w:val="hy-AM"/>
        </w:rPr>
        <w:t>7</w:t>
      </w:r>
      <w:r w:rsidRPr="00774AC5">
        <w:rPr>
          <w:sz w:val="20"/>
          <w:szCs w:val="20"/>
          <w:lang w:val="hy-AM"/>
        </w:rPr>
        <w:t xml:space="preserve"> </w:t>
      </w:r>
      <w:r w:rsidRPr="00BE7F99">
        <w:rPr>
          <w:sz w:val="20"/>
          <w:szCs w:val="20"/>
          <w:lang w:val="hy-AM"/>
        </w:rPr>
        <w:t xml:space="preserve">  </w:t>
      </w:r>
      <w:r w:rsidRPr="00774AC5">
        <w:rPr>
          <w:rFonts w:cs="Times Unicode"/>
          <w:i/>
          <w:sz w:val="20"/>
          <w:szCs w:val="20"/>
          <w:lang w:val="hy-AM"/>
        </w:rPr>
        <w:t>ՀՀ</w:t>
      </w:r>
      <w:r w:rsidRPr="00774AC5">
        <w:rPr>
          <w:i/>
          <w:sz w:val="20"/>
          <w:szCs w:val="20"/>
          <w:lang w:val="hy-AM"/>
        </w:rPr>
        <w:t xml:space="preserve"> </w:t>
      </w:r>
      <w:r w:rsidRPr="00774AC5">
        <w:rPr>
          <w:rFonts w:cs="Times Unicode"/>
          <w:i/>
          <w:sz w:val="20"/>
          <w:szCs w:val="20"/>
          <w:lang w:val="hy-AM"/>
        </w:rPr>
        <w:t>կառավարության ներքին պարտքի և ՀՀ դրամով ներգրաված պարտքի տեսակարար կշիռներն ընդամենը պարտքում</w:t>
      </w:r>
    </w:p>
    <w:p w14:paraId="69F160AF" w14:textId="77777777" w:rsidR="00F1465E" w:rsidRPr="00BE7F99" w:rsidRDefault="00F1465E" w:rsidP="00F1465E">
      <w:pPr>
        <w:ind w:left="1560" w:hanging="1560"/>
        <w:rPr>
          <w:rFonts w:cs="Times Unicode"/>
          <w:sz w:val="12"/>
          <w:szCs w:val="12"/>
          <w:lang w:val="hy-A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1502"/>
        <w:gridCol w:w="1143"/>
        <w:gridCol w:w="950"/>
        <w:gridCol w:w="966"/>
        <w:gridCol w:w="975"/>
      </w:tblGrid>
      <w:tr w:rsidR="00F1465E" w:rsidRPr="00577328" w14:paraId="466D1D86" w14:textId="77777777" w:rsidTr="00231073">
        <w:trPr>
          <w:trHeight w:val="780"/>
          <w:tblHeader/>
          <w:jc w:val="center"/>
        </w:trPr>
        <w:tc>
          <w:tcPr>
            <w:tcW w:w="4600" w:type="dxa"/>
            <w:tcBorders>
              <w:top w:val="thinThickThinSmallGap" w:sz="24" w:space="0" w:color="auto"/>
              <w:left w:val="nil"/>
              <w:bottom w:val="thinThickSmallGap" w:sz="24" w:space="0" w:color="auto"/>
              <w:right w:val="nil"/>
            </w:tcBorders>
            <w:shd w:val="clear" w:color="auto" w:fill="0B70B5"/>
          </w:tcPr>
          <w:p w14:paraId="6C16FF53" w14:textId="77777777" w:rsidR="00F1465E" w:rsidRPr="00C35116" w:rsidRDefault="00F1465E" w:rsidP="00231073">
            <w:pPr>
              <w:spacing w:before="0" w:after="0" w:line="240" w:lineRule="auto"/>
              <w:ind w:firstLine="60"/>
              <w:rPr>
                <w:color w:val="FFFFFF" w:themeColor="background1"/>
                <w:sz w:val="20"/>
                <w:szCs w:val="20"/>
                <w:lang w:val="hy-AM"/>
              </w:rPr>
            </w:pPr>
          </w:p>
        </w:tc>
        <w:tc>
          <w:tcPr>
            <w:tcW w:w="1502" w:type="dxa"/>
            <w:tcBorders>
              <w:top w:val="thinThickThinSmallGap" w:sz="24" w:space="0" w:color="auto"/>
              <w:left w:val="nil"/>
              <w:bottom w:val="thinThickSmallGap" w:sz="24" w:space="0" w:color="auto"/>
              <w:right w:val="double" w:sz="4" w:space="0" w:color="auto"/>
            </w:tcBorders>
            <w:shd w:val="clear" w:color="auto" w:fill="0B70B5"/>
            <w:vAlign w:val="center"/>
          </w:tcPr>
          <w:p w14:paraId="494E069E" w14:textId="77777777" w:rsidR="00F1465E" w:rsidRPr="00C35116" w:rsidRDefault="00F1465E" w:rsidP="00231073">
            <w:pPr>
              <w:spacing w:before="0" w:after="0" w:line="240" w:lineRule="auto"/>
              <w:ind w:firstLine="6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պետբյուջեի ծրագիր</w:t>
            </w:r>
          </w:p>
        </w:tc>
        <w:tc>
          <w:tcPr>
            <w:tcW w:w="1143" w:type="dxa"/>
            <w:tcBorders>
              <w:top w:val="thinThickThinSmallGap" w:sz="24" w:space="0" w:color="auto"/>
              <w:left w:val="double" w:sz="4" w:space="0" w:color="auto"/>
              <w:bottom w:val="thinThickSmallGap" w:sz="24" w:space="0" w:color="auto"/>
              <w:right w:val="nil"/>
            </w:tcBorders>
            <w:shd w:val="clear" w:color="auto" w:fill="0B70B5"/>
            <w:vAlign w:val="center"/>
          </w:tcPr>
          <w:p w14:paraId="5160B1CA" w14:textId="77777777" w:rsidR="00F1465E" w:rsidRPr="00C35116" w:rsidRDefault="00F1465E" w:rsidP="00231073">
            <w:pPr>
              <w:spacing w:before="0" w:after="0" w:line="240" w:lineRule="auto"/>
              <w:ind w:firstLine="6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50" w:type="dxa"/>
            <w:tcBorders>
              <w:top w:val="thinThickThinSmallGap" w:sz="24" w:space="0" w:color="auto"/>
              <w:left w:val="nil"/>
              <w:bottom w:val="thinThickSmallGap" w:sz="24" w:space="0" w:color="auto"/>
              <w:right w:val="nil"/>
            </w:tcBorders>
            <w:shd w:val="clear" w:color="auto" w:fill="0B70B5"/>
            <w:vAlign w:val="center"/>
          </w:tcPr>
          <w:p w14:paraId="05917CC9" w14:textId="77777777" w:rsidR="00F1465E" w:rsidRPr="00C35116" w:rsidRDefault="00F1465E" w:rsidP="00231073">
            <w:pPr>
              <w:spacing w:before="0" w:after="0" w:line="240" w:lineRule="auto"/>
              <w:ind w:firstLine="6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66" w:type="dxa"/>
            <w:tcBorders>
              <w:top w:val="thinThickThinSmallGap" w:sz="24" w:space="0" w:color="auto"/>
              <w:left w:val="nil"/>
              <w:bottom w:val="thinThickSmallGap" w:sz="24" w:space="0" w:color="auto"/>
              <w:right w:val="nil"/>
            </w:tcBorders>
            <w:shd w:val="clear" w:color="auto" w:fill="0B70B5"/>
            <w:vAlign w:val="center"/>
          </w:tcPr>
          <w:p w14:paraId="396CDBCC" w14:textId="77777777" w:rsidR="00F1465E" w:rsidRPr="00C35116" w:rsidRDefault="00F1465E" w:rsidP="00231073">
            <w:pPr>
              <w:spacing w:before="0" w:after="0" w:line="240" w:lineRule="auto"/>
              <w:ind w:firstLine="6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75" w:type="dxa"/>
            <w:tcBorders>
              <w:top w:val="thinThickThinSmallGap" w:sz="24" w:space="0" w:color="auto"/>
              <w:left w:val="nil"/>
              <w:bottom w:val="thinThickSmallGap" w:sz="24" w:space="0" w:color="auto"/>
              <w:right w:val="nil"/>
            </w:tcBorders>
            <w:shd w:val="clear" w:color="auto" w:fill="0B70B5"/>
            <w:vAlign w:val="center"/>
          </w:tcPr>
          <w:p w14:paraId="20390477" w14:textId="77777777" w:rsidR="00F1465E" w:rsidRPr="00C35116" w:rsidRDefault="00F1465E" w:rsidP="00231073">
            <w:pPr>
              <w:spacing w:before="0" w:after="0" w:line="240" w:lineRule="auto"/>
              <w:ind w:firstLine="6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AC67B2" w14:paraId="072E9F94" w14:textId="77777777" w:rsidTr="00231073">
        <w:trPr>
          <w:trHeight w:val="393"/>
          <w:jc w:val="center"/>
        </w:trPr>
        <w:tc>
          <w:tcPr>
            <w:tcW w:w="4600" w:type="dxa"/>
            <w:tcBorders>
              <w:top w:val="thinThickSmallGap" w:sz="24" w:space="0" w:color="auto"/>
              <w:left w:val="nil"/>
              <w:bottom w:val="single" w:sz="4" w:space="0" w:color="auto"/>
              <w:right w:val="nil"/>
            </w:tcBorders>
            <w:vAlign w:val="center"/>
          </w:tcPr>
          <w:p w14:paraId="631284C7" w14:textId="77777777" w:rsidR="00F1465E" w:rsidRPr="00AC67B2" w:rsidRDefault="00F1465E" w:rsidP="00231073">
            <w:pPr>
              <w:spacing w:before="0" w:after="0" w:line="240" w:lineRule="auto"/>
              <w:ind w:left="356" w:firstLine="60"/>
              <w:jc w:val="left"/>
              <w:rPr>
                <w:rFonts w:cs="Times Unicode"/>
                <w:sz w:val="20"/>
                <w:szCs w:val="20"/>
                <w:lang w:val="hy-AM"/>
              </w:rPr>
            </w:pPr>
            <w:r w:rsidRPr="00AC67B2">
              <w:rPr>
                <w:rFonts w:cs="Times Unicode"/>
                <w:sz w:val="20"/>
                <w:szCs w:val="20"/>
                <w:lang w:val="hy-AM"/>
              </w:rPr>
              <w:t>Ներքին պարտք/Ընդամենը պարտք (%)</w:t>
            </w:r>
          </w:p>
        </w:tc>
        <w:tc>
          <w:tcPr>
            <w:tcW w:w="1502" w:type="dxa"/>
            <w:tcBorders>
              <w:top w:val="thinThickSmallGap" w:sz="24" w:space="0" w:color="auto"/>
              <w:left w:val="nil"/>
              <w:bottom w:val="single" w:sz="4" w:space="0" w:color="auto"/>
              <w:right w:val="double" w:sz="4" w:space="0" w:color="auto"/>
            </w:tcBorders>
            <w:vAlign w:val="center"/>
          </w:tcPr>
          <w:p w14:paraId="587CC419" w14:textId="77777777" w:rsidR="00F1465E" w:rsidRPr="002712CE" w:rsidRDefault="00F1465E" w:rsidP="00231073">
            <w:pPr>
              <w:spacing w:before="0" w:after="0" w:line="240" w:lineRule="auto"/>
              <w:ind w:firstLine="60"/>
              <w:jc w:val="center"/>
              <w:rPr>
                <w:sz w:val="20"/>
                <w:szCs w:val="20"/>
                <w:lang w:val="hy-AM"/>
              </w:rPr>
            </w:pPr>
            <w:r w:rsidRPr="002712CE">
              <w:rPr>
                <w:sz w:val="20"/>
                <w:szCs w:val="20"/>
              </w:rPr>
              <w:t xml:space="preserve">24.7 </w:t>
            </w:r>
          </w:p>
        </w:tc>
        <w:tc>
          <w:tcPr>
            <w:tcW w:w="1143" w:type="dxa"/>
            <w:tcBorders>
              <w:top w:val="thinThickSmallGap" w:sz="24" w:space="0" w:color="auto"/>
              <w:left w:val="double" w:sz="4" w:space="0" w:color="auto"/>
              <w:bottom w:val="single" w:sz="4" w:space="0" w:color="auto"/>
              <w:right w:val="nil"/>
            </w:tcBorders>
            <w:vAlign w:val="center"/>
          </w:tcPr>
          <w:p w14:paraId="457BCBF2" w14:textId="77777777" w:rsidR="00F1465E" w:rsidRPr="002712CE" w:rsidRDefault="00F1465E" w:rsidP="00231073">
            <w:pPr>
              <w:spacing w:before="0" w:after="0" w:line="240" w:lineRule="auto"/>
              <w:ind w:firstLine="60"/>
              <w:jc w:val="center"/>
              <w:rPr>
                <w:sz w:val="20"/>
                <w:szCs w:val="20"/>
                <w:lang w:val="hy-AM"/>
              </w:rPr>
            </w:pPr>
            <w:r w:rsidRPr="002712CE">
              <w:rPr>
                <w:sz w:val="20"/>
                <w:szCs w:val="20"/>
              </w:rPr>
              <w:t xml:space="preserve">24.9 </w:t>
            </w:r>
          </w:p>
        </w:tc>
        <w:tc>
          <w:tcPr>
            <w:tcW w:w="950" w:type="dxa"/>
            <w:tcBorders>
              <w:top w:val="thinThickSmallGap" w:sz="24" w:space="0" w:color="auto"/>
              <w:left w:val="nil"/>
              <w:bottom w:val="single" w:sz="4" w:space="0" w:color="auto"/>
              <w:right w:val="nil"/>
            </w:tcBorders>
            <w:vAlign w:val="center"/>
          </w:tcPr>
          <w:p w14:paraId="394BED17" w14:textId="77777777" w:rsidR="00F1465E" w:rsidRPr="002712CE" w:rsidRDefault="00F1465E" w:rsidP="00231073">
            <w:pPr>
              <w:spacing w:before="0" w:after="0" w:line="240" w:lineRule="auto"/>
              <w:ind w:firstLine="60"/>
              <w:jc w:val="center"/>
              <w:rPr>
                <w:sz w:val="20"/>
                <w:szCs w:val="20"/>
                <w:lang w:val="hy-AM"/>
              </w:rPr>
            </w:pPr>
            <w:r w:rsidRPr="002712CE">
              <w:rPr>
                <w:sz w:val="20"/>
                <w:szCs w:val="20"/>
              </w:rPr>
              <w:t xml:space="preserve">29.9 </w:t>
            </w:r>
          </w:p>
        </w:tc>
        <w:tc>
          <w:tcPr>
            <w:tcW w:w="966" w:type="dxa"/>
            <w:tcBorders>
              <w:top w:val="thinThickSmallGap" w:sz="24" w:space="0" w:color="auto"/>
              <w:left w:val="nil"/>
              <w:bottom w:val="single" w:sz="4" w:space="0" w:color="auto"/>
              <w:right w:val="nil"/>
            </w:tcBorders>
            <w:vAlign w:val="center"/>
          </w:tcPr>
          <w:p w14:paraId="30D34D98" w14:textId="77777777" w:rsidR="00F1465E" w:rsidRPr="002712CE" w:rsidRDefault="00F1465E" w:rsidP="00231073">
            <w:pPr>
              <w:spacing w:before="0" w:after="0" w:line="240" w:lineRule="auto"/>
              <w:ind w:firstLine="60"/>
              <w:jc w:val="center"/>
              <w:rPr>
                <w:sz w:val="20"/>
                <w:szCs w:val="20"/>
                <w:lang w:val="hy-AM"/>
              </w:rPr>
            </w:pPr>
            <w:r w:rsidRPr="002712CE">
              <w:rPr>
                <w:sz w:val="20"/>
                <w:szCs w:val="20"/>
              </w:rPr>
              <w:t xml:space="preserve">32.3 </w:t>
            </w:r>
          </w:p>
        </w:tc>
        <w:tc>
          <w:tcPr>
            <w:tcW w:w="975" w:type="dxa"/>
            <w:tcBorders>
              <w:top w:val="thinThickSmallGap" w:sz="24" w:space="0" w:color="auto"/>
              <w:left w:val="nil"/>
              <w:bottom w:val="single" w:sz="4" w:space="0" w:color="auto"/>
              <w:right w:val="nil"/>
            </w:tcBorders>
            <w:vAlign w:val="center"/>
          </w:tcPr>
          <w:p w14:paraId="35548993" w14:textId="77777777" w:rsidR="00F1465E" w:rsidRPr="002712CE" w:rsidRDefault="00F1465E" w:rsidP="00231073">
            <w:pPr>
              <w:spacing w:before="0" w:after="0" w:line="240" w:lineRule="auto"/>
              <w:ind w:firstLine="60"/>
              <w:jc w:val="center"/>
              <w:rPr>
                <w:sz w:val="20"/>
                <w:szCs w:val="20"/>
                <w:lang w:val="hy-AM"/>
              </w:rPr>
            </w:pPr>
            <w:r w:rsidRPr="002712CE">
              <w:rPr>
                <w:sz w:val="20"/>
                <w:szCs w:val="20"/>
              </w:rPr>
              <w:t xml:space="preserve">37.6 </w:t>
            </w:r>
          </w:p>
        </w:tc>
      </w:tr>
      <w:tr w:rsidR="00F1465E" w:rsidRPr="00AC67B2" w14:paraId="4A9DD456" w14:textId="77777777" w:rsidTr="00231073">
        <w:trPr>
          <w:trHeight w:val="439"/>
          <w:jc w:val="center"/>
        </w:trPr>
        <w:tc>
          <w:tcPr>
            <w:tcW w:w="4600" w:type="dxa"/>
            <w:tcBorders>
              <w:top w:val="single" w:sz="4" w:space="0" w:color="auto"/>
              <w:left w:val="nil"/>
              <w:bottom w:val="thickThinSmallGap" w:sz="24" w:space="0" w:color="auto"/>
              <w:right w:val="nil"/>
            </w:tcBorders>
            <w:vAlign w:val="center"/>
          </w:tcPr>
          <w:p w14:paraId="22AC95B5" w14:textId="77777777" w:rsidR="00F1465E" w:rsidRPr="00AC67B2" w:rsidRDefault="00F1465E" w:rsidP="00231073">
            <w:pPr>
              <w:spacing w:before="0" w:after="0" w:line="240" w:lineRule="auto"/>
              <w:ind w:left="356" w:firstLine="60"/>
              <w:jc w:val="left"/>
              <w:rPr>
                <w:sz w:val="20"/>
                <w:szCs w:val="20"/>
                <w:lang w:val="hy-AM"/>
              </w:rPr>
            </w:pPr>
            <w:r w:rsidRPr="00AC67B2">
              <w:rPr>
                <w:rFonts w:cs="Times Unicode"/>
                <w:sz w:val="20"/>
                <w:szCs w:val="20"/>
                <w:lang w:val="hy-AM"/>
              </w:rPr>
              <w:t>ՀՀ դրամով ներգրավված պարտք/Ընդամենը պարտք (%)</w:t>
            </w:r>
          </w:p>
        </w:tc>
        <w:tc>
          <w:tcPr>
            <w:tcW w:w="1502" w:type="dxa"/>
            <w:tcBorders>
              <w:top w:val="single" w:sz="4" w:space="0" w:color="auto"/>
              <w:left w:val="nil"/>
              <w:bottom w:val="thickThinSmallGap" w:sz="24" w:space="0" w:color="auto"/>
              <w:right w:val="double" w:sz="4" w:space="0" w:color="auto"/>
            </w:tcBorders>
            <w:vAlign w:val="center"/>
          </w:tcPr>
          <w:p w14:paraId="51F80949" w14:textId="77777777" w:rsidR="00F1465E" w:rsidRPr="002712CE" w:rsidRDefault="00F1465E" w:rsidP="00231073">
            <w:pPr>
              <w:spacing w:before="0" w:after="0" w:line="240" w:lineRule="auto"/>
              <w:ind w:firstLine="60"/>
              <w:jc w:val="center"/>
              <w:rPr>
                <w:sz w:val="20"/>
                <w:szCs w:val="20"/>
                <w:lang w:val="hy-AM"/>
              </w:rPr>
            </w:pPr>
            <w:r w:rsidRPr="002712CE">
              <w:rPr>
                <w:sz w:val="20"/>
                <w:szCs w:val="20"/>
              </w:rPr>
              <w:t xml:space="preserve">23.0 </w:t>
            </w:r>
          </w:p>
        </w:tc>
        <w:tc>
          <w:tcPr>
            <w:tcW w:w="1143" w:type="dxa"/>
            <w:tcBorders>
              <w:top w:val="single" w:sz="4" w:space="0" w:color="auto"/>
              <w:left w:val="double" w:sz="4" w:space="0" w:color="auto"/>
              <w:bottom w:val="thickThinSmallGap" w:sz="24" w:space="0" w:color="auto"/>
              <w:right w:val="nil"/>
            </w:tcBorders>
            <w:vAlign w:val="center"/>
          </w:tcPr>
          <w:p w14:paraId="338908C4" w14:textId="77777777" w:rsidR="00F1465E" w:rsidRPr="002712CE" w:rsidRDefault="00F1465E" w:rsidP="00231073">
            <w:pPr>
              <w:spacing w:before="0" w:after="0" w:line="240" w:lineRule="auto"/>
              <w:ind w:firstLine="60"/>
              <w:jc w:val="center"/>
              <w:rPr>
                <w:sz w:val="20"/>
                <w:szCs w:val="20"/>
                <w:lang w:val="hy-AM"/>
              </w:rPr>
            </w:pPr>
            <w:r w:rsidRPr="002712CE">
              <w:rPr>
                <w:sz w:val="20"/>
                <w:szCs w:val="20"/>
              </w:rPr>
              <w:t xml:space="preserve">23.3 </w:t>
            </w:r>
          </w:p>
        </w:tc>
        <w:tc>
          <w:tcPr>
            <w:tcW w:w="950" w:type="dxa"/>
            <w:tcBorders>
              <w:top w:val="single" w:sz="4" w:space="0" w:color="auto"/>
              <w:left w:val="nil"/>
              <w:bottom w:val="thickThinSmallGap" w:sz="24" w:space="0" w:color="auto"/>
              <w:right w:val="nil"/>
            </w:tcBorders>
            <w:vAlign w:val="center"/>
          </w:tcPr>
          <w:p w14:paraId="2B22197A" w14:textId="77777777" w:rsidR="00F1465E" w:rsidRPr="002712CE" w:rsidRDefault="00F1465E" w:rsidP="00231073">
            <w:pPr>
              <w:spacing w:before="0" w:after="0" w:line="240" w:lineRule="auto"/>
              <w:ind w:firstLine="60"/>
              <w:jc w:val="center"/>
              <w:rPr>
                <w:sz w:val="20"/>
                <w:szCs w:val="20"/>
                <w:lang w:val="hy-AM"/>
              </w:rPr>
            </w:pPr>
            <w:r w:rsidRPr="002712CE">
              <w:rPr>
                <w:sz w:val="20"/>
                <w:szCs w:val="20"/>
              </w:rPr>
              <w:t xml:space="preserve">28.5 </w:t>
            </w:r>
          </w:p>
        </w:tc>
        <w:tc>
          <w:tcPr>
            <w:tcW w:w="966" w:type="dxa"/>
            <w:tcBorders>
              <w:top w:val="single" w:sz="4" w:space="0" w:color="auto"/>
              <w:left w:val="nil"/>
              <w:bottom w:val="thickThinSmallGap" w:sz="24" w:space="0" w:color="auto"/>
              <w:right w:val="nil"/>
            </w:tcBorders>
            <w:vAlign w:val="center"/>
          </w:tcPr>
          <w:p w14:paraId="563821BB" w14:textId="77777777" w:rsidR="00F1465E" w:rsidRPr="002712CE" w:rsidRDefault="00F1465E" w:rsidP="00231073">
            <w:pPr>
              <w:spacing w:before="0" w:after="0" w:line="240" w:lineRule="auto"/>
              <w:ind w:firstLine="60"/>
              <w:jc w:val="center"/>
              <w:rPr>
                <w:sz w:val="20"/>
                <w:szCs w:val="20"/>
                <w:lang w:val="hy-AM"/>
              </w:rPr>
            </w:pPr>
            <w:r w:rsidRPr="002712CE">
              <w:rPr>
                <w:sz w:val="20"/>
                <w:szCs w:val="20"/>
              </w:rPr>
              <w:t xml:space="preserve">31.0 </w:t>
            </w:r>
          </w:p>
        </w:tc>
        <w:tc>
          <w:tcPr>
            <w:tcW w:w="975" w:type="dxa"/>
            <w:tcBorders>
              <w:top w:val="single" w:sz="4" w:space="0" w:color="auto"/>
              <w:left w:val="nil"/>
              <w:bottom w:val="thickThinSmallGap" w:sz="24" w:space="0" w:color="auto"/>
              <w:right w:val="nil"/>
            </w:tcBorders>
            <w:vAlign w:val="center"/>
          </w:tcPr>
          <w:p w14:paraId="4272D68E" w14:textId="77777777" w:rsidR="00F1465E" w:rsidRPr="002712CE" w:rsidRDefault="00F1465E" w:rsidP="00231073">
            <w:pPr>
              <w:spacing w:before="0" w:after="0" w:line="240" w:lineRule="auto"/>
              <w:ind w:firstLine="60"/>
              <w:jc w:val="center"/>
              <w:rPr>
                <w:sz w:val="20"/>
                <w:szCs w:val="20"/>
                <w:lang w:val="hy-AM"/>
              </w:rPr>
            </w:pPr>
            <w:r w:rsidRPr="002712CE">
              <w:rPr>
                <w:sz w:val="20"/>
                <w:szCs w:val="20"/>
              </w:rPr>
              <w:t xml:space="preserve">36.3 </w:t>
            </w:r>
          </w:p>
        </w:tc>
      </w:tr>
    </w:tbl>
    <w:p w14:paraId="23E7BD69" w14:textId="77777777" w:rsidR="00F1465E" w:rsidRDefault="00F1465E" w:rsidP="00F1465E">
      <w:pPr>
        <w:spacing w:before="0" w:after="0" w:line="360" w:lineRule="auto"/>
        <w:ind w:firstLine="720"/>
        <w:rPr>
          <w:rFonts w:cs="Times Unicode"/>
        </w:rPr>
      </w:pPr>
    </w:p>
    <w:p w14:paraId="0C5A3AA4" w14:textId="77777777" w:rsidR="00F1465E" w:rsidRPr="00AC67B2" w:rsidRDefault="00F1465E" w:rsidP="00F1465E">
      <w:pPr>
        <w:spacing w:line="360" w:lineRule="auto"/>
        <w:ind w:firstLine="720"/>
        <w:rPr>
          <w:rFonts w:cs="Times Unicode"/>
          <w:lang w:val="hy-AM"/>
        </w:rPr>
      </w:pPr>
      <w:r w:rsidRPr="00AC67B2">
        <w:rPr>
          <w:rFonts w:cs="Times Unicode"/>
          <w:lang w:val="hy-AM"/>
        </w:rPr>
        <w:t>202</w:t>
      </w:r>
      <w:r>
        <w:rPr>
          <w:rFonts w:cs="Times Unicode"/>
        </w:rPr>
        <w:t>3</w:t>
      </w:r>
      <w:r w:rsidRPr="00AC67B2">
        <w:rPr>
          <w:rFonts w:cs="Times Unicode"/>
          <w:lang w:val="hy-AM"/>
        </w:rPr>
        <w:t xml:space="preserve">թ. վերջին արտարժութային պարտքի տեսակարար կշիռը միջնաժամկետ հատվածում նվազում է՝ կազմելով </w:t>
      </w:r>
      <w:r>
        <w:rPr>
          <w:rFonts w:cs="Times Unicode"/>
        </w:rPr>
        <w:t>63</w:t>
      </w:r>
      <w:r w:rsidRPr="00AC67B2">
        <w:rPr>
          <w:rFonts w:cs="Times Unicode"/>
          <w:lang w:val="hy-AM"/>
        </w:rPr>
        <w:t>.</w:t>
      </w:r>
      <w:r>
        <w:rPr>
          <w:rFonts w:cs="Times Unicode"/>
        </w:rPr>
        <w:t>7</w:t>
      </w:r>
      <w:r w:rsidRPr="00AC67B2">
        <w:rPr>
          <w:rFonts w:cs="Times Unicode"/>
          <w:lang w:val="hy-AM"/>
        </w:rPr>
        <w:t>%, սակայն ՀՀ կառավարության պարտքի պորտֆելի փոխարժեքի ռիսկը առաջիկա տարիներին դեռևս կմնա որպես հիմնական ռիսկ:</w:t>
      </w:r>
    </w:p>
    <w:p w14:paraId="7C8862B7" w14:textId="77777777" w:rsidR="00F1465E" w:rsidRPr="00AC67B2" w:rsidRDefault="00F1465E" w:rsidP="00F1465E">
      <w:pPr>
        <w:spacing w:line="360" w:lineRule="auto"/>
        <w:ind w:firstLine="720"/>
        <w:rPr>
          <w:rFonts w:cs="Times Unicode"/>
          <w:lang w:val="hy-AM"/>
        </w:rPr>
      </w:pPr>
    </w:p>
    <w:p w14:paraId="17400F14" w14:textId="77777777" w:rsidR="00F1465E" w:rsidRPr="00774AC5" w:rsidRDefault="00F1465E" w:rsidP="00F1465E">
      <w:pPr>
        <w:ind w:left="1701" w:hanging="1701"/>
        <w:rPr>
          <w:rFonts w:cs="Times Armenian"/>
          <w:i/>
          <w:sz w:val="20"/>
          <w:szCs w:val="20"/>
          <w:lang w:val="hy-AM"/>
        </w:rPr>
      </w:pPr>
      <w:r w:rsidRPr="00864C5C">
        <w:rPr>
          <w:rFonts w:cs="Times Unicode"/>
          <w:b/>
          <w:lang w:val="hy-AM"/>
        </w:rPr>
        <w:t xml:space="preserve"> </w:t>
      </w:r>
      <w:r w:rsidRPr="00774AC5">
        <w:rPr>
          <w:rFonts w:cs="Sylfaen"/>
          <w:b/>
          <w:sz w:val="20"/>
          <w:szCs w:val="20"/>
          <w:lang w:val="hy-AM"/>
        </w:rPr>
        <w:t xml:space="preserve">Աղյուսակ </w:t>
      </w:r>
      <w:r w:rsidR="00774AC5" w:rsidRPr="00BE7F99">
        <w:rPr>
          <w:rFonts w:cs="Sylfaen"/>
          <w:b/>
          <w:sz w:val="20"/>
          <w:szCs w:val="20"/>
          <w:lang w:val="hy-AM"/>
        </w:rPr>
        <w:t>1.</w:t>
      </w:r>
      <w:r w:rsidRPr="00774AC5">
        <w:rPr>
          <w:rFonts w:cs="Times Armenian"/>
          <w:b/>
          <w:sz w:val="20"/>
          <w:szCs w:val="20"/>
          <w:lang w:val="hy-AM"/>
        </w:rPr>
        <w:t>8</w:t>
      </w:r>
      <w:r w:rsidRPr="00774AC5">
        <w:rPr>
          <w:rFonts w:cs="Times Armenian"/>
          <w:sz w:val="20"/>
          <w:szCs w:val="20"/>
          <w:lang w:val="hy-AM"/>
        </w:rPr>
        <w:t xml:space="preserve"> </w:t>
      </w:r>
      <w:r w:rsidRPr="00774AC5">
        <w:rPr>
          <w:rFonts w:cs="Sylfaen"/>
          <w:i/>
          <w:sz w:val="20"/>
          <w:szCs w:val="20"/>
          <w:lang w:val="hy-AM"/>
        </w:rPr>
        <w:t>ՀՀ</w:t>
      </w:r>
      <w:r w:rsidRPr="00774AC5">
        <w:rPr>
          <w:rFonts w:cs="Times Armenian"/>
          <w:i/>
          <w:sz w:val="20"/>
          <w:szCs w:val="20"/>
          <w:lang w:val="hy-AM"/>
        </w:rPr>
        <w:t xml:space="preserve"> </w:t>
      </w:r>
      <w:r w:rsidRPr="00774AC5">
        <w:rPr>
          <w:rFonts w:cs="Sylfaen"/>
          <w:i/>
          <w:sz w:val="20"/>
          <w:szCs w:val="20"/>
          <w:lang w:val="hy-AM"/>
        </w:rPr>
        <w:t>կառավարության</w:t>
      </w:r>
      <w:r w:rsidRPr="00774AC5">
        <w:rPr>
          <w:rFonts w:cs="Times Armenian"/>
          <w:i/>
          <w:sz w:val="20"/>
          <w:szCs w:val="20"/>
          <w:lang w:val="hy-AM"/>
        </w:rPr>
        <w:t xml:space="preserve"> </w:t>
      </w:r>
      <w:r w:rsidRPr="00774AC5">
        <w:rPr>
          <w:rFonts w:cs="Sylfaen"/>
          <w:i/>
          <w:sz w:val="20"/>
          <w:szCs w:val="20"/>
          <w:lang w:val="hy-AM"/>
        </w:rPr>
        <w:t>արտարժութային</w:t>
      </w:r>
      <w:r w:rsidRPr="00774AC5">
        <w:rPr>
          <w:rFonts w:cs="Times Armenian"/>
          <w:i/>
          <w:sz w:val="20"/>
          <w:szCs w:val="20"/>
          <w:lang w:val="hy-AM"/>
        </w:rPr>
        <w:t xml:space="preserve"> </w:t>
      </w:r>
      <w:r w:rsidRPr="00774AC5">
        <w:rPr>
          <w:rFonts w:cs="Sylfaen"/>
          <w:i/>
          <w:sz w:val="20"/>
          <w:szCs w:val="20"/>
          <w:lang w:val="hy-AM"/>
        </w:rPr>
        <w:t>պարտքի</w:t>
      </w:r>
      <w:r w:rsidRPr="00774AC5">
        <w:rPr>
          <w:rFonts w:cs="Times Armenian"/>
          <w:i/>
          <w:sz w:val="20"/>
          <w:szCs w:val="20"/>
          <w:lang w:val="hy-AM"/>
        </w:rPr>
        <w:t xml:space="preserve"> </w:t>
      </w:r>
      <w:r w:rsidRPr="00774AC5">
        <w:rPr>
          <w:rFonts w:cs="Sylfaen"/>
          <w:i/>
          <w:sz w:val="20"/>
          <w:szCs w:val="20"/>
          <w:lang w:val="hy-AM"/>
        </w:rPr>
        <w:t>կառուցվածքը</w:t>
      </w:r>
      <w:r w:rsidRPr="00774AC5">
        <w:rPr>
          <w:rFonts w:cs="Times Armenian"/>
          <w:i/>
          <w:sz w:val="20"/>
          <w:szCs w:val="20"/>
          <w:lang w:val="hy-AM"/>
        </w:rPr>
        <w:t xml:space="preserve"> 2020-2023</w:t>
      </w:r>
      <w:r w:rsidRPr="00774AC5">
        <w:rPr>
          <w:rFonts w:cs="Sylfaen"/>
          <w:i/>
          <w:sz w:val="20"/>
          <w:szCs w:val="20"/>
          <w:lang w:val="hy-AM"/>
        </w:rPr>
        <w:t>թթ</w:t>
      </w:r>
      <w:r w:rsidRPr="00774AC5">
        <w:rPr>
          <w:rFonts w:cs="Times Armenian"/>
          <w:i/>
          <w:sz w:val="20"/>
          <w:szCs w:val="20"/>
          <w:lang w:val="hy-AM"/>
        </w:rPr>
        <w:t>. տարեվերջի դրությամբ (տոկոս)</w:t>
      </w:r>
    </w:p>
    <w:p w14:paraId="0F8F2AD7" w14:textId="77777777" w:rsidR="00F1465E" w:rsidRPr="00773729" w:rsidRDefault="00F1465E" w:rsidP="00F1465E">
      <w:pPr>
        <w:rPr>
          <w:rFonts w:cs="Times Armenian"/>
          <w:i/>
          <w:sz w:val="12"/>
          <w:szCs w:val="12"/>
          <w:lang w:val="hy-A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526"/>
        <w:gridCol w:w="1080"/>
        <w:gridCol w:w="1080"/>
        <w:gridCol w:w="1080"/>
        <w:gridCol w:w="1089"/>
      </w:tblGrid>
      <w:tr w:rsidR="00F1465E" w:rsidRPr="00577328" w14:paraId="7EF234DE" w14:textId="77777777" w:rsidTr="00231073">
        <w:trPr>
          <w:trHeight w:val="720"/>
          <w:tblHeader/>
          <w:jc w:val="center"/>
        </w:trPr>
        <w:tc>
          <w:tcPr>
            <w:tcW w:w="1260" w:type="dxa"/>
            <w:tcBorders>
              <w:top w:val="thinThickThinSmallGap" w:sz="24" w:space="0" w:color="auto"/>
              <w:left w:val="nil"/>
              <w:bottom w:val="thinThickSmallGap" w:sz="24" w:space="0" w:color="auto"/>
              <w:right w:val="nil"/>
            </w:tcBorders>
            <w:shd w:val="clear" w:color="auto" w:fill="0B70B5"/>
          </w:tcPr>
          <w:p w14:paraId="026B32E8" w14:textId="77777777" w:rsidR="00F1465E" w:rsidRPr="00C35116" w:rsidRDefault="00F1465E" w:rsidP="00231073">
            <w:pPr>
              <w:spacing w:before="0" w:after="0" w:line="240" w:lineRule="auto"/>
              <w:ind w:firstLine="0"/>
              <w:jc w:val="center"/>
              <w:rPr>
                <w:color w:val="FFFFFF" w:themeColor="background1"/>
                <w:sz w:val="20"/>
                <w:szCs w:val="20"/>
                <w:lang w:val="hy-AM"/>
              </w:rPr>
            </w:pPr>
          </w:p>
        </w:tc>
        <w:tc>
          <w:tcPr>
            <w:tcW w:w="1526" w:type="dxa"/>
            <w:tcBorders>
              <w:top w:val="thinThickThinSmallGap" w:sz="24" w:space="0" w:color="auto"/>
              <w:left w:val="nil"/>
              <w:bottom w:val="thinThickSmallGap" w:sz="24" w:space="0" w:color="auto"/>
              <w:right w:val="double" w:sz="4" w:space="0" w:color="auto"/>
            </w:tcBorders>
            <w:shd w:val="clear" w:color="auto" w:fill="0B70B5"/>
            <w:vAlign w:val="center"/>
          </w:tcPr>
          <w:p w14:paraId="658C959E"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պետբյուջեի ծրագիր</w:t>
            </w:r>
          </w:p>
        </w:tc>
        <w:tc>
          <w:tcPr>
            <w:tcW w:w="1080" w:type="dxa"/>
            <w:tcBorders>
              <w:top w:val="thinThickThinSmallGap" w:sz="24" w:space="0" w:color="auto"/>
              <w:left w:val="double" w:sz="4" w:space="0" w:color="auto"/>
              <w:bottom w:val="thinThickSmallGap" w:sz="24" w:space="0" w:color="auto"/>
              <w:right w:val="nil"/>
            </w:tcBorders>
            <w:shd w:val="clear" w:color="auto" w:fill="0B70B5"/>
            <w:vAlign w:val="center"/>
          </w:tcPr>
          <w:p w14:paraId="5D54B61A"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color w:val="FFFFFF" w:themeColor="background1"/>
                <w:sz w:val="20"/>
                <w:szCs w:val="20"/>
                <w:lang w:val="hy-AM"/>
              </w:rPr>
              <w:t>թ.</w:t>
            </w:r>
          </w:p>
          <w:p w14:paraId="15DADCEA"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կանխ.</w:t>
            </w:r>
          </w:p>
        </w:tc>
        <w:tc>
          <w:tcPr>
            <w:tcW w:w="1080" w:type="dxa"/>
            <w:tcBorders>
              <w:top w:val="thinThickThinSmallGap" w:sz="24" w:space="0" w:color="auto"/>
              <w:left w:val="nil"/>
              <w:bottom w:val="thinThickSmallGap" w:sz="24" w:space="0" w:color="auto"/>
              <w:right w:val="nil"/>
            </w:tcBorders>
            <w:shd w:val="clear" w:color="auto" w:fill="0B70B5"/>
            <w:vAlign w:val="center"/>
          </w:tcPr>
          <w:p w14:paraId="0859ABD7"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color w:val="FFFFFF" w:themeColor="background1"/>
                <w:sz w:val="20"/>
                <w:szCs w:val="20"/>
                <w:lang w:val="hy-AM"/>
              </w:rPr>
              <w:t>թ.</w:t>
            </w:r>
          </w:p>
          <w:p w14:paraId="73221EBC"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կանխ.</w:t>
            </w:r>
          </w:p>
        </w:tc>
        <w:tc>
          <w:tcPr>
            <w:tcW w:w="1080" w:type="dxa"/>
            <w:tcBorders>
              <w:top w:val="thinThickThinSmallGap" w:sz="24" w:space="0" w:color="auto"/>
              <w:left w:val="nil"/>
              <w:bottom w:val="thinThickSmallGap" w:sz="24" w:space="0" w:color="auto"/>
              <w:right w:val="nil"/>
            </w:tcBorders>
            <w:shd w:val="clear" w:color="auto" w:fill="0B70B5"/>
            <w:vAlign w:val="center"/>
          </w:tcPr>
          <w:p w14:paraId="7F020502"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color w:val="FFFFFF" w:themeColor="background1"/>
                <w:sz w:val="20"/>
                <w:szCs w:val="20"/>
                <w:lang w:val="hy-AM"/>
              </w:rPr>
              <w:t>թ.</w:t>
            </w:r>
          </w:p>
          <w:p w14:paraId="0B872187"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կանխ.</w:t>
            </w:r>
          </w:p>
        </w:tc>
        <w:tc>
          <w:tcPr>
            <w:tcW w:w="1089" w:type="dxa"/>
            <w:tcBorders>
              <w:top w:val="thinThickThinSmallGap" w:sz="24" w:space="0" w:color="auto"/>
              <w:left w:val="nil"/>
              <w:bottom w:val="thinThickSmallGap" w:sz="24" w:space="0" w:color="auto"/>
              <w:right w:val="nil"/>
            </w:tcBorders>
            <w:shd w:val="clear" w:color="auto" w:fill="0B70B5"/>
            <w:vAlign w:val="center"/>
          </w:tcPr>
          <w:p w14:paraId="5A1DFF00"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color w:val="FFFFFF" w:themeColor="background1"/>
                <w:sz w:val="20"/>
                <w:szCs w:val="20"/>
                <w:lang w:val="hy-AM"/>
              </w:rPr>
              <w:t>թ.</w:t>
            </w:r>
          </w:p>
          <w:p w14:paraId="4BCC7D5D"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կանխ.</w:t>
            </w:r>
          </w:p>
        </w:tc>
      </w:tr>
      <w:tr w:rsidR="00F1465E" w:rsidRPr="00AC67B2" w14:paraId="3D43F839" w14:textId="77777777" w:rsidTr="00231073">
        <w:trPr>
          <w:jc w:val="center"/>
        </w:trPr>
        <w:tc>
          <w:tcPr>
            <w:tcW w:w="1260" w:type="dxa"/>
            <w:tcBorders>
              <w:top w:val="thinThickSmallGap" w:sz="24" w:space="0" w:color="auto"/>
              <w:left w:val="nil"/>
              <w:right w:val="nil"/>
            </w:tcBorders>
          </w:tcPr>
          <w:p w14:paraId="2CE331EB" w14:textId="77777777" w:rsidR="00F1465E" w:rsidRPr="00AC67B2" w:rsidRDefault="00F1465E" w:rsidP="00231073">
            <w:pPr>
              <w:spacing w:before="0" w:after="0" w:line="240" w:lineRule="auto"/>
              <w:ind w:firstLine="0"/>
              <w:rPr>
                <w:sz w:val="20"/>
                <w:szCs w:val="20"/>
                <w:lang w:val="hy-AM"/>
              </w:rPr>
            </w:pPr>
            <w:r w:rsidRPr="00AC67B2">
              <w:rPr>
                <w:sz w:val="20"/>
                <w:szCs w:val="20"/>
                <w:lang w:val="hy-AM"/>
              </w:rPr>
              <w:t xml:space="preserve"> USD </w:t>
            </w:r>
          </w:p>
        </w:tc>
        <w:tc>
          <w:tcPr>
            <w:tcW w:w="1526" w:type="dxa"/>
            <w:tcBorders>
              <w:top w:val="thinThickSmallGap" w:sz="24" w:space="0" w:color="auto"/>
              <w:left w:val="nil"/>
              <w:right w:val="double" w:sz="4" w:space="0" w:color="auto"/>
            </w:tcBorders>
            <w:vAlign w:val="center"/>
          </w:tcPr>
          <w:p w14:paraId="22FED539"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55.0 </w:t>
            </w:r>
          </w:p>
        </w:tc>
        <w:tc>
          <w:tcPr>
            <w:tcW w:w="1080" w:type="dxa"/>
            <w:tcBorders>
              <w:top w:val="thinThickSmallGap" w:sz="24" w:space="0" w:color="auto"/>
              <w:left w:val="double" w:sz="4" w:space="0" w:color="auto"/>
              <w:right w:val="nil"/>
            </w:tcBorders>
            <w:vAlign w:val="center"/>
          </w:tcPr>
          <w:p w14:paraId="25469ECF"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52.0 </w:t>
            </w:r>
          </w:p>
        </w:tc>
        <w:tc>
          <w:tcPr>
            <w:tcW w:w="1080" w:type="dxa"/>
            <w:tcBorders>
              <w:top w:val="thinThickSmallGap" w:sz="24" w:space="0" w:color="auto"/>
              <w:left w:val="nil"/>
              <w:right w:val="nil"/>
            </w:tcBorders>
            <w:vAlign w:val="center"/>
          </w:tcPr>
          <w:p w14:paraId="21474065"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52.1 </w:t>
            </w:r>
          </w:p>
        </w:tc>
        <w:tc>
          <w:tcPr>
            <w:tcW w:w="1080" w:type="dxa"/>
            <w:tcBorders>
              <w:top w:val="thinThickSmallGap" w:sz="24" w:space="0" w:color="auto"/>
              <w:left w:val="nil"/>
              <w:right w:val="nil"/>
            </w:tcBorders>
            <w:vAlign w:val="center"/>
          </w:tcPr>
          <w:p w14:paraId="457E2A53"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53.7 </w:t>
            </w:r>
          </w:p>
        </w:tc>
        <w:tc>
          <w:tcPr>
            <w:tcW w:w="1089" w:type="dxa"/>
            <w:tcBorders>
              <w:top w:val="thinThickSmallGap" w:sz="24" w:space="0" w:color="auto"/>
              <w:left w:val="nil"/>
              <w:right w:val="nil"/>
            </w:tcBorders>
            <w:vAlign w:val="center"/>
          </w:tcPr>
          <w:p w14:paraId="142A7E82"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54.7 </w:t>
            </w:r>
          </w:p>
        </w:tc>
      </w:tr>
      <w:tr w:rsidR="00F1465E" w:rsidRPr="00AC67B2" w14:paraId="5233DBC2" w14:textId="77777777" w:rsidTr="00231073">
        <w:trPr>
          <w:jc w:val="center"/>
        </w:trPr>
        <w:tc>
          <w:tcPr>
            <w:tcW w:w="1260" w:type="dxa"/>
            <w:tcBorders>
              <w:left w:val="nil"/>
              <w:right w:val="nil"/>
            </w:tcBorders>
          </w:tcPr>
          <w:p w14:paraId="739688FB" w14:textId="77777777" w:rsidR="00F1465E" w:rsidRPr="00AC67B2" w:rsidRDefault="00F1465E" w:rsidP="00231073">
            <w:pPr>
              <w:spacing w:before="0" w:after="0" w:line="240" w:lineRule="auto"/>
              <w:ind w:firstLine="0"/>
              <w:rPr>
                <w:sz w:val="20"/>
                <w:szCs w:val="20"/>
                <w:lang w:val="hy-AM"/>
              </w:rPr>
            </w:pPr>
            <w:r w:rsidRPr="00AC67B2">
              <w:rPr>
                <w:sz w:val="20"/>
                <w:szCs w:val="20"/>
                <w:lang w:val="hy-AM"/>
              </w:rPr>
              <w:t xml:space="preserve"> SDR </w:t>
            </w:r>
          </w:p>
        </w:tc>
        <w:tc>
          <w:tcPr>
            <w:tcW w:w="1526" w:type="dxa"/>
            <w:tcBorders>
              <w:left w:val="nil"/>
              <w:right w:val="double" w:sz="4" w:space="0" w:color="auto"/>
            </w:tcBorders>
            <w:vAlign w:val="center"/>
          </w:tcPr>
          <w:p w14:paraId="7112030F"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25.2 </w:t>
            </w:r>
          </w:p>
        </w:tc>
        <w:tc>
          <w:tcPr>
            <w:tcW w:w="1080" w:type="dxa"/>
            <w:tcBorders>
              <w:left w:val="double" w:sz="4" w:space="0" w:color="auto"/>
              <w:right w:val="nil"/>
            </w:tcBorders>
            <w:vAlign w:val="center"/>
          </w:tcPr>
          <w:p w14:paraId="5B0C5CA5"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29.1 </w:t>
            </w:r>
          </w:p>
        </w:tc>
        <w:tc>
          <w:tcPr>
            <w:tcW w:w="1080" w:type="dxa"/>
            <w:tcBorders>
              <w:left w:val="nil"/>
              <w:right w:val="nil"/>
            </w:tcBorders>
            <w:vAlign w:val="center"/>
          </w:tcPr>
          <w:p w14:paraId="044B0C13"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27.5 </w:t>
            </w:r>
          </w:p>
        </w:tc>
        <w:tc>
          <w:tcPr>
            <w:tcW w:w="1080" w:type="dxa"/>
            <w:tcBorders>
              <w:left w:val="nil"/>
              <w:right w:val="nil"/>
            </w:tcBorders>
            <w:vAlign w:val="center"/>
          </w:tcPr>
          <w:p w14:paraId="4E1AD81E"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25.8 </w:t>
            </w:r>
          </w:p>
        </w:tc>
        <w:tc>
          <w:tcPr>
            <w:tcW w:w="1089" w:type="dxa"/>
            <w:tcBorders>
              <w:left w:val="nil"/>
              <w:right w:val="nil"/>
            </w:tcBorders>
            <w:vAlign w:val="center"/>
          </w:tcPr>
          <w:p w14:paraId="76E1DEF9"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24.2 </w:t>
            </w:r>
          </w:p>
        </w:tc>
      </w:tr>
      <w:tr w:rsidR="00F1465E" w:rsidRPr="00AC67B2" w14:paraId="47226114" w14:textId="77777777" w:rsidTr="00231073">
        <w:trPr>
          <w:jc w:val="center"/>
        </w:trPr>
        <w:tc>
          <w:tcPr>
            <w:tcW w:w="1260" w:type="dxa"/>
            <w:tcBorders>
              <w:left w:val="nil"/>
              <w:right w:val="nil"/>
            </w:tcBorders>
          </w:tcPr>
          <w:p w14:paraId="2A82917F" w14:textId="77777777" w:rsidR="00F1465E" w:rsidRPr="00AC67B2" w:rsidRDefault="00F1465E" w:rsidP="00231073">
            <w:pPr>
              <w:spacing w:before="0" w:after="0" w:line="240" w:lineRule="auto"/>
              <w:ind w:firstLine="0"/>
              <w:rPr>
                <w:sz w:val="20"/>
                <w:szCs w:val="20"/>
                <w:lang w:val="hy-AM"/>
              </w:rPr>
            </w:pPr>
            <w:r w:rsidRPr="00AC67B2">
              <w:rPr>
                <w:sz w:val="20"/>
                <w:szCs w:val="20"/>
                <w:lang w:val="hy-AM"/>
              </w:rPr>
              <w:t xml:space="preserve"> EUR </w:t>
            </w:r>
          </w:p>
        </w:tc>
        <w:tc>
          <w:tcPr>
            <w:tcW w:w="1526" w:type="dxa"/>
            <w:tcBorders>
              <w:left w:val="nil"/>
              <w:right w:val="double" w:sz="4" w:space="0" w:color="auto"/>
            </w:tcBorders>
            <w:vAlign w:val="center"/>
          </w:tcPr>
          <w:p w14:paraId="6E147DD1"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15.3 </w:t>
            </w:r>
          </w:p>
        </w:tc>
        <w:tc>
          <w:tcPr>
            <w:tcW w:w="1080" w:type="dxa"/>
            <w:tcBorders>
              <w:left w:val="double" w:sz="4" w:space="0" w:color="auto"/>
              <w:right w:val="nil"/>
            </w:tcBorders>
            <w:vAlign w:val="center"/>
          </w:tcPr>
          <w:p w14:paraId="232B9C1C"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14.6 </w:t>
            </w:r>
          </w:p>
        </w:tc>
        <w:tc>
          <w:tcPr>
            <w:tcW w:w="1080" w:type="dxa"/>
            <w:tcBorders>
              <w:left w:val="nil"/>
              <w:right w:val="nil"/>
            </w:tcBorders>
            <w:vAlign w:val="center"/>
          </w:tcPr>
          <w:p w14:paraId="5B10A846"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16.4 </w:t>
            </w:r>
          </w:p>
        </w:tc>
        <w:tc>
          <w:tcPr>
            <w:tcW w:w="1080" w:type="dxa"/>
            <w:tcBorders>
              <w:left w:val="nil"/>
              <w:right w:val="nil"/>
            </w:tcBorders>
            <w:vAlign w:val="center"/>
          </w:tcPr>
          <w:p w14:paraId="291477EC"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16.8 </w:t>
            </w:r>
          </w:p>
        </w:tc>
        <w:tc>
          <w:tcPr>
            <w:tcW w:w="1089" w:type="dxa"/>
            <w:tcBorders>
              <w:left w:val="nil"/>
              <w:right w:val="nil"/>
            </w:tcBorders>
            <w:vAlign w:val="center"/>
          </w:tcPr>
          <w:p w14:paraId="11496131"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17.4 </w:t>
            </w:r>
          </w:p>
        </w:tc>
      </w:tr>
      <w:tr w:rsidR="00F1465E" w:rsidRPr="00AC67B2" w14:paraId="53D299C7" w14:textId="77777777" w:rsidTr="00231073">
        <w:trPr>
          <w:jc w:val="center"/>
        </w:trPr>
        <w:tc>
          <w:tcPr>
            <w:tcW w:w="1260" w:type="dxa"/>
            <w:tcBorders>
              <w:left w:val="nil"/>
              <w:right w:val="nil"/>
            </w:tcBorders>
          </w:tcPr>
          <w:p w14:paraId="0CF312A9" w14:textId="77777777" w:rsidR="00F1465E" w:rsidRPr="00AC67B2" w:rsidRDefault="00F1465E" w:rsidP="00231073">
            <w:pPr>
              <w:spacing w:before="0" w:after="0" w:line="240" w:lineRule="auto"/>
              <w:ind w:firstLine="0"/>
              <w:rPr>
                <w:sz w:val="20"/>
                <w:szCs w:val="20"/>
                <w:lang w:val="hy-AM"/>
              </w:rPr>
            </w:pPr>
            <w:r w:rsidRPr="00AC67B2">
              <w:rPr>
                <w:sz w:val="20"/>
                <w:szCs w:val="20"/>
                <w:lang w:val="hy-AM"/>
              </w:rPr>
              <w:t xml:space="preserve"> JPY </w:t>
            </w:r>
          </w:p>
        </w:tc>
        <w:tc>
          <w:tcPr>
            <w:tcW w:w="1526" w:type="dxa"/>
            <w:tcBorders>
              <w:left w:val="nil"/>
              <w:right w:val="double" w:sz="4" w:space="0" w:color="auto"/>
            </w:tcBorders>
            <w:vAlign w:val="center"/>
          </w:tcPr>
          <w:p w14:paraId="641FA16D"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4.0 </w:t>
            </w:r>
          </w:p>
        </w:tc>
        <w:tc>
          <w:tcPr>
            <w:tcW w:w="1080" w:type="dxa"/>
            <w:tcBorders>
              <w:left w:val="double" w:sz="4" w:space="0" w:color="auto"/>
              <w:right w:val="nil"/>
            </w:tcBorders>
            <w:vAlign w:val="center"/>
          </w:tcPr>
          <w:p w14:paraId="2C80D01B"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3.8 </w:t>
            </w:r>
          </w:p>
        </w:tc>
        <w:tc>
          <w:tcPr>
            <w:tcW w:w="1080" w:type="dxa"/>
            <w:tcBorders>
              <w:left w:val="nil"/>
              <w:right w:val="nil"/>
            </w:tcBorders>
            <w:vAlign w:val="center"/>
          </w:tcPr>
          <w:p w14:paraId="64BC58CC"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3.6 </w:t>
            </w:r>
          </w:p>
        </w:tc>
        <w:tc>
          <w:tcPr>
            <w:tcW w:w="1080" w:type="dxa"/>
            <w:tcBorders>
              <w:left w:val="nil"/>
              <w:right w:val="nil"/>
            </w:tcBorders>
            <w:vAlign w:val="center"/>
          </w:tcPr>
          <w:p w14:paraId="28A784C5"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3.4 </w:t>
            </w:r>
          </w:p>
        </w:tc>
        <w:tc>
          <w:tcPr>
            <w:tcW w:w="1089" w:type="dxa"/>
            <w:tcBorders>
              <w:left w:val="nil"/>
              <w:right w:val="nil"/>
            </w:tcBorders>
            <w:vAlign w:val="center"/>
          </w:tcPr>
          <w:p w14:paraId="3D9D3A4E"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3.3 </w:t>
            </w:r>
          </w:p>
        </w:tc>
      </w:tr>
      <w:tr w:rsidR="00F1465E" w:rsidRPr="00AC67B2" w14:paraId="1039AC74" w14:textId="77777777" w:rsidTr="00231073">
        <w:trPr>
          <w:jc w:val="center"/>
        </w:trPr>
        <w:tc>
          <w:tcPr>
            <w:tcW w:w="1260" w:type="dxa"/>
            <w:tcBorders>
              <w:left w:val="nil"/>
              <w:right w:val="nil"/>
            </w:tcBorders>
          </w:tcPr>
          <w:p w14:paraId="51624028" w14:textId="77777777" w:rsidR="00F1465E" w:rsidRPr="00AC67B2" w:rsidRDefault="00F1465E" w:rsidP="00231073">
            <w:pPr>
              <w:spacing w:before="0" w:after="0" w:line="240" w:lineRule="auto"/>
              <w:ind w:firstLine="0"/>
              <w:rPr>
                <w:sz w:val="20"/>
                <w:szCs w:val="20"/>
                <w:lang w:val="hy-AM"/>
              </w:rPr>
            </w:pPr>
            <w:r w:rsidRPr="00AC67B2">
              <w:rPr>
                <w:rFonts w:cs="Times Unicode"/>
                <w:sz w:val="20"/>
                <w:szCs w:val="20"/>
                <w:lang w:val="hy-AM"/>
              </w:rPr>
              <w:t>AED</w:t>
            </w:r>
          </w:p>
        </w:tc>
        <w:tc>
          <w:tcPr>
            <w:tcW w:w="1526" w:type="dxa"/>
            <w:tcBorders>
              <w:left w:val="nil"/>
              <w:right w:val="double" w:sz="4" w:space="0" w:color="auto"/>
            </w:tcBorders>
            <w:vAlign w:val="center"/>
          </w:tcPr>
          <w:p w14:paraId="414428B4"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0.1 </w:t>
            </w:r>
          </w:p>
        </w:tc>
        <w:tc>
          <w:tcPr>
            <w:tcW w:w="1080" w:type="dxa"/>
            <w:tcBorders>
              <w:left w:val="double" w:sz="4" w:space="0" w:color="auto"/>
              <w:right w:val="nil"/>
            </w:tcBorders>
            <w:vAlign w:val="center"/>
          </w:tcPr>
          <w:p w14:paraId="6EDA69FD"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0.1 </w:t>
            </w:r>
          </w:p>
        </w:tc>
        <w:tc>
          <w:tcPr>
            <w:tcW w:w="1080" w:type="dxa"/>
            <w:tcBorders>
              <w:left w:val="nil"/>
              <w:right w:val="nil"/>
            </w:tcBorders>
            <w:vAlign w:val="center"/>
          </w:tcPr>
          <w:p w14:paraId="4C20FEA1"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0.1 </w:t>
            </w:r>
          </w:p>
        </w:tc>
        <w:tc>
          <w:tcPr>
            <w:tcW w:w="1080" w:type="dxa"/>
            <w:tcBorders>
              <w:left w:val="nil"/>
              <w:right w:val="nil"/>
            </w:tcBorders>
            <w:vAlign w:val="center"/>
          </w:tcPr>
          <w:p w14:paraId="28D539BC"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0.0 </w:t>
            </w:r>
          </w:p>
        </w:tc>
        <w:tc>
          <w:tcPr>
            <w:tcW w:w="1089" w:type="dxa"/>
            <w:tcBorders>
              <w:left w:val="nil"/>
              <w:right w:val="nil"/>
            </w:tcBorders>
            <w:vAlign w:val="center"/>
          </w:tcPr>
          <w:p w14:paraId="1714B392"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0.0 </w:t>
            </w:r>
          </w:p>
        </w:tc>
      </w:tr>
      <w:tr w:rsidR="00F1465E" w:rsidRPr="00AC67B2" w14:paraId="0DC79D9F" w14:textId="77777777" w:rsidTr="00231073">
        <w:trPr>
          <w:jc w:val="center"/>
        </w:trPr>
        <w:tc>
          <w:tcPr>
            <w:tcW w:w="1260" w:type="dxa"/>
            <w:tcBorders>
              <w:left w:val="nil"/>
              <w:bottom w:val="thickThinSmallGap" w:sz="24" w:space="0" w:color="auto"/>
              <w:right w:val="nil"/>
            </w:tcBorders>
          </w:tcPr>
          <w:p w14:paraId="0F998B67" w14:textId="77777777" w:rsidR="00F1465E" w:rsidRPr="00AC67B2" w:rsidRDefault="00F1465E" w:rsidP="00231073">
            <w:pPr>
              <w:spacing w:before="0" w:after="0" w:line="240" w:lineRule="auto"/>
              <w:ind w:firstLine="0"/>
              <w:rPr>
                <w:rFonts w:cs="Times Unicode"/>
                <w:sz w:val="20"/>
                <w:szCs w:val="20"/>
                <w:lang w:val="hy-AM"/>
              </w:rPr>
            </w:pPr>
            <w:r w:rsidRPr="00AC67B2">
              <w:rPr>
                <w:rFonts w:cs="Times Unicode"/>
                <w:sz w:val="20"/>
                <w:szCs w:val="20"/>
                <w:lang w:val="hy-AM"/>
              </w:rPr>
              <w:t>CNY</w:t>
            </w:r>
          </w:p>
        </w:tc>
        <w:tc>
          <w:tcPr>
            <w:tcW w:w="1526" w:type="dxa"/>
            <w:tcBorders>
              <w:left w:val="nil"/>
              <w:bottom w:val="thickThinSmallGap" w:sz="24" w:space="0" w:color="auto"/>
              <w:right w:val="double" w:sz="4" w:space="0" w:color="auto"/>
            </w:tcBorders>
            <w:vAlign w:val="center"/>
          </w:tcPr>
          <w:p w14:paraId="108596CF"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0.4 </w:t>
            </w:r>
          </w:p>
        </w:tc>
        <w:tc>
          <w:tcPr>
            <w:tcW w:w="1080" w:type="dxa"/>
            <w:tcBorders>
              <w:left w:val="double" w:sz="4" w:space="0" w:color="auto"/>
              <w:bottom w:val="thickThinSmallGap" w:sz="24" w:space="0" w:color="auto"/>
              <w:right w:val="nil"/>
            </w:tcBorders>
            <w:vAlign w:val="center"/>
          </w:tcPr>
          <w:p w14:paraId="6FF73300"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0.4 </w:t>
            </w:r>
          </w:p>
        </w:tc>
        <w:tc>
          <w:tcPr>
            <w:tcW w:w="1080" w:type="dxa"/>
            <w:tcBorders>
              <w:left w:val="nil"/>
              <w:bottom w:val="thickThinSmallGap" w:sz="24" w:space="0" w:color="auto"/>
              <w:right w:val="nil"/>
            </w:tcBorders>
            <w:vAlign w:val="center"/>
          </w:tcPr>
          <w:p w14:paraId="796C82DA"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0.3 </w:t>
            </w:r>
          </w:p>
        </w:tc>
        <w:tc>
          <w:tcPr>
            <w:tcW w:w="1080" w:type="dxa"/>
            <w:tcBorders>
              <w:left w:val="nil"/>
              <w:bottom w:val="thickThinSmallGap" w:sz="24" w:space="0" w:color="auto"/>
              <w:right w:val="nil"/>
            </w:tcBorders>
            <w:vAlign w:val="center"/>
          </w:tcPr>
          <w:p w14:paraId="52E4EF23"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0.3 </w:t>
            </w:r>
          </w:p>
        </w:tc>
        <w:tc>
          <w:tcPr>
            <w:tcW w:w="1089" w:type="dxa"/>
            <w:tcBorders>
              <w:left w:val="nil"/>
              <w:bottom w:val="thickThinSmallGap" w:sz="24" w:space="0" w:color="auto"/>
              <w:right w:val="nil"/>
            </w:tcBorders>
            <w:vAlign w:val="center"/>
          </w:tcPr>
          <w:p w14:paraId="33B6FAFD" w14:textId="77777777" w:rsidR="00F1465E" w:rsidRPr="005710A4" w:rsidRDefault="00F1465E" w:rsidP="00231073">
            <w:pPr>
              <w:spacing w:before="0" w:after="0" w:line="240" w:lineRule="auto"/>
              <w:ind w:firstLine="0"/>
              <w:jc w:val="center"/>
              <w:rPr>
                <w:sz w:val="20"/>
                <w:szCs w:val="20"/>
                <w:lang w:val="hy-AM"/>
              </w:rPr>
            </w:pPr>
            <w:r w:rsidRPr="005710A4">
              <w:rPr>
                <w:sz w:val="20"/>
                <w:szCs w:val="20"/>
              </w:rPr>
              <w:t xml:space="preserve">0.3 </w:t>
            </w:r>
          </w:p>
        </w:tc>
      </w:tr>
    </w:tbl>
    <w:p w14:paraId="3DF68AD8" w14:textId="77777777" w:rsidR="00F1465E" w:rsidRPr="00AC67B2" w:rsidRDefault="00F1465E" w:rsidP="00F1465E">
      <w:pPr>
        <w:spacing w:before="0" w:after="0" w:line="360" w:lineRule="auto"/>
        <w:ind w:firstLine="720"/>
        <w:rPr>
          <w:color w:val="FF0000"/>
          <w:lang w:val="hy-AM"/>
        </w:rPr>
      </w:pPr>
    </w:p>
    <w:p w14:paraId="36394F25" w14:textId="77777777" w:rsidR="00F1465E" w:rsidRPr="006466FC" w:rsidRDefault="00F1465E" w:rsidP="00F1465E">
      <w:pPr>
        <w:spacing w:line="360" w:lineRule="auto"/>
        <w:ind w:firstLine="720"/>
        <w:rPr>
          <w:rFonts w:cs="Times Unicode"/>
          <w:lang w:val="hy-AM"/>
        </w:rPr>
      </w:pPr>
      <w:r w:rsidRPr="00A205DB">
        <w:rPr>
          <w:rFonts w:cs="Times Unicode"/>
          <w:lang w:val="hy-AM"/>
        </w:rPr>
        <w:t>ՀՀ</w:t>
      </w:r>
      <w:r w:rsidRPr="006466FC">
        <w:rPr>
          <w:rFonts w:cs="Times Unicode"/>
          <w:lang w:val="hy-AM"/>
        </w:rPr>
        <w:t xml:space="preserve"> կառավարության արտարժութային պարտքի կառուցվածքում ծավալով երկրորդը SDR-ով արտահայտված պարտքն է: </w:t>
      </w:r>
      <w:r w:rsidRPr="007B07A7">
        <w:rPr>
          <w:rFonts w:cs="Times Unicode"/>
          <w:lang w:val="hy-AM"/>
        </w:rPr>
        <w:t>Եթե SDR-</w:t>
      </w:r>
      <w:r w:rsidRPr="00AC67B2">
        <w:rPr>
          <w:rFonts w:cs="Times Unicode"/>
          <w:lang w:val="hy-AM"/>
        </w:rPr>
        <w:t xml:space="preserve">ը, որը կազմված է հինգ արժույթներից, </w:t>
      </w:r>
      <w:r w:rsidRPr="007B07A7">
        <w:rPr>
          <w:rFonts w:cs="Times Unicode"/>
          <w:lang w:val="hy-AM"/>
        </w:rPr>
        <w:t>տարանջատում ենք այդ արժույթների</w:t>
      </w:r>
      <w:r w:rsidRPr="00AC67B2">
        <w:rPr>
          <w:rFonts w:cs="Times Unicode"/>
          <w:lang w:val="hy-AM"/>
        </w:rPr>
        <w:t xml:space="preserve"> կշիռներին համապատասխան` </w:t>
      </w:r>
      <w:r w:rsidRPr="007B07A7">
        <w:rPr>
          <w:rFonts w:cs="Times Unicode"/>
          <w:lang w:val="hy-AM"/>
        </w:rPr>
        <w:t>USD – 41.73%, EUR – 30.93%, GBP – 8.09%, JPY – 8.33% և CNY – 10.92%, ապա ՀՀ կառավարության արտարժութային պարտքի կառուցվածք</w:t>
      </w:r>
      <w:r w:rsidRPr="00F738AB">
        <w:rPr>
          <w:rFonts w:cs="Times Unicode"/>
          <w:lang w:val="hy-AM"/>
        </w:rPr>
        <w:t>ն</w:t>
      </w:r>
      <w:r w:rsidRPr="007B07A7">
        <w:rPr>
          <w:rFonts w:cs="Times Unicode"/>
          <w:lang w:val="hy-AM"/>
        </w:rPr>
        <w:t xml:space="preserve"> ստանում է հետևյալ տեսքը` </w:t>
      </w:r>
    </w:p>
    <w:p w14:paraId="4F9E0DA4" w14:textId="77777777" w:rsidR="00F1465E" w:rsidRPr="00774AC5" w:rsidRDefault="00F1465E" w:rsidP="00F1465E">
      <w:pPr>
        <w:ind w:left="1701" w:hanging="1701"/>
        <w:rPr>
          <w:rFonts w:cs="Times Armenian"/>
          <w:i/>
          <w:sz w:val="20"/>
          <w:szCs w:val="20"/>
          <w:lang w:val="hy-AM"/>
        </w:rPr>
      </w:pPr>
      <w:r w:rsidRPr="00774AC5">
        <w:rPr>
          <w:rFonts w:cs="Sylfaen"/>
          <w:b/>
          <w:sz w:val="20"/>
          <w:szCs w:val="20"/>
          <w:lang w:val="hy-AM"/>
        </w:rPr>
        <w:t>Աղյուսակ</w:t>
      </w:r>
      <w:r w:rsidRPr="00774AC5">
        <w:rPr>
          <w:rFonts w:cs="Times Armenian"/>
          <w:b/>
          <w:sz w:val="20"/>
          <w:szCs w:val="20"/>
          <w:lang w:val="hy-AM"/>
        </w:rPr>
        <w:t xml:space="preserve"> </w:t>
      </w:r>
      <w:r w:rsidR="00774AC5" w:rsidRPr="00BE7F99">
        <w:rPr>
          <w:rFonts w:cs="Times Armenian"/>
          <w:b/>
          <w:sz w:val="20"/>
          <w:szCs w:val="20"/>
          <w:lang w:val="hy-AM"/>
        </w:rPr>
        <w:t>1.</w:t>
      </w:r>
      <w:r w:rsidRPr="00774AC5">
        <w:rPr>
          <w:rFonts w:cs="Times Armenian"/>
          <w:b/>
          <w:i/>
          <w:sz w:val="20"/>
          <w:szCs w:val="20"/>
          <w:lang w:val="hy-AM"/>
        </w:rPr>
        <w:t>9</w:t>
      </w:r>
      <w:r w:rsidR="00774AC5" w:rsidRPr="00BE7F99">
        <w:rPr>
          <w:rFonts w:cs="Times Armenian"/>
          <w:b/>
          <w:i/>
          <w:sz w:val="20"/>
          <w:szCs w:val="20"/>
          <w:lang w:val="hy-AM"/>
        </w:rPr>
        <w:t xml:space="preserve"> </w:t>
      </w:r>
      <w:r w:rsidRPr="00774AC5">
        <w:rPr>
          <w:rFonts w:cs="Sylfaen"/>
          <w:i/>
          <w:sz w:val="20"/>
          <w:szCs w:val="20"/>
          <w:lang w:val="hy-AM"/>
        </w:rPr>
        <w:t>ՀՀ</w:t>
      </w:r>
      <w:r w:rsidRPr="00774AC5">
        <w:rPr>
          <w:rFonts w:cs="Times Armenian"/>
          <w:i/>
          <w:sz w:val="20"/>
          <w:szCs w:val="20"/>
          <w:lang w:val="hy-AM"/>
        </w:rPr>
        <w:t xml:space="preserve"> </w:t>
      </w:r>
      <w:r w:rsidRPr="00774AC5">
        <w:rPr>
          <w:rFonts w:cs="Sylfaen"/>
          <w:i/>
          <w:sz w:val="20"/>
          <w:szCs w:val="20"/>
          <w:lang w:val="hy-AM"/>
        </w:rPr>
        <w:t>կառավարության</w:t>
      </w:r>
      <w:r w:rsidRPr="00774AC5">
        <w:rPr>
          <w:rFonts w:cs="Times Armenian"/>
          <w:i/>
          <w:sz w:val="20"/>
          <w:szCs w:val="20"/>
          <w:lang w:val="hy-AM"/>
        </w:rPr>
        <w:t xml:space="preserve"> </w:t>
      </w:r>
      <w:r w:rsidRPr="00774AC5">
        <w:rPr>
          <w:rFonts w:cs="Sylfaen"/>
          <w:i/>
          <w:sz w:val="20"/>
          <w:szCs w:val="20"/>
          <w:lang w:val="hy-AM"/>
        </w:rPr>
        <w:t>արտարժութային</w:t>
      </w:r>
      <w:r w:rsidRPr="00774AC5">
        <w:rPr>
          <w:rFonts w:cs="Times Armenian"/>
          <w:i/>
          <w:sz w:val="20"/>
          <w:szCs w:val="20"/>
          <w:lang w:val="hy-AM"/>
        </w:rPr>
        <w:t xml:space="preserve"> </w:t>
      </w:r>
      <w:r w:rsidRPr="00774AC5">
        <w:rPr>
          <w:rFonts w:cs="Sylfaen"/>
          <w:i/>
          <w:sz w:val="20"/>
          <w:szCs w:val="20"/>
          <w:lang w:val="hy-AM"/>
        </w:rPr>
        <w:t>պարտքի</w:t>
      </w:r>
      <w:r w:rsidRPr="00774AC5">
        <w:rPr>
          <w:rFonts w:cs="Times Armenian"/>
          <w:i/>
          <w:sz w:val="20"/>
          <w:szCs w:val="20"/>
          <w:lang w:val="hy-AM"/>
        </w:rPr>
        <w:t xml:space="preserve"> </w:t>
      </w:r>
      <w:r w:rsidRPr="00774AC5">
        <w:rPr>
          <w:rFonts w:cs="Sylfaen"/>
          <w:i/>
          <w:sz w:val="20"/>
          <w:szCs w:val="20"/>
          <w:lang w:val="hy-AM"/>
        </w:rPr>
        <w:t>կառուցվածքը</w:t>
      </w:r>
      <w:r w:rsidRPr="00774AC5">
        <w:rPr>
          <w:rFonts w:cs="Times Armenian"/>
          <w:i/>
          <w:sz w:val="20"/>
          <w:szCs w:val="20"/>
          <w:lang w:val="hy-AM"/>
        </w:rPr>
        <w:t xml:space="preserve"> </w:t>
      </w:r>
      <w:r w:rsidRPr="00774AC5">
        <w:rPr>
          <w:rFonts w:cs="Sylfaen"/>
          <w:i/>
          <w:sz w:val="20"/>
          <w:szCs w:val="20"/>
          <w:lang w:val="hy-AM"/>
        </w:rPr>
        <w:t>2020-2023թթ. տարեվերջի դրությամբ` SDR-ի</w:t>
      </w:r>
      <w:r w:rsidRPr="00774AC5">
        <w:rPr>
          <w:rFonts w:cs="Times Unicode"/>
          <w:i/>
          <w:sz w:val="20"/>
          <w:szCs w:val="20"/>
          <w:lang w:val="hy-AM"/>
        </w:rPr>
        <w:t xml:space="preserve"> տարանջատմամբ </w:t>
      </w:r>
      <w:r w:rsidRPr="00774AC5">
        <w:rPr>
          <w:rFonts w:cs="Times Armenian"/>
          <w:i/>
          <w:sz w:val="20"/>
          <w:szCs w:val="20"/>
          <w:lang w:val="hy-AM"/>
        </w:rPr>
        <w:t>(տոկոս)</w:t>
      </w:r>
    </w:p>
    <w:p w14:paraId="7D7E2630" w14:textId="77777777" w:rsidR="00F1465E" w:rsidRPr="00AC67B2" w:rsidRDefault="00F1465E" w:rsidP="00F1465E">
      <w:pPr>
        <w:ind w:left="6480"/>
        <w:rPr>
          <w:rFonts w:cs="Times Armenian"/>
          <w:i/>
          <w:sz w:val="20"/>
          <w:szCs w:val="20"/>
          <w:lang w:val="hy-AM"/>
        </w:rPr>
      </w:pPr>
      <w:r w:rsidRPr="00AC67B2">
        <w:rPr>
          <w:rFonts w:cs="Times Armenian"/>
          <w:i/>
          <w:sz w:val="20"/>
          <w:szCs w:val="20"/>
          <w:lang w:val="hy-AM"/>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7"/>
        <w:gridCol w:w="1359"/>
        <w:gridCol w:w="1080"/>
        <w:gridCol w:w="1080"/>
        <w:gridCol w:w="1080"/>
        <w:gridCol w:w="1080"/>
      </w:tblGrid>
      <w:tr w:rsidR="00F1465E" w:rsidRPr="00AC67B2" w14:paraId="61540D36" w14:textId="77777777" w:rsidTr="00231073">
        <w:trPr>
          <w:tblHeader/>
          <w:jc w:val="center"/>
        </w:trPr>
        <w:tc>
          <w:tcPr>
            <w:tcW w:w="1427" w:type="dxa"/>
            <w:tcBorders>
              <w:top w:val="thinThickThinSmallGap" w:sz="24" w:space="0" w:color="auto"/>
              <w:left w:val="nil"/>
              <w:bottom w:val="thinThickSmallGap" w:sz="24" w:space="0" w:color="auto"/>
              <w:right w:val="nil"/>
            </w:tcBorders>
            <w:shd w:val="clear" w:color="auto" w:fill="0B70B5"/>
          </w:tcPr>
          <w:p w14:paraId="6B8C08EE" w14:textId="77777777" w:rsidR="00F1465E" w:rsidRPr="00C35116" w:rsidRDefault="00F1465E" w:rsidP="00231073">
            <w:pPr>
              <w:spacing w:before="0" w:after="0" w:line="240" w:lineRule="auto"/>
              <w:ind w:firstLine="0"/>
              <w:jc w:val="center"/>
              <w:rPr>
                <w:color w:val="FFFFFF" w:themeColor="background1"/>
                <w:sz w:val="20"/>
                <w:szCs w:val="20"/>
                <w:lang w:val="hy-AM"/>
              </w:rPr>
            </w:pPr>
          </w:p>
        </w:tc>
        <w:tc>
          <w:tcPr>
            <w:tcW w:w="1359" w:type="dxa"/>
            <w:tcBorders>
              <w:top w:val="thinThickThinSmallGap" w:sz="24" w:space="0" w:color="auto"/>
              <w:left w:val="nil"/>
              <w:bottom w:val="thinThickSmallGap" w:sz="24" w:space="0" w:color="auto"/>
              <w:right w:val="nil"/>
            </w:tcBorders>
            <w:shd w:val="clear" w:color="auto" w:fill="0B70B5"/>
            <w:vAlign w:val="center"/>
          </w:tcPr>
          <w:p w14:paraId="763F7849"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պետբյուջեի ծրագիր</w:t>
            </w:r>
          </w:p>
        </w:tc>
        <w:tc>
          <w:tcPr>
            <w:tcW w:w="1080" w:type="dxa"/>
            <w:tcBorders>
              <w:top w:val="thinThickThinSmallGap" w:sz="24" w:space="0" w:color="auto"/>
              <w:left w:val="nil"/>
              <w:bottom w:val="thinThickSmallGap" w:sz="24" w:space="0" w:color="auto"/>
              <w:right w:val="nil"/>
            </w:tcBorders>
            <w:shd w:val="clear" w:color="auto" w:fill="0B70B5"/>
            <w:vAlign w:val="center"/>
          </w:tcPr>
          <w:p w14:paraId="7BF68306"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2020թ.</w:t>
            </w:r>
          </w:p>
          <w:p w14:paraId="3B0D7CC8"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կանխ.</w:t>
            </w:r>
          </w:p>
        </w:tc>
        <w:tc>
          <w:tcPr>
            <w:tcW w:w="1080" w:type="dxa"/>
            <w:tcBorders>
              <w:top w:val="thinThickThinSmallGap" w:sz="24" w:space="0" w:color="auto"/>
              <w:left w:val="nil"/>
              <w:bottom w:val="thinThickSmallGap" w:sz="24" w:space="0" w:color="auto"/>
              <w:right w:val="nil"/>
            </w:tcBorders>
            <w:shd w:val="clear" w:color="auto" w:fill="0B70B5"/>
            <w:vAlign w:val="center"/>
          </w:tcPr>
          <w:p w14:paraId="0F78EB63"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color w:val="FFFFFF" w:themeColor="background1"/>
                <w:sz w:val="20"/>
                <w:szCs w:val="20"/>
                <w:lang w:val="hy-AM"/>
              </w:rPr>
              <w:t>թ.</w:t>
            </w:r>
          </w:p>
          <w:p w14:paraId="2CEAE991"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կանխ.</w:t>
            </w:r>
          </w:p>
        </w:tc>
        <w:tc>
          <w:tcPr>
            <w:tcW w:w="1080" w:type="dxa"/>
            <w:tcBorders>
              <w:top w:val="thinThickThinSmallGap" w:sz="24" w:space="0" w:color="auto"/>
              <w:left w:val="nil"/>
              <w:bottom w:val="thinThickSmallGap" w:sz="24" w:space="0" w:color="auto"/>
              <w:right w:val="nil"/>
            </w:tcBorders>
            <w:shd w:val="clear" w:color="auto" w:fill="0B70B5"/>
            <w:vAlign w:val="center"/>
          </w:tcPr>
          <w:p w14:paraId="4B0F26C8"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color w:val="FFFFFF" w:themeColor="background1"/>
                <w:sz w:val="20"/>
                <w:szCs w:val="20"/>
                <w:lang w:val="hy-AM"/>
              </w:rPr>
              <w:t>թ.</w:t>
            </w:r>
          </w:p>
          <w:p w14:paraId="1F4FAEF5"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կանխ.</w:t>
            </w:r>
          </w:p>
        </w:tc>
        <w:tc>
          <w:tcPr>
            <w:tcW w:w="1080" w:type="dxa"/>
            <w:tcBorders>
              <w:top w:val="thinThickThinSmallGap" w:sz="24" w:space="0" w:color="auto"/>
              <w:left w:val="nil"/>
              <w:bottom w:val="thinThickSmallGap" w:sz="24" w:space="0" w:color="auto"/>
              <w:right w:val="nil"/>
            </w:tcBorders>
            <w:shd w:val="clear" w:color="auto" w:fill="0B70B5"/>
            <w:vAlign w:val="center"/>
          </w:tcPr>
          <w:p w14:paraId="4EF7C0D9"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color w:val="FFFFFF" w:themeColor="background1"/>
                <w:sz w:val="20"/>
                <w:szCs w:val="20"/>
                <w:lang w:val="hy-AM"/>
              </w:rPr>
              <w:t>թ.</w:t>
            </w:r>
          </w:p>
          <w:p w14:paraId="11AE287D"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կանխ.</w:t>
            </w:r>
          </w:p>
        </w:tc>
      </w:tr>
      <w:tr w:rsidR="00F1465E" w:rsidRPr="00AC67B2" w14:paraId="72639D7A" w14:textId="77777777" w:rsidTr="00231073">
        <w:trPr>
          <w:jc w:val="center"/>
        </w:trPr>
        <w:tc>
          <w:tcPr>
            <w:tcW w:w="1427" w:type="dxa"/>
            <w:tcBorders>
              <w:top w:val="thinThickSmallGap" w:sz="24" w:space="0" w:color="auto"/>
              <w:left w:val="nil"/>
              <w:right w:val="nil"/>
            </w:tcBorders>
            <w:vAlign w:val="center"/>
          </w:tcPr>
          <w:p w14:paraId="708BCD98" w14:textId="77777777" w:rsidR="00F1465E" w:rsidRPr="00AC67B2" w:rsidRDefault="00F1465E" w:rsidP="00231073">
            <w:pPr>
              <w:spacing w:before="0" w:after="0" w:line="240" w:lineRule="auto"/>
              <w:ind w:firstLine="0"/>
              <w:rPr>
                <w:sz w:val="20"/>
                <w:szCs w:val="20"/>
                <w:lang w:val="hy-AM"/>
              </w:rPr>
            </w:pPr>
            <w:r w:rsidRPr="00AC67B2">
              <w:rPr>
                <w:sz w:val="20"/>
                <w:szCs w:val="20"/>
                <w:lang w:val="hy-AM"/>
              </w:rPr>
              <w:t>USD</w:t>
            </w:r>
          </w:p>
        </w:tc>
        <w:tc>
          <w:tcPr>
            <w:tcW w:w="1359" w:type="dxa"/>
            <w:tcBorders>
              <w:top w:val="thinThickSmallGap" w:sz="24" w:space="0" w:color="auto"/>
              <w:left w:val="nil"/>
              <w:right w:val="nil"/>
            </w:tcBorders>
            <w:vAlign w:val="center"/>
          </w:tcPr>
          <w:p w14:paraId="3E5B3F86"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65.5 </w:t>
            </w:r>
          </w:p>
        </w:tc>
        <w:tc>
          <w:tcPr>
            <w:tcW w:w="1080" w:type="dxa"/>
            <w:tcBorders>
              <w:top w:val="thinThickSmallGap" w:sz="24" w:space="0" w:color="auto"/>
              <w:left w:val="nil"/>
              <w:right w:val="nil"/>
            </w:tcBorders>
            <w:vAlign w:val="center"/>
          </w:tcPr>
          <w:p w14:paraId="4DA0C288"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64.1 </w:t>
            </w:r>
          </w:p>
        </w:tc>
        <w:tc>
          <w:tcPr>
            <w:tcW w:w="1080" w:type="dxa"/>
            <w:tcBorders>
              <w:top w:val="thinThickSmallGap" w:sz="24" w:space="0" w:color="auto"/>
              <w:left w:val="nil"/>
              <w:right w:val="nil"/>
            </w:tcBorders>
            <w:vAlign w:val="center"/>
          </w:tcPr>
          <w:p w14:paraId="2B53C6DB"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63.6 </w:t>
            </w:r>
          </w:p>
        </w:tc>
        <w:tc>
          <w:tcPr>
            <w:tcW w:w="1080" w:type="dxa"/>
            <w:tcBorders>
              <w:top w:val="thinThickSmallGap" w:sz="24" w:space="0" w:color="auto"/>
              <w:left w:val="nil"/>
              <w:right w:val="nil"/>
            </w:tcBorders>
            <w:vAlign w:val="center"/>
          </w:tcPr>
          <w:p w14:paraId="4800852B"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64.4 </w:t>
            </w:r>
          </w:p>
        </w:tc>
        <w:tc>
          <w:tcPr>
            <w:tcW w:w="1080" w:type="dxa"/>
            <w:tcBorders>
              <w:top w:val="thinThickSmallGap" w:sz="24" w:space="0" w:color="auto"/>
              <w:left w:val="nil"/>
              <w:right w:val="nil"/>
            </w:tcBorders>
            <w:vAlign w:val="center"/>
          </w:tcPr>
          <w:p w14:paraId="570192A5"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64.8 </w:t>
            </w:r>
          </w:p>
        </w:tc>
      </w:tr>
      <w:tr w:rsidR="00F1465E" w:rsidRPr="00AC67B2" w14:paraId="50FB804D" w14:textId="77777777" w:rsidTr="00231073">
        <w:trPr>
          <w:jc w:val="center"/>
        </w:trPr>
        <w:tc>
          <w:tcPr>
            <w:tcW w:w="1427" w:type="dxa"/>
            <w:tcBorders>
              <w:left w:val="nil"/>
              <w:right w:val="nil"/>
            </w:tcBorders>
            <w:vAlign w:val="center"/>
          </w:tcPr>
          <w:p w14:paraId="729D53D8" w14:textId="77777777" w:rsidR="00F1465E" w:rsidRPr="00AC67B2" w:rsidRDefault="00F1465E" w:rsidP="00231073">
            <w:pPr>
              <w:spacing w:before="0" w:after="0" w:line="240" w:lineRule="auto"/>
              <w:ind w:firstLine="0"/>
              <w:rPr>
                <w:sz w:val="20"/>
                <w:szCs w:val="20"/>
                <w:lang w:val="hy-AM"/>
              </w:rPr>
            </w:pPr>
            <w:r w:rsidRPr="00AC67B2">
              <w:rPr>
                <w:sz w:val="20"/>
                <w:szCs w:val="20"/>
                <w:lang w:val="hy-AM"/>
              </w:rPr>
              <w:t>EUR</w:t>
            </w:r>
          </w:p>
        </w:tc>
        <w:tc>
          <w:tcPr>
            <w:tcW w:w="1359" w:type="dxa"/>
            <w:tcBorders>
              <w:left w:val="nil"/>
              <w:right w:val="nil"/>
            </w:tcBorders>
            <w:vAlign w:val="center"/>
          </w:tcPr>
          <w:p w14:paraId="18A66F7F"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23.1 </w:t>
            </w:r>
          </w:p>
        </w:tc>
        <w:tc>
          <w:tcPr>
            <w:tcW w:w="1080" w:type="dxa"/>
            <w:tcBorders>
              <w:left w:val="nil"/>
              <w:right w:val="nil"/>
            </w:tcBorders>
            <w:vAlign w:val="center"/>
          </w:tcPr>
          <w:p w14:paraId="44100F83"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23.6 </w:t>
            </w:r>
          </w:p>
        </w:tc>
        <w:tc>
          <w:tcPr>
            <w:tcW w:w="1080" w:type="dxa"/>
            <w:tcBorders>
              <w:left w:val="nil"/>
              <w:right w:val="nil"/>
            </w:tcBorders>
            <w:vAlign w:val="center"/>
          </w:tcPr>
          <w:p w14:paraId="372FED28"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24.9 </w:t>
            </w:r>
          </w:p>
        </w:tc>
        <w:tc>
          <w:tcPr>
            <w:tcW w:w="1080" w:type="dxa"/>
            <w:tcBorders>
              <w:left w:val="nil"/>
              <w:right w:val="nil"/>
            </w:tcBorders>
            <w:vAlign w:val="center"/>
          </w:tcPr>
          <w:p w14:paraId="44A9E5D5"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24.8 </w:t>
            </w:r>
          </w:p>
        </w:tc>
        <w:tc>
          <w:tcPr>
            <w:tcW w:w="1080" w:type="dxa"/>
            <w:tcBorders>
              <w:left w:val="nil"/>
              <w:right w:val="nil"/>
            </w:tcBorders>
            <w:vAlign w:val="center"/>
          </w:tcPr>
          <w:p w14:paraId="44E2EF1A"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24.9 </w:t>
            </w:r>
          </w:p>
        </w:tc>
      </w:tr>
      <w:tr w:rsidR="00F1465E" w:rsidRPr="00AC67B2" w14:paraId="178596DA" w14:textId="77777777" w:rsidTr="00231073">
        <w:trPr>
          <w:jc w:val="center"/>
        </w:trPr>
        <w:tc>
          <w:tcPr>
            <w:tcW w:w="1427" w:type="dxa"/>
            <w:tcBorders>
              <w:left w:val="nil"/>
              <w:right w:val="nil"/>
            </w:tcBorders>
            <w:vAlign w:val="center"/>
          </w:tcPr>
          <w:p w14:paraId="5B75EB3A" w14:textId="77777777" w:rsidR="00F1465E" w:rsidRPr="00AC67B2" w:rsidRDefault="00F1465E" w:rsidP="00231073">
            <w:pPr>
              <w:spacing w:before="0" w:after="0" w:line="240" w:lineRule="auto"/>
              <w:ind w:firstLine="0"/>
              <w:rPr>
                <w:sz w:val="20"/>
                <w:szCs w:val="20"/>
                <w:lang w:val="hy-AM"/>
              </w:rPr>
            </w:pPr>
            <w:r w:rsidRPr="00AC67B2">
              <w:rPr>
                <w:sz w:val="20"/>
                <w:szCs w:val="20"/>
                <w:lang w:val="hy-AM"/>
              </w:rPr>
              <w:t>GBP</w:t>
            </w:r>
          </w:p>
        </w:tc>
        <w:tc>
          <w:tcPr>
            <w:tcW w:w="1359" w:type="dxa"/>
            <w:tcBorders>
              <w:left w:val="nil"/>
              <w:right w:val="nil"/>
            </w:tcBorders>
            <w:vAlign w:val="center"/>
          </w:tcPr>
          <w:p w14:paraId="55CE076E"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2.0 </w:t>
            </w:r>
          </w:p>
        </w:tc>
        <w:tc>
          <w:tcPr>
            <w:tcW w:w="1080" w:type="dxa"/>
            <w:tcBorders>
              <w:left w:val="nil"/>
              <w:right w:val="nil"/>
            </w:tcBorders>
            <w:vAlign w:val="center"/>
          </w:tcPr>
          <w:p w14:paraId="5BFFEE5C"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2.4 </w:t>
            </w:r>
          </w:p>
        </w:tc>
        <w:tc>
          <w:tcPr>
            <w:tcW w:w="1080" w:type="dxa"/>
            <w:tcBorders>
              <w:left w:val="nil"/>
              <w:right w:val="nil"/>
            </w:tcBorders>
            <w:vAlign w:val="center"/>
          </w:tcPr>
          <w:p w14:paraId="046832BE"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2.2 </w:t>
            </w:r>
          </w:p>
        </w:tc>
        <w:tc>
          <w:tcPr>
            <w:tcW w:w="1080" w:type="dxa"/>
            <w:tcBorders>
              <w:left w:val="nil"/>
              <w:right w:val="nil"/>
            </w:tcBorders>
            <w:vAlign w:val="center"/>
          </w:tcPr>
          <w:p w14:paraId="2C6F450B"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2.1 </w:t>
            </w:r>
          </w:p>
        </w:tc>
        <w:tc>
          <w:tcPr>
            <w:tcW w:w="1080" w:type="dxa"/>
            <w:tcBorders>
              <w:left w:val="nil"/>
              <w:right w:val="nil"/>
            </w:tcBorders>
            <w:vAlign w:val="center"/>
          </w:tcPr>
          <w:p w14:paraId="43B87C4E"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2.0 </w:t>
            </w:r>
          </w:p>
        </w:tc>
      </w:tr>
      <w:tr w:rsidR="00F1465E" w:rsidRPr="00AC67B2" w14:paraId="7D8C2524" w14:textId="77777777" w:rsidTr="00231073">
        <w:trPr>
          <w:jc w:val="center"/>
        </w:trPr>
        <w:tc>
          <w:tcPr>
            <w:tcW w:w="1427" w:type="dxa"/>
            <w:tcBorders>
              <w:left w:val="nil"/>
              <w:right w:val="nil"/>
            </w:tcBorders>
            <w:vAlign w:val="center"/>
          </w:tcPr>
          <w:p w14:paraId="7AF8ECDA" w14:textId="77777777" w:rsidR="00F1465E" w:rsidRPr="00AC67B2" w:rsidRDefault="00F1465E" w:rsidP="00231073">
            <w:pPr>
              <w:spacing w:before="0" w:after="0" w:line="240" w:lineRule="auto"/>
              <w:ind w:firstLine="0"/>
              <w:rPr>
                <w:sz w:val="20"/>
                <w:szCs w:val="20"/>
                <w:lang w:val="hy-AM"/>
              </w:rPr>
            </w:pPr>
            <w:r w:rsidRPr="00AC67B2">
              <w:rPr>
                <w:sz w:val="20"/>
                <w:szCs w:val="20"/>
                <w:lang w:val="hy-AM"/>
              </w:rPr>
              <w:t>JPY</w:t>
            </w:r>
          </w:p>
        </w:tc>
        <w:tc>
          <w:tcPr>
            <w:tcW w:w="1359" w:type="dxa"/>
            <w:tcBorders>
              <w:left w:val="nil"/>
              <w:right w:val="nil"/>
            </w:tcBorders>
            <w:vAlign w:val="center"/>
          </w:tcPr>
          <w:p w14:paraId="3AA36839"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6.1 </w:t>
            </w:r>
          </w:p>
        </w:tc>
        <w:tc>
          <w:tcPr>
            <w:tcW w:w="1080" w:type="dxa"/>
            <w:tcBorders>
              <w:left w:val="nil"/>
              <w:right w:val="nil"/>
            </w:tcBorders>
            <w:vAlign w:val="center"/>
          </w:tcPr>
          <w:p w14:paraId="29E22475"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6.3 </w:t>
            </w:r>
          </w:p>
        </w:tc>
        <w:tc>
          <w:tcPr>
            <w:tcW w:w="1080" w:type="dxa"/>
            <w:tcBorders>
              <w:left w:val="nil"/>
              <w:right w:val="nil"/>
            </w:tcBorders>
            <w:vAlign w:val="center"/>
          </w:tcPr>
          <w:p w14:paraId="639D567F"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5.9 </w:t>
            </w:r>
          </w:p>
        </w:tc>
        <w:tc>
          <w:tcPr>
            <w:tcW w:w="1080" w:type="dxa"/>
            <w:tcBorders>
              <w:left w:val="nil"/>
              <w:right w:val="nil"/>
            </w:tcBorders>
            <w:vAlign w:val="center"/>
          </w:tcPr>
          <w:p w14:paraId="260C369B"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5.5 </w:t>
            </w:r>
          </w:p>
        </w:tc>
        <w:tc>
          <w:tcPr>
            <w:tcW w:w="1080" w:type="dxa"/>
            <w:tcBorders>
              <w:left w:val="nil"/>
              <w:right w:val="nil"/>
            </w:tcBorders>
            <w:vAlign w:val="center"/>
          </w:tcPr>
          <w:p w14:paraId="3D97A470"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5.4 </w:t>
            </w:r>
          </w:p>
        </w:tc>
      </w:tr>
      <w:tr w:rsidR="00F1465E" w:rsidRPr="00AC67B2" w14:paraId="585C1F22" w14:textId="77777777" w:rsidTr="00231073">
        <w:trPr>
          <w:jc w:val="center"/>
        </w:trPr>
        <w:tc>
          <w:tcPr>
            <w:tcW w:w="1427" w:type="dxa"/>
            <w:tcBorders>
              <w:left w:val="nil"/>
              <w:right w:val="nil"/>
            </w:tcBorders>
            <w:vAlign w:val="center"/>
          </w:tcPr>
          <w:p w14:paraId="0479C8B9" w14:textId="77777777" w:rsidR="00F1465E" w:rsidRPr="00AC67B2" w:rsidRDefault="00F1465E" w:rsidP="00231073">
            <w:pPr>
              <w:spacing w:before="0" w:after="0" w:line="240" w:lineRule="auto"/>
              <w:ind w:firstLine="0"/>
              <w:rPr>
                <w:sz w:val="20"/>
                <w:szCs w:val="20"/>
                <w:lang w:val="hy-AM"/>
              </w:rPr>
            </w:pPr>
            <w:r w:rsidRPr="00AC67B2">
              <w:rPr>
                <w:sz w:val="20"/>
                <w:szCs w:val="20"/>
                <w:lang w:val="hy-AM"/>
              </w:rPr>
              <w:t>AED</w:t>
            </w:r>
          </w:p>
        </w:tc>
        <w:tc>
          <w:tcPr>
            <w:tcW w:w="1359" w:type="dxa"/>
            <w:tcBorders>
              <w:left w:val="nil"/>
              <w:right w:val="nil"/>
            </w:tcBorders>
            <w:vAlign w:val="center"/>
          </w:tcPr>
          <w:p w14:paraId="4F161163"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0.1 </w:t>
            </w:r>
          </w:p>
        </w:tc>
        <w:tc>
          <w:tcPr>
            <w:tcW w:w="1080" w:type="dxa"/>
            <w:tcBorders>
              <w:left w:val="nil"/>
              <w:right w:val="nil"/>
            </w:tcBorders>
            <w:vAlign w:val="center"/>
          </w:tcPr>
          <w:p w14:paraId="1CA5D4F0"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0.1 </w:t>
            </w:r>
          </w:p>
        </w:tc>
        <w:tc>
          <w:tcPr>
            <w:tcW w:w="1080" w:type="dxa"/>
            <w:tcBorders>
              <w:left w:val="nil"/>
              <w:right w:val="nil"/>
            </w:tcBorders>
            <w:vAlign w:val="center"/>
          </w:tcPr>
          <w:p w14:paraId="20E6CA17"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0.1 </w:t>
            </w:r>
          </w:p>
        </w:tc>
        <w:tc>
          <w:tcPr>
            <w:tcW w:w="1080" w:type="dxa"/>
            <w:tcBorders>
              <w:left w:val="nil"/>
              <w:right w:val="nil"/>
            </w:tcBorders>
            <w:vAlign w:val="center"/>
          </w:tcPr>
          <w:p w14:paraId="50E39218"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0.0 </w:t>
            </w:r>
          </w:p>
        </w:tc>
        <w:tc>
          <w:tcPr>
            <w:tcW w:w="1080" w:type="dxa"/>
            <w:tcBorders>
              <w:left w:val="nil"/>
              <w:right w:val="nil"/>
            </w:tcBorders>
            <w:vAlign w:val="center"/>
          </w:tcPr>
          <w:p w14:paraId="45689655"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0.0 </w:t>
            </w:r>
          </w:p>
        </w:tc>
      </w:tr>
      <w:tr w:rsidR="00F1465E" w:rsidRPr="00AC67B2" w14:paraId="75F26097" w14:textId="77777777" w:rsidTr="00231073">
        <w:trPr>
          <w:jc w:val="center"/>
        </w:trPr>
        <w:tc>
          <w:tcPr>
            <w:tcW w:w="1427" w:type="dxa"/>
            <w:tcBorders>
              <w:left w:val="nil"/>
              <w:bottom w:val="thickThinSmallGap" w:sz="24" w:space="0" w:color="auto"/>
              <w:right w:val="nil"/>
            </w:tcBorders>
            <w:vAlign w:val="center"/>
          </w:tcPr>
          <w:p w14:paraId="6123368A" w14:textId="77777777" w:rsidR="00F1465E" w:rsidRPr="00AC67B2" w:rsidRDefault="00F1465E" w:rsidP="00231073">
            <w:pPr>
              <w:spacing w:before="0" w:after="0" w:line="240" w:lineRule="auto"/>
              <w:ind w:firstLine="0"/>
              <w:rPr>
                <w:sz w:val="20"/>
                <w:szCs w:val="20"/>
                <w:lang w:val="hy-AM"/>
              </w:rPr>
            </w:pPr>
            <w:r w:rsidRPr="00AC67B2">
              <w:rPr>
                <w:rFonts w:cs="Times Unicode"/>
                <w:sz w:val="20"/>
                <w:szCs w:val="20"/>
                <w:lang w:val="hy-AM"/>
              </w:rPr>
              <w:t>CNY</w:t>
            </w:r>
          </w:p>
        </w:tc>
        <w:tc>
          <w:tcPr>
            <w:tcW w:w="1359" w:type="dxa"/>
            <w:tcBorders>
              <w:left w:val="nil"/>
              <w:bottom w:val="thickThinSmallGap" w:sz="24" w:space="0" w:color="auto"/>
              <w:right w:val="nil"/>
            </w:tcBorders>
            <w:vAlign w:val="center"/>
          </w:tcPr>
          <w:p w14:paraId="1EF02826"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3.1 </w:t>
            </w:r>
          </w:p>
        </w:tc>
        <w:tc>
          <w:tcPr>
            <w:tcW w:w="1080" w:type="dxa"/>
            <w:tcBorders>
              <w:left w:val="nil"/>
              <w:bottom w:val="thickThinSmallGap" w:sz="24" w:space="0" w:color="auto"/>
              <w:right w:val="nil"/>
            </w:tcBorders>
            <w:vAlign w:val="center"/>
          </w:tcPr>
          <w:p w14:paraId="7E40EF60"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3.5 </w:t>
            </w:r>
          </w:p>
        </w:tc>
        <w:tc>
          <w:tcPr>
            <w:tcW w:w="1080" w:type="dxa"/>
            <w:tcBorders>
              <w:left w:val="nil"/>
              <w:bottom w:val="thickThinSmallGap" w:sz="24" w:space="0" w:color="auto"/>
              <w:right w:val="nil"/>
            </w:tcBorders>
            <w:vAlign w:val="center"/>
          </w:tcPr>
          <w:p w14:paraId="1C2C3136"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3.3 </w:t>
            </w:r>
          </w:p>
        </w:tc>
        <w:tc>
          <w:tcPr>
            <w:tcW w:w="1080" w:type="dxa"/>
            <w:tcBorders>
              <w:left w:val="nil"/>
              <w:bottom w:val="thickThinSmallGap" w:sz="24" w:space="0" w:color="auto"/>
              <w:right w:val="nil"/>
            </w:tcBorders>
            <w:vAlign w:val="center"/>
          </w:tcPr>
          <w:p w14:paraId="6668977E"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3.1 </w:t>
            </w:r>
          </w:p>
        </w:tc>
        <w:tc>
          <w:tcPr>
            <w:tcW w:w="1080" w:type="dxa"/>
            <w:tcBorders>
              <w:left w:val="nil"/>
              <w:bottom w:val="thickThinSmallGap" w:sz="24" w:space="0" w:color="auto"/>
              <w:right w:val="nil"/>
            </w:tcBorders>
            <w:vAlign w:val="center"/>
          </w:tcPr>
          <w:p w14:paraId="5588A36D" w14:textId="77777777" w:rsidR="00F1465E" w:rsidRPr="007A5DD2" w:rsidRDefault="00F1465E" w:rsidP="00231073">
            <w:pPr>
              <w:spacing w:before="0" w:after="0" w:line="240" w:lineRule="auto"/>
              <w:ind w:firstLine="0"/>
              <w:jc w:val="center"/>
              <w:rPr>
                <w:sz w:val="20"/>
                <w:szCs w:val="20"/>
                <w:lang w:val="hy-AM"/>
              </w:rPr>
            </w:pPr>
            <w:r w:rsidRPr="007A5DD2">
              <w:rPr>
                <w:sz w:val="20"/>
                <w:szCs w:val="20"/>
              </w:rPr>
              <w:t xml:space="preserve">2.9 </w:t>
            </w:r>
          </w:p>
        </w:tc>
      </w:tr>
    </w:tbl>
    <w:p w14:paraId="6E707272" w14:textId="77777777" w:rsidR="00F1465E" w:rsidRDefault="00F1465E" w:rsidP="00F1465E">
      <w:pPr>
        <w:spacing w:before="0" w:after="0" w:line="360" w:lineRule="auto"/>
        <w:ind w:firstLine="720"/>
        <w:rPr>
          <w:rFonts w:cs="Times Unicode"/>
        </w:rPr>
      </w:pPr>
    </w:p>
    <w:p w14:paraId="6AE36756" w14:textId="77777777" w:rsidR="00F1465E" w:rsidRDefault="00F1465E" w:rsidP="00774AC5">
      <w:pPr>
        <w:spacing w:line="276" w:lineRule="auto"/>
        <w:ind w:firstLine="720"/>
        <w:rPr>
          <w:rFonts w:cs="Times Unicode"/>
        </w:rPr>
      </w:pPr>
      <w:r w:rsidRPr="00AC67B2">
        <w:rPr>
          <w:rFonts w:cs="Times Unicode"/>
          <w:lang w:val="hy-AM"/>
        </w:rPr>
        <w:t xml:space="preserve">Փոխարժեքի ռիսկի նվազման և արդյունավետ կառավարման նպատակով </w:t>
      </w:r>
      <w:r w:rsidRPr="006466FC">
        <w:rPr>
          <w:rFonts w:cs="Times Unicode"/>
          <w:lang w:val="hy-AM"/>
        </w:rPr>
        <w:t>նոր վարկերի պայմանները քննարկելիս հնարավորության դեպքում</w:t>
      </w:r>
      <w:r w:rsidRPr="00A205DB">
        <w:rPr>
          <w:rFonts w:cs="Times Unicode"/>
          <w:lang w:val="hy-AM"/>
        </w:rPr>
        <w:t xml:space="preserve"> </w:t>
      </w:r>
      <w:r w:rsidRPr="006466FC">
        <w:rPr>
          <w:rFonts w:cs="Times Unicode"/>
          <w:lang w:val="hy-AM"/>
        </w:rPr>
        <w:t>կնվազեցվի մեկ կամ մի քանի արժույթներից կախվածությունը:</w:t>
      </w:r>
      <w:r w:rsidRPr="00C31CDC">
        <w:rPr>
          <w:rFonts w:cs="Times Unicode"/>
          <w:lang w:val="hy-AM"/>
        </w:rPr>
        <w:t xml:space="preserve"> </w:t>
      </w:r>
      <w:r w:rsidRPr="006466FC">
        <w:rPr>
          <w:rFonts w:cs="Times Unicode"/>
          <w:lang w:val="hy-AM"/>
        </w:rPr>
        <w:t xml:space="preserve">Միաժամանակ </w:t>
      </w:r>
      <w:r w:rsidRPr="00AC67B2">
        <w:rPr>
          <w:rFonts w:cs="Times Unicode"/>
          <w:lang w:val="hy-AM"/>
        </w:rPr>
        <w:t>չի բացառվում, որ ապագայում օգտագործվեն հեջավորման տարբեր մոտեցումներ (օրինակ` արտարժութային սվոփներ):</w:t>
      </w:r>
    </w:p>
    <w:p w14:paraId="31004C0C" w14:textId="77777777" w:rsidR="00F1465E" w:rsidRPr="003F67BA" w:rsidRDefault="00F1465E" w:rsidP="00774AC5">
      <w:pPr>
        <w:spacing w:line="276" w:lineRule="auto"/>
        <w:ind w:firstLine="720"/>
        <w:rPr>
          <w:rFonts w:cs="Times Unicode"/>
        </w:rPr>
      </w:pPr>
      <w:r w:rsidRPr="003F4C4C">
        <w:rPr>
          <w:rFonts w:cs="Times Unicode"/>
          <w:lang w:val="hy-AM"/>
        </w:rPr>
        <w:t xml:space="preserve">ՀՀ կառավարության արտարժութային պարտքի կառուցվածքում </w:t>
      </w:r>
      <w:r>
        <w:rPr>
          <w:rFonts w:cs="Times Unicode"/>
        </w:rPr>
        <w:t xml:space="preserve">կանխատեսվող ժամանակահատվածի վերջում </w:t>
      </w:r>
      <w:r w:rsidRPr="003F4C4C">
        <w:rPr>
          <w:rFonts w:cs="Times Unicode"/>
          <w:lang w:val="hy-AM"/>
        </w:rPr>
        <w:t xml:space="preserve">2019թ. փաստացի ցուցանիշի նկատմամբ բոլոր արժույթների տեսակարար կշիռները նվազում են՝ բացի եվրոյից: Այսպես, ԱՄՆ դոլարի կշիռը նվազում է 0.7 </w:t>
      </w:r>
      <w:r w:rsidRPr="003F4C4C">
        <w:rPr>
          <w:rFonts w:cs="Times Unicode"/>
          <w:lang w:val="hy-AM"/>
        </w:rPr>
        <w:lastRenderedPageBreak/>
        <w:t>տոկոսային կետով, SDR–ը՝ 2.4 տոկոսային կետով,  ճապոնական իենի կշիռը նվազում է 0.8  տոկոսային կետով և այլն: Մինչդեռ եվրոյի տեսակարար կշիռը նշված ժամանակահատվածում աճում է 4.1 տոկոսային կետով:</w:t>
      </w:r>
    </w:p>
    <w:p w14:paraId="7372414C" w14:textId="77777777" w:rsidR="00F6712B" w:rsidRDefault="00F6712B" w:rsidP="00774AC5">
      <w:pPr>
        <w:spacing w:line="276" w:lineRule="auto"/>
        <w:ind w:left="1985" w:hanging="1985"/>
        <w:rPr>
          <w:rFonts w:cs="Sylfaen"/>
          <w:b/>
          <w:lang w:val="hy-AM"/>
        </w:rPr>
      </w:pPr>
    </w:p>
    <w:p w14:paraId="013FF1C1" w14:textId="77777777" w:rsidR="00F1465E" w:rsidRPr="00774AC5" w:rsidRDefault="00F1465E" w:rsidP="00774AC5">
      <w:pPr>
        <w:spacing w:line="276" w:lineRule="auto"/>
        <w:ind w:left="1985" w:hanging="1985"/>
        <w:rPr>
          <w:i/>
          <w:color w:val="FF0000"/>
          <w:sz w:val="20"/>
          <w:szCs w:val="20"/>
          <w:lang w:val="hy-AM" w:eastAsia="ru-RU"/>
        </w:rPr>
      </w:pPr>
      <w:r w:rsidRPr="00774AC5">
        <w:rPr>
          <w:rFonts w:cs="Sylfaen"/>
          <w:b/>
          <w:sz w:val="20"/>
          <w:szCs w:val="20"/>
          <w:lang w:val="hy-AM"/>
        </w:rPr>
        <w:t>Գծապատկեր 9</w:t>
      </w:r>
      <w:r w:rsidRPr="00774AC5">
        <w:rPr>
          <w:rFonts w:cs="Sylfaen"/>
          <w:b/>
          <w:i/>
          <w:sz w:val="20"/>
          <w:szCs w:val="20"/>
          <w:lang w:val="hy-AM"/>
        </w:rPr>
        <w:t>.</w:t>
      </w:r>
      <w:r w:rsidRPr="00774AC5">
        <w:rPr>
          <w:rFonts w:cs="Sylfaen"/>
          <w:i/>
          <w:sz w:val="20"/>
          <w:szCs w:val="20"/>
          <w:lang w:val="hy-AM"/>
        </w:rPr>
        <w:t xml:space="preserve">   ՀՀ կառավարության արտարժութային պարտքի գծով վճարումների կշիռը արտարժութային միջին տարեկան ակտիվներում 2020-2023թթ. </w:t>
      </w:r>
    </w:p>
    <w:p w14:paraId="0D2A3762" w14:textId="77777777" w:rsidR="00F1465E" w:rsidRPr="00464C22" w:rsidRDefault="00F1465E" w:rsidP="00F1465E">
      <w:pPr>
        <w:jc w:val="center"/>
        <w:rPr>
          <w:color w:val="FF0000"/>
          <w:lang w:eastAsia="ru-RU"/>
        </w:rPr>
      </w:pPr>
      <w:r>
        <w:rPr>
          <w:noProof/>
          <w:color w:val="FF0000"/>
        </w:rPr>
        <w:drawing>
          <wp:inline distT="0" distB="0" distL="0" distR="0" wp14:anchorId="4B60BAE7" wp14:editId="58EF14BC">
            <wp:extent cx="5370830" cy="3347720"/>
            <wp:effectExtent l="0" t="0" r="127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370830" cy="3347720"/>
                    </a:xfrm>
                    <a:prstGeom prst="rect">
                      <a:avLst/>
                    </a:prstGeom>
                    <a:noFill/>
                  </pic:spPr>
                </pic:pic>
              </a:graphicData>
            </a:graphic>
          </wp:inline>
        </w:drawing>
      </w:r>
    </w:p>
    <w:p w14:paraId="279B5BE8" w14:textId="77777777" w:rsidR="00F1465E" w:rsidRPr="008C796D" w:rsidRDefault="00F1465E" w:rsidP="00F1465E">
      <w:pPr>
        <w:rPr>
          <w:rFonts w:cs="Sylfaen"/>
          <w:b/>
          <w:color w:val="FF0000"/>
        </w:rPr>
      </w:pPr>
    </w:p>
    <w:p w14:paraId="0E21A631" w14:textId="77777777" w:rsidR="00F1465E" w:rsidRPr="00AC67B2" w:rsidRDefault="00F1465E" w:rsidP="00774AC5">
      <w:pPr>
        <w:spacing w:line="276" w:lineRule="auto"/>
        <w:ind w:firstLine="720"/>
        <w:rPr>
          <w:rFonts w:cs="Times Unicode"/>
          <w:lang w:val="hy-AM"/>
        </w:rPr>
      </w:pPr>
      <w:r w:rsidRPr="00AC67B2">
        <w:rPr>
          <w:rFonts w:cs="Times Unicode"/>
          <w:lang w:val="hy-AM"/>
        </w:rPr>
        <w:t xml:space="preserve">ՀՀ կառավարության արտարժութային պարտքի գծով վճարումների կշիռն արտարժութային միջին տարեկան ակտիվների ծավալի նկատմամբ </w:t>
      </w:r>
      <w:r w:rsidRPr="00A205DB">
        <w:rPr>
          <w:rFonts w:cs="Times Unicode"/>
          <w:lang w:val="hy-AM"/>
        </w:rPr>
        <w:t>ցուցանիշը միջնաժամկետ հատվածում կաճի 0.4 տոկոսային կետով և ժամանակահատվածի վերջում կկազմի 18.2%</w:t>
      </w:r>
      <w:r w:rsidRPr="00AC67B2">
        <w:rPr>
          <w:rFonts w:cs="Times Unicode"/>
          <w:lang w:val="hy-AM"/>
        </w:rPr>
        <w:t xml:space="preserve">: Այս ցուցանիշը գնահատում է ՀՀ կառավարության հնարավորությունը սպասարկելու արտարժութային պարտքի մարումներն ու տոկոսագումարների վճարումները` արտարժութային ակտիվների բավարար ծավալի առկայության տեսանկյունից: </w:t>
      </w:r>
    </w:p>
    <w:p w14:paraId="3BF16BE6" w14:textId="77777777" w:rsidR="00F1465E" w:rsidRDefault="00F1465E" w:rsidP="00774AC5">
      <w:pPr>
        <w:spacing w:line="276" w:lineRule="auto"/>
        <w:ind w:firstLine="720"/>
        <w:rPr>
          <w:rFonts w:cs="Times Unicode"/>
          <w:color w:val="FF0000"/>
          <w:lang w:val="hy-AM"/>
        </w:rPr>
      </w:pPr>
    </w:p>
    <w:p w14:paraId="37C51A54" w14:textId="77777777" w:rsidR="00F1465E" w:rsidRPr="00AC67B2" w:rsidRDefault="00F1465E" w:rsidP="00774AC5">
      <w:pPr>
        <w:spacing w:after="100" w:afterAutospacing="1" w:line="276" w:lineRule="auto"/>
        <w:ind w:firstLine="720"/>
        <w:rPr>
          <w:rFonts w:cs="Times Unicode"/>
          <w:i/>
          <w:lang w:val="hy-AM"/>
        </w:rPr>
      </w:pPr>
      <w:r w:rsidRPr="00AC67B2">
        <w:rPr>
          <w:rFonts w:cs="Times Unicode"/>
          <w:i/>
          <w:lang w:val="hy-AM"/>
        </w:rPr>
        <w:t>Վերաֆինանսավորման ռիսկ</w:t>
      </w:r>
    </w:p>
    <w:p w14:paraId="1F8FDA7D" w14:textId="77777777" w:rsidR="00F1465E" w:rsidRPr="006466FC" w:rsidRDefault="00F1465E" w:rsidP="00774AC5">
      <w:pPr>
        <w:spacing w:after="100" w:afterAutospacing="1" w:line="276" w:lineRule="auto"/>
        <w:ind w:firstLine="720"/>
        <w:rPr>
          <w:rFonts w:cs="Times Unicode"/>
          <w:lang w:val="hy-AM"/>
        </w:rPr>
      </w:pPr>
      <w:r w:rsidRPr="00AC67B2">
        <w:rPr>
          <w:rFonts w:cs="Times Unicode"/>
          <w:lang w:val="hy-AM"/>
        </w:rPr>
        <w:t>Վերաֆինանսավորման ռիսկը կարևորվում է՝ պայմանավորված առաջիկա տարիներին ՀՀ կառավա</w:t>
      </w:r>
      <w:r w:rsidRPr="00AC67B2">
        <w:rPr>
          <w:rFonts w:cs="Times Unicode"/>
          <w:lang w:val="hy-AM"/>
        </w:rPr>
        <w:softHyphen/>
        <w:t xml:space="preserve">րության պարտքի մարումների ծավալներով և միջազգային ու ներքին ֆինանսական շուկաներում հնարավոր բացասական զարգացումներով: Նոր պարտքի ներգրավման ընթացքում ՀՀ </w:t>
      </w:r>
      <w:r w:rsidRPr="00AC67B2">
        <w:rPr>
          <w:rFonts w:cs="Times Unicode"/>
          <w:lang w:val="hy-AM"/>
        </w:rPr>
        <w:lastRenderedPageBreak/>
        <w:t xml:space="preserve">կառավարությունը </w:t>
      </w:r>
      <w:r>
        <w:rPr>
          <w:rFonts w:cs="Times Unicode"/>
          <w:lang w:val="hy-AM"/>
        </w:rPr>
        <w:t xml:space="preserve">միջոցներ </w:t>
      </w:r>
      <w:r w:rsidRPr="009E1493">
        <w:rPr>
          <w:rFonts w:cs="Times Unicode"/>
          <w:lang w:val="hy-AM"/>
        </w:rPr>
        <w:t xml:space="preserve">է </w:t>
      </w:r>
      <w:r>
        <w:rPr>
          <w:rFonts w:cs="Times Unicode"/>
          <w:lang w:val="hy-AM"/>
        </w:rPr>
        <w:t>ձեռնարկում</w:t>
      </w:r>
      <w:r w:rsidRPr="00AC67B2">
        <w:rPr>
          <w:rFonts w:cs="Times Unicode"/>
          <w:lang w:val="hy-AM"/>
        </w:rPr>
        <w:t xml:space="preserve"> մարում</w:t>
      </w:r>
      <w:r w:rsidRPr="00AC67B2">
        <w:rPr>
          <w:rFonts w:cs="Times Unicode"/>
          <w:lang w:val="hy-AM"/>
        </w:rPr>
        <w:softHyphen/>
        <w:t>ների գրաֆիկը</w:t>
      </w:r>
      <w:r w:rsidRPr="00F738AB">
        <w:rPr>
          <w:rFonts w:cs="Times Unicode"/>
          <w:lang w:val="hy-AM"/>
        </w:rPr>
        <w:t xml:space="preserve"> </w:t>
      </w:r>
      <w:r w:rsidRPr="009E1493">
        <w:rPr>
          <w:rFonts w:cs="Times Unicode"/>
          <w:lang w:val="hy-AM"/>
        </w:rPr>
        <w:t>հար</w:t>
      </w:r>
      <w:r w:rsidRPr="009E1493">
        <w:rPr>
          <w:rFonts w:cs="Times Unicode"/>
          <w:lang w:val="hy-AM"/>
        </w:rPr>
        <w:softHyphen/>
        <w:t>թեցնել</w:t>
      </w:r>
      <w:r>
        <w:rPr>
          <w:rFonts w:cs="Times Unicode"/>
          <w:lang w:val="hy-AM"/>
        </w:rPr>
        <w:t>ու</w:t>
      </w:r>
      <w:r w:rsidRPr="00AC67B2">
        <w:rPr>
          <w:rFonts w:cs="Times Unicode"/>
          <w:lang w:val="hy-AM"/>
        </w:rPr>
        <w:t xml:space="preserve"> և </w:t>
      </w:r>
      <w:r w:rsidRPr="00F27C4D">
        <w:rPr>
          <w:rFonts w:cs="Times Unicode"/>
          <w:lang w:val="hy-AM"/>
        </w:rPr>
        <w:t>վերաֆինանսա</w:t>
      </w:r>
      <w:r w:rsidRPr="00F27C4D">
        <w:rPr>
          <w:rFonts w:cs="Times Unicode"/>
          <w:lang w:val="hy-AM"/>
        </w:rPr>
        <w:softHyphen/>
        <w:t>վորման ռիսկը</w:t>
      </w:r>
      <w:r w:rsidRPr="009F018F">
        <w:rPr>
          <w:rFonts w:cs="Times Unicode"/>
          <w:lang w:val="hy-AM"/>
        </w:rPr>
        <w:t xml:space="preserve"> </w:t>
      </w:r>
      <w:r w:rsidRPr="009E1493">
        <w:rPr>
          <w:rFonts w:cs="Times Unicode"/>
          <w:lang w:val="hy-AM"/>
        </w:rPr>
        <w:t>մեղմել</w:t>
      </w:r>
      <w:r>
        <w:rPr>
          <w:rFonts w:cs="Times Unicode"/>
          <w:lang w:val="hy-AM"/>
        </w:rPr>
        <w:t>ու ուղղությամբ</w:t>
      </w:r>
      <w:r w:rsidRPr="00F27C4D">
        <w:rPr>
          <w:rFonts w:cs="Times Unicode"/>
          <w:lang w:val="hy-AM"/>
        </w:rPr>
        <w:t>: Վերաֆինանսավորման ռիսկի նվազեց</w:t>
      </w:r>
      <w:r w:rsidRPr="00F27C4D">
        <w:rPr>
          <w:rFonts w:cs="Times Unicode"/>
          <w:lang w:val="hy-AM"/>
        </w:rPr>
        <w:softHyphen/>
        <w:t>ման նպատակով կիրառվում են նաև հետգնումներ:</w:t>
      </w:r>
      <w:r w:rsidRPr="006466FC">
        <w:rPr>
          <w:rFonts w:cs="Times Unicode"/>
          <w:lang w:val="hy-AM"/>
        </w:rPr>
        <w:t xml:space="preserve"> </w:t>
      </w:r>
    </w:p>
    <w:p w14:paraId="6CBDBC4F" w14:textId="77777777" w:rsidR="00F1465E" w:rsidRPr="00774AC5" w:rsidRDefault="00F1465E" w:rsidP="00F1465E">
      <w:pPr>
        <w:rPr>
          <w:sz w:val="20"/>
          <w:szCs w:val="20"/>
          <w:lang w:val="hy-AM"/>
        </w:rPr>
      </w:pPr>
      <w:r w:rsidRPr="00774AC5">
        <w:rPr>
          <w:rFonts w:cs="Times Unicode"/>
          <w:b/>
          <w:sz w:val="20"/>
          <w:szCs w:val="20"/>
          <w:lang w:val="hy-AM"/>
        </w:rPr>
        <w:t>Աղյուսակ</w:t>
      </w:r>
      <w:r w:rsidRPr="00774AC5">
        <w:rPr>
          <w:b/>
          <w:sz w:val="20"/>
          <w:szCs w:val="20"/>
          <w:lang w:val="hy-AM"/>
        </w:rPr>
        <w:t xml:space="preserve"> </w:t>
      </w:r>
      <w:r w:rsidR="00774AC5" w:rsidRPr="00BE7F99">
        <w:rPr>
          <w:b/>
          <w:sz w:val="20"/>
          <w:szCs w:val="20"/>
          <w:lang w:val="hy-AM"/>
        </w:rPr>
        <w:t>1.</w:t>
      </w:r>
      <w:r w:rsidRPr="00774AC5">
        <w:rPr>
          <w:b/>
          <w:sz w:val="20"/>
          <w:szCs w:val="20"/>
          <w:lang w:val="hy-AM"/>
        </w:rPr>
        <w:t>10</w:t>
      </w:r>
      <w:r w:rsidRPr="00774AC5">
        <w:rPr>
          <w:sz w:val="20"/>
          <w:szCs w:val="20"/>
          <w:lang w:val="hy-AM"/>
        </w:rPr>
        <w:t xml:space="preserve"> </w:t>
      </w:r>
      <w:r w:rsidRPr="00774AC5">
        <w:rPr>
          <w:rFonts w:cs="Times Unicode"/>
          <w:i/>
          <w:sz w:val="20"/>
          <w:szCs w:val="20"/>
          <w:lang w:val="hy-AM"/>
        </w:rPr>
        <w:t>ՀՀ</w:t>
      </w:r>
      <w:r w:rsidRPr="00774AC5">
        <w:rPr>
          <w:i/>
          <w:sz w:val="20"/>
          <w:szCs w:val="20"/>
          <w:lang w:val="hy-AM"/>
        </w:rPr>
        <w:t xml:space="preserve"> </w:t>
      </w:r>
      <w:r w:rsidRPr="00774AC5">
        <w:rPr>
          <w:rFonts w:cs="Times Unicode"/>
          <w:i/>
          <w:sz w:val="20"/>
          <w:szCs w:val="20"/>
          <w:lang w:val="hy-AM"/>
        </w:rPr>
        <w:t>կառավարության</w:t>
      </w:r>
      <w:r w:rsidRPr="00774AC5">
        <w:rPr>
          <w:i/>
          <w:sz w:val="20"/>
          <w:szCs w:val="20"/>
          <w:lang w:val="hy-AM"/>
        </w:rPr>
        <w:t xml:space="preserve"> </w:t>
      </w:r>
      <w:r w:rsidRPr="00774AC5">
        <w:rPr>
          <w:rFonts w:cs="Times Unicode"/>
          <w:i/>
          <w:sz w:val="20"/>
          <w:szCs w:val="20"/>
          <w:lang w:val="hy-AM"/>
        </w:rPr>
        <w:t>պարտքի</w:t>
      </w:r>
      <w:r w:rsidRPr="00774AC5">
        <w:rPr>
          <w:i/>
          <w:sz w:val="20"/>
          <w:szCs w:val="20"/>
          <w:lang w:val="hy-AM"/>
        </w:rPr>
        <w:t xml:space="preserve"> </w:t>
      </w:r>
      <w:r w:rsidRPr="00774AC5">
        <w:rPr>
          <w:rFonts w:cs="Times Unicode"/>
          <w:i/>
          <w:sz w:val="20"/>
          <w:szCs w:val="20"/>
          <w:lang w:val="hy-AM"/>
        </w:rPr>
        <w:t>վերաֆինանսավորման ռիսկի ցուցանիշները</w:t>
      </w:r>
      <w:r w:rsidRPr="00774AC5">
        <w:rPr>
          <w:i/>
          <w:sz w:val="20"/>
          <w:szCs w:val="20"/>
          <w:lang w:val="hy-AM"/>
        </w:rPr>
        <w:t xml:space="preserve"> 2020-2023</w:t>
      </w:r>
      <w:r w:rsidRPr="00774AC5">
        <w:rPr>
          <w:rFonts w:cs="Times Unicode"/>
          <w:i/>
          <w:sz w:val="20"/>
          <w:szCs w:val="20"/>
          <w:lang w:val="hy-AM"/>
        </w:rPr>
        <w:t>թթ</w:t>
      </w:r>
      <w:r w:rsidRPr="00774AC5">
        <w:rPr>
          <w:i/>
          <w:sz w:val="20"/>
          <w:szCs w:val="20"/>
          <w:lang w:val="hy-AM"/>
        </w:rPr>
        <w:t xml:space="preserve">. </w:t>
      </w:r>
    </w:p>
    <w:p w14:paraId="45EE06CE" w14:textId="77777777" w:rsidR="00F1465E" w:rsidRPr="00AC67B2" w:rsidRDefault="00F1465E" w:rsidP="00F1465E">
      <w:pPr>
        <w:rPr>
          <w:sz w:val="20"/>
          <w:szCs w:val="20"/>
          <w:lang w:val="hy-A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1"/>
        <w:gridCol w:w="1351"/>
        <w:gridCol w:w="1093"/>
        <w:gridCol w:w="1067"/>
        <w:gridCol w:w="1086"/>
      </w:tblGrid>
      <w:tr w:rsidR="00F1465E" w:rsidRPr="00BB7FB8" w14:paraId="670DBDE2" w14:textId="77777777" w:rsidTr="00231073">
        <w:trPr>
          <w:trHeight w:val="530"/>
          <w:tblHeader/>
          <w:jc w:val="center"/>
        </w:trPr>
        <w:tc>
          <w:tcPr>
            <w:tcW w:w="5871" w:type="dxa"/>
            <w:tcBorders>
              <w:top w:val="thinThickThinSmallGap" w:sz="24" w:space="0" w:color="auto"/>
              <w:left w:val="nil"/>
              <w:bottom w:val="thinThickSmallGap" w:sz="24" w:space="0" w:color="auto"/>
              <w:right w:val="nil"/>
            </w:tcBorders>
            <w:shd w:val="clear" w:color="auto" w:fill="0B70B5"/>
            <w:vAlign w:val="center"/>
          </w:tcPr>
          <w:p w14:paraId="5787DA16" w14:textId="77777777" w:rsidR="00F1465E" w:rsidRPr="00C35116" w:rsidRDefault="00F1465E" w:rsidP="00231073">
            <w:pPr>
              <w:spacing w:before="0" w:after="0" w:line="240" w:lineRule="auto"/>
              <w:ind w:firstLine="0"/>
              <w:jc w:val="center"/>
              <w:rPr>
                <w:color w:val="FFFFFF" w:themeColor="background1"/>
                <w:sz w:val="20"/>
                <w:szCs w:val="20"/>
                <w:lang w:val="hy-AM"/>
              </w:rPr>
            </w:pPr>
          </w:p>
        </w:tc>
        <w:tc>
          <w:tcPr>
            <w:tcW w:w="1364" w:type="dxa"/>
            <w:tcBorders>
              <w:top w:val="thinThickThinSmallGap" w:sz="24" w:space="0" w:color="auto"/>
              <w:left w:val="nil"/>
              <w:bottom w:val="thinThickSmallGap" w:sz="24" w:space="0" w:color="auto"/>
              <w:right w:val="nil"/>
            </w:tcBorders>
            <w:shd w:val="clear" w:color="auto" w:fill="0B70B5"/>
            <w:vAlign w:val="center"/>
          </w:tcPr>
          <w:p w14:paraId="11C66240"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100" w:type="dxa"/>
            <w:tcBorders>
              <w:top w:val="thinThickThinSmallGap" w:sz="24" w:space="0" w:color="auto"/>
              <w:left w:val="nil"/>
              <w:bottom w:val="thinThickSmallGap" w:sz="24" w:space="0" w:color="auto"/>
              <w:right w:val="nil"/>
            </w:tcBorders>
            <w:shd w:val="clear" w:color="auto" w:fill="0B70B5"/>
            <w:vAlign w:val="center"/>
          </w:tcPr>
          <w:p w14:paraId="02B3E614"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73" w:type="dxa"/>
            <w:tcBorders>
              <w:top w:val="thinThickThinSmallGap" w:sz="24" w:space="0" w:color="auto"/>
              <w:left w:val="nil"/>
              <w:bottom w:val="thinThickSmallGap" w:sz="24" w:space="0" w:color="auto"/>
              <w:right w:val="nil"/>
            </w:tcBorders>
            <w:shd w:val="clear" w:color="auto" w:fill="0B70B5"/>
            <w:vAlign w:val="center"/>
          </w:tcPr>
          <w:p w14:paraId="4A8E42EA"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92" w:type="dxa"/>
            <w:tcBorders>
              <w:top w:val="thinThickThinSmallGap" w:sz="24" w:space="0" w:color="auto"/>
              <w:left w:val="nil"/>
              <w:bottom w:val="thinThickSmallGap" w:sz="24" w:space="0" w:color="auto"/>
              <w:right w:val="nil"/>
            </w:tcBorders>
            <w:shd w:val="clear" w:color="auto" w:fill="0B70B5"/>
            <w:vAlign w:val="center"/>
          </w:tcPr>
          <w:p w14:paraId="4EA9E6F2"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AC67B2" w14:paraId="15251768" w14:textId="77777777" w:rsidTr="00231073">
        <w:trPr>
          <w:trHeight w:val="690"/>
          <w:jc w:val="center"/>
        </w:trPr>
        <w:tc>
          <w:tcPr>
            <w:tcW w:w="5871" w:type="dxa"/>
            <w:tcBorders>
              <w:top w:val="thinThickSmallGap" w:sz="24" w:space="0" w:color="auto"/>
              <w:left w:val="nil"/>
              <w:right w:val="nil"/>
            </w:tcBorders>
          </w:tcPr>
          <w:p w14:paraId="153A7D7E" w14:textId="77777777" w:rsidR="00F1465E" w:rsidRPr="00AC67B2" w:rsidRDefault="00F1465E" w:rsidP="00231073">
            <w:pPr>
              <w:spacing w:before="0" w:after="0" w:line="240" w:lineRule="auto"/>
              <w:ind w:firstLine="0"/>
              <w:jc w:val="left"/>
              <w:rPr>
                <w:b/>
                <w:sz w:val="20"/>
                <w:szCs w:val="20"/>
                <w:lang w:val="hy-AM"/>
              </w:rPr>
            </w:pPr>
            <w:r w:rsidRPr="00AC67B2">
              <w:rPr>
                <w:rFonts w:cs="Times Unicode"/>
                <w:b/>
                <w:sz w:val="20"/>
                <w:szCs w:val="20"/>
                <w:lang w:val="hy-AM"/>
              </w:rPr>
              <w:t>ՀՀ</w:t>
            </w:r>
            <w:r w:rsidRPr="00AC67B2">
              <w:rPr>
                <w:b/>
                <w:sz w:val="20"/>
                <w:szCs w:val="20"/>
                <w:lang w:val="hy-AM"/>
              </w:rPr>
              <w:t xml:space="preserve"> </w:t>
            </w:r>
            <w:r w:rsidRPr="00AC67B2">
              <w:rPr>
                <w:rFonts w:cs="Times Unicode"/>
                <w:b/>
                <w:sz w:val="20"/>
                <w:szCs w:val="20"/>
                <w:lang w:val="hy-AM"/>
              </w:rPr>
              <w:t>կառավարության</w:t>
            </w:r>
            <w:r w:rsidRPr="00AC67B2">
              <w:rPr>
                <w:b/>
                <w:sz w:val="20"/>
                <w:szCs w:val="20"/>
                <w:lang w:val="hy-AM"/>
              </w:rPr>
              <w:t xml:space="preserve"> </w:t>
            </w:r>
            <w:r w:rsidRPr="00AC67B2">
              <w:rPr>
                <w:rFonts w:cs="Times Unicode"/>
                <w:b/>
                <w:sz w:val="20"/>
                <w:szCs w:val="20"/>
                <w:lang w:val="hy-AM"/>
              </w:rPr>
              <w:t>պարտքի մինչև մարում միջին ժամկետը, (տարի)</w:t>
            </w:r>
          </w:p>
        </w:tc>
        <w:tc>
          <w:tcPr>
            <w:tcW w:w="1364" w:type="dxa"/>
            <w:tcBorders>
              <w:top w:val="thinThickSmallGap" w:sz="24" w:space="0" w:color="auto"/>
              <w:left w:val="nil"/>
              <w:right w:val="nil"/>
            </w:tcBorders>
            <w:vAlign w:val="center"/>
          </w:tcPr>
          <w:p w14:paraId="7FECFDF2" w14:textId="77777777" w:rsidR="00F1465E" w:rsidRPr="00A945B1" w:rsidRDefault="00F1465E" w:rsidP="00231073">
            <w:pPr>
              <w:spacing w:before="0" w:after="0" w:line="240" w:lineRule="auto"/>
              <w:ind w:firstLine="0"/>
              <w:jc w:val="center"/>
              <w:rPr>
                <w:b/>
                <w:sz w:val="20"/>
                <w:szCs w:val="20"/>
              </w:rPr>
            </w:pPr>
            <w:r w:rsidRPr="00AC67B2">
              <w:rPr>
                <w:b/>
                <w:sz w:val="20"/>
                <w:szCs w:val="20"/>
                <w:lang w:val="hy-AM"/>
              </w:rPr>
              <w:t>8.</w:t>
            </w:r>
            <w:r>
              <w:rPr>
                <w:b/>
                <w:sz w:val="20"/>
                <w:szCs w:val="20"/>
              </w:rPr>
              <w:t>7</w:t>
            </w:r>
          </w:p>
        </w:tc>
        <w:tc>
          <w:tcPr>
            <w:tcW w:w="1100" w:type="dxa"/>
            <w:tcBorders>
              <w:top w:val="thinThickSmallGap" w:sz="24" w:space="0" w:color="auto"/>
              <w:left w:val="nil"/>
              <w:right w:val="nil"/>
            </w:tcBorders>
            <w:vAlign w:val="center"/>
          </w:tcPr>
          <w:p w14:paraId="41D72F70" w14:textId="77777777" w:rsidR="00F1465E" w:rsidRPr="00A945B1" w:rsidRDefault="00F1465E" w:rsidP="00231073">
            <w:pPr>
              <w:spacing w:before="0" w:after="0" w:line="240" w:lineRule="auto"/>
              <w:ind w:firstLine="0"/>
              <w:jc w:val="center"/>
              <w:rPr>
                <w:b/>
                <w:sz w:val="20"/>
                <w:szCs w:val="20"/>
              </w:rPr>
            </w:pPr>
            <w:r w:rsidRPr="00AC67B2">
              <w:rPr>
                <w:b/>
                <w:sz w:val="20"/>
                <w:szCs w:val="20"/>
                <w:lang w:val="hy-AM"/>
              </w:rPr>
              <w:t>8.</w:t>
            </w:r>
            <w:r>
              <w:rPr>
                <w:b/>
                <w:sz w:val="20"/>
                <w:szCs w:val="20"/>
              </w:rPr>
              <w:t>5</w:t>
            </w:r>
          </w:p>
        </w:tc>
        <w:tc>
          <w:tcPr>
            <w:tcW w:w="1073" w:type="dxa"/>
            <w:tcBorders>
              <w:top w:val="thinThickSmallGap" w:sz="24" w:space="0" w:color="auto"/>
              <w:left w:val="nil"/>
              <w:right w:val="nil"/>
            </w:tcBorders>
            <w:vAlign w:val="center"/>
          </w:tcPr>
          <w:p w14:paraId="7743C5B5" w14:textId="77777777" w:rsidR="00F1465E" w:rsidRPr="00AC67B2" w:rsidRDefault="00F1465E" w:rsidP="00231073">
            <w:pPr>
              <w:spacing w:before="0" w:after="0" w:line="240" w:lineRule="auto"/>
              <w:ind w:firstLine="0"/>
              <w:jc w:val="center"/>
              <w:rPr>
                <w:b/>
                <w:sz w:val="20"/>
                <w:szCs w:val="20"/>
                <w:lang w:val="hy-AM"/>
              </w:rPr>
            </w:pPr>
            <w:r w:rsidRPr="00AC67B2">
              <w:rPr>
                <w:b/>
                <w:sz w:val="20"/>
                <w:szCs w:val="20"/>
                <w:lang w:val="hy-AM"/>
              </w:rPr>
              <w:t>8.0</w:t>
            </w:r>
          </w:p>
        </w:tc>
        <w:tc>
          <w:tcPr>
            <w:tcW w:w="1092" w:type="dxa"/>
            <w:tcBorders>
              <w:top w:val="thinThickSmallGap" w:sz="24" w:space="0" w:color="auto"/>
              <w:left w:val="nil"/>
              <w:right w:val="nil"/>
            </w:tcBorders>
            <w:vAlign w:val="center"/>
          </w:tcPr>
          <w:p w14:paraId="7E04B1C7" w14:textId="77777777" w:rsidR="00F1465E" w:rsidRPr="00AC67B2" w:rsidRDefault="00F1465E" w:rsidP="00231073">
            <w:pPr>
              <w:spacing w:before="0" w:after="0" w:line="240" w:lineRule="auto"/>
              <w:ind w:firstLine="0"/>
              <w:jc w:val="center"/>
              <w:rPr>
                <w:b/>
                <w:sz w:val="20"/>
                <w:szCs w:val="20"/>
                <w:lang w:val="hy-AM"/>
              </w:rPr>
            </w:pPr>
            <w:r w:rsidRPr="00AC67B2">
              <w:rPr>
                <w:b/>
                <w:sz w:val="20"/>
                <w:szCs w:val="20"/>
                <w:lang w:val="hy-AM"/>
              </w:rPr>
              <w:t>7.7</w:t>
            </w:r>
          </w:p>
        </w:tc>
      </w:tr>
      <w:tr w:rsidR="00F1465E" w:rsidRPr="00AC67B2" w14:paraId="52AA7DDF" w14:textId="77777777" w:rsidTr="00231073">
        <w:trPr>
          <w:trHeight w:val="694"/>
          <w:jc w:val="center"/>
        </w:trPr>
        <w:tc>
          <w:tcPr>
            <w:tcW w:w="5871" w:type="dxa"/>
            <w:tcBorders>
              <w:left w:val="nil"/>
              <w:bottom w:val="single" w:sz="4" w:space="0" w:color="auto"/>
              <w:right w:val="nil"/>
            </w:tcBorders>
          </w:tcPr>
          <w:p w14:paraId="4AFFAADA" w14:textId="77777777" w:rsidR="00F1465E" w:rsidRPr="00AC67B2" w:rsidRDefault="00F1465E" w:rsidP="00231073">
            <w:pPr>
              <w:spacing w:before="0" w:after="0" w:line="240" w:lineRule="auto"/>
              <w:ind w:left="387" w:firstLine="0"/>
              <w:jc w:val="left"/>
              <w:rPr>
                <w:sz w:val="20"/>
                <w:szCs w:val="20"/>
                <w:lang w:val="hy-AM"/>
              </w:rPr>
            </w:pPr>
            <w:r w:rsidRPr="00AC67B2">
              <w:rPr>
                <w:rFonts w:cs="Times Unicode"/>
                <w:sz w:val="20"/>
                <w:szCs w:val="20"/>
                <w:lang w:val="hy-AM"/>
              </w:rPr>
              <w:t>ՀՀ</w:t>
            </w:r>
            <w:r w:rsidRPr="00AC67B2">
              <w:rPr>
                <w:sz w:val="20"/>
                <w:szCs w:val="20"/>
                <w:lang w:val="hy-AM"/>
              </w:rPr>
              <w:t xml:space="preserve"> </w:t>
            </w:r>
            <w:r w:rsidRPr="00AC67B2">
              <w:rPr>
                <w:rFonts w:cs="Times Unicode"/>
                <w:sz w:val="20"/>
                <w:szCs w:val="20"/>
                <w:lang w:val="hy-AM"/>
              </w:rPr>
              <w:t>կառավարության</w:t>
            </w:r>
            <w:r w:rsidRPr="00AC67B2">
              <w:rPr>
                <w:sz w:val="20"/>
                <w:szCs w:val="20"/>
                <w:lang w:val="hy-AM"/>
              </w:rPr>
              <w:t xml:space="preserve"> արտաքին </w:t>
            </w:r>
            <w:r w:rsidRPr="00AC67B2">
              <w:rPr>
                <w:rFonts w:cs="Times Unicode"/>
                <w:sz w:val="20"/>
                <w:szCs w:val="20"/>
                <w:lang w:val="hy-AM"/>
              </w:rPr>
              <w:t>պարտքի մինչև մարում միջին ժամկետը, (տարի)</w:t>
            </w:r>
          </w:p>
        </w:tc>
        <w:tc>
          <w:tcPr>
            <w:tcW w:w="1364" w:type="dxa"/>
            <w:tcBorders>
              <w:left w:val="nil"/>
              <w:bottom w:val="single" w:sz="4" w:space="0" w:color="auto"/>
              <w:right w:val="nil"/>
            </w:tcBorders>
            <w:vAlign w:val="center"/>
          </w:tcPr>
          <w:p w14:paraId="4D4A3E44" w14:textId="77777777" w:rsidR="00F1465E" w:rsidRPr="00A945B1" w:rsidRDefault="00F1465E" w:rsidP="00231073">
            <w:pPr>
              <w:spacing w:before="0" w:after="0" w:line="240" w:lineRule="auto"/>
              <w:ind w:firstLine="0"/>
              <w:jc w:val="center"/>
              <w:rPr>
                <w:sz w:val="20"/>
                <w:szCs w:val="20"/>
              </w:rPr>
            </w:pPr>
            <w:r w:rsidRPr="00AC67B2">
              <w:rPr>
                <w:sz w:val="20"/>
                <w:szCs w:val="20"/>
                <w:lang w:val="hy-AM"/>
              </w:rPr>
              <w:t>8.</w:t>
            </w:r>
            <w:r>
              <w:rPr>
                <w:sz w:val="20"/>
                <w:szCs w:val="20"/>
              </w:rPr>
              <w:t>2</w:t>
            </w:r>
          </w:p>
        </w:tc>
        <w:tc>
          <w:tcPr>
            <w:tcW w:w="1100" w:type="dxa"/>
            <w:tcBorders>
              <w:left w:val="nil"/>
              <w:bottom w:val="single" w:sz="4" w:space="0" w:color="auto"/>
              <w:right w:val="nil"/>
            </w:tcBorders>
            <w:vAlign w:val="center"/>
          </w:tcPr>
          <w:p w14:paraId="3443A513" w14:textId="77777777" w:rsidR="00F1465E" w:rsidRPr="00AC67B2" w:rsidRDefault="00F1465E" w:rsidP="00231073">
            <w:pPr>
              <w:spacing w:before="0" w:after="0" w:line="240" w:lineRule="auto"/>
              <w:ind w:firstLine="0"/>
              <w:jc w:val="center"/>
              <w:rPr>
                <w:sz w:val="20"/>
                <w:szCs w:val="20"/>
                <w:lang w:val="hy-AM"/>
              </w:rPr>
            </w:pPr>
            <w:r>
              <w:rPr>
                <w:sz w:val="20"/>
                <w:szCs w:val="20"/>
              </w:rPr>
              <w:t>7</w:t>
            </w:r>
            <w:r w:rsidRPr="00AC67B2">
              <w:rPr>
                <w:sz w:val="20"/>
                <w:szCs w:val="20"/>
                <w:lang w:val="hy-AM"/>
              </w:rPr>
              <w:t>.6</w:t>
            </w:r>
          </w:p>
        </w:tc>
        <w:tc>
          <w:tcPr>
            <w:tcW w:w="1073" w:type="dxa"/>
            <w:tcBorders>
              <w:left w:val="nil"/>
              <w:bottom w:val="single" w:sz="4" w:space="0" w:color="auto"/>
              <w:right w:val="nil"/>
            </w:tcBorders>
            <w:vAlign w:val="center"/>
          </w:tcPr>
          <w:p w14:paraId="222092BC" w14:textId="77777777" w:rsidR="00F1465E" w:rsidRPr="00A945B1" w:rsidRDefault="00F1465E" w:rsidP="00231073">
            <w:pPr>
              <w:spacing w:before="0" w:after="0" w:line="240" w:lineRule="auto"/>
              <w:ind w:firstLine="0"/>
              <w:jc w:val="center"/>
              <w:rPr>
                <w:sz w:val="20"/>
                <w:szCs w:val="20"/>
              </w:rPr>
            </w:pPr>
            <w:r>
              <w:rPr>
                <w:sz w:val="20"/>
                <w:szCs w:val="20"/>
              </w:rPr>
              <w:t>7</w:t>
            </w:r>
            <w:r w:rsidRPr="00AC67B2">
              <w:rPr>
                <w:sz w:val="20"/>
                <w:szCs w:val="20"/>
                <w:lang w:val="hy-AM"/>
              </w:rPr>
              <w:t>.</w:t>
            </w:r>
            <w:r>
              <w:rPr>
                <w:sz w:val="20"/>
                <w:szCs w:val="20"/>
              </w:rPr>
              <w:t>0</w:t>
            </w:r>
          </w:p>
        </w:tc>
        <w:tc>
          <w:tcPr>
            <w:tcW w:w="1092" w:type="dxa"/>
            <w:tcBorders>
              <w:left w:val="nil"/>
              <w:bottom w:val="single" w:sz="4" w:space="0" w:color="auto"/>
              <w:right w:val="nil"/>
            </w:tcBorders>
            <w:vAlign w:val="center"/>
          </w:tcPr>
          <w:p w14:paraId="56A9FF0D" w14:textId="77777777" w:rsidR="00F1465E" w:rsidRPr="00A945B1" w:rsidRDefault="00F1465E" w:rsidP="00231073">
            <w:pPr>
              <w:spacing w:before="0" w:after="0" w:line="240" w:lineRule="auto"/>
              <w:ind w:firstLine="0"/>
              <w:jc w:val="center"/>
              <w:rPr>
                <w:sz w:val="20"/>
                <w:szCs w:val="20"/>
              </w:rPr>
            </w:pPr>
            <w:r>
              <w:rPr>
                <w:sz w:val="20"/>
                <w:szCs w:val="20"/>
              </w:rPr>
              <w:t>6</w:t>
            </w:r>
            <w:r w:rsidRPr="00AC67B2">
              <w:rPr>
                <w:sz w:val="20"/>
                <w:szCs w:val="20"/>
                <w:lang w:val="hy-AM"/>
              </w:rPr>
              <w:t>.</w:t>
            </w:r>
            <w:r>
              <w:rPr>
                <w:sz w:val="20"/>
                <w:szCs w:val="20"/>
              </w:rPr>
              <w:t>4</w:t>
            </w:r>
          </w:p>
        </w:tc>
      </w:tr>
      <w:tr w:rsidR="00F1465E" w:rsidRPr="00AC67B2" w14:paraId="43684ACF" w14:textId="77777777" w:rsidTr="00231073">
        <w:trPr>
          <w:trHeight w:val="676"/>
          <w:jc w:val="center"/>
        </w:trPr>
        <w:tc>
          <w:tcPr>
            <w:tcW w:w="5871" w:type="dxa"/>
            <w:tcBorders>
              <w:left w:val="nil"/>
              <w:bottom w:val="single" w:sz="12" w:space="0" w:color="auto"/>
              <w:right w:val="nil"/>
            </w:tcBorders>
          </w:tcPr>
          <w:p w14:paraId="71ABC048" w14:textId="77777777" w:rsidR="00F1465E" w:rsidRPr="00AC67B2" w:rsidRDefault="00F1465E" w:rsidP="00231073">
            <w:pPr>
              <w:spacing w:before="0" w:after="0" w:line="240" w:lineRule="auto"/>
              <w:ind w:left="387" w:firstLine="0"/>
              <w:jc w:val="left"/>
              <w:rPr>
                <w:sz w:val="20"/>
                <w:szCs w:val="20"/>
                <w:lang w:val="hy-AM"/>
              </w:rPr>
            </w:pPr>
            <w:r w:rsidRPr="00AC67B2">
              <w:rPr>
                <w:rFonts w:cs="Times Unicode"/>
                <w:sz w:val="20"/>
                <w:szCs w:val="20"/>
                <w:lang w:val="hy-AM"/>
              </w:rPr>
              <w:t>ՀՀ</w:t>
            </w:r>
            <w:r w:rsidRPr="00AC67B2">
              <w:rPr>
                <w:sz w:val="20"/>
                <w:szCs w:val="20"/>
                <w:lang w:val="hy-AM"/>
              </w:rPr>
              <w:t xml:space="preserve"> </w:t>
            </w:r>
            <w:r w:rsidRPr="00AC67B2">
              <w:rPr>
                <w:rFonts w:cs="Times Unicode"/>
                <w:sz w:val="20"/>
                <w:szCs w:val="20"/>
                <w:lang w:val="hy-AM"/>
              </w:rPr>
              <w:t>կառավարության</w:t>
            </w:r>
            <w:r w:rsidRPr="00AC67B2">
              <w:rPr>
                <w:sz w:val="20"/>
                <w:szCs w:val="20"/>
                <w:lang w:val="hy-AM"/>
              </w:rPr>
              <w:t xml:space="preserve"> ներքին </w:t>
            </w:r>
            <w:r w:rsidRPr="00AC67B2">
              <w:rPr>
                <w:rFonts w:cs="Times Unicode"/>
                <w:sz w:val="20"/>
                <w:szCs w:val="20"/>
                <w:lang w:val="hy-AM"/>
              </w:rPr>
              <w:t>պարտքի մինչև մարում միջին ժամկետը, (տարի)</w:t>
            </w:r>
          </w:p>
        </w:tc>
        <w:tc>
          <w:tcPr>
            <w:tcW w:w="1364" w:type="dxa"/>
            <w:tcBorders>
              <w:left w:val="nil"/>
              <w:bottom w:val="single" w:sz="12" w:space="0" w:color="auto"/>
              <w:right w:val="nil"/>
            </w:tcBorders>
            <w:vAlign w:val="center"/>
          </w:tcPr>
          <w:p w14:paraId="64FC760D" w14:textId="77777777" w:rsidR="00F1465E" w:rsidRPr="00A945B1" w:rsidRDefault="00F1465E" w:rsidP="00231073">
            <w:pPr>
              <w:spacing w:before="0" w:after="0" w:line="240" w:lineRule="auto"/>
              <w:ind w:firstLine="0"/>
              <w:jc w:val="center"/>
              <w:rPr>
                <w:sz w:val="20"/>
                <w:szCs w:val="20"/>
              </w:rPr>
            </w:pPr>
            <w:r>
              <w:rPr>
                <w:sz w:val="20"/>
                <w:szCs w:val="20"/>
              </w:rPr>
              <w:t>10</w:t>
            </w:r>
            <w:r w:rsidRPr="00AC67B2">
              <w:rPr>
                <w:sz w:val="20"/>
                <w:szCs w:val="20"/>
                <w:lang w:val="hy-AM"/>
              </w:rPr>
              <w:t>.</w:t>
            </w:r>
            <w:r>
              <w:rPr>
                <w:sz w:val="20"/>
                <w:szCs w:val="20"/>
              </w:rPr>
              <w:t>4</w:t>
            </w:r>
          </w:p>
        </w:tc>
        <w:tc>
          <w:tcPr>
            <w:tcW w:w="1100" w:type="dxa"/>
            <w:tcBorders>
              <w:left w:val="nil"/>
              <w:bottom w:val="single" w:sz="12" w:space="0" w:color="auto"/>
              <w:right w:val="nil"/>
            </w:tcBorders>
            <w:vAlign w:val="center"/>
          </w:tcPr>
          <w:p w14:paraId="4449C024" w14:textId="77777777" w:rsidR="00F1465E" w:rsidRPr="00A945B1" w:rsidRDefault="00F1465E" w:rsidP="00231073">
            <w:pPr>
              <w:spacing w:before="0" w:after="0" w:line="240" w:lineRule="auto"/>
              <w:ind w:firstLine="0"/>
              <w:jc w:val="center"/>
              <w:rPr>
                <w:sz w:val="20"/>
                <w:szCs w:val="20"/>
              </w:rPr>
            </w:pPr>
            <w:r>
              <w:rPr>
                <w:sz w:val="20"/>
                <w:szCs w:val="20"/>
              </w:rPr>
              <w:t>10</w:t>
            </w:r>
            <w:r w:rsidRPr="00AC67B2">
              <w:rPr>
                <w:sz w:val="20"/>
                <w:szCs w:val="20"/>
                <w:lang w:val="hy-AM"/>
              </w:rPr>
              <w:t>.</w:t>
            </w:r>
            <w:r>
              <w:rPr>
                <w:sz w:val="20"/>
                <w:szCs w:val="20"/>
              </w:rPr>
              <w:t>5</w:t>
            </w:r>
          </w:p>
        </w:tc>
        <w:tc>
          <w:tcPr>
            <w:tcW w:w="1073" w:type="dxa"/>
            <w:tcBorders>
              <w:left w:val="nil"/>
              <w:bottom w:val="single" w:sz="12" w:space="0" w:color="auto"/>
              <w:right w:val="nil"/>
            </w:tcBorders>
            <w:vAlign w:val="center"/>
          </w:tcPr>
          <w:p w14:paraId="5C5D02BD" w14:textId="77777777" w:rsidR="00F1465E" w:rsidRPr="00A945B1" w:rsidRDefault="00F1465E" w:rsidP="00231073">
            <w:pPr>
              <w:spacing w:before="0" w:after="0" w:line="240" w:lineRule="auto"/>
              <w:ind w:firstLine="0"/>
              <w:jc w:val="center"/>
              <w:rPr>
                <w:sz w:val="20"/>
                <w:szCs w:val="20"/>
              </w:rPr>
            </w:pPr>
            <w:r>
              <w:rPr>
                <w:sz w:val="20"/>
                <w:szCs w:val="20"/>
              </w:rPr>
              <w:t>10</w:t>
            </w:r>
            <w:r w:rsidRPr="00AC67B2">
              <w:rPr>
                <w:sz w:val="20"/>
                <w:szCs w:val="20"/>
                <w:lang w:val="hy-AM"/>
              </w:rPr>
              <w:t>.</w:t>
            </w:r>
            <w:r>
              <w:rPr>
                <w:sz w:val="20"/>
                <w:szCs w:val="20"/>
              </w:rPr>
              <w:t>0</w:t>
            </w:r>
          </w:p>
        </w:tc>
        <w:tc>
          <w:tcPr>
            <w:tcW w:w="1092" w:type="dxa"/>
            <w:tcBorders>
              <w:left w:val="nil"/>
              <w:bottom w:val="single" w:sz="12" w:space="0" w:color="auto"/>
              <w:right w:val="nil"/>
            </w:tcBorders>
            <w:vAlign w:val="center"/>
          </w:tcPr>
          <w:p w14:paraId="773EE872" w14:textId="77777777" w:rsidR="00F1465E" w:rsidRPr="00A945B1" w:rsidRDefault="00F1465E" w:rsidP="00231073">
            <w:pPr>
              <w:spacing w:before="0" w:after="0" w:line="240" w:lineRule="auto"/>
              <w:ind w:firstLine="0"/>
              <w:jc w:val="center"/>
              <w:rPr>
                <w:sz w:val="20"/>
                <w:szCs w:val="20"/>
              </w:rPr>
            </w:pPr>
            <w:r>
              <w:rPr>
                <w:sz w:val="20"/>
                <w:szCs w:val="20"/>
              </w:rPr>
              <w:t>9</w:t>
            </w:r>
            <w:r w:rsidRPr="00AC67B2">
              <w:rPr>
                <w:sz w:val="20"/>
                <w:szCs w:val="20"/>
                <w:lang w:val="hy-AM"/>
              </w:rPr>
              <w:t>.</w:t>
            </w:r>
            <w:r>
              <w:rPr>
                <w:sz w:val="20"/>
                <w:szCs w:val="20"/>
              </w:rPr>
              <w:t>7</w:t>
            </w:r>
          </w:p>
        </w:tc>
      </w:tr>
      <w:tr w:rsidR="00F1465E" w:rsidRPr="00AC67B2" w14:paraId="6AD225FB" w14:textId="77777777" w:rsidTr="00231073">
        <w:trPr>
          <w:trHeight w:val="593"/>
          <w:jc w:val="center"/>
        </w:trPr>
        <w:tc>
          <w:tcPr>
            <w:tcW w:w="5871" w:type="dxa"/>
            <w:tcBorders>
              <w:top w:val="single" w:sz="12" w:space="0" w:color="auto"/>
              <w:left w:val="nil"/>
              <w:right w:val="nil"/>
            </w:tcBorders>
          </w:tcPr>
          <w:p w14:paraId="130AC889" w14:textId="77777777" w:rsidR="00F1465E" w:rsidRPr="00AC67B2" w:rsidRDefault="00F1465E" w:rsidP="00231073">
            <w:pPr>
              <w:spacing w:before="0" w:after="0" w:line="240" w:lineRule="auto"/>
              <w:ind w:firstLine="0"/>
              <w:jc w:val="left"/>
              <w:rPr>
                <w:b/>
                <w:sz w:val="20"/>
                <w:szCs w:val="20"/>
                <w:lang w:val="hy-AM"/>
              </w:rPr>
            </w:pPr>
            <w:r w:rsidRPr="00AC67B2">
              <w:rPr>
                <w:rFonts w:cs="Times Unicode"/>
                <w:b/>
                <w:sz w:val="20"/>
                <w:szCs w:val="20"/>
                <w:lang w:val="hy-AM"/>
              </w:rPr>
              <w:t>Մեկ տարվա ընթացքում մարվող ՀՀ</w:t>
            </w:r>
            <w:r w:rsidRPr="00AC67B2">
              <w:rPr>
                <w:b/>
                <w:sz w:val="20"/>
                <w:szCs w:val="20"/>
                <w:lang w:val="hy-AM"/>
              </w:rPr>
              <w:t xml:space="preserve"> </w:t>
            </w:r>
            <w:r w:rsidRPr="00AC67B2">
              <w:rPr>
                <w:rFonts w:cs="Times Unicode"/>
                <w:b/>
                <w:sz w:val="20"/>
                <w:szCs w:val="20"/>
                <w:lang w:val="hy-AM"/>
              </w:rPr>
              <w:t>կառավարության</w:t>
            </w:r>
            <w:r w:rsidRPr="00AC67B2">
              <w:rPr>
                <w:b/>
                <w:sz w:val="20"/>
                <w:szCs w:val="20"/>
                <w:lang w:val="hy-AM"/>
              </w:rPr>
              <w:t xml:space="preserve"> </w:t>
            </w:r>
            <w:r w:rsidRPr="00AC67B2">
              <w:rPr>
                <w:rFonts w:cs="Times Unicode"/>
                <w:b/>
                <w:sz w:val="20"/>
                <w:szCs w:val="20"/>
                <w:lang w:val="hy-AM"/>
              </w:rPr>
              <w:t>պարտքի կշիռը (%)</w:t>
            </w:r>
          </w:p>
        </w:tc>
        <w:tc>
          <w:tcPr>
            <w:tcW w:w="1364" w:type="dxa"/>
            <w:tcBorders>
              <w:top w:val="single" w:sz="12" w:space="0" w:color="auto"/>
              <w:left w:val="nil"/>
              <w:right w:val="nil"/>
            </w:tcBorders>
            <w:vAlign w:val="center"/>
          </w:tcPr>
          <w:p w14:paraId="1FBBE160" w14:textId="77777777" w:rsidR="00F1465E" w:rsidRPr="00D46B13" w:rsidRDefault="00F1465E" w:rsidP="00231073">
            <w:pPr>
              <w:spacing w:before="0" w:after="0" w:line="240" w:lineRule="auto"/>
              <w:ind w:firstLine="0"/>
              <w:jc w:val="center"/>
              <w:rPr>
                <w:sz w:val="20"/>
                <w:szCs w:val="20"/>
              </w:rPr>
            </w:pPr>
            <w:r>
              <w:rPr>
                <w:sz w:val="20"/>
                <w:szCs w:val="20"/>
              </w:rPr>
              <w:t>5</w:t>
            </w:r>
            <w:r w:rsidRPr="00AC67B2">
              <w:rPr>
                <w:sz w:val="20"/>
                <w:szCs w:val="20"/>
                <w:lang w:val="hy-AM"/>
              </w:rPr>
              <w:t>.</w:t>
            </w:r>
            <w:r>
              <w:rPr>
                <w:sz w:val="20"/>
                <w:szCs w:val="20"/>
              </w:rPr>
              <w:t>8</w:t>
            </w:r>
          </w:p>
        </w:tc>
        <w:tc>
          <w:tcPr>
            <w:tcW w:w="1100" w:type="dxa"/>
            <w:tcBorders>
              <w:top w:val="single" w:sz="12" w:space="0" w:color="auto"/>
              <w:left w:val="nil"/>
              <w:right w:val="nil"/>
            </w:tcBorders>
            <w:vAlign w:val="center"/>
          </w:tcPr>
          <w:p w14:paraId="05C1DCCC" w14:textId="77777777" w:rsidR="00F1465E" w:rsidRPr="00AC67B2" w:rsidRDefault="00F1465E" w:rsidP="00231073">
            <w:pPr>
              <w:spacing w:before="0" w:after="0" w:line="240" w:lineRule="auto"/>
              <w:ind w:firstLine="0"/>
              <w:jc w:val="center"/>
              <w:rPr>
                <w:sz w:val="20"/>
                <w:szCs w:val="20"/>
                <w:lang w:val="hy-AM"/>
              </w:rPr>
            </w:pPr>
            <w:r>
              <w:rPr>
                <w:sz w:val="20"/>
                <w:szCs w:val="20"/>
              </w:rPr>
              <w:t>5</w:t>
            </w:r>
            <w:r w:rsidRPr="00AC67B2">
              <w:rPr>
                <w:sz w:val="20"/>
                <w:szCs w:val="20"/>
                <w:lang w:val="hy-AM"/>
              </w:rPr>
              <w:t>.6</w:t>
            </w:r>
          </w:p>
        </w:tc>
        <w:tc>
          <w:tcPr>
            <w:tcW w:w="1073" w:type="dxa"/>
            <w:tcBorders>
              <w:top w:val="single" w:sz="12" w:space="0" w:color="auto"/>
              <w:left w:val="nil"/>
              <w:right w:val="nil"/>
            </w:tcBorders>
            <w:vAlign w:val="center"/>
          </w:tcPr>
          <w:p w14:paraId="79402512" w14:textId="77777777" w:rsidR="00F1465E" w:rsidRPr="00D46B13" w:rsidRDefault="00F1465E" w:rsidP="00231073">
            <w:pPr>
              <w:spacing w:before="0" w:after="0" w:line="240" w:lineRule="auto"/>
              <w:ind w:firstLine="0"/>
              <w:jc w:val="center"/>
              <w:rPr>
                <w:sz w:val="20"/>
                <w:szCs w:val="20"/>
              </w:rPr>
            </w:pPr>
            <w:r w:rsidRPr="00AC67B2">
              <w:rPr>
                <w:sz w:val="20"/>
                <w:szCs w:val="20"/>
                <w:lang w:val="hy-AM"/>
              </w:rPr>
              <w:t>6.</w:t>
            </w:r>
            <w:r>
              <w:rPr>
                <w:sz w:val="20"/>
                <w:szCs w:val="20"/>
              </w:rPr>
              <w:t>7</w:t>
            </w:r>
          </w:p>
        </w:tc>
        <w:tc>
          <w:tcPr>
            <w:tcW w:w="1092" w:type="dxa"/>
            <w:tcBorders>
              <w:top w:val="single" w:sz="12" w:space="0" w:color="auto"/>
              <w:left w:val="nil"/>
              <w:right w:val="nil"/>
            </w:tcBorders>
            <w:vAlign w:val="center"/>
          </w:tcPr>
          <w:p w14:paraId="2CDB0EC3" w14:textId="77777777" w:rsidR="00F1465E" w:rsidRPr="00D46B13" w:rsidRDefault="00F1465E" w:rsidP="00231073">
            <w:pPr>
              <w:spacing w:before="0" w:after="0" w:line="240" w:lineRule="auto"/>
              <w:ind w:firstLine="0"/>
              <w:jc w:val="center"/>
              <w:rPr>
                <w:sz w:val="20"/>
                <w:szCs w:val="20"/>
              </w:rPr>
            </w:pPr>
            <w:r>
              <w:rPr>
                <w:sz w:val="20"/>
                <w:szCs w:val="20"/>
              </w:rPr>
              <w:t>8</w:t>
            </w:r>
            <w:r w:rsidRPr="00AC67B2">
              <w:rPr>
                <w:sz w:val="20"/>
                <w:szCs w:val="20"/>
                <w:lang w:val="hy-AM"/>
              </w:rPr>
              <w:t>.</w:t>
            </w:r>
            <w:r>
              <w:rPr>
                <w:sz w:val="20"/>
                <w:szCs w:val="20"/>
              </w:rPr>
              <w:t>6</w:t>
            </w:r>
          </w:p>
        </w:tc>
      </w:tr>
      <w:tr w:rsidR="00F1465E" w:rsidRPr="00AC67B2" w14:paraId="64230A6A" w14:textId="77777777" w:rsidTr="00231073">
        <w:trPr>
          <w:trHeight w:val="622"/>
          <w:jc w:val="center"/>
        </w:trPr>
        <w:tc>
          <w:tcPr>
            <w:tcW w:w="5871" w:type="dxa"/>
            <w:tcBorders>
              <w:left w:val="nil"/>
              <w:right w:val="nil"/>
            </w:tcBorders>
          </w:tcPr>
          <w:p w14:paraId="1B07F18B" w14:textId="77777777" w:rsidR="00F1465E" w:rsidRPr="00AC67B2" w:rsidRDefault="00F1465E" w:rsidP="00231073">
            <w:pPr>
              <w:spacing w:before="0" w:after="0" w:line="240" w:lineRule="auto"/>
              <w:ind w:left="387" w:firstLine="0"/>
              <w:jc w:val="left"/>
              <w:rPr>
                <w:sz w:val="20"/>
                <w:szCs w:val="20"/>
                <w:lang w:val="hy-AM"/>
              </w:rPr>
            </w:pPr>
            <w:r w:rsidRPr="00AC67B2">
              <w:rPr>
                <w:rFonts w:cs="Times Unicode"/>
                <w:sz w:val="20"/>
                <w:szCs w:val="20"/>
                <w:lang w:val="hy-AM"/>
              </w:rPr>
              <w:t>Մեկ տարվա ընթացքում մարվող ՀՀ</w:t>
            </w:r>
            <w:r w:rsidRPr="00AC67B2">
              <w:rPr>
                <w:sz w:val="20"/>
                <w:szCs w:val="20"/>
                <w:lang w:val="hy-AM"/>
              </w:rPr>
              <w:t xml:space="preserve"> </w:t>
            </w:r>
            <w:r w:rsidRPr="00AC67B2">
              <w:rPr>
                <w:rFonts w:cs="Times Unicode"/>
                <w:sz w:val="20"/>
                <w:szCs w:val="20"/>
                <w:lang w:val="hy-AM"/>
              </w:rPr>
              <w:t>կառավարության արտաքին</w:t>
            </w:r>
            <w:r w:rsidRPr="00AC67B2">
              <w:rPr>
                <w:sz w:val="20"/>
                <w:szCs w:val="20"/>
                <w:lang w:val="hy-AM"/>
              </w:rPr>
              <w:t xml:space="preserve"> </w:t>
            </w:r>
            <w:r w:rsidRPr="00AC67B2">
              <w:rPr>
                <w:rFonts w:cs="Times Unicode"/>
                <w:sz w:val="20"/>
                <w:szCs w:val="20"/>
                <w:lang w:val="hy-AM"/>
              </w:rPr>
              <w:t>պարտքի կշիռը (%)</w:t>
            </w:r>
          </w:p>
        </w:tc>
        <w:tc>
          <w:tcPr>
            <w:tcW w:w="1364" w:type="dxa"/>
            <w:tcBorders>
              <w:left w:val="nil"/>
              <w:right w:val="nil"/>
            </w:tcBorders>
            <w:vAlign w:val="center"/>
          </w:tcPr>
          <w:p w14:paraId="1ACA0F94" w14:textId="77777777" w:rsidR="00F1465E" w:rsidRPr="00D46B13" w:rsidRDefault="00F1465E" w:rsidP="00231073">
            <w:pPr>
              <w:spacing w:before="0" w:after="0" w:line="240" w:lineRule="auto"/>
              <w:ind w:firstLine="0"/>
              <w:jc w:val="center"/>
              <w:rPr>
                <w:sz w:val="20"/>
                <w:szCs w:val="20"/>
              </w:rPr>
            </w:pPr>
            <w:r>
              <w:rPr>
                <w:sz w:val="20"/>
                <w:szCs w:val="20"/>
              </w:rPr>
              <w:t>4</w:t>
            </w:r>
            <w:r w:rsidRPr="00AC67B2">
              <w:rPr>
                <w:sz w:val="20"/>
                <w:szCs w:val="20"/>
                <w:lang w:val="hy-AM"/>
              </w:rPr>
              <w:t>.</w:t>
            </w:r>
            <w:r>
              <w:rPr>
                <w:sz w:val="20"/>
                <w:szCs w:val="20"/>
              </w:rPr>
              <w:t>0</w:t>
            </w:r>
          </w:p>
        </w:tc>
        <w:tc>
          <w:tcPr>
            <w:tcW w:w="1100" w:type="dxa"/>
            <w:tcBorders>
              <w:left w:val="nil"/>
              <w:right w:val="nil"/>
            </w:tcBorders>
            <w:vAlign w:val="center"/>
          </w:tcPr>
          <w:p w14:paraId="54C46F70" w14:textId="77777777" w:rsidR="00F1465E" w:rsidRPr="00D46B13" w:rsidRDefault="00F1465E" w:rsidP="00231073">
            <w:pPr>
              <w:spacing w:before="0" w:after="0" w:line="240" w:lineRule="auto"/>
              <w:ind w:firstLine="0"/>
              <w:jc w:val="center"/>
              <w:rPr>
                <w:sz w:val="20"/>
                <w:szCs w:val="20"/>
              </w:rPr>
            </w:pPr>
            <w:r w:rsidRPr="00AC67B2">
              <w:rPr>
                <w:sz w:val="20"/>
                <w:szCs w:val="20"/>
                <w:lang w:val="hy-AM"/>
              </w:rPr>
              <w:t>4.</w:t>
            </w:r>
            <w:r>
              <w:rPr>
                <w:sz w:val="20"/>
                <w:szCs w:val="20"/>
              </w:rPr>
              <w:t>2</w:t>
            </w:r>
          </w:p>
        </w:tc>
        <w:tc>
          <w:tcPr>
            <w:tcW w:w="1073" w:type="dxa"/>
            <w:tcBorders>
              <w:left w:val="nil"/>
              <w:right w:val="nil"/>
            </w:tcBorders>
            <w:vAlign w:val="center"/>
          </w:tcPr>
          <w:p w14:paraId="0EF41141" w14:textId="77777777" w:rsidR="00F1465E" w:rsidRPr="00D46B13" w:rsidRDefault="00F1465E" w:rsidP="00231073">
            <w:pPr>
              <w:spacing w:before="0" w:after="0" w:line="240" w:lineRule="auto"/>
              <w:ind w:firstLine="0"/>
              <w:jc w:val="center"/>
              <w:rPr>
                <w:sz w:val="20"/>
                <w:szCs w:val="20"/>
              </w:rPr>
            </w:pPr>
            <w:r>
              <w:rPr>
                <w:sz w:val="20"/>
                <w:szCs w:val="20"/>
              </w:rPr>
              <w:t>6</w:t>
            </w:r>
            <w:r w:rsidRPr="00AC67B2">
              <w:rPr>
                <w:sz w:val="20"/>
                <w:szCs w:val="20"/>
                <w:lang w:val="hy-AM"/>
              </w:rPr>
              <w:t>.</w:t>
            </w:r>
            <w:r>
              <w:rPr>
                <w:sz w:val="20"/>
                <w:szCs w:val="20"/>
              </w:rPr>
              <w:t>0</w:t>
            </w:r>
          </w:p>
        </w:tc>
        <w:tc>
          <w:tcPr>
            <w:tcW w:w="1092" w:type="dxa"/>
            <w:tcBorders>
              <w:left w:val="nil"/>
              <w:right w:val="nil"/>
            </w:tcBorders>
            <w:vAlign w:val="center"/>
          </w:tcPr>
          <w:p w14:paraId="44469DDD" w14:textId="77777777" w:rsidR="00F1465E" w:rsidRPr="00D46B13" w:rsidRDefault="00F1465E" w:rsidP="00231073">
            <w:pPr>
              <w:spacing w:before="0" w:after="0" w:line="240" w:lineRule="auto"/>
              <w:ind w:firstLine="0"/>
              <w:jc w:val="center"/>
              <w:rPr>
                <w:sz w:val="20"/>
                <w:szCs w:val="20"/>
              </w:rPr>
            </w:pPr>
            <w:r>
              <w:rPr>
                <w:sz w:val="20"/>
                <w:szCs w:val="20"/>
              </w:rPr>
              <w:t>8</w:t>
            </w:r>
            <w:r w:rsidRPr="00AC67B2">
              <w:rPr>
                <w:sz w:val="20"/>
                <w:szCs w:val="20"/>
                <w:lang w:val="hy-AM"/>
              </w:rPr>
              <w:t>.</w:t>
            </w:r>
            <w:r>
              <w:rPr>
                <w:sz w:val="20"/>
                <w:szCs w:val="20"/>
              </w:rPr>
              <w:t>1</w:t>
            </w:r>
          </w:p>
        </w:tc>
      </w:tr>
      <w:tr w:rsidR="00F1465E" w:rsidRPr="00AC67B2" w14:paraId="17D53787" w14:textId="77777777" w:rsidTr="00231073">
        <w:trPr>
          <w:trHeight w:val="649"/>
          <w:jc w:val="center"/>
        </w:trPr>
        <w:tc>
          <w:tcPr>
            <w:tcW w:w="5871" w:type="dxa"/>
            <w:tcBorders>
              <w:left w:val="nil"/>
              <w:bottom w:val="thickThinSmallGap" w:sz="24" w:space="0" w:color="auto"/>
              <w:right w:val="nil"/>
            </w:tcBorders>
          </w:tcPr>
          <w:p w14:paraId="2F536A43" w14:textId="77777777" w:rsidR="00F1465E" w:rsidRPr="00AC67B2" w:rsidRDefault="00F1465E" w:rsidP="00231073">
            <w:pPr>
              <w:spacing w:before="0" w:after="0" w:line="240" w:lineRule="auto"/>
              <w:ind w:left="387" w:firstLine="0"/>
              <w:jc w:val="left"/>
              <w:rPr>
                <w:sz w:val="20"/>
                <w:szCs w:val="20"/>
                <w:lang w:val="hy-AM"/>
              </w:rPr>
            </w:pPr>
            <w:r w:rsidRPr="00AC67B2">
              <w:rPr>
                <w:rFonts w:cs="Times Unicode"/>
                <w:sz w:val="20"/>
                <w:szCs w:val="20"/>
                <w:lang w:val="hy-AM"/>
              </w:rPr>
              <w:t>Մեկ տարվա ընթացքում մարվող ՀՀ</w:t>
            </w:r>
            <w:r w:rsidRPr="00AC67B2">
              <w:rPr>
                <w:sz w:val="20"/>
                <w:szCs w:val="20"/>
                <w:lang w:val="hy-AM"/>
              </w:rPr>
              <w:t xml:space="preserve"> </w:t>
            </w:r>
            <w:r w:rsidRPr="00AC67B2">
              <w:rPr>
                <w:rFonts w:cs="Times Unicode"/>
                <w:sz w:val="20"/>
                <w:szCs w:val="20"/>
                <w:lang w:val="hy-AM"/>
              </w:rPr>
              <w:t>կառավարության ներքին</w:t>
            </w:r>
            <w:r w:rsidRPr="00AC67B2">
              <w:rPr>
                <w:sz w:val="20"/>
                <w:szCs w:val="20"/>
                <w:lang w:val="hy-AM"/>
              </w:rPr>
              <w:t xml:space="preserve"> </w:t>
            </w:r>
            <w:r w:rsidRPr="00AC67B2">
              <w:rPr>
                <w:rFonts w:cs="Times Unicode"/>
                <w:sz w:val="20"/>
                <w:szCs w:val="20"/>
                <w:lang w:val="hy-AM"/>
              </w:rPr>
              <w:t>պարտքի կշիռը (%)</w:t>
            </w:r>
          </w:p>
        </w:tc>
        <w:tc>
          <w:tcPr>
            <w:tcW w:w="1364" w:type="dxa"/>
            <w:tcBorders>
              <w:left w:val="nil"/>
              <w:bottom w:val="thickThinSmallGap" w:sz="24" w:space="0" w:color="auto"/>
              <w:right w:val="nil"/>
            </w:tcBorders>
            <w:vAlign w:val="center"/>
          </w:tcPr>
          <w:p w14:paraId="2E205971" w14:textId="77777777" w:rsidR="00F1465E" w:rsidRPr="00D46B13" w:rsidRDefault="00F1465E" w:rsidP="00231073">
            <w:pPr>
              <w:spacing w:before="0" w:after="0" w:line="240" w:lineRule="auto"/>
              <w:ind w:firstLine="0"/>
              <w:jc w:val="center"/>
              <w:rPr>
                <w:sz w:val="20"/>
                <w:szCs w:val="20"/>
              </w:rPr>
            </w:pPr>
            <w:r w:rsidRPr="00AC67B2">
              <w:rPr>
                <w:sz w:val="20"/>
                <w:szCs w:val="20"/>
                <w:lang w:val="hy-AM"/>
              </w:rPr>
              <w:t>1</w:t>
            </w:r>
            <w:r>
              <w:rPr>
                <w:sz w:val="20"/>
                <w:szCs w:val="20"/>
              </w:rPr>
              <w:t>1</w:t>
            </w:r>
            <w:r w:rsidRPr="00AC67B2">
              <w:rPr>
                <w:sz w:val="20"/>
                <w:szCs w:val="20"/>
                <w:lang w:val="hy-AM"/>
              </w:rPr>
              <w:t>.</w:t>
            </w:r>
            <w:r>
              <w:rPr>
                <w:sz w:val="20"/>
                <w:szCs w:val="20"/>
              </w:rPr>
              <w:t>0</w:t>
            </w:r>
          </w:p>
        </w:tc>
        <w:tc>
          <w:tcPr>
            <w:tcW w:w="1100" w:type="dxa"/>
            <w:tcBorders>
              <w:left w:val="nil"/>
              <w:bottom w:val="thickThinSmallGap" w:sz="24" w:space="0" w:color="auto"/>
              <w:right w:val="nil"/>
            </w:tcBorders>
            <w:vAlign w:val="center"/>
          </w:tcPr>
          <w:p w14:paraId="2A141A5F" w14:textId="77777777" w:rsidR="00F1465E" w:rsidRPr="00D46B13" w:rsidRDefault="00F1465E" w:rsidP="00231073">
            <w:pPr>
              <w:spacing w:before="0" w:after="0" w:line="240" w:lineRule="auto"/>
              <w:ind w:firstLine="0"/>
              <w:jc w:val="center"/>
              <w:rPr>
                <w:sz w:val="20"/>
                <w:szCs w:val="20"/>
              </w:rPr>
            </w:pPr>
            <w:r>
              <w:rPr>
                <w:sz w:val="20"/>
                <w:szCs w:val="20"/>
              </w:rPr>
              <w:t>8</w:t>
            </w:r>
            <w:r w:rsidRPr="00AC67B2">
              <w:rPr>
                <w:sz w:val="20"/>
                <w:szCs w:val="20"/>
                <w:lang w:val="hy-AM"/>
              </w:rPr>
              <w:t>.</w:t>
            </w:r>
            <w:r>
              <w:rPr>
                <w:sz w:val="20"/>
                <w:szCs w:val="20"/>
              </w:rPr>
              <w:t>7</w:t>
            </w:r>
          </w:p>
        </w:tc>
        <w:tc>
          <w:tcPr>
            <w:tcW w:w="1073" w:type="dxa"/>
            <w:tcBorders>
              <w:left w:val="nil"/>
              <w:bottom w:val="thickThinSmallGap" w:sz="24" w:space="0" w:color="auto"/>
              <w:right w:val="nil"/>
            </w:tcBorders>
            <w:vAlign w:val="center"/>
          </w:tcPr>
          <w:p w14:paraId="60446B94" w14:textId="77777777" w:rsidR="00F1465E" w:rsidRPr="00AC67B2" w:rsidRDefault="00F1465E" w:rsidP="00231073">
            <w:pPr>
              <w:spacing w:before="0" w:after="0" w:line="240" w:lineRule="auto"/>
              <w:ind w:firstLine="0"/>
              <w:jc w:val="center"/>
              <w:rPr>
                <w:sz w:val="20"/>
                <w:szCs w:val="20"/>
                <w:lang w:val="hy-AM"/>
              </w:rPr>
            </w:pPr>
            <w:r>
              <w:rPr>
                <w:sz w:val="20"/>
                <w:szCs w:val="20"/>
              </w:rPr>
              <w:t>8</w:t>
            </w:r>
            <w:r w:rsidRPr="00AC67B2">
              <w:rPr>
                <w:sz w:val="20"/>
                <w:szCs w:val="20"/>
                <w:lang w:val="hy-AM"/>
              </w:rPr>
              <w:t>.1</w:t>
            </w:r>
          </w:p>
        </w:tc>
        <w:tc>
          <w:tcPr>
            <w:tcW w:w="1092" w:type="dxa"/>
            <w:tcBorders>
              <w:left w:val="nil"/>
              <w:bottom w:val="thickThinSmallGap" w:sz="24" w:space="0" w:color="auto"/>
              <w:right w:val="nil"/>
            </w:tcBorders>
            <w:vAlign w:val="center"/>
          </w:tcPr>
          <w:p w14:paraId="3BDFE807" w14:textId="77777777" w:rsidR="00F1465E" w:rsidRPr="00D46B13" w:rsidRDefault="00F1465E" w:rsidP="00231073">
            <w:pPr>
              <w:spacing w:before="0" w:after="0" w:line="240" w:lineRule="auto"/>
              <w:ind w:firstLine="0"/>
              <w:jc w:val="center"/>
              <w:rPr>
                <w:sz w:val="20"/>
                <w:szCs w:val="20"/>
              </w:rPr>
            </w:pPr>
            <w:r>
              <w:rPr>
                <w:sz w:val="20"/>
                <w:szCs w:val="20"/>
              </w:rPr>
              <w:t>9</w:t>
            </w:r>
            <w:r w:rsidRPr="00AC67B2">
              <w:rPr>
                <w:sz w:val="20"/>
                <w:szCs w:val="20"/>
                <w:lang w:val="hy-AM"/>
              </w:rPr>
              <w:t>.</w:t>
            </w:r>
            <w:r>
              <w:rPr>
                <w:sz w:val="20"/>
                <w:szCs w:val="20"/>
              </w:rPr>
              <w:t>3</w:t>
            </w:r>
          </w:p>
        </w:tc>
      </w:tr>
    </w:tbl>
    <w:p w14:paraId="69BFE77E" w14:textId="77777777" w:rsidR="00F1465E" w:rsidRPr="00AC67B2" w:rsidRDefault="00F1465E" w:rsidP="00F1465E">
      <w:pPr>
        <w:spacing w:before="0" w:after="0" w:line="360" w:lineRule="auto"/>
        <w:ind w:firstLine="720"/>
        <w:rPr>
          <w:rFonts w:cs="Times Unicode"/>
          <w:color w:val="FF0000"/>
          <w:lang w:val="hy-AM"/>
        </w:rPr>
      </w:pPr>
    </w:p>
    <w:p w14:paraId="0220C87C" w14:textId="77777777" w:rsidR="00F1465E" w:rsidRPr="00AC67B2" w:rsidRDefault="00F1465E" w:rsidP="00774AC5">
      <w:pPr>
        <w:spacing w:line="276" w:lineRule="auto"/>
        <w:ind w:firstLine="720"/>
        <w:rPr>
          <w:rFonts w:cs="Times Unicode"/>
          <w:lang w:val="hy-AM"/>
        </w:rPr>
      </w:pPr>
      <w:r w:rsidRPr="00AC67B2">
        <w:rPr>
          <w:rFonts w:cs="Times Unicode"/>
          <w:lang w:val="hy-AM"/>
        </w:rPr>
        <w:t>ՀՀ կառավարության պարտքի պորտֆելի մինչև մարում միջին ժամկետի ցուցանիշը 202</w:t>
      </w:r>
      <w:r w:rsidRPr="00A205DB">
        <w:rPr>
          <w:rFonts w:cs="Times Unicode"/>
          <w:lang w:val="hy-AM"/>
        </w:rPr>
        <w:t>3</w:t>
      </w:r>
      <w:r w:rsidRPr="00AC67B2">
        <w:rPr>
          <w:rFonts w:cs="Times Unicode"/>
          <w:lang w:val="hy-AM"/>
        </w:rPr>
        <w:t xml:space="preserve">թ. վերջին կնվազի մինչև 7.7 տարի, սակայն վերաֆինանսավորման ռիսկը կմնա չափավոր: </w:t>
      </w:r>
    </w:p>
    <w:p w14:paraId="3EB7EC41" w14:textId="77777777" w:rsidR="00F1465E" w:rsidRPr="00AC67B2" w:rsidRDefault="00F1465E" w:rsidP="00774AC5">
      <w:pPr>
        <w:spacing w:line="276" w:lineRule="auto"/>
        <w:ind w:firstLine="720"/>
        <w:rPr>
          <w:rFonts w:cs="Times Unicode"/>
          <w:lang w:val="hy-AM"/>
        </w:rPr>
      </w:pPr>
      <w:r w:rsidRPr="00AC67B2">
        <w:rPr>
          <w:rFonts w:cs="Times Unicode"/>
          <w:lang w:val="hy-AM"/>
        </w:rPr>
        <w:t>Մեկ տարվա ընթացքում մարվող ՀՀ կառավարության պարտքի կշիռն ընդամենը պարտ</w:t>
      </w:r>
      <w:r w:rsidRPr="00AC67B2">
        <w:rPr>
          <w:rFonts w:cs="Times Unicode"/>
          <w:lang w:val="hy-AM"/>
        </w:rPr>
        <w:softHyphen/>
        <w:t>քի մեջ ցուցանիշը 202</w:t>
      </w:r>
      <w:r w:rsidRPr="00A205DB">
        <w:rPr>
          <w:rFonts w:cs="Times Unicode"/>
          <w:lang w:val="hy-AM"/>
        </w:rPr>
        <w:t>3</w:t>
      </w:r>
      <w:r w:rsidRPr="00AC67B2">
        <w:rPr>
          <w:rFonts w:cs="Times Unicode"/>
          <w:lang w:val="hy-AM"/>
        </w:rPr>
        <w:t xml:space="preserve">թ. տարեվերջին կկազմի </w:t>
      </w:r>
      <w:r w:rsidRPr="00A205DB">
        <w:rPr>
          <w:rFonts w:cs="Times Unicode"/>
          <w:lang w:val="hy-AM"/>
        </w:rPr>
        <w:t>8</w:t>
      </w:r>
      <w:r w:rsidRPr="00AC67B2">
        <w:rPr>
          <w:rFonts w:cs="Times Unicode"/>
          <w:lang w:val="hy-AM"/>
        </w:rPr>
        <w:t>.</w:t>
      </w:r>
      <w:r w:rsidRPr="00A205DB">
        <w:rPr>
          <w:rFonts w:cs="Times Unicode"/>
          <w:lang w:val="hy-AM"/>
        </w:rPr>
        <w:t>6</w:t>
      </w:r>
      <w:r w:rsidRPr="00AC67B2">
        <w:rPr>
          <w:rFonts w:cs="Times Unicode"/>
          <w:lang w:val="hy-AM"/>
        </w:rPr>
        <w:t xml:space="preserve">%, ընդ որում մեկ տարվա ընթացքում մարվող ՀՀ կառավարության արտաքին պարտքի կշիռը արտաքին պարտքում կկազմի </w:t>
      </w:r>
      <w:r w:rsidRPr="00A205DB">
        <w:rPr>
          <w:rFonts w:cs="Times Unicode"/>
          <w:lang w:val="hy-AM"/>
        </w:rPr>
        <w:t>8</w:t>
      </w:r>
      <w:r w:rsidRPr="00AC67B2">
        <w:rPr>
          <w:rFonts w:cs="Times Unicode"/>
          <w:lang w:val="hy-AM"/>
        </w:rPr>
        <w:t>.</w:t>
      </w:r>
      <w:r w:rsidRPr="00A205DB">
        <w:rPr>
          <w:rFonts w:cs="Times Unicode"/>
          <w:lang w:val="hy-AM"/>
        </w:rPr>
        <w:t>1</w:t>
      </w:r>
      <w:r w:rsidRPr="00AC67B2">
        <w:rPr>
          <w:rFonts w:cs="Times Unicode"/>
          <w:lang w:val="hy-AM"/>
        </w:rPr>
        <w:t xml:space="preserve">%, իսկ մեկ տարվա ընթացքում մարվող ՀՀ կառավարության ներքին պարտքի կշիռը ներքին պարտքում՝ </w:t>
      </w:r>
      <w:r w:rsidRPr="00A205DB">
        <w:rPr>
          <w:rFonts w:cs="Times Unicode"/>
          <w:lang w:val="hy-AM"/>
        </w:rPr>
        <w:t>9</w:t>
      </w:r>
      <w:r w:rsidRPr="00AC67B2">
        <w:rPr>
          <w:rFonts w:cs="Times Unicode"/>
          <w:lang w:val="hy-AM"/>
        </w:rPr>
        <w:t>.</w:t>
      </w:r>
      <w:r w:rsidRPr="00A205DB">
        <w:rPr>
          <w:rFonts w:cs="Times Unicode"/>
          <w:lang w:val="hy-AM"/>
        </w:rPr>
        <w:t>3</w:t>
      </w:r>
      <w:r w:rsidRPr="00AC67B2">
        <w:rPr>
          <w:rFonts w:cs="Times Unicode"/>
          <w:lang w:val="hy-AM"/>
        </w:rPr>
        <w:t xml:space="preserve">%: </w:t>
      </w:r>
    </w:p>
    <w:p w14:paraId="30EF3DBA" w14:textId="77777777" w:rsidR="00F1465E" w:rsidRPr="00A205DB" w:rsidRDefault="00F1465E" w:rsidP="00774AC5">
      <w:pPr>
        <w:spacing w:line="276" w:lineRule="auto"/>
        <w:ind w:firstLine="720"/>
        <w:rPr>
          <w:rFonts w:cs="Times Unicode"/>
          <w:lang w:val="hy-AM"/>
        </w:rPr>
      </w:pPr>
      <w:r w:rsidRPr="00AC67B2">
        <w:rPr>
          <w:rFonts w:cs="Times Unicode"/>
          <w:lang w:val="hy-AM"/>
        </w:rPr>
        <w:t>Ստորև ներկայացվում է նաև ՀՀ կառավարության պարտքի գծով վճարումների ցուցանիշը, որն իրենից ներկայացնում է տարվա ընթացքում մարումների և տոկոսավճարների հանրագումարը:</w:t>
      </w:r>
    </w:p>
    <w:p w14:paraId="651FD751" w14:textId="77777777" w:rsidR="00F1465E" w:rsidRPr="00F738AB" w:rsidRDefault="00F1465E" w:rsidP="00774AC5">
      <w:pPr>
        <w:spacing w:line="276" w:lineRule="auto"/>
        <w:rPr>
          <w:b/>
          <w:lang w:val="hy-AM"/>
        </w:rPr>
      </w:pPr>
    </w:p>
    <w:p w14:paraId="11943AF6" w14:textId="77777777" w:rsidR="00774AC5" w:rsidRDefault="00774AC5" w:rsidP="00774AC5">
      <w:pPr>
        <w:spacing w:line="276" w:lineRule="auto"/>
        <w:rPr>
          <w:b/>
          <w:sz w:val="20"/>
          <w:szCs w:val="20"/>
          <w:lang w:val="hy-AM"/>
        </w:rPr>
      </w:pPr>
    </w:p>
    <w:p w14:paraId="7EA69E7E" w14:textId="77777777" w:rsidR="00774AC5" w:rsidRDefault="00774AC5" w:rsidP="00774AC5">
      <w:pPr>
        <w:spacing w:line="276" w:lineRule="auto"/>
        <w:rPr>
          <w:b/>
          <w:sz w:val="20"/>
          <w:szCs w:val="20"/>
          <w:lang w:val="hy-AM"/>
        </w:rPr>
      </w:pPr>
    </w:p>
    <w:p w14:paraId="591B51A4" w14:textId="77777777" w:rsidR="00F1465E" w:rsidRPr="00774AC5" w:rsidRDefault="00F1465E" w:rsidP="00774AC5">
      <w:pPr>
        <w:spacing w:line="276" w:lineRule="auto"/>
        <w:rPr>
          <w:i/>
          <w:sz w:val="20"/>
          <w:szCs w:val="20"/>
          <w:lang w:val="hy-AM"/>
        </w:rPr>
      </w:pPr>
      <w:r w:rsidRPr="00774AC5">
        <w:rPr>
          <w:b/>
          <w:sz w:val="20"/>
          <w:szCs w:val="20"/>
          <w:lang w:val="hy-AM"/>
        </w:rPr>
        <w:t>Գծապատկեր 10.</w:t>
      </w:r>
      <w:r w:rsidRPr="00774AC5">
        <w:rPr>
          <w:sz w:val="20"/>
          <w:szCs w:val="20"/>
          <w:lang w:val="hy-AM"/>
        </w:rPr>
        <w:t xml:space="preserve"> </w:t>
      </w:r>
      <w:r w:rsidRPr="00774AC5">
        <w:rPr>
          <w:rFonts w:cs="Times Unicode"/>
          <w:i/>
          <w:sz w:val="20"/>
          <w:szCs w:val="20"/>
          <w:lang w:val="hy-AM"/>
        </w:rPr>
        <w:t>ՀՀ</w:t>
      </w:r>
      <w:r w:rsidRPr="00774AC5">
        <w:rPr>
          <w:i/>
          <w:sz w:val="20"/>
          <w:szCs w:val="20"/>
          <w:lang w:val="hy-AM"/>
        </w:rPr>
        <w:t xml:space="preserve"> </w:t>
      </w:r>
      <w:r w:rsidRPr="00774AC5">
        <w:rPr>
          <w:rFonts w:cs="Times Unicode"/>
          <w:i/>
          <w:sz w:val="20"/>
          <w:szCs w:val="20"/>
          <w:lang w:val="hy-AM"/>
        </w:rPr>
        <w:t>կառավարության</w:t>
      </w:r>
      <w:r w:rsidRPr="00774AC5">
        <w:rPr>
          <w:i/>
          <w:sz w:val="20"/>
          <w:szCs w:val="20"/>
          <w:lang w:val="hy-AM"/>
        </w:rPr>
        <w:t xml:space="preserve"> </w:t>
      </w:r>
      <w:r w:rsidRPr="00774AC5">
        <w:rPr>
          <w:rFonts w:cs="Times Unicode"/>
          <w:i/>
          <w:sz w:val="20"/>
          <w:szCs w:val="20"/>
          <w:lang w:val="hy-AM"/>
        </w:rPr>
        <w:t>պարտքի գծով վճարումները</w:t>
      </w:r>
      <w:r w:rsidRPr="00774AC5">
        <w:rPr>
          <w:i/>
          <w:sz w:val="20"/>
          <w:szCs w:val="20"/>
          <w:lang w:val="hy-AM"/>
        </w:rPr>
        <w:t xml:space="preserve"> 2018-2023</w:t>
      </w:r>
      <w:r w:rsidRPr="00774AC5">
        <w:rPr>
          <w:rFonts w:cs="Times Unicode"/>
          <w:i/>
          <w:sz w:val="20"/>
          <w:szCs w:val="20"/>
          <w:lang w:val="hy-AM"/>
        </w:rPr>
        <w:t>թթ</w:t>
      </w:r>
      <w:r w:rsidRPr="00774AC5">
        <w:rPr>
          <w:i/>
          <w:sz w:val="20"/>
          <w:szCs w:val="20"/>
          <w:lang w:val="hy-AM"/>
        </w:rPr>
        <w:t>. ընթացքում (</w:t>
      </w:r>
      <w:r w:rsidRPr="00774AC5">
        <w:rPr>
          <w:rFonts w:cs="Times Unicode"/>
          <w:i/>
          <w:sz w:val="20"/>
          <w:szCs w:val="20"/>
          <w:lang w:val="hy-AM"/>
        </w:rPr>
        <w:t>մլրդ</w:t>
      </w:r>
      <w:r w:rsidRPr="00774AC5">
        <w:rPr>
          <w:i/>
          <w:sz w:val="20"/>
          <w:szCs w:val="20"/>
          <w:lang w:val="hy-AM"/>
        </w:rPr>
        <w:t xml:space="preserve"> </w:t>
      </w:r>
      <w:r w:rsidRPr="00774AC5">
        <w:rPr>
          <w:rFonts w:cs="Times Unicode"/>
          <w:i/>
          <w:sz w:val="20"/>
          <w:szCs w:val="20"/>
          <w:lang w:val="hy-AM"/>
        </w:rPr>
        <w:t>դրամ</w:t>
      </w:r>
      <w:r w:rsidRPr="00774AC5">
        <w:rPr>
          <w:i/>
          <w:sz w:val="20"/>
          <w:szCs w:val="20"/>
          <w:lang w:val="hy-AM"/>
        </w:rPr>
        <w:t>)</w:t>
      </w:r>
    </w:p>
    <w:p w14:paraId="0817E2D0" w14:textId="77777777" w:rsidR="00F1465E" w:rsidRPr="0058696C" w:rsidRDefault="00F1465E" w:rsidP="00F1465E">
      <w:pPr>
        <w:rPr>
          <w:b/>
          <w:color w:val="FF0000"/>
        </w:rPr>
      </w:pPr>
      <w:r>
        <w:rPr>
          <w:b/>
          <w:noProof/>
          <w:color w:val="FF0000"/>
        </w:rPr>
        <w:lastRenderedPageBreak/>
        <w:drawing>
          <wp:inline distT="0" distB="0" distL="0" distR="0" wp14:anchorId="66FB462A" wp14:editId="50BF993E">
            <wp:extent cx="5882640" cy="3656330"/>
            <wp:effectExtent l="0" t="0" r="381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82640" cy="3656330"/>
                    </a:xfrm>
                    <a:prstGeom prst="rect">
                      <a:avLst/>
                    </a:prstGeom>
                    <a:noFill/>
                  </pic:spPr>
                </pic:pic>
              </a:graphicData>
            </a:graphic>
          </wp:inline>
        </w:drawing>
      </w:r>
    </w:p>
    <w:p w14:paraId="1764FE10" w14:textId="77777777" w:rsidR="00F1465E" w:rsidRPr="00AC67B2" w:rsidRDefault="00F1465E" w:rsidP="00F1465E">
      <w:pPr>
        <w:rPr>
          <w:b/>
          <w:color w:val="FF0000"/>
          <w:lang w:val="hy-AM"/>
        </w:rPr>
      </w:pPr>
    </w:p>
    <w:p w14:paraId="18735DA4" w14:textId="77777777" w:rsidR="00F1465E" w:rsidRPr="00C35116" w:rsidRDefault="00F1465E" w:rsidP="00774AC5">
      <w:pPr>
        <w:spacing w:line="276" w:lineRule="auto"/>
        <w:ind w:firstLine="562"/>
        <w:rPr>
          <w:rFonts w:cs="Times Unicode"/>
          <w:lang w:val="hy-AM"/>
        </w:rPr>
      </w:pPr>
      <w:r w:rsidRPr="00AC67B2">
        <w:rPr>
          <w:rFonts w:cs="Times Unicode"/>
          <w:lang w:val="hy-AM"/>
        </w:rPr>
        <w:t>ՀՀ կառավարության պարտքի գծով վճարումների ցուցանիշը միջնաժամկետ հատվածում աճում է՝ 202</w:t>
      </w:r>
      <w:r w:rsidRPr="00A205DB">
        <w:rPr>
          <w:rFonts w:cs="Times Unicode"/>
          <w:lang w:val="hy-AM"/>
        </w:rPr>
        <w:t>3</w:t>
      </w:r>
      <w:r w:rsidRPr="00AC67B2">
        <w:rPr>
          <w:rFonts w:cs="Times Unicode"/>
          <w:lang w:val="hy-AM"/>
        </w:rPr>
        <w:t xml:space="preserve">թ. կազմելով </w:t>
      </w:r>
      <w:r w:rsidRPr="00A205DB">
        <w:rPr>
          <w:rFonts w:cs="Times Unicode"/>
          <w:lang w:val="hy-AM"/>
        </w:rPr>
        <w:t>571.7</w:t>
      </w:r>
      <w:r w:rsidRPr="00AC67B2">
        <w:rPr>
          <w:rFonts w:cs="Times Unicode"/>
          <w:lang w:val="hy-AM"/>
        </w:rPr>
        <w:t xml:space="preserve"> մլրդ դրամ:</w:t>
      </w:r>
    </w:p>
    <w:p w14:paraId="1CDC2E67" w14:textId="77777777" w:rsidR="00F1465E" w:rsidRPr="00F738AB" w:rsidRDefault="00F1465E" w:rsidP="00774AC5">
      <w:pPr>
        <w:spacing w:line="276" w:lineRule="auto"/>
        <w:ind w:firstLine="562"/>
        <w:rPr>
          <w:rFonts w:cs="Times Unicode"/>
          <w:b/>
          <w:lang w:val="hy-AM"/>
        </w:rPr>
      </w:pPr>
    </w:p>
    <w:p w14:paraId="45ECE661" w14:textId="77777777" w:rsidR="00F1465E" w:rsidRPr="00774AC5" w:rsidRDefault="00F1465E" w:rsidP="00774AC5">
      <w:pPr>
        <w:spacing w:line="276" w:lineRule="auto"/>
        <w:ind w:firstLine="562"/>
        <w:rPr>
          <w:sz w:val="20"/>
          <w:szCs w:val="20"/>
          <w:lang w:val="hy-AM"/>
        </w:rPr>
      </w:pPr>
      <w:r w:rsidRPr="00774AC5">
        <w:rPr>
          <w:rFonts w:cs="Times Unicode"/>
          <w:b/>
          <w:sz w:val="20"/>
          <w:szCs w:val="20"/>
          <w:lang w:val="hy-AM"/>
        </w:rPr>
        <w:t>Աղյուսակ</w:t>
      </w:r>
      <w:r w:rsidRPr="00774AC5">
        <w:rPr>
          <w:b/>
          <w:sz w:val="20"/>
          <w:szCs w:val="20"/>
          <w:lang w:val="hy-AM"/>
        </w:rPr>
        <w:t xml:space="preserve"> </w:t>
      </w:r>
      <w:r w:rsidR="00774AC5" w:rsidRPr="00BE7F99">
        <w:rPr>
          <w:b/>
          <w:sz w:val="20"/>
          <w:szCs w:val="20"/>
          <w:lang w:val="hy-AM"/>
        </w:rPr>
        <w:t>1.</w:t>
      </w:r>
      <w:r w:rsidRPr="00774AC5">
        <w:rPr>
          <w:b/>
          <w:sz w:val="20"/>
          <w:szCs w:val="20"/>
          <w:lang w:val="hy-AM"/>
        </w:rPr>
        <w:t>11</w:t>
      </w:r>
      <w:r w:rsidRPr="00774AC5">
        <w:rPr>
          <w:sz w:val="20"/>
          <w:szCs w:val="20"/>
          <w:lang w:val="hy-AM"/>
        </w:rPr>
        <w:t xml:space="preserve"> </w:t>
      </w:r>
      <w:r w:rsidRPr="00774AC5">
        <w:rPr>
          <w:rFonts w:cs="Times Unicode"/>
          <w:i/>
          <w:sz w:val="20"/>
          <w:szCs w:val="20"/>
          <w:lang w:val="hy-AM"/>
        </w:rPr>
        <w:t>ՀՀ</w:t>
      </w:r>
      <w:r w:rsidRPr="00774AC5">
        <w:rPr>
          <w:i/>
          <w:sz w:val="20"/>
          <w:szCs w:val="20"/>
          <w:lang w:val="hy-AM"/>
        </w:rPr>
        <w:t xml:space="preserve"> </w:t>
      </w:r>
      <w:r w:rsidRPr="00774AC5">
        <w:rPr>
          <w:rFonts w:cs="Times Unicode"/>
          <w:i/>
          <w:sz w:val="20"/>
          <w:szCs w:val="20"/>
          <w:lang w:val="hy-AM"/>
        </w:rPr>
        <w:t>կառավարության</w:t>
      </w:r>
      <w:r w:rsidRPr="00774AC5">
        <w:rPr>
          <w:i/>
          <w:sz w:val="20"/>
          <w:szCs w:val="20"/>
          <w:lang w:val="hy-AM"/>
        </w:rPr>
        <w:t xml:space="preserve"> </w:t>
      </w:r>
      <w:r w:rsidRPr="00774AC5">
        <w:rPr>
          <w:rFonts w:cs="Times Unicode"/>
          <w:i/>
          <w:sz w:val="20"/>
          <w:szCs w:val="20"/>
          <w:lang w:val="hy-AM"/>
        </w:rPr>
        <w:t>պարտքի գծով վճարումներն ըստ գործիքակազմի</w:t>
      </w:r>
      <w:r w:rsidRPr="00774AC5">
        <w:rPr>
          <w:rFonts w:cs="Times Unicode"/>
          <w:sz w:val="20"/>
          <w:szCs w:val="20"/>
          <w:lang w:val="hy-AM"/>
        </w:rPr>
        <w:t xml:space="preserve"> </w:t>
      </w:r>
    </w:p>
    <w:p w14:paraId="2C4F0396" w14:textId="77777777" w:rsidR="00F1465E" w:rsidRPr="00AC67B2" w:rsidRDefault="00F1465E" w:rsidP="00F1465E">
      <w:pPr>
        <w:ind w:left="5760" w:firstLine="720"/>
        <w:jc w:val="center"/>
        <w:rPr>
          <w:sz w:val="20"/>
          <w:szCs w:val="20"/>
          <w:lang w:val="hy-AM"/>
        </w:rPr>
      </w:pPr>
      <w:r w:rsidRPr="00AC67B2">
        <w:rPr>
          <w:sz w:val="20"/>
          <w:szCs w:val="20"/>
          <w:lang w:val="hy-AM"/>
        </w:rPr>
        <w:t>(</w:t>
      </w:r>
      <w:r w:rsidRPr="00AC67B2">
        <w:rPr>
          <w:rFonts w:cs="Times Unicode"/>
          <w:sz w:val="20"/>
          <w:szCs w:val="20"/>
          <w:lang w:val="hy-AM"/>
        </w:rPr>
        <w:t>մլրդ</w:t>
      </w:r>
      <w:r w:rsidRPr="00AC67B2">
        <w:rPr>
          <w:sz w:val="20"/>
          <w:szCs w:val="20"/>
          <w:lang w:val="hy-AM"/>
        </w:rPr>
        <w:t xml:space="preserve"> </w:t>
      </w:r>
      <w:r w:rsidRPr="00AC67B2">
        <w:rPr>
          <w:rFonts w:cs="Times Unicode"/>
          <w:sz w:val="20"/>
          <w:szCs w:val="20"/>
          <w:lang w:val="hy-AM"/>
        </w:rPr>
        <w:t>դրամ</w:t>
      </w:r>
      <w:r w:rsidRPr="00AC67B2">
        <w:rPr>
          <w:sz w:val="20"/>
          <w:szCs w:val="20"/>
          <w:lang w:val="hy-AM"/>
        </w:rPr>
        <w:t>)</w:t>
      </w: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1"/>
        <w:gridCol w:w="1429"/>
        <w:gridCol w:w="1005"/>
        <w:gridCol w:w="1005"/>
        <w:gridCol w:w="1005"/>
        <w:gridCol w:w="1007"/>
      </w:tblGrid>
      <w:tr w:rsidR="00F1465E" w:rsidRPr="00BB7FB8" w14:paraId="02EF038F" w14:textId="77777777" w:rsidTr="00231073">
        <w:trPr>
          <w:trHeight w:val="486"/>
          <w:tblHeader/>
          <w:jc w:val="center"/>
        </w:trPr>
        <w:tc>
          <w:tcPr>
            <w:tcW w:w="4441" w:type="dxa"/>
            <w:tcBorders>
              <w:top w:val="thinThickThinSmallGap" w:sz="24" w:space="0" w:color="auto"/>
              <w:left w:val="nil"/>
              <w:bottom w:val="thinThickSmallGap" w:sz="24" w:space="0" w:color="auto"/>
              <w:right w:val="nil"/>
            </w:tcBorders>
            <w:shd w:val="clear" w:color="auto" w:fill="0B70B5"/>
          </w:tcPr>
          <w:p w14:paraId="6E495DFE" w14:textId="77777777" w:rsidR="00F1465E" w:rsidRPr="00C35116" w:rsidRDefault="00F1465E" w:rsidP="00231073">
            <w:pPr>
              <w:spacing w:before="0" w:after="0" w:line="240" w:lineRule="auto"/>
              <w:ind w:firstLine="80"/>
              <w:rPr>
                <w:color w:val="FFFFFF" w:themeColor="background1"/>
                <w:sz w:val="20"/>
                <w:szCs w:val="20"/>
                <w:lang w:val="hy-AM"/>
              </w:rPr>
            </w:pPr>
          </w:p>
        </w:tc>
        <w:tc>
          <w:tcPr>
            <w:tcW w:w="1429" w:type="dxa"/>
            <w:tcBorders>
              <w:top w:val="thinThickThinSmallGap" w:sz="24" w:space="0" w:color="auto"/>
              <w:left w:val="nil"/>
              <w:bottom w:val="thinThickSmallGap" w:sz="24" w:space="0" w:color="auto"/>
              <w:right w:val="double" w:sz="4" w:space="0" w:color="auto"/>
            </w:tcBorders>
            <w:shd w:val="clear" w:color="auto" w:fill="0B70B5"/>
            <w:vAlign w:val="center"/>
          </w:tcPr>
          <w:p w14:paraId="0FA7C493" w14:textId="77777777" w:rsidR="00F1465E" w:rsidRPr="00C35116" w:rsidRDefault="00F1465E" w:rsidP="00231073">
            <w:pPr>
              <w:spacing w:before="0" w:after="0" w:line="240" w:lineRule="auto"/>
              <w:ind w:firstLine="8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պետբյուջեի ծրագիր</w:t>
            </w:r>
          </w:p>
        </w:tc>
        <w:tc>
          <w:tcPr>
            <w:tcW w:w="1005" w:type="dxa"/>
            <w:tcBorders>
              <w:top w:val="thinThickThinSmallGap" w:sz="24" w:space="0" w:color="auto"/>
              <w:left w:val="double" w:sz="4" w:space="0" w:color="auto"/>
              <w:bottom w:val="thinThickSmallGap" w:sz="24" w:space="0" w:color="auto"/>
              <w:right w:val="nil"/>
            </w:tcBorders>
            <w:shd w:val="clear" w:color="auto" w:fill="0B70B5"/>
            <w:vAlign w:val="center"/>
          </w:tcPr>
          <w:p w14:paraId="322CF313" w14:textId="77777777" w:rsidR="00F1465E" w:rsidRPr="00C35116" w:rsidRDefault="00F1465E" w:rsidP="00231073">
            <w:pPr>
              <w:spacing w:before="0" w:after="0" w:line="240" w:lineRule="auto"/>
              <w:ind w:firstLine="8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05" w:type="dxa"/>
            <w:tcBorders>
              <w:top w:val="thinThickThinSmallGap" w:sz="24" w:space="0" w:color="auto"/>
              <w:left w:val="nil"/>
              <w:bottom w:val="thinThickSmallGap" w:sz="24" w:space="0" w:color="auto"/>
              <w:right w:val="nil"/>
            </w:tcBorders>
            <w:shd w:val="clear" w:color="auto" w:fill="0B70B5"/>
            <w:vAlign w:val="center"/>
          </w:tcPr>
          <w:p w14:paraId="0175F82C" w14:textId="77777777" w:rsidR="00F1465E" w:rsidRPr="00C35116" w:rsidRDefault="00F1465E" w:rsidP="00231073">
            <w:pPr>
              <w:spacing w:before="0" w:after="0" w:line="240" w:lineRule="auto"/>
              <w:ind w:firstLine="8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05" w:type="dxa"/>
            <w:tcBorders>
              <w:top w:val="thinThickThinSmallGap" w:sz="24" w:space="0" w:color="auto"/>
              <w:left w:val="nil"/>
              <w:bottom w:val="thinThickSmallGap" w:sz="24" w:space="0" w:color="auto"/>
              <w:right w:val="nil"/>
            </w:tcBorders>
            <w:shd w:val="clear" w:color="auto" w:fill="0B70B5"/>
            <w:vAlign w:val="center"/>
          </w:tcPr>
          <w:p w14:paraId="25BE626A" w14:textId="77777777" w:rsidR="00F1465E" w:rsidRPr="00C35116" w:rsidRDefault="00F1465E" w:rsidP="00231073">
            <w:pPr>
              <w:spacing w:before="0" w:after="0" w:line="240" w:lineRule="auto"/>
              <w:ind w:firstLine="8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07" w:type="dxa"/>
            <w:tcBorders>
              <w:top w:val="thinThickThinSmallGap" w:sz="24" w:space="0" w:color="auto"/>
              <w:left w:val="nil"/>
              <w:bottom w:val="thinThickSmallGap" w:sz="24" w:space="0" w:color="auto"/>
              <w:right w:val="nil"/>
            </w:tcBorders>
            <w:shd w:val="clear" w:color="auto" w:fill="0B70B5"/>
            <w:vAlign w:val="center"/>
          </w:tcPr>
          <w:p w14:paraId="13D2395B" w14:textId="77777777" w:rsidR="00F1465E" w:rsidRPr="00C35116" w:rsidRDefault="00F1465E" w:rsidP="00231073">
            <w:pPr>
              <w:spacing w:before="0" w:after="0" w:line="240" w:lineRule="auto"/>
              <w:ind w:firstLine="8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AC67B2" w14:paraId="419B8890" w14:textId="77777777" w:rsidTr="00231073">
        <w:trPr>
          <w:trHeight w:val="238"/>
          <w:jc w:val="center"/>
        </w:trPr>
        <w:tc>
          <w:tcPr>
            <w:tcW w:w="4441" w:type="dxa"/>
            <w:tcBorders>
              <w:left w:val="nil"/>
              <w:right w:val="nil"/>
            </w:tcBorders>
            <w:vAlign w:val="center"/>
          </w:tcPr>
          <w:p w14:paraId="26683637" w14:textId="77777777" w:rsidR="00F1465E" w:rsidRPr="00AC67B2" w:rsidRDefault="00F1465E" w:rsidP="00231073">
            <w:pPr>
              <w:spacing w:before="0" w:after="0"/>
              <w:ind w:left="113" w:firstLine="80"/>
              <w:jc w:val="left"/>
              <w:rPr>
                <w:sz w:val="20"/>
                <w:szCs w:val="20"/>
                <w:lang w:val="hy-AM"/>
              </w:rPr>
            </w:pPr>
            <w:r w:rsidRPr="00AC67B2">
              <w:rPr>
                <w:rFonts w:cs="Times Unicode"/>
                <w:b/>
                <w:sz w:val="20"/>
                <w:szCs w:val="20"/>
                <w:lang w:val="hy-AM"/>
              </w:rPr>
              <w:t>ՀՀ</w:t>
            </w:r>
            <w:r w:rsidRPr="00AC67B2">
              <w:rPr>
                <w:b/>
                <w:sz w:val="20"/>
                <w:szCs w:val="20"/>
                <w:lang w:val="hy-AM"/>
              </w:rPr>
              <w:t xml:space="preserve"> </w:t>
            </w:r>
            <w:r w:rsidRPr="00AC67B2">
              <w:rPr>
                <w:rFonts w:cs="Times Unicode"/>
                <w:b/>
                <w:sz w:val="20"/>
                <w:szCs w:val="20"/>
                <w:lang w:val="hy-AM"/>
              </w:rPr>
              <w:t>կառավարության</w:t>
            </w:r>
            <w:r w:rsidRPr="00AC67B2">
              <w:rPr>
                <w:b/>
                <w:sz w:val="20"/>
                <w:szCs w:val="20"/>
                <w:lang w:val="hy-AM"/>
              </w:rPr>
              <w:t xml:space="preserve"> </w:t>
            </w:r>
            <w:r w:rsidRPr="00AC67B2">
              <w:rPr>
                <w:rFonts w:cs="Times Unicode"/>
                <w:b/>
                <w:sz w:val="20"/>
                <w:szCs w:val="20"/>
                <w:lang w:val="hy-AM"/>
              </w:rPr>
              <w:t>պարտքի գծով վճարումներն ըստ գործիքակազմի, որից`</w:t>
            </w:r>
          </w:p>
        </w:tc>
        <w:tc>
          <w:tcPr>
            <w:tcW w:w="1429" w:type="dxa"/>
            <w:tcBorders>
              <w:left w:val="nil"/>
              <w:right w:val="double" w:sz="4" w:space="0" w:color="auto"/>
            </w:tcBorders>
            <w:vAlign w:val="center"/>
          </w:tcPr>
          <w:p w14:paraId="06F4B317" w14:textId="77777777" w:rsidR="00F1465E" w:rsidRPr="00BB644E" w:rsidRDefault="00F1465E" w:rsidP="00231073">
            <w:pPr>
              <w:spacing w:before="0" w:after="0"/>
              <w:ind w:firstLine="80"/>
              <w:jc w:val="center"/>
              <w:rPr>
                <w:sz w:val="20"/>
                <w:szCs w:val="20"/>
                <w:lang w:val="hy-AM"/>
              </w:rPr>
            </w:pPr>
            <w:r w:rsidRPr="00BB644E">
              <w:rPr>
                <w:sz w:val="20"/>
                <w:szCs w:val="20"/>
              </w:rPr>
              <w:t xml:space="preserve">448.7 </w:t>
            </w:r>
          </w:p>
        </w:tc>
        <w:tc>
          <w:tcPr>
            <w:tcW w:w="1005" w:type="dxa"/>
            <w:tcBorders>
              <w:left w:val="double" w:sz="4" w:space="0" w:color="auto"/>
              <w:right w:val="nil"/>
            </w:tcBorders>
            <w:vAlign w:val="center"/>
          </w:tcPr>
          <w:p w14:paraId="748736AE" w14:textId="77777777" w:rsidR="00F1465E" w:rsidRPr="00BB644E" w:rsidRDefault="00F1465E" w:rsidP="00231073">
            <w:pPr>
              <w:spacing w:before="0" w:after="0"/>
              <w:ind w:firstLine="80"/>
              <w:jc w:val="center"/>
              <w:rPr>
                <w:sz w:val="20"/>
                <w:szCs w:val="20"/>
                <w:lang w:val="hy-AM"/>
              </w:rPr>
            </w:pPr>
            <w:r w:rsidRPr="00BB644E">
              <w:rPr>
                <w:sz w:val="20"/>
                <w:szCs w:val="20"/>
              </w:rPr>
              <w:t xml:space="preserve">438.5 </w:t>
            </w:r>
          </w:p>
        </w:tc>
        <w:tc>
          <w:tcPr>
            <w:tcW w:w="1005" w:type="dxa"/>
            <w:tcBorders>
              <w:left w:val="nil"/>
              <w:right w:val="nil"/>
            </w:tcBorders>
            <w:vAlign w:val="center"/>
          </w:tcPr>
          <w:p w14:paraId="0249B80C" w14:textId="77777777" w:rsidR="00F1465E" w:rsidRPr="00BB644E" w:rsidRDefault="00F1465E" w:rsidP="00231073">
            <w:pPr>
              <w:spacing w:before="0" w:after="0"/>
              <w:ind w:firstLine="80"/>
              <w:jc w:val="center"/>
              <w:rPr>
                <w:sz w:val="20"/>
                <w:szCs w:val="20"/>
                <w:lang w:val="hy-AM"/>
              </w:rPr>
            </w:pPr>
            <w:r w:rsidRPr="00BB644E">
              <w:rPr>
                <w:sz w:val="20"/>
                <w:szCs w:val="20"/>
              </w:rPr>
              <w:t xml:space="preserve">447.0 </w:t>
            </w:r>
          </w:p>
        </w:tc>
        <w:tc>
          <w:tcPr>
            <w:tcW w:w="1005" w:type="dxa"/>
            <w:tcBorders>
              <w:left w:val="nil"/>
              <w:right w:val="nil"/>
            </w:tcBorders>
            <w:vAlign w:val="center"/>
          </w:tcPr>
          <w:p w14:paraId="612665C5" w14:textId="77777777" w:rsidR="00F1465E" w:rsidRPr="00BB644E" w:rsidRDefault="00F1465E" w:rsidP="00231073">
            <w:pPr>
              <w:spacing w:before="0" w:after="0"/>
              <w:ind w:firstLine="80"/>
              <w:jc w:val="center"/>
              <w:rPr>
                <w:sz w:val="20"/>
                <w:szCs w:val="20"/>
                <w:lang w:val="hy-AM"/>
              </w:rPr>
            </w:pPr>
            <w:r w:rsidRPr="00BB644E">
              <w:rPr>
                <w:sz w:val="20"/>
                <w:szCs w:val="20"/>
              </w:rPr>
              <w:t xml:space="preserve">481.9 </w:t>
            </w:r>
          </w:p>
        </w:tc>
        <w:tc>
          <w:tcPr>
            <w:tcW w:w="1007" w:type="dxa"/>
            <w:tcBorders>
              <w:left w:val="nil"/>
              <w:right w:val="nil"/>
            </w:tcBorders>
            <w:vAlign w:val="center"/>
          </w:tcPr>
          <w:p w14:paraId="191B265D" w14:textId="77777777" w:rsidR="00F1465E" w:rsidRPr="00BB644E" w:rsidRDefault="00F1465E" w:rsidP="00231073">
            <w:pPr>
              <w:spacing w:before="0" w:after="0"/>
              <w:ind w:firstLine="80"/>
              <w:jc w:val="center"/>
              <w:rPr>
                <w:sz w:val="20"/>
                <w:szCs w:val="20"/>
                <w:lang w:val="hy-AM"/>
              </w:rPr>
            </w:pPr>
            <w:r w:rsidRPr="00BB644E">
              <w:rPr>
                <w:sz w:val="20"/>
                <w:szCs w:val="20"/>
              </w:rPr>
              <w:t xml:space="preserve">571.7 </w:t>
            </w:r>
          </w:p>
        </w:tc>
      </w:tr>
      <w:tr w:rsidR="00F1465E" w:rsidRPr="00AC67B2" w14:paraId="402F37FD" w14:textId="77777777" w:rsidTr="00231073">
        <w:trPr>
          <w:trHeight w:val="238"/>
          <w:jc w:val="center"/>
        </w:trPr>
        <w:tc>
          <w:tcPr>
            <w:tcW w:w="4441" w:type="dxa"/>
            <w:tcBorders>
              <w:left w:val="nil"/>
              <w:right w:val="nil"/>
            </w:tcBorders>
            <w:vAlign w:val="center"/>
          </w:tcPr>
          <w:p w14:paraId="06D2E0CC" w14:textId="77777777" w:rsidR="00F1465E" w:rsidRPr="00AC67B2" w:rsidRDefault="00F1465E" w:rsidP="00231073">
            <w:pPr>
              <w:spacing w:before="0" w:after="0"/>
              <w:ind w:left="113" w:firstLine="80"/>
              <w:jc w:val="left"/>
              <w:rPr>
                <w:rFonts w:cs="Times Unicode"/>
                <w:sz w:val="20"/>
                <w:szCs w:val="20"/>
                <w:lang w:val="hy-AM"/>
              </w:rPr>
            </w:pPr>
            <w:r w:rsidRPr="00AC67B2">
              <w:rPr>
                <w:sz w:val="20"/>
                <w:szCs w:val="20"/>
                <w:lang w:val="hy-AM"/>
              </w:rPr>
              <w:t xml:space="preserve"> արտաքին վարկեր և փոխառություններ</w:t>
            </w:r>
          </w:p>
        </w:tc>
        <w:tc>
          <w:tcPr>
            <w:tcW w:w="1429" w:type="dxa"/>
            <w:tcBorders>
              <w:left w:val="nil"/>
              <w:right w:val="double" w:sz="4" w:space="0" w:color="auto"/>
            </w:tcBorders>
            <w:vAlign w:val="center"/>
          </w:tcPr>
          <w:p w14:paraId="63069579"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164.2 </w:t>
            </w:r>
          </w:p>
        </w:tc>
        <w:tc>
          <w:tcPr>
            <w:tcW w:w="1005" w:type="dxa"/>
            <w:tcBorders>
              <w:left w:val="double" w:sz="4" w:space="0" w:color="auto"/>
              <w:right w:val="nil"/>
            </w:tcBorders>
            <w:vAlign w:val="center"/>
          </w:tcPr>
          <w:p w14:paraId="0EA138F9"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154.5 </w:t>
            </w:r>
          </w:p>
        </w:tc>
        <w:tc>
          <w:tcPr>
            <w:tcW w:w="1005" w:type="dxa"/>
            <w:tcBorders>
              <w:left w:val="nil"/>
              <w:right w:val="nil"/>
            </w:tcBorders>
            <w:vAlign w:val="center"/>
          </w:tcPr>
          <w:p w14:paraId="5A135F27"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170.1 </w:t>
            </w:r>
          </w:p>
        </w:tc>
        <w:tc>
          <w:tcPr>
            <w:tcW w:w="1005" w:type="dxa"/>
            <w:tcBorders>
              <w:left w:val="nil"/>
              <w:right w:val="nil"/>
            </w:tcBorders>
            <w:vAlign w:val="center"/>
          </w:tcPr>
          <w:p w14:paraId="34364BF0"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183.0 </w:t>
            </w:r>
          </w:p>
        </w:tc>
        <w:tc>
          <w:tcPr>
            <w:tcW w:w="1007" w:type="dxa"/>
            <w:tcBorders>
              <w:left w:val="nil"/>
              <w:right w:val="nil"/>
            </w:tcBorders>
            <w:vAlign w:val="center"/>
          </w:tcPr>
          <w:p w14:paraId="220BF7D4"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239.4 </w:t>
            </w:r>
          </w:p>
        </w:tc>
      </w:tr>
      <w:tr w:rsidR="00F1465E" w:rsidRPr="00AC67B2" w14:paraId="3A00A77F" w14:textId="77777777" w:rsidTr="00231073">
        <w:trPr>
          <w:trHeight w:val="224"/>
          <w:jc w:val="center"/>
        </w:trPr>
        <w:tc>
          <w:tcPr>
            <w:tcW w:w="4441" w:type="dxa"/>
            <w:tcBorders>
              <w:left w:val="nil"/>
              <w:right w:val="nil"/>
            </w:tcBorders>
          </w:tcPr>
          <w:p w14:paraId="6E83B2AF" w14:textId="77777777" w:rsidR="00F1465E" w:rsidRPr="00AC67B2" w:rsidRDefault="00F1465E" w:rsidP="00231073">
            <w:pPr>
              <w:spacing w:before="0" w:after="0"/>
              <w:ind w:left="972" w:firstLine="80"/>
              <w:jc w:val="left"/>
              <w:rPr>
                <w:sz w:val="20"/>
                <w:szCs w:val="20"/>
                <w:lang w:val="hy-AM"/>
              </w:rPr>
            </w:pPr>
            <w:r w:rsidRPr="00AC67B2">
              <w:rPr>
                <w:rFonts w:cs="Times Unicode"/>
                <w:sz w:val="20"/>
                <w:szCs w:val="20"/>
                <w:lang w:val="hy-AM"/>
              </w:rPr>
              <w:t>տոկոսավճար</w:t>
            </w:r>
          </w:p>
        </w:tc>
        <w:tc>
          <w:tcPr>
            <w:tcW w:w="1429" w:type="dxa"/>
            <w:tcBorders>
              <w:left w:val="nil"/>
              <w:right w:val="double" w:sz="4" w:space="0" w:color="auto"/>
            </w:tcBorders>
            <w:vAlign w:val="center"/>
          </w:tcPr>
          <w:p w14:paraId="4D6AD23E" w14:textId="77777777" w:rsidR="00F1465E" w:rsidRPr="00BB644E" w:rsidRDefault="00F1465E" w:rsidP="00231073">
            <w:pPr>
              <w:spacing w:before="0" w:after="0"/>
              <w:ind w:firstLine="80"/>
              <w:jc w:val="center"/>
              <w:rPr>
                <w:sz w:val="20"/>
                <w:szCs w:val="20"/>
                <w:lang w:val="hy-AM"/>
              </w:rPr>
            </w:pPr>
            <w:r w:rsidRPr="00BB644E">
              <w:rPr>
                <w:sz w:val="20"/>
                <w:szCs w:val="20"/>
              </w:rPr>
              <w:t xml:space="preserve">53.3 </w:t>
            </w:r>
          </w:p>
        </w:tc>
        <w:tc>
          <w:tcPr>
            <w:tcW w:w="1005" w:type="dxa"/>
            <w:tcBorders>
              <w:left w:val="double" w:sz="4" w:space="0" w:color="auto"/>
              <w:right w:val="nil"/>
            </w:tcBorders>
            <w:vAlign w:val="center"/>
          </w:tcPr>
          <w:p w14:paraId="1610794E" w14:textId="77777777" w:rsidR="00F1465E" w:rsidRPr="00BB644E" w:rsidRDefault="00F1465E" w:rsidP="00231073">
            <w:pPr>
              <w:spacing w:before="0" w:after="0"/>
              <w:ind w:firstLine="80"/>
              <w:jc w:val="center"/>
              <w:rPr>
                <w:sz w:val="20"/>
                <w:szCs w:val="20"/>
                <w:lang w:val="hy-AM"/>
              </w:rPr>
            </w:pPr>
            <w:r w:rsidRPr="00BB644E">
              <w:rPr>
                <w:sz w:val="20"/>
                <w:szCs w:val="20"/>
              </w:rPr>
              <w:t xml:space="preserve">50.3 </w:t>
            </w:r>
          </w:p>
        </w:tc>
        <w:tc>
          <w:tcPr>
            <w:tcW w:w="1005" w:type="dxa"/>
            <w:tcBorders>
              <w:left w:val="nil"/>
              <w:right w:val="nil"/>
            </w:tcBorders>
            <w:vAlign w:val="center"/>
          </w:tcPr>
          <w:p w14:paraId="110A6494" w14:textId="77777777" w:rsidR="00F1465E" w:rsidRPr="00BB644E" w:rsidRDefault="00F1465E" w:rsidP="00231073">
            <w:pPr>
              <w:spacing w:before="0" w:after="0"/>
              <w:ind w:firstLine="80"/>
              <w:jc w:val="center"/>
              <w:rPr>
                <w:sz w:val="20"/>
                <w:szCs w:val="20"/>
                <w:lang w:val="hy-AM"/>
              </w:rPr>
            </w:pPr>
            <w:r w:rsidRPr="00BB644E">
              <w:rPr>
                <w:sz w:val="20"/>
                <w:szCs w:val="20"/>
              </w:rPr>
              <w:t xml:space="preserve">50.2 </w:t>
            </w:r>
          </w:p>
        </w:tc>
        <w:tc>
          <w:tcPr>
            <w:tcW w:w="1005" w:type="dxa"/>
            <w:tcBorders>
              <w:left w:val="nil"/>
              <w:right w:val="nil"/>
            </w:tcBorders>
            <w:vAlign w:val="center"/>
          </w:tcPr>
          <w:p w14:paraId="56C140EE" w14:textId="77777777" w:rsidR="00F1465E" w:rsidRPr="00BB644E" w:rsidRDefault="00F1465E" w:rsidP="00231073">
            <w:pPr>
              <w:spacing w:before="0" w:after="0"/>
              <w:ind w:firstLine="80"/>
              <w:jc w:val="center"/>
              <w:rPr>
                <w:sz w:val="20"/>
                <w:szCs w:val="20"/>
                <w:lang w:val="hy-AM"/>
              </w:rPr>
            </w:pPr>
            <w:r w:rsidRPr="00BB644E">
              <w:rPr>
                <w:sz w:val="20"/>
                <w:szCs w:val="20"/>
              </w:rPr>
              <w:t xml:space="preserve">56.6 </w:t>
            </w:r>
          </w:p>
        </w:tc>
        <w:tc>
          <w:tcPr>
            <w:tcW w:w="1007" w:type="dxa"/>
            <w:tcBorders>
              <w:left w:val="nil"/>
              <w:right w:val="nil"/>
            </w:tcBorders>
            <w:vAlign w:val="center"/>
          </w:tcPr>
          <w:p w14:paraId="4EE4C905" w14:textId="77777777" w:rsidR="00F1465E" w:rsidRPr="00BB644E" w:rsidRDefault="00F1465E" w:rsidP="00231073">
            <w:pPr>
              <w:spacing w:before="0" w:after="0"/>
              <w:ind w:firstLine="80"/>
              <w:jc w:val="center"/>
              <w:rPr>
                <w:sz w:val="20"/>
                <w:szCs w:val="20"/>
                <w:lang w:val="hy-AM"/>
              </w:rPr>
            </w:pPr>
            <w:r w:rsidRPr="00BB644E">
              <w:rPr>
                <w:sz w:val="20"/>
                <w:szCs w:val="20"/>
              </w:rPr>
              <w:t xml:space="preserve">56.7 </w:t>
            </w:r>
          </w:p>
        </w:tc>
      </w:tr>
      <w:tr w:rsidR="00F1465E" w:rsidRPr="00AC67B2" w14:paraId="222CBE1E" w14:textId="77777777" w:rsidTr="00231073">
        <w:trPr>
          <w:trHeight w:val="224"/>
          <w:jc w:val="center"/>
        </w:trPr>
        <w:tc>
          <w:tcPr>
            <w:tcW w:w="4441" w:type="dxa"/>
            <w:tcBorders>
              <w:left w:val="nil"/>
              <w:right w:val="nil"/>
            </w:tcBorders>
          </w:tcPr>
          <w:p w14:paraId="46269571" w14:textId="77777777" w:rsidR="00F1465E" w:rsidRPr="00AC67B2" w:rsidRDefault="00F1465E" w:rsidP="00231073">
            <w:pPr>
              <w:spacing w:before="0" w:after="0"/>
              <w:ind w:left="972" w:firstLine="80"/>
              <w:jc w:val="left"/>
              <w:rPr>
                <w:sz w:val="20"/>
                <w:szCs w:val="20"/>
                <w:lang w:val="hy-AM"/>
              </w:rPr>
            </w:pPr>
            <w:r w:rsidRPr="00AC67B2">
              <w:rPr>
                <w:rFonts w:cs="Times Unicode"/>
                <w:sz w:val="20"/>
                <w:szCs w:val="20"/>
                <w:lang w:val="hy-AM"/>
              </w:rPr>
              <w:t>մարում</w:t>
            </w:r>
          </w:p>
        </w:tc>
        <w:tc>
          <w:tcPr>
            <w:tcW w:w="1429" w:type="dxa"/>
            <w:tcBorders>
              <w:left w:val="nil"/>
              <w:right w:val="double" w:sz="4" w:space="0" w:color="auto"/>
            </w:tcBorders>
            <w:vAlign w:val="center"/>
          </w:tcPr>
          <w:p w14:paraId="513FF5E1"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110.9 </w:t>
            </w:r>
          </w:p>
        </w:tc>
        <w:tc>
          <w:tcPr>
            <w:tcW w:w="1005" w:type="dxa"/>
            <w:tcBorders>
              <w:left w:val="double" w:sz="4" w:space="0" w:color="auto"/>
              <w:right w:val="nil"/>
            </w:tcBorders>
            <w:vAlign w:val="center"/>
          </w:tcPr>
          <w:p w14:paraId="1DC88CCF"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104.2 </w:t>
            </w:r>
          </w:p>
        </w:tc>
        <w:tc>
          <w:tcPr>
            <w:tcW w:w="1005" w:type="dxa"/>
            <w:tcBorders>
              <w:left w:val="nil"/>
              <w:right w:val="nil"/>
            </w:tcBorders>
            <w:vAlign w:val="center"/>
          </w:tcPr>
          <w:p w14:paraId="31CEB366"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119.9 </w:t>
            </w:r>
          </w:p>
        </w:tc>
        <w:tc>
          <w:tcPr>
            <w:tcW w:w="1005" w:type="dxa"/>
            <w:tcBorders>
              <w:left w:val="nil"/>
              <w:right w:val="nil"/>
            </w:tcBorders>
            <w:vAlign w:val="center"/>
          </w:tcPr>
          <w:p w14:paraId="61C50D7F"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126.4 </w:t>
            </w:r>
          </w:p>
        </w:tc>
        <w:tc>
          <w:tcPr>
            <w:tcW w:w="1007" w:type="dxa"/>
            <w:tcBorders>
              <w:left w:val="nil"/>
              <w:right w:val="nil"/>
            </w:tcBorders>
            <w:vAlign w:val="center"/>
          </w:tcPr>
          <w:p w14:paraId="5FA398E0"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182.7 </w:t>
            </w:r>
          </w:p>
        </w:tc>
      </w:tr>
      <w:tr w:rsidR="00F1465E" w:rsidRPr="00AC67B2" w14:paraId="1B75E92F" w14:textId="77777777" w:rsidTr="00231073">
        <w:trPr>
          <w:trHeight w:val="486"/>
          <w:jc w:val="center"/>
        </w:trPr>
        <w:tc>
          <w:tcPr>
            <w:tcW w:w="4441" w:type="dxa"/>
            <w:tcBorders>
              <w:left w:val="nil"/>
              <w:right w:val="nil"/>
            </w:tcBorders>
            <w:vAlign w:val="center"/>
          </w:tcPr>
          <w:p w14:paraId="2986383A" w14:textId="77777777" w:rsidR="00F1465E" w:rsidRPr="00AC67B2" w:rsidRDefault="00F1465E" w:rsidP="00231073">
            <w:pPr>
              <w:spacing w:before="0" w:after="0"/>
              <w:ind w:left="233" w:firstLine="80"/>
              <w:jc w:val="left"/>
              <w:rPr>
                <w:rFonts w:cs="Times Unicode"/>
                <w:sz w:val="20"/>
                <w:szCs w:val="20"/>
                <w:lang w:val="hy-AM"/>
              </w:rPr>
            </w:pPr>
            <w:r w:rsidRPr="00AC67B2">
              <w:rPr>
                <w:sz w:val="20"/>
                <w:szCs w:val="20"/>
                <w:lang w:val="hy-AM"/>
              </w:rPr>
              <w:t>պետական գանձապետական պարտատոմսեր</w:t>
            </w:r>
          </w:p>
        </w:tc>
        <w:tc>
          <w:tcPr>
            <w:tcW w:w="1429" w:type="dxa"/>
            <w:tcBorders>
              <w:left w:val="nil"/>
              <w:right w:val="double" w:sz="4" w:space="0" w:color="auto"/>
            </w:tcBorders>
            <w:vAlign w:val="center"/>
          </w:tcPr>
          <w:p w14:paraId="1D27CCCF"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208.8 </w:t>
            </w:r>
          </w:p>
        </w:tc>
        <w:tc>
          <w:tcPr>
            <w:tcW w:w="1005" w:type="dxa"/>
            <w:tcBorders>
              <w:left w:val="double" w:sz="4" w:space="0" w:color="auto"/>
              <w:right w:val="nil"/>
            </w:tcBorders>
            <w:vAlign w:val="center"/>
          </w:tcPr>
          <w:p w14:paraId="1AE8DC78"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208.2 </w:t>
            </w:r>
          </w:p>
        </w:tc>
        <w:tc>
          <w:tcPr>
            <w:tcW w:w="1005" w:type="dxa"/>
            <w:tcBorders>
              <w:left w:val="nil"/>
              <w:right w:val="nil"/>
            </w:tcBorders>
            <w:vAlign w:val="center"/>
          </w:tcPr>
          <w:p w14:paraId="725EB511"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248.6 </w:t>
            </w:r>
          </w:p>
        </w:tc>
        <w:tc>
          <w:tcPr>
            <w:tcW w:w="1005" w:type="dxa"/>
            <w:tcBorders>
              <w:left w:val="nil"/>
              <w:right w:val="nil"/>
            </w:tcBorders>
            <w:vAlign w:val="center"/>
          </w:tcPr>
          <w:p w14:paraId="36554656"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270.2 </w:t>
            </w:r>
          </w:p>
        </w:tc>
        <w:tc>
          <w:tcPr>
            <w:tcW w:w="1007" w:type="dxa"/>
            <w:tcBorders>
              <w:left w:val="nil"/>
              <w:right w:val="nil"/>
            </w:tcBorders>
            <w:vAlign w:val="center"/>
          </w:tcPr>
          <w:p w14:paraId="00782025" w14:textId="77777777" w:rsidR="00F1465E" w:rsidRPr="00BB644E" w:rsidRDefault="00F1465E" w:rsidP="00231073">
            <w:pPr>
              <w:spacing w:before="0" w:after="0"/>
              <w:ind w:firstLine="80"/>
              <w:jc w:val="center"/>
              <w:rPr>
                <w:sz w:val="20"/>
                <w:szCs w:val="20"/>
                <w:lang w:val="hy-AM"/>
              </w:rPr>
            </w:pPr>
            <w:r w:rsidRPr="00BB644E">
              <w:rPr>
                <w:sz w:val="20"/>
                <w:szCs w:val="20"/>
              </w:rPr>
              <w:t xml:space="preserve">303.1 </w:t>
            </w:r>
          </w:p>
        </w:tc>
      </w:tr>
      <w:tr w:rsidR="00F1465E" w:rsidRPr="00AC67B2" w14:paraId="45D0800B" w14:textId="77777777" w:rsidTr="00231073">
        <w:trPr>
          <w:trHeight w:val="211"/>
          <w:jc w:val="center"/>
        </w:trPr>
        <w:tc>
          <w:tcPr>
            <w:tcW w:w="4441" w:type="dxa"/>
            <w:tcBorders>
              <w:left w:val="nil"/>
              <w:right w:val="nil"/>
            </w:tcBorders>
          </w:tcPr>
          <w:p w14:paraId="157F7D54" w14:textId="77777777" w:rsidR="00F1465E" w:rsidRPr="00AC67B2" w:rsidRDefault="00F1465E" w:rsidP="00231073">
            <w:pPr>
              <w:spacing w:before="0" w:after="0"/>
              <w:ind w:left="972" w:firstLine="80"/>
              <w:jc w:val="left"/>
              <w:rPr>
                <w:sz w:val="20"/>
                <w:szCs w:val="20"/>
                <w:lang w:val="hy-AM"/>
              </w:rPr>
            </w:pPr>
            <w:r w:rsidRPr="00AC67B2">
              <w:rPr>
                <w:rFonts w:cs="Times Unicode"/>
                <w:sz w:val="20"/>
                <w:szCs w:val="20"/>
                <w:lang w:val="hy-AM"/>
              </w:rPr>
              <w:t>տոկոսավճար</w:t>
            </w:r>
          </w:p>
        </w:tc>
        <w:tc>
          <w:tcPr>
            <w:tcW w:w="1429" w:type="dxa"/>
            <w:tcBorders>
              <w:left w:val="nil"/>
              <w:right w:val="double" w:sz="4" w:space="0" w:color="auto"/>
            </w:tcBorders>
            <w:vAlign w:val="center"/>
          </w:tcPr>
          <w:p w14:paraId="56F7C8E8" w14:textId="77777777" w:rsidR="00F1465E" w:rsidRPr="00BB644E" w:rsidRDefault="00F1465E" w:rsidP="00231073">
            <w:pPr>
              <w:spacing w:before="0" w:after="0"/>
              <w:ind w:firstLine="80"/>
              <w:jc w:val="center"/>
              <w:rPr>
                <w:sz w:val="20"/>
                <w:szCs w:val="20"/>
                <w:lang w:val="hy-AM"/>
              </w:rPr>
            </w:pPr>
            <w:r w:rsidRPr="00BB644E">
              <w:rPr>
                <w:sz w:val="20"/>
                <w:szCs w:val="20"/>
              </w:rPr>
              <w:t xml:space="preserve">85.6 </w:t>
            </w:r>
          </w:p>
        </w:tc>
        <w:tc>
          <w:tcPr>
            <w:tcW w:w="1005" w:type="dxa"/>
            <w:tcBorders>
              <w:left w:val="double" w:sz="4" w:space="0" w:color="auto"/>
              <w:right w:val="nil"/>
            </w:tcBorders>
            <w:vAlign w:val="center"/>
          </w:tcPr>
          <w:p w14:paraId="7AE3561D" w14:textId="77777777" w:rsidR="00F1465E" w:rsidRPr="00BB644E" w:rsidRDefault="00F1465E" w:rsidP="00231073">
            <w:pPr>
              <w:spacing w:before="0" w:after="0"/>
              <w:ind w:firstLine="80"/>
              <w:jc w:val="center"/>
              <w:rPr>
                <w:sz w:val="20"/>
                <w:szCs w:val="20"/>
                <w:lang w:val="hy-AM"/>
              </w:rPr>
            </w:pPr>
            <w:r w:rsidRPr="00BB644E">
              <w:rPr>
                <w:sz w:val="20"/>
                <w:szCs w:val="20"/>
              </w:rPr>
              <w:t xml:space="preserve">87.2 </w:t>
            </w:r>
          </w:p>
        </w:tc>
        <w:tc>
          <w:tcPr>
            <w:tcW w:w="1005" w:type="dxa"/>
            <w:tcBorders>
              <w:left w:val="nil"/>
              <w:right w:val="nil"/>
            </w:tcBorders>
            <w:vAlign w:val="center"/>
          </w:tcPr>
          <w:p w14:paraId="7E6B995B"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107.0 </w:t>
            </w:r>
          </w:p>
        </w:tc>
        <w:tc>
          <w:tcPr>
            <w:tcW w:w="1005" w:type="dxa"/>
            <w:tcBorders>
              <w:left w:val="nil"/>
              <w:right w:val="nil"/>
            </w:tcBorders>
            <w:vAlign w:val="center"/>
          </w:tcPr>
          <w:p w14:paraId="00E73DF6"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125.9 </w:t>
            </w:r>
          </w:p>
        </w:tc>
        <w:tc>
          <w:tcPr>
            <w:tcW w:w="1007" w:type="dxa"/>
            <w:tcBorders>
              <w:left w:val="nil"/>
              <w:right w:val="nil"/>
            </w:tcBorders>
            <w:vAlign w:val="center"/>
          </w:tcPr>
          <w:p w14:paraId="4240AA42"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150.7 </w:t>
            </w:r>
          </w:p>
        </w:tc>
      </w:tr>
      <w:tr w:rsidR="00F1465E" w:rsidRPr="00AC67B2" w14:paraId="4432DE52" w14:textId="77777777" w:rsidTr="00231073">
        <w:trPr>
          <w:trHeight w:val="224"/>
          <w:jc w:val="center"/>
        </w:trPr>
        <w:tc>
          <w:tcPr>
            <w:tcW w:w="4441" w:type="dxa"/>
            <w:tcBorders>
              <w:left w:val="nil"/>
              <w:right w:val="nil"/>
            </w:tcBorders>
          </w:tcPr>
          <w:p w14:paraId="6ACCF1AC" w14:textId="77777777" w:rsidR="00F1465E" w:rsidRPr="00AC67B2" w:rsidRDefault="00F1465E" w:rsidP="00231073">
            <w:pPr>
              <w:spacing w:before="0" w:after="0"/>
              <w:ind w:left="972" w:firstLine="80"/>
              <w:jc w:val="left"/>
              <w:rPr>
                <w:sz w:val="20"/>
                <w:szCs w:val="20"/>
                <w:lang w:val="hy-AM"/>
              </w:rPr>
            </w:pPr>
            <w:r w:rsidRPr="00AC67B2">
              <w:rPr>
                <w:rFonts w:cs="Times Unicode"/>
                <w:sz w:val="20"/>
                <w:szCs w:val="20"/>
                <w:lang w:val="hy-AM"/>
              </w:rPr>
              <w:t>մարում</w:t>
            </w:r>
          </w:p>
        </w:tc>
        <w:tc>
          <w:tcPr>
            <w:tcW w:w="1429" w:type="dxa"/>
            <w:tcBorders>
              <w:left w:val="nil"/>
              <w:right w:val="double" w:sz="4" w:space="0" w:color="auto"/>
            </w:tcBorders>
            <w:vAlign w:val="center"/>
          </w:tcPr>
          <w:p w14:paraId="53603EDB"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123.2 </w:t>
            </w:r>
          </w:p>
        </w:tc>
        <w:tc>
          <w:tcPr>
            <w:tcW w:w="1005" w:type="dxa"/>
            <w:tcBorders>
              <w:left w:val="double" w:sz="4" w:space="0" w:color="auto"/>
              <w:right w:val="nil"/>
            </w:tcBorders>
            <w:vAlign w:val="center"/>
          </w:tcPr>
          <w:p w14:paraId="2E583CA3"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121.0 </w:t>
            </w:r>
          </w:p>
        </w:tc>
        <w:tc>
          <w:tcPr>
            <w:tcW w:w="1005" w:type="dxa"/>
            <w:tcBorders>
              <w:left w:val="nil"/>
              <w:right w:val="nil"/>
            </w:tcBorders>
            <w:vAlign w:val="center"/>
          </w:tcPr>
          <w:p w14:paraId="0A1B1455"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141.6 </w:t>
            </w:r>
          </w:p>
        </w:tc>
        <w:tc>
          <w:tcPr>
            <w:tcW w:w="1005" w:type="dxa"/>
            <w:tcBorders>
              <w:left w:val="nil"/>
              <w:right w:val="nil"/>
            </w:tcBorders>
            <w:vAlign w:val="center"/>
          </w:tcPr>
          <w:p w14:paraId="4BE7AF8F"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144.3 </w:t>
            </w:r>
          </w:p>
        </w:tc>
        <w:tc>
          <w:tcPr>
            <w:tcW w:w="1007" w:type="dxa"/>
            <w:tcBorders>
              <w:left w:val="nil"/>
              <w:right w:val="nil"/>
            </w:tcBorders>
            <w:vAlign w:val="center"/>
          </w:tcPr>
          <w:p w14:paraId="1246E103" w14:textId="77777777" w:rsidR="00F1465E" w:rsidRPr="00BB644E" w:rsidRDefault="00F1465E" w:rsidP="00231073">
            <w:pPr>
              <w:spacing w:before="0" w:after="0"/>
              <w:ind w:firstLine="80"/>
              <w:jc w:val="center"/>
              <w:rPr>
                <w:sz w:val="20"/>
                <w:szCs w:val="20"/>
                <w:lang w:val="hy-AM"/>
              </w:rPr>
            </w:pPr>
            <w:r w:rsidRPr="00BB644E">
              <w:rPr>
                <w:sz w:val="20"/>
                <w:szCs w:val="20"/>
              </w:rPr>
              <w:t xml:space="preserve">152.4 </w:t>
            </w:r>
          </w:p>
        </w:tc>
      </w:tr>
      <w:tr w:rsidR="00F1465E" w:rsidRPr="00AC67B2" w14:paraId="282E260E" w14:textId="77777777" w:rsidTr="00231073">
        <w:trPr>
          <w:trHeight w:val="486"/>
          <w:jc w:val="center"/>
        </w:trPr>
        <w:tc>
          <w:tcPr>
            <w:tcW w:w="4441" w:type="dxa"/>
            <w:tcBorders>
              <w:left w:val="nil"/>
              <w:right w:val="nil"/>
            </w:tcBorders>
            <w:vAlign w:val="center"/>
          </w:tcPr>
          <w:p w14:paraId="6E87CC66" w14:textId="77777777" w:rsidR="00F1465E" w:rsidRPr="00AC67B2" w:rsidRDefault="00F1465E" w:rsidP="00231073">
            <w:pPr>
              <w:spacing w:before="0" w:after="0"/>
              <w:ind w:left="233" w:firstLine="80"/>
              <w:jc w:val="left"/>
              <w:rPr>
                <w:rFonts w:cs="Times Unicode"/>
                <w:sz w:val="20"/>
                <w:szCs w:val="20"/>
                <w:lang w:val="hy-AM"/>
              </w:rPr>
            </w:pPr>
            <w:r w:rsidRPr="00AC67B2">
              <w:rPr>
                <w:sz w:val="20"/>
                <w:szCs w:val="20"/>
                <w:lang w:val="hy-AM"/>
              </w:rPr>
              <w:lastRenderedPageBreak/>
              <w:t>արտարժութային պետական պարտատոմսեր</w:t>
            </w:r>
          </w:p>
        </w:tc>
        <w:tc>
          <w:tcPr>
            <w:tcW w:w="1429" w:type="dxa"/>
            <w:tcBorders>
              <w:left w:val="nil"/>
              <w:right w:val="double" w:sz="4" w:space="0" w:color="auto"/>
            </w:tcBorders>
            <w:vAlign w:val="center"/>
          </w:tcPr>
          <w:p w14:paraId="6AB9525F" w14:textId="77777777" w:rsidR="00F1465E" w:rsidRPr="00BB644E" w:rsidRDefault="00F1465E" w:rsidP="00231073">
            <w:pPr>
              <w:spacing w:before="0" w:after="0"/>
              <w:ind w:firstLine="80"/>
              <w:jc w:val="center"/>
              <w:rPr>
                <w:sz w:val="20"/>
                <w:szCs w:val="20"/>
                <w:lang w:val="hy-AM"/>
              </w:rPr>
            </w:pPr>
            <w:r w:rsidRPr="00BB644E">
              <w:rPr>
                <w:sz w:val="20"/>
                <w:szCs w:val="20"/>
              </w:rPr>
              <w:t xml:space="preserve">75.7 </w:t>
            </w:r>
          </w:p>
        </w:tc>
        <w:tc>
          <w:tcPr>
            <w:tcW w:w="1005" w:type="dxa"/>
            <w:tcBorders>
              <w:left w:val="double" w:sz="4" w:space="0" w:color="auto"/>
              <w:right w:val="nil"/>
            </w:tcBorders>
            <w:vAlign w:val="center"/>
          </w:tcPr>
          <w:p w14:paraId="629A0750" w14:textId="77777777" w:rsidR="00F1465E" w:rsidRPr="00BB644E" w:rsidRDefault="00F1465E" w:rsidP="00231073">
            <w:pPr>
              <w:spacing w:before="0" w:after="0"/>
              <w:ind w:firstLine="80"/>
              <w:jc w:val="center"/>
              <w:rPr>
                <w:sz w:val="20"/>
                <w:szCs w:val="20"/>
                <w:lang w:val="hy-AM"/>
              </w:rPr>
            </w:pPr>
            <w:r w:rsidRPr="00BB644E">
              <w:rPr>
                <w:sz w:val="20"/>
                <w:szCs w:val="20"/>
              </w:rPr>
              <w:t xml:space="preserve">75.8 </w:t>
            </w:r>
          </w:p>
        </w:tc>
        <w:tc>
          <w:tcPr>
            <w:tcW w:w="1005" w:type="dxa"/>
            <w:tcBorders>
              <w:left w:val="nil"/>
              <w:right w:val="nil"/>
            </w:tcBorders>
            <w:vAlign w:val="center"/>
          </w:tcPr>
          <w:p w14:paraId="4A176B1E"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28.3 </w:t>
            </w:r>
          </w:p>
        </w:tc>
        <w:tc>
          <w:tcPr>
            <w:tcW w:w="1005" w:type="dxa"/>
            <w:tcBorders>
              <w:left w:val="nil"/>
              <w:right w:val="nil"/>
            </w:tcBorders>
            <w:vAlign w:val="center"/>
          </w:tcPr>
          <w:p w14:paraId="7F753CAE"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28.7 </w:t>
            </w:r>
          </w:p>
        </w:tc>
        <w:tc>
          <w:tcPr>
            <w:tcW w:w="1007" w:type="dxa"/>
            <w:tcBorders>
              <w:left w:val="nil"/>
              <w:right w:val="nil"/>
            </w:tcBorders>
            <w:vAlign w:val="center"/>
          </w:tcPr>
          <w:p w14:paraId="4FA5D6CC"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29.2 </w:t>
            </w:r>
          </w:p>
        </w:tc>
      </w:tr>
      <w:tr w:rsidR="00F1465E" w:rsidRPr="00AC67B2" w14:paraId="7842E560" w14:textId="77777777" w:rsidTr="00231073">
        <w:trPr>
          <w:trHeight w:val="224"/>
          <w:jc w:val="center"/>
        </w:trPr>
        <w:tc>
          <w:tcPr>
            <w:tcW w:w="4441" w:type="dxa"/>
            <w:tcBorders>
              <w:left w:val="nil"/>
              <w:right w:val="nil"/>
            </w:tcBorders>
          </w:tcPr>
          <w:p w14:paraId="0D76A7AD" w14:textId="77777777" w:rsidR="00F1465E" w:rsidRPr="00AC67B2" w:rsidRDefault="00F1465E" w:rsidP="00231073">
            <w:pPr>
              <w:spacing w:before="0" w:after="0"/>
              <w:ind w:left="972" w:firstLine="80"/>
              <w:jc w:val="left"/>
              <w:rPr>
                <w:sz w:val="20"/>
                <w:szCs w:val="20"/>
                <w:lang w:val="hy-AM"/>
              </w:rPr>
            </w:pPr>
            <w:r w:rsidRPr="00AC67B2">
              <w:rPr>
                <w:rFonts w:cs="Times Unicode"/>
                <w:sz w:val="20"/>
                <w:szCs w:val="20"/>
                <w:lang w:val="hy-AM"/>
              </w:rPr>
              <w:t>տոկոսավճար</w:t>
            </w:r>
          </w:p>
        </w:tc>
        <w:tc>
          <w:tcPr>
            <w:tcW w:w="1429" w:type="dxa"/>
            <w:tcBorders>
              <w:left w:val="nil"/>
              <w:right w:val="double" w:sz="4" w:space="0" w:color="auto"/>
            </w:tcBorders>
            <w:vAlign w:val="center"/>
          </w:tcPr>
          <w:p w14:paraId="1C0B615B"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29.2 </w:t>
            </w:r>
          </w:p>
        </w:tc>
        <w:tc>
          <w:tcPr>
            <w:tcW w:w="1005" w:type="dxa"/>
            <w:tcBorders>
              <w:left w:val="double" w:sz="4" w:space="0" w:color="auto"/>
              <w:right w:val="nil"/>
            </w:tcBorders>
            <w:vAlign w:val="center"/>
          </w:tcPr>
          <w:p w14:paraId="7BA29ACD"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29.2 </w:t>
            </w:r>
          </w:p>
        </w:tc>
        <w:tc>
          <w:tcPr>
            <w:tcW w:w="1005" w:type="dxa"/>
            <w:tcBorders>
              <w:left w:val="nil"/>
              <w:right w:val="nil"/>
            </w:tcBorders>
            <w:vAlign w:val="center"/>
          </w:tcPr>
          <w:p w14:paraId="281993E6"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28.3 </w:t>
            </w:r>
          </w:p>
        </w:tc>
        <w:tc>
          <w:tcPr>
            <w:tcW w:w="1005" w:type="dxa"/>
            <w:tcBorders>
              <w:left w:val="nil"/>
              <w:right w:val="nil"/>
            </w:tcBorders>
            <w:vAlign w:val="center"/>
          </w:tcPr>
          <w:p w14:paraId="784BA7E8"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28.7 </w:t>
            </w:r>
          </w:p>
        </w:tc>
        <w:tc>
          <w:tcPr>
            <w:tcW w:w="1007" w:type="dxa"/>
            <w:tcBorders>
              <w:left w:val="nil"/>
              <w:right w:val="nil"/>
            </w:tcBorders>
            <w:vAlign w:val="center"/>
          </w:tcPr>
          <w:p w14:paraId="097568D2" w14:textId="77777777" w:rsidR="00F1465E" w:rsidRPr="00BB644E" w:rsidRDefault="00F1465E" w:rsidP="00231073">
            <w:pPr>
              <w:spacing w:before="0" w:after="0"/>
              <w:ind w:firstLine="80"/>
              <w:jc w:val="center"/>
              <w:rPr>
                <w:sz w:val="20"/>
                <w:szCs w:val="20"/>
                <w:lang w:val="hy-AM"/>
              </w:rPr>
            </w:pPr>
            <w:r w:rsidRPr="00BB644E">
              <w:rPr>
                <w:sz w:val="20"/>
                <w:szCs w:val="20"/>
              </w:rPr>
              <w:t xml:space="preserve">29.2 </w:t>
            </w:r>
          </w:p>
        </w:tc>
      </w:tr>
      <w:tr w:rsidR="00F1465E" w:rsidRPr="00AC67B2" w14:paraId="6BB27D0F" w14:textId="77777777" w:rsidTr="00231073">
        <w:trPr>
          <w:trHeight w:val="211"/>
          <w:jc w:val="center"/>
        </w:trPr>
        <w:tc>
          <w:tcPr>
            <w:tcW w:w="4441" w:type="dxa"/>
            <w:tcBorders>
              <w:left w:val="nil"/>
              <w:bottom w:val="thickThinSmallGap" w:sz="24" w:space="0" w:color="auto"/>
              <w:right w:val="nil"/>
            </w:tcBorders>
          </w:tcPr>
          <w:p w14:paraId="396690B5" w14:textId="77777777" w:rsidR="00F1465E" w:rsidRPr="00AC67B2" w:rsidRDefault="00F1465E" w:rsidP="00231073">
            <w:pPr>
              <w:spacing w:before="0" w:after="0"/>
              <w:ind w:left="972" w:firstLine="80"/>
              <w:jc w:val="left"/>
              <w:rPr>
                <w:sz w:val="20"/>
                <w:szCs w:val="20"/>
                <w:lang w:val="hy-AM"/>
              </w:rPr>
            </w:pPr>
            <w:r w:rsidRPr="00AC67B2">
              <w:rPr>
                <w:rFonts w:cs="Times Unicode"/>
                <w:sz w:val="20"/>
                <w:szCs w:val="20"/>
                <w:lang w:val="hy-AM"/>
              </w:rPr>
              <w:t>մարում</w:t>
            </w:r>
          </w:p>
        </w:tc>
        <w:tc>
          <w:tcPr>
            <w:tcW w:w="1429" w:type="dxa"/>
            <w:tcBorders>
              <w:left w:val="nil"/>
              <w:bottom w:val="thickThinSmallGap" w:sz="24" w:space="0" w:color="auto"/>
              <w:right w:val="double" w:sz="4" w:space="0" w:color="auto"/>
            </w:tcBorders>
            <w:vAlign w:val="center"/>
          </w:tcPr>
          <w:p w14:paraId="2ECA3AE9" w14:textId="77777777" w:rsidR="00F1465E" w:rsidRPr="00BB644E" w:rsidRDefault="00F1465E" w:rsidP="00231073">
            <w:pPr>
              <w:spacing w:before="0" w:after="0"/>
              <w:ind w:firstLine="80"/>
              <w:jc w:val="center"/>
              <w:rPr>
                <w:sz w:val="20"/>
                <w:szCs w:val="20"/>
                <w:lang w:val="hy-AM"/>
              </w:rPr>
            </w:pPr>
            <w:r w:rsidRPr="00BB644E">
              <w:rPr>
                <w:sz w:val="20"/>
                <w:szCs w:val="20"/>
              </w:rPr>
              <w:t xml:space="preserve">46.5 </w:t>
            </w:r>
          </w:p>
        </w:tc>
        <w:tc>
          <w:tcPr>
            <w:tcW w:w="1005" w:type="dxa"/>
            <w:tcBorders>
              <w:left w:val="double" w:sz="4" w:space="0" w:color="auto"/>
              <w:bottom w:val="thickThinSmallGap" w:sz="24" w:space="0" w:color="auto"/>
              <w:right w:val="nil"/>
            </w:tcBorders>
            <w:vAlign w:val="center"/>
          </w:tcPr>
          <w:p w14:paraId="1F42B73E" w14:textId="77777777" w:rsidR="00F1465E" w:rsidRPr="00BB644E" w:rsidRDefault="00F1465E" w:rsidP="00231073">
            <w:pPr>
              <w:spacing w:before="0" w:after="0"/>
              <w:ind w:firstLine="80"/>
              <w:jc w:val="center"/>
              <w:rPr>
                <w:sz w:val="20"/>
                <w:szCs w:val="20"/>
                <w:lang w:val="hy-AM"/>
              </w:rPr>
            </w:pPr>
            <w:r w:rsidRPr="00BB644E">
              <w:rPr>
                <w:sz w:val="20"/>
                <w:szCs w:val="20"/>
              </w:rPr>
              <w:t xml:space="preserve">46.5 </w:t>
            </w:r>
          </w:p>
        </w:tc>
        <w:tc>
          <w:tcPr>
            <w:tcW w:w="1005" w:type="dxa"/>
            <w:tcBorders>
              <w:left w:val="nil"/>
              <w:bottom w:val="thickThinSmallGap" w:sz="24" w:space="0" w:color="auto"/>
              <w:right w:val="nil"/>
            </w:tcBorders>
            <w:vAlign w:val="center"/>
          </w:tcPr>
          <w:p w14:paraId="5D7C7AA5" w14:textId="77777777" w:rsidR="00F1465E" w:rsidRPr="00BB644E" w:rsidRDefault="00F1465E" w:rsidP="00231073">
            <w:pPr>
              <w:spacing w:before="0" w:after="0"/>
              <w:ind w:firstLine="80"/>
              <w:jc w:val="center"/>
              <w:rPr>
                <w:sz w:val="20"/>
                <w:szCs w:val="20"/>
                <w:lang w:val="hy-AM"/>
              </w:rPr>
            </w:pPr>
            <w:r w:rsidRPr="00BB644E">
              <w:rPr>
                <w:sz w:val="20"/>
                <w:szCs w:val="20"/>
              </w:rPr>
              <w:t xml:space="preserve">-   </w:t>
            </w:r>
          </w:p>
        </w:tc>
        <w:tc>
          <w:tcPr>
            <w:tcW w:w="1005" w:type="dxa"/>
            <w:tcBorders>
              <w:left w:val="nil"/>
              <w:bottom w:val="thickThinSmallGap" w:sz="24" w:space="0" w:color="auto"/>
              <w:right w:val="nil"/>
            </w:tcBorders>
            <w:vAlign w:val="center"/>
          </w:tcPr>
          <w:p w14:paraId="0B7A03D5" w14:textId="77777777" w:rsidR="00F1465E" w:rsidRPr="00BB644E" w:rsidRDefault="00F1465E" w:rsidP="00231073">
            <w:pPr>
              <w:spacing w:before="0" w:after="0"/>
              <w:ind w:firstLine="80"/>
              <w:jc w:val="center"/>
              <w:rPr>
                <w:sz w:val="20"/>
                <w:szCs w:val="20"/>
                <w:lang w:val="hy-AM"/>
              </w:rPr>
            </w:pPr>
            <w:r w:rsidRPr="00BB644E">
              <w:rPr>
                <w:sz w:val="20"/>
                <w:szCs w:val="20"/>
              </w:rPr>
              <w:t xml:space="preserve">-   </w:t>
            </w:r>
          </w:p>
        </w:tc>
        <w:tc>
          <w:tcPr>
            <w:tcW w:w="1007" w:type="dxa"/>
            <w:tcBorders>
              <w:left w:val="nil"/>
              <w:bottom w:val="thickThinSmallGap" w:sz="24" w:space="0" w:color="auto"/>
              <w:right w:val="nil"/>
            </w:tcBorders>
            <w:vAlign w:val="center"/>
          </w:tcPr>
          <w:p w14:paraId="62F1A777" w14:textId="77777777" w:rsidR="00F1465E" w:rsidRPr="00BB644E" w:rsidRDefault="00F1465E" w:rsidP="00231073">
            <w:pPr>
              <w:spacing w:before="0" w:after="0"/>
              <w:ind w:firstLine="80"/>
              <w:jc w:val="center"/>
              <w:rPr>
                <w:sz w:val="20"/>
                <w:szCs w:val="20"/>
                <w:lang w:val="hy-AM"/>
              </w:rPr>
            </w:pPr>
            <w:r w:rsidRPr="00BB644E">
              <w:rPr>
                <w:sz w:val="20"/>
                <w:szCs w:val="20"/>
              </w:rPr>
              <w:t xml:space="preserve">-   </w:t>
            </w:r>
          </w:p>
        </w:tc>
      </w:tr>
    </w:tbl>
    <w:p w14:paraId="397499D1" w14:textId="77777777" w:rsidR="00F1465E" w:rsidRDefault="00F1465E" w:rsidP="00F1465E">
      <w:pPr>
        <w:spacing w:before="0" w:after="0" w:line="360" w:lineRule="auto"/>
        <w:ind w:firstLine="720"/>
        <w:rPr>
          <w:rFonts w:cs="Times Unicode"/>
          <w:lang w:val="hy-AM"/>
        </w:rPr>
      </w:pPr>
    </w:p>
    <w:p w14:paraId="493DBA05" w14:textId="77777777" w:rsidR="00F1465E" w:rsidRPr="00AC67B2" w:rsidRDefault="00F1465E" w:rsidP="00774AC5">
      <w:pPr>
        <w:spacing w:line="276" w:lineRule="auto"/>
        <w:ind w:firstLine="720"/>
        <w:rPr>
          <w:rFonts w:cs="Times Unicode"/>
          <w:lang w:val="hy-AM"/>
        </w:rPr>
      </w:pPr>
      <w:r w:rsidRPr="00AC67B2">
        <w:rPr>
          <w:rFonts w:cs="Times Unicode"/>
          <w:lang w:val="hy-AM"/>
        </w:rPr>
        <w:t>ՀՀ կառավարությունը պարտքի և կանխիկ հոսքերի կառավարման գործիքների</w:t>
      </w:r>
      <w:r w:rsidRPr="006466FC">
        <w:rPr>
          <w:rFonts w:cs="Times Unicode"/>
          <w:lang w:val="hy-AM"/>
        </w:rPr>
        <w:t xml:space="preserve"> (հետգնումներ, ՀՀ կենտրոնական բանկում միջոցների ավանդադրում և այլն)</w:t>
      </w:r>
      <w:r w:rsidRPr="00AC67B2">
        <w:rPr>
          <w:rFonts w:cs="Times Unicode"/>
          <w:lang w:val="hy-AM"/>
        </w:rPr>
        <w:t xml:space="preserve"> կիրառմամբ վերահսկում է վերաֆինանսավորման հետ կապված ռիսկերը:</w:t>
      </w:r>
    </w:p>
    <w:p w14:paraId="60163C83" w14:textId="77777777" w:rsidR="00F1465E" w:rsidRPr="00C35116" w:rsidRDefault="00F1465E" w:rsidP="00774AC5">
      <w:pPr>
        <w:spacing w:after="100" w:afterAutospacing="1" w:line="276" w:lineRule="auto"/>
        <w:ind w:firstLine="720"/>
        <w:rPr>
          <w:rFonts w:cs="Times Unicode"/>
          <w:i/>
          <w:lang w:val="hy-AM"/>
        </w:rPr>
      </w:pPr>
    </w:p>
    <w:p w14:paraId="501C609B" w14:textId="77777777" w:rsidR="00F1465E" w:rsidRPr="00AC67B2" w:rsidRDefault="00F1465E" w:rsidP="00774AC5">
      <w:pPr>
        <w:spacing w:after="100" w:afterAutospacing="1" w:line="276" w:lineRule="auto"/>
        <w:ind w:firstLine="720"/>
        <w:rPr>
          <w:rFonts w:cs="Times Unicode"/>
          <w:i/>
          <w:lang w:val="hy-AM"/>
        </w:rPr>
      </w:pPr>
      <w:r w:rsidRPr="00AC67B2">
        <w:rPr>
          <w:rFonts w:cs="Times Unicode"/>
          <w:i/>
          <w:lang w:val="hy-AM"/>
        </w:rPr>
        <w:t>Տոկոսադրույքի ռիսկ</w:t>
      </w:r>
    </w:p>
    <w:p w14:paraId="6BB2ED2D" w14:textId="77777777" w:rsidR="00F1465E" w:rsidRPr="00417DBE" w:rsidRDefault="00F1465E" w:rsidP="00774AC5">
      <w:pPr>
        <w:spacing w:line="276" w:lineRule="auto"/>
        <w:ind w:firstLine="720"/>
        <w:rPr>
          <w:rFonts w:cs="Times Unicode"/>
          <w:color w:val="FF0000"/>
          <w:lang w:val="hy-AM"/>
        </w:rPr>
      </w:pPr>
      <w:r w:rsidRPr="00AC67B2">
        <w:rPr>
          <w:rFonts w:cs="Times Unicode"/>
          <w:lang w:val="hy-AM"/>
        </w:rPr>
        <w:t>Տոկոսադրույքի հետ կապված ռիսկերը արժանի են մեծ ուշադրության, քանի որ շուկայական պայմաններով ներգրավվող փոխառու միջոցների կշիռը գնալով աճում է: Տոկոսադրույքի ռիսկի կառավարման նպա</w:t>
      </w:r>
      <w:r w:rsidRPr="00AC67B2">
        <w:rPr>
          <w:rFonts w:cs="Times Unicode"/>
          <w:lang w:val="hy-AM"/>
        </w:rPr>
        <w:softHyphen/>
        <w:t>տակն է ապահովել կառավարության պարտքի այն</w:t>
      </w:r>
      <w:r w:rsidRPr="00AC67B2">
        <w:rPr>
          <w:rFonts w:cs="Times Unicode"/>
          <w:lang w:val="hy-AM"/>
        </w:rPr>
        <w:softHyphen/>
        <w:t>պիսի կառուցվածք, որի դեպքում ֆինան</w:t>
      </w:r>
      <w:r w:rsidRPr="00AC67B2">
        <w:rPr>
          <w:rFonts w:cs="Times Unicode"/>
          <w:lang w:val="hy-AM"/>
        </w:rPr>
        <w:softHyphen/>
        <w:t>սական շուկա</w:t>
      </w:r>
      <w:r w:rsidRPr="00AC67B2">
        <w:rPr>
          <w:rFonts w:cs="Times Unicode"/>
          <w:lang w:val="hy-AM"/>
        </w:rPr>
        <w:softHyphen/>
        <w:t>ներում տոկոսադրույքների փոփոխու</w:t>
      </w:r>
      <w:r w:rsidRPr="00AC67B2">
        <w:rPr>
          <w:rFonts w:cs="Times Unicode"/>
          <w:lang w:val="hy-AM"/>
        </w:rPr>
        <w:softHyphen/>
        <w:t>թյունը հնարավորինս քիչ ազդեցություն կունենա կանխա</w:t>
      </w:r>
      <w:r w:rsidRPr="00AC67B2">
        <w:rPr>
          <w:rFonts w:cs="Times Unicode"/>
          <w:lang w:val="hy-AM"/>
        </w:rPr>
        <w:softHyphen/>
        <w:t>տես</w:t>
      </w:r>
      <w:r w:rsidRPr="00AC67B2">
        <w:rPr>
          <w:rFonts w:cs="Times Unicode"/>
          <w:lang w:val="hy-AM"/>
        </w:rPr>
        <w:softHyphen/>
        <w:t xml:space="preserve">վող տոկոսագումարների մակարդակի վրա: ՀՀ կառավարության </w:t>
      </w:r>
      <w:r w:rsidRPr="00713B3F">
        <w:rPr>
          <w:rFonts w:cs="Times Unicode"/>
          <w:lang w:val="hy-AM"/>
        </w:rPr>
        <w:t>պարտքի պորտֆելի տոկոսադրույքի ռիսկի ցուցանիշները կանխա</w:t>
      </w:r>
      <w:r w:rsidRPr="00713B3F">
        <w:rPr>
          <w:rFonts w:cs="Times Unicode"/>
          <w:lang w:val="hy-AM"/>
        </w:rPr>
        <w:softHyphen/>
        <w:t>տես</w:t>
      </w:r>
      <w:r w:rsidRPr="00713B3F">
        <w:rPr>
          <w:rFonts w:cs="Times Unicode"/>
          <w:lang w:val="hy-AM"/>
        </w:rPr>
        <w:softHyphen/>
      </w:r>
      <w:r w:rsidRPr="00713B3F">
        <w:rPr>
          <w:rFonts w:cs="Times Unicode"/>
          <w:lang w:val="hy-AM"/>
        </w:rPr>
        <w:softHyphen/>
        <w:t>վող ժամանակահատվածում մնում են կառավարելի:</w:t>
      </w:r>
      <w:r w:rsidRPr="00417DBE">
        <w:rPr>
          <w:rFonts w:cs="Times Unicode"/>
          <w:color w:val="FF0000"/>
          <w:lang w:val="hy-AM"/>
        </w:rPr>
        <w:t xml:space="preserve"> </w:t>
      </w:r>
    </w:p>
    <w:p w14:paraId="4A41D381" w14:textId="77777777" w:rsidR="00F1465E" w:rsidRPr="000D7D1C" w:rsidRDefault="00F1465E" w:rsidP="00774AC5">
      <w:pPr>
        <w:spacing w:line="276" w:lineRule="auto"/>
        <w:ind w:firstLine="720"/>
        <w:rPr>
          <w:rFonts w:cs="Times Unicode"/>
          <w:lang w:val="hy-AM"/>
        </w:rPr>
      </w:pPr>
      <w:r w:rsidRPr="000D7D1C">
        <w:rPr>
          <w:rFonts w:cs="Times Unicode"/>
          <w:lang w:val="hy-AM"/>
        </w:rPr>
        <w:t>Ֆիքսված տոկոսադրույքով պարտքի կշիռը 202</w:t>
      </w:r>
      <w:r w:rsidRPr="00A205DB">
        <w:rPr>
          <w:rFonts w:cs="Times Unicode"/>
          <w:lang w:val="hy-AM"/>
        </w:rPr>
        <w:t>3</w:t>
      </w:r>
      <w:r w:rsidRPr="000D7D1C">
        <w:rPr>
          <w:rFonts w:cs="Times Unicode"/>
          <w:lang w:val="hy-AM"/>
        </w:rPr>
        <w:t xml:space="preserve">թ. տարեվերջին </w:t>
      </w:r>
      <w:r w:rsidRPr="00A205DB">
        <w:rPr>
          <w:rFonts w:cs="Times Unicode"/>
          <w:lang w:val="hy-AM"/>
        </w:rPr>
        <w:t>կանխատեսվում է, որ կկազմի</w:t>
      </w:r>
      <w:r w:rsidRPr="000D7D1C">
        <w:rPr>
          <w:rFonts w:cs="Times Unicode"/>
          <w:lang w:val="hy-AM"/>
        </w:rPr>
        <w:t xml:space="preserve"> </w:t>
      </w:r>
      <w:r w:rsidRPr="00A205DB">
        <w:rPr>
          <w:rFonts w:cs="Times Unicode"/>
          <w:lang w:val="hy-AM"/>
        </w:rPr>
        <w:t>80</w:t>
      </w:r>
      <w:r w:rsidRPr="000D7D1C">
        <w:rPr>
          <w:rFonts w:cs="Times Unicode"/>
          <w:lang w:val="hy-AM"/>
        </w:rPr>
        <w:t>.</w:t>
      </w:r>
      <w:r w:rsidRPr="00A205DB">
        <w:rPr>
          <w:rFonts w:cs="Times Unicode"/>
          <w:lang w:val="hy-AM"/>
        </w:rPr>
        <w:t>7</w:t>
      </w:r>
      <w:r w:rsidRPr="000D7D1C">
        <w:rPr>
          <w:rFonts w:cs="Times Unicode"/>
          <w:lang w:val="hy-AM"/>
        </w:rPr>
        <w:t>%: Չնայած ՀՀ կառավարության կողմից կանխատեսվող ժամանակահատվածում թողարկվելու է նախորդ տարիների համեմատ ավելի շատ ֆիքսված տոկոսադրույքով ներքին պարտք, շրջանառության մեջ գտնվող պետական գանձապետական պարտատոմսերի ծավալի կշիռը դեռևս էական չի լինելու և 202</w:t>
      </w:r>
      <w:r w:rsidRPr="00A205DB">
        <w:rPr>
          <w:rFonts w:cs="Times Unicode"/>
          <w:lang w:val="hy-AM"/>
        </w:rPr>
        <w:t>3</w:t>
      </w:r>
      <w:r w:rsidRPr="000D7D1C">
        <w:rPr>
          <w:rFonts w:cs="Times Unicode"/>
          <w:lang w:val="hy-AM"/>
        </w:rPr>
        <w:t>թ. այն կկազմի ՀՀ կառավարության պարտքի ընդամենը</w:t>
      </w:r>
      <w:r w:rsidRPr="00A205DB">
        <w:rPr>
          <w:rFonts w:cs="Times Unicode"/>
          <w:lang w:val="hy-AM"/>
        </w:rPr>
        <w:t xml:space="preserve"> 36</w:t>
      </w:r>
      <w:r w:rsidRPr="000D7D1C">
        <w:rPr>
          <w:rFonts w:cs="Times Unicode"/>
          <w:lang w:val="hy-AM"/>
        </w:rPr>
        <w:t>.</w:t>
      </w:r>
      <w:r w:rsidRPr="00A205DB">
        <w:rPr>
          <w:rFonts w:cs="Times Unicode"/>
          <w:lang w:val="hy-AM"/>
        </w:rPr>
        <w:t>3</w:t>
      </w:r>
      <w:r w:rsidRPr="000D7D1C">
        <w:rPr>
          <w:rFonts w:cs="Times Unicode"/>
          <w:lang w:val="hy-AM"/>
        </w:rPr>
        <w:t xml:space="preserve">%-ը: Մյուս կողմից, միջազգային վարկատուներն ավելի շատ լողացող տոկոսադրույքով նոր վարկեր են տրամադրելու, որի արդյունքում ՀՀ կառավարության պարտքի պորտֆելի ֆիքսված տոկոսադրույքով պարտքի կշիռը </w:t>
      </w:r>
      <w:r w:rsidRPr="00A205DB">
        <w:rPr>
          <w:rFonts w:cs="Times Unicode"/>
          <w:lang w:val="hy-AM"/>
        </w:rPr>
        <w:t xml:space="preserve">կտատանվի 80%-ի </w:t>
      </w:r>
      <w:r w:rsidRPr="00F738AB">
        <w:rPr>
          <w:rFonts w:cs="Times Unicode"/>
          <w:lang w:val="hy-AM"/>
        </w:rPr>
        <w:t>շուրջը</w:t>
      </w:r>
      <w:r w:rsidRPr="000D7D1C">
        <w:rPr>
          <w:rFonts w:cs="Times Unicode"/>
          <w:lang w:val="hy-AM"/>
        </w:rPr>
        <w:t>: Անհրաժեշտության դեպքում, տոկոսադրույքի ռիսկը կառավարելու նպատակով, արտաքին</w:t>
      </w:r>
      <w:r w:rsidRPr="000D7D1C">
        <w:rPr>
          <w:lang w:val="hy-AM"/>
        </w:rPr>
        <w:t xml:space="preserve"> </w:t>
      </w:r>
      <w:r w:rsidRPr="000D7D1C">
        <w:rPr>
          <w:rFonts w:cs="Times Unicode"/>
          <w:lang w:val="hy-AM"/>
        </w:rPr>
        <w:t>վարկատուների</w:t>
      </w:r>
      <w:r w:rsidRPr="000D7D1C">
        <w:rPr>
          <w:lang w:val="hy-AM"/>
        </w:rPr>
        <w:t xml:space="preserve"> </w:t>
      </w:r>
      <w:r w:rsidRPr="000D7D1C">
        <w:rPr>
          <w:rFonts w:cs="Times Unicode"/>
          <w:lang w:val="hy-AM"/>
        </w:rPr>
        <w:t>կողմից</w:t>
      </w:r>
      <w:r w:rsidRPr="000D7D1C">
        <w:rPr>
          <w:lang w:val="hy-AM"/>
        </w:rPr>
        <w:t xml:space="preserve"> </w:t>
      </w:r>
      <w:r w:rsidRPr="000D7D1C">
        <w:rPr>
          <w:rFonts w:cs="Times Unicode"/>
          <w:lang w:val="hy-AM"/>
        </w:rPr>
        <w:t>սահմանված</w:t>
      </w:r>
      <w:r w:rsidRPr="000D7D1C">
        <w:rPr>
          <w:lang w:val="hy-AM"/>
        </w:rPr>
        <w:t xml:space="preserve"> </w:t>
      </w:r>
      <w:r w:rsidRPr="000D7D1C">
        <w:rPr>
          <w:rFonts w:cs="Times Unicode"/>
          <w:lang w:val="hy-AM"/>
        </w:rPr>
        <w:t>ընթացա</w:t>
      </w:r>
      <w:r w:rsidRPr="000D7D1C">
        <w:rPr>
          <w:rFonts w:cs="Times Unicode"/>
          <w:lang w:val="hy-AM"/>
        </w:rPr>
        <w:softHyphen/>
        <w:t>կարգերի</w:t>
      </w:r>
      <w:r w:rsidRPr="000D7D1C">
        <w:rPr>
          <w:lang w:val="hy-AM"/>
        </w:rPr>
        <w:t xml:space="preserve"> </w:t>
      </w:r>
      <w:r w:rsidRPr="000D7D1C">
        <w:rPr>
          <w:rFonts w:cs="Times Unicode"/>
          <w:lang w:val="hy-AM"/>
        </w:rPr>
        <w:t>համաձայն</w:t>
      </w:r>
      <w:r w:rsidRPr="000D7D1C">
        <w:rPr>
          <w:lang w:val="hy-AM"/>
        </w:rPr>
        <w:t xml:space="preserve">, </w:t>
      </w:r>
      <w:r w:rsidRPr="000D7D1C">
        <w:rPr>
          <w:rFonts w:cs="Times Unicode"/>
          <w:lang w:val="hy-AM"/>
        </w:rPr>
        <w:t>կիրականացվի</w:t>
      </w:r>
      <w:r w:rsidRPr="000D7D1C">
        <w:rPr>
          <w:lang w:val="hy-AM"/>
        </w:rPr>
        <w:t xml:space="preserve"> </w:t>
      </w:r>
      <w:r w:rsidRPr="000D7D1C">
        <w:rPr>
          <w:rFonts w:cs="Times Unicode"/>
          <w:lang w:val="hy-AM"/>
        </w:rPr>
        <w:t>լողացող</w:t>
      </w:r>
      <w:r w:rsidRPr="000D7D1C">
        <w:rPr>
          <w:lang w:val="hy-AM"/>
        </w:rPr>
        <w:t xml:space="preserve"> </w:t>
      </w:r>
      <w:r w:rsidRPr="000D7D1C">
        <w:rPr>
          <w:rFonts w:cs="Times Unicode"/>
          <w:lang w:val="hy-AM"/>
        </w:rPr>
        <w:t>տոկոսադրույքով</w:t>
      </w:r>
      <w:r w:rsidRPr="000D7D1C">
        <w:rPr>
          <w:lang w:val="hy-AM"/>
        </w:rPr>
        <w:t xml:space="preserve"> </w:t>
      </w:r>
      <w:r w:rsidRPr="000D7D1C">
        <w:rPr>
          <w:rFonts w:cs="Times Unicode"/>
          <w:lang w:val="hy-AM"/>
        </w:rPr>
        <w:t>ներգրավված</w:t>
      </w:r>
      <w:r w:rsidRPr="000D7D1C">
        <w:rPr>
          <w:lang w:val="hy-AM"/>
        </w:rPr>
        <w:t xml:space="preserve"> </w:t>
      </w:r>
      <w:r w:rsidRPr="000D7D1C">
        <w:rPr>
          <w:rFonts w:cs="Times Unicode"/>
          <w:lang w:val="hy-AM"/>
        </w:rPr>
        <w:t>վարկերի</w:t>
      </w:r>
      <w:r w:rsidRPr="000D7D1C">
        <w:rPr>
          <w:lang w:val="hy-AM"/>
        </w:rPr>
        <w:t xml:space="preserve"> </w:t>
      </w:r>
      <w:r w:rsidRPr="000D7D1C">
        <w:rPr>
          <w:rFonts w:cs="Times Unicode"/>
          <w:lang w:val="hy-AM"/>
        </w:rPr>
        <w:t>տոկոսադրույքի</w:t>
      </w:r>
      <w:r w:rsidRPr="000D7D1C">
        <w:rPr>
          <w:lang w:val="hy-AM"/>
        </w:rPr>
        <w:t xml:space="preserve"> </w:t>
      </w:r>
      <w:r w:rsidRPr="000D7D1C">
        <w:rPr>
          <w:rFonts w:cs="Times Unicode"/>
          <w:lang w:val="hy-AM"/>
        </w:rPr>
        <w:t>ֆիքսում:</w:t>
      </w:r>
    </w:p>
    <w:p w14:paraId="5A5BD4F4" w14:textId="77777777" w:rsidR="00F1465E" w:rsidRPr="00774AC5" w:rsidRDefault="00F1465E" w:rsidP="00774AC5">
      <w:pPr>
        <w:spacing w:line="276" w:lineRule="auto"/>
        <w:ind w:left="1560" w:hanging="1560"/>
        <w:rPr>
          <w:i/>
          <w:sz w:val="20"/>
          <w:szCs w:val="20"/>
          <w:lang w:val="hy-AM"/>
        </w:rPr>
      </w:pPr>
      <w:r w:rsidRPr="00774AC5">
        <w:rPr>
          <w:rFonts w:cs="Times Unicode"/>
          <w:b/>
          <w:sz w:val="20"/>
          <w:szCs w:val="20"/>
          <w:lang w:val="hy-AM"/>
        </w:rPr>
        <w:t>Աղյուսակ</w:t>
      </w:r>
      <w:r w:rsidRPr="00774AC5">
        <w:rPr>
          <w:b/>
          <w:sz w:val="20"/>
          <w:szCs w:val="20"/>
          <w:lang w:val="hy-AM"/>
        </w:rPr>
        <w:t xml:space="preserve"> </w:t>
      </w:r>
      <w:r w:rsidR="00774AC5" w:rsidRPr="00BE7F99">
        <w:rPr>
          <w:b/>
          <w:sz w:val="20"/>
          <w:szCs w:val="20"/>
          <w:lang w:val="hy-AM"/>
        </w:rPr>
        <w:t>1.</w:t>
      </w:r>
      <w:r w:rsidRPr="00774AC5">
        <w:rPr>
          <w:b/>
          <w:sz w:val="20"/>
          <w:szCs w:val="20"/>
          <w:lang w:val="hy-AM"/>
        </w:rPr>
        <w:t xml:space="preserve">12 </w:t>
      </w:r>
      <w:r w:rsidRPr="00774AC5">
        <w:rPr>
          <w:sz w:val="20"/>
          <w:szCs w:val="20"/>
          <w:lang w:val="hy-AM"/>
        </w:rPr>
        <w:t xml:space="preserve"> </w:t>
      </w:r>
      <w:r w:rsidRPr="00774AC5">
        <w:rPr>
          <w:rFonts w:cs="Times Unicode"/>
          <w:i/>
          <w:sz w:val="20"/>
          <w:szCs w:val="20"/>
          <w:lang w:val="hy-AM"/>
        </w:rPr>
        <w:t>ՀՀ</w:t>
      </w:r>
      <w:r w:rsidRPr="00774AC5">
        <w:rPr>
          <w:i/>
          <w:sz w:val="20"/>
          <w:szCs w:val="20"/>
          <w:lang w:val="hy-AM"/>
        </w:rPr>
        <w:t xml:space="preserve"> </w:t>
      </w:r>
      <w:r w:rsidRPr="00774AC5">
        <w:rPr>
          <w:rFonts w:cs="Times Unicode"/>
          <w:i/>
          <w:sz w:val="20"/>
          <w:szCs w:val="20"/>
          <w:lang w:val="hy-AM"/>
        </w:rPr>
        <w:t>կառավարության</w:t>
      </w:r>
      <w:r w:rsidRPr="00774AC5">
        <w:rPr>
          <w:i/>
          <w:sz w:val="20"/>
          <w:szCs w:val="20"/>
          <w:lang w:val="hy-AM"/>
        </w:rPr>
        <w:t xml:space="preserve"> </w:t>
      </w:r>
      <w:r w:rsidRPr="00774AC5">
        <w:rPr>
          <w:rFonts w:cs="Times Unicode"/>
          <w:i/>
          <w:sz w:val="20"/>
          <w:szCs w:val="20"/>
          <w:lang w:val="hy-AM"/>
        </w:rPr>
        <w:t>պարտքի</w:t>
      </w:r>
      <w:r w:rsidRPr="00774AC5">
        <w:rPr>
          <w:i/>
          <w:sz w:val="20"/>
          <w:szCs w:val="20"/>
          <w:lang w:val="hy-AM"/>
        </w:rPr>
        <w:t xml:space="preserve"> </w:t>
      </w:r>
      <w:r w:rsidRPr="00774AC5">
        <w:rPr>
          <w:rFonts w:cs="Times Unicode"/>
          <w:i/>
          <w:sz w:val="20"/>
          <w:szCs w:val="20"/>
          <w:lang w:val="hy-AM"/>
        </w:rPr>
        <w:t>կառուցվածքում</w:t>
      </w:r>
      <w:r w:rsidRPr="00774AC5">
        <w:rPr>
          <w:i/>
          <w:sz w:val="20"/>
          <w:szCs w:val="20"/>
          <w:lang w:val="hy-AM"/>
        </w:rPr>
        <w:t xml:space="preserve"> </w:t>
      </w:r>
      <w:r w:rsidRPr="00774AC5">
        <w:rPr>
          <w:rFonts w:cs="Times Unicode"/>
          <w:i/>
          <w:sz w:val="20"/>
          <w:szCs w:val="20"/>
          <w:lang w:val="hy-AM"/>
        </w:rPr>
        <w:t>ֆիքսված</w:t>
      </w:r>
      <w:r w:rsidRPr="00774AC5">
        <w:rPr>
          <w:i/>
          <w:sz w:val="20"/>
          <w:szCs w:val="20"/>
          <w:lang w:val="hy-AM"/>
        </w:rPr>
        <w:t xml:space="preserve"> </w:t>
      </w:r>
      <w:r w:rsidRPr="00774AC5">
        <w:rPr>
          <w:rFonts w:cs="Times Unicode"/>
          <w:i/>
          <w:sz w:val="20"/>
          <w:szCs w:val="20"/>
          <w:lang w:val="hy-AM"/>
        </w:rPr>
        <w:t>և</w:t>
      </w:r>
      <w:r w:rsidRPr="00774AC5">
        <w:rPr>
          <w:i/>
          <w:sz w:val="20"/>
          <w:szCs w:val="20"/>
          <w:lang w:val="hy-AM"/>
        </w:rPr>
        <w:t xml:space="preserve"> </w:t>
      </w:r>
      <w:r w:rsidRPr="00774AC5">
        <w:rPr>
          <w:rFonts w:cs="Times Unicode"/>
          <w:i/>
          <w:sz w:val="20"/>
          <w:szCs w:val="20"/>
          <w:lang w:val="hy-AM"/>
        </w:rPr>
        <w:t>լողացող տոկոսադրույքով</w:t>
      </w:r>
      <w:r w:rsidRPr="00774AC5">
        <w:rPr>
          <w:i/>
          <w:sz w:val="20"/>
          <w:szCs w:val="20"/>
          <w:lang w:val="hy-AM"/>
        </w:rPr>
        <w:t xml:space="preserve"> </w:t>
      </w:r>
      <w:r w:rsidRPr="00774AC5">
        <w:rPr>
          <w:rFonts w:cs="Times Unicode"/>
          <w:i/>
          <w:sz w:val="20"/>
          <w:szCs w:val="20"/>
          <w:lang w:val="hy-AM"/>
        </w:rPr>
        <w:t>վարկերի</w:t>
      </w:r>
      <w:r w:rsidRPr="00774AC5">
        <w:rPr>
          <w:i/>
          <w:sz w:val="20"/>
          <w:szCs w:val="20"/>
          <w:lang w:val="hy-AM"/>
        </w:rPr>
        <w:t xml:space="preserve"> </w:t>
      </w:r>
      <w:r w:rsidRPr="00774AC5">
        <w:rPr>
          <w:rFonts w:cs="Times Unicode"/>
          <w:i/>
          <w:sz w:val="20"/>
          <w:szCs w:val="20"/>
          <w:lang w:val="hy-AM"/>
        </w:rPr>
        <w:t>տեսակարար</w:t>
      </w:r>
      <w:r w:rsidRPr="00774AC5">
        <w:rPr>
          <w:i/>
          <w:sz w:val="20"/>
          <w:szCs w:val="20"/>
          <w:lang w:val="hy-AM"/>
        </w:rPr>
        <w:t xml:space="preserve"> </w:t>
      </w:r>
      <w:r w:rsidRPr="00774AC5">
        <w:rPr>
          <w:rFonts w:cs="Times Unicode"/>
          <w:i/>
          <w:sz w:val="20"/>
          <w:szCs w:val="20"/>
          <w:lang w:val="hy-AM"/>
        </w:rPr>
        <w:t>կշիռը</w:t>
      </w:r>
      <w:r w:rsidRPr="00774AC5">
        <w:rPr>
          <w:i/>
          <w:sz w:val="20"/>
          <w:szCs w:val="20"/>
          <w:lang w:val="hy-AM"/>
        </w:rPr>
        <w:t xml:space="preserve"> 2020-2023</w:t>
      </w:r>
      <w:r w:rsidRPr="00774AC5">
        <w:rPr>
          <w:rFonts w:cs="Times Unicode"/>
          <w:i/>
          <w:sz w:val="20"/>
          <w:szCs w:val="20"/>
          <w:lang w:val="hy-AM"/>
        </w:rPr>
        <w:t>թթ</w:t>
      </w:r>
      <w:r w:rsidRPr="00774AC5">
        <w:rPr>
          <w:i/>
          <w:sz w:val="20"/>
          <w:szCs w:val="20"/>
          <w:lang w:val="hy-AM"/>
        </w:rPr>
        <w:t xml:space="preserve">. </w:t>
      </w:r>
    </w:p>
    <w:p w14:paraId="10056D5C" w14:textId="77777777" w:rsidR="00F1465E" w:rsidRPr="00AC67B2" w:rsidRDefault="00F1465E" w:rsidP="00F1465E">
      <w:pPr>
        <w:ind w:left="7200" w:firstLine="720"/>
        <w:jc w:val="center"/>
        <w:rPr>
          <w:sz w:val="20"/>
          <w:szCs w:val="20"/>
          <w:lang w:val="hy-AM"/>
        </w:rPr>
      </w:pPr>
      <w:r w:rsidRPr="00AC67B2">
        <w:rPr>
          <w:sz w:val="20"/>
          <w:szCs w:val="20"/>
          <w:lang w:val="hy-AM"/>
        </w:rPr>
        <w:t>(տոկոս)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1"/>
        <w:gridCol w:w="1376"/>
        <w:gridCol w:w="1155"/>
        <w:gridCol w:w="1177"/>
        <w:gridCol w:w="1111"/>
        <w:gridCol w:w="1124"/>
      </w:tblGrid>
      <w:tr w:rsidR="00F1465E" w:rsidRPr="00BB7FB8" w14:paraId="620F10A6" w14:textId="77777777" w:rsidTr="00231073">
        <w:trPr>
          <w:trHeight w:val="664"/>
          <w:tblHeader/>
          <w:jc w:val="center"/>
        </w:trPr>
        <w:tc>
          <w:tcPr>
            <w:tcW w:w="3781" w:type="dxa"/>
            <w:tcBorders>
              <w:top w:val="thinThickThinSmallGap" w:sz="24" w:space="0" w:color="auto"/>
              <w:left w:val="nil"/>
              <w:bottom w:val="thinThickSmallGap" w:sz="24" w:space="0" w:color="auto"/>
              <w:right w:val="nil"/>
            </w:tcBorders>
            <w:shd w:val="clear" w:color="auto" w:fill="0B70B5"/>
            <w:vAlign w:val="center"/>
          </w:tcPr>
          <w:p w14:paraId="3B41184C" w14:textId="77777777" w:rsidR="00F1465E" w:rsidRPr="00C35116" w:rsidRDefault="00F1465E" w:rsidP="00231073">
            <w:pPr>
              <w:spacing w:before="0" w:after="0" w:line="240" w:lineRule="auto"/>
              <w:ind w:firstLine="0"/>
              <w:jc w:val="center"/>
              <w:rPr>
                <w:color w:val="FFFFFF" w:themeColor="background1"/>
                <w:sz w:val="20"/>
                <w:szCs w:val="20"/>
                <w:lang w:val="hy-AM"/>
              </w:rPr>
            </w:pPr>
          </w:p>
        </w:tc>
        <w:tc>
          <w:tcPr>
            <w:tcW w:w="1376" w:type="dxa"/>
            <w:tcBorders>
              <w:top w:val="thinThickThinSmallGap" w:sz="24" w:space="0" w:color="auto"/>
              <w:left w:val="nil"/>
              <w:bottom w:val="thinThickSmallGap" w:sz="24" w:space="0" w:color="auto"/>
              <w:right w:val="double" w:sz="4" w:space="0" w:color="auto"/>
            </w:tcBorders>
            <w:shd w:val="clear" w:color="auto" w:fill="0B70B5"/>
            <w:vAlign w:val="center"/>
          </w:tcPr>
          <w:p w14:paraId="4B4DE616"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պետբյուջեի ծրագիր</w:t>
            </w:r>
          </w:p>
        </w:tc>
        <w:tc>
          <w:tcPr>
            <w:tcW w:w="1155" w:type="dxa"/>
            <w:tcBorders>
              <w:top w:val="thinThickThinSmallGap" w:sz="24" w:space="0" w:color="auto"/>
              <w:left w:val="double" w:sz="4" w:space="0" w:color="auto"/>
              <w:bottom w:val="thinThickSmallGap" w:sz="24" w:space="0" w:color="auto"/>
              <w:right w:val="nil"/>
            </w:tcBorders>
            <w:shd w:val="clear" w:color="auto" w:fill="0B70B5"/>
            <w:vAlign w:val="center"/>
          </w:tcPr>
          <w:p w14:paraId="0680C8F7"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177" w:type="dxa"/>
            <w:tcBorders>
              <w:top w:val="thinThickThinSmallGap" w:sz="24" w:space="0" w:color="auto"/>
              <w:left w:val="nil"/>
              <w:bottom w:val="thinThickSmallGap" w:sz="24" w:space="0" w:color="auto"/>
              <w:right w:val="nil"/>
            </w:tcBorders>
            <w:shd w:val="clear" w:color="auto" w:fill="0B70B5"/>
            <w:vAlign w:val="center"/>
          </w:tcPr>
          <w:p w14:paraId="15AA5F95"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111" w:type="dxa"/>
            <w:tcBorders>
              <w:top w:val="thinThickThinSmallGap" w:sz="24" w:space="0" w:color="auto"/>
              <w:left w:val="nil"/>
              <w:bottom w:val="thinThickSmallGap" w:sz="24" w:space="0" w:color="auto"/>
              <w:right w:val="nil"/>
            </w:tcBorders>
            <w:shd w:val="clear" w:color="auto" w:fill="0B70B5"/>
            <w:vAlign w:val="center"/>
          </w:tcPr>
          <w:p w14:paraId="4421A547"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124" w:type="dxa"/>
            <w:tcBorders>
              <w:top w:val="thinThickThinSmallGap" w:sz="24" w:space="0" w:color="auto"/>
              <w:left w:val="nil"/>
              <w:bottom w:val="thinThickSmallGap" w:sz="24" w:space="0" w:color="auto"/>
              <w:right w:val="nil"/>
            </w:tcBorders>
            <w:shd w:val="clear" w:color="auto" w:fill="0B70B5"/>
            <w:vAlign w:val="center"/>
          </w:tcPr>
          <w:p w14:paraId="59CE7FF0"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AC67B2" w14:paraId="2CFD3AFA" w14:textId="77777777" w:rsidTr="00231073">
        <w:trPr>
          <w:trHeight w:val="399"/>
          <w:jc w:val="center"/>
        </w:trPr>
        <w:tc>
          <w:tcPr>
            <w:tcW w:w="3781" w:type="dxa"/>
            <w:tcBorders>
              <w:top w:val="thinThickSmallGap" w:sz="24" w:space="0" w:color="auto"/>
              <w:left w:val="nil"/>
              <w:right w:val="nil"/>
            </w:tcBorders>
          </w:tcPr>
          <w:p w14:paraId="76FE90CF" w14:textId="77777777" w:rsidR="00F1465E" w:rsidRPr="00AC67B2" w:rsidRDefault="00F1465E" w:rsidP="00231073">
            <w:pPr>
              <w:spacing w:before="0" w:after="0" w:line="240" w:lineRule="auto"/>
              <w:ind w:firstLine="0"/>
              <w:jc w:val="left"/>
              <w:rPr>
                <w:sz w:val="20"/>
                <w:szCs w:val="20"/>
                <w:lang w:val="hy-AM"/>
              </w:rPr>
            </w:pPr>
            <w:r w:rsidRPr="00AC67B2">
              <w:rPr>
                <w:rFonts w:cs="Times Unicode"/>
                <w:sz w:val="20"/>
                <w:szCs w:val="20"/>
                <w:lang w:val="hy-AM"/>
              </w:rPr>
              <w:t>ՀՀ</w:t>
            </w:r>
            <w:r w:rsidRPr="00AC67B2">
              <w:rPr>
                <w:sz w:val="20"/>
                <w:szCs w:val="20"/>
                <w:lang w:val="hy-AM"/>
              </w:rPr>
              <w:t xml:space="preserve"> </w:t>
            </w:r>
            <w:r w:rsidRPr="00AC67B2">
              <w:rPr>
                <w:rFonts w:cs="Times Unicode"/>
                <w:sz w:val="20"/>
                <w:szCs w:val="20"/>
                <w:lang w:val="hy-AM"/>
              </w:rPr>
              <w:t>կառավարության</w:t>
            </w:r>
            <w:r w:rsidRPr="00AC67B2">
              <w:rPr>
                <w:sz w:val="20"/>
                <w:szCs w:val="20"/>
                <w:lang w:val="hy-AM"/>
              </w:rPr>
              <w:t xml:space="preserve"> </w:t>
            </w:r>
            <w:r w:rsidRPr="00AC67B2">
              <w:rPr>
                <w:rFonts w:cs="Times Unicode"/>
                <w:sz w:val="20"/>
                <w:szCs w:val="20"/>
                <w:lang w:val="hy-AM"/>
              </w:rPr>
              <w:t>պարտք</w:t>
            </w:r>
            <w:r w:rsidRPr="00AC67B2">
              <w:rPr>
                <w:sz w:val="20"/>
                <w:szCs w:val="20"/>
                <w:lang w:val="hy-AM"/>
              </w:rPr>
              <w:t xml:space="preserve">, </w:t>
            </w:r>
          </w:p>
        </w:tc>
        <w:tc>
          <w:tcPr>
            <w:tcW w:w="1376" w:type="dxa"/>
            <w:tcBorders>
              <w:top w:val="thinThickSmallGap" w:sz="24" w:space="0" w:color="auto"/>
              <w:left w:val="nil"/>
              <w:right w:val="double" w:sz="4" w:space="0" w:color="auto"/>
            </w:tcBorders>
            <w:vAlign w:val="center"/>
          </w:tcPr>
          <w:p w14:paraId="1F06539B"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55" w:type="dxa"/>
            <w:tcBorders>
              <w:top w:val="thinThickSmallGap" w:sz="24" w:space="0" w:color="auto"/>
              <w:left w:val="double" w:sz="4" w:space="0" w:color="auto"/>
              <w:right w:val="nil"/>
            </w:tcBorders>
            <w:vAlign w:val="center"/>
          </w:tcPr>
          <w:p w14:paraId="50C22545"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77" w:type="dxa"/>
            <w:tcBorders>
              <w:top w:val="thinThickSmallGap" w:sz="24" w:space="0" w:color="auto"/>
              <w:left w:val="nil"/>
              <w:right w:val="nil"/>
            </w:tcBorders>
            <w:vAlign w:val="center"/>
          </w:tcPr>
          <w:p w14:paraId="431C983D"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11" w:type="dxa"/>
            <w:tcBorders>
              <w:top w:val="thinThickSmallGap" w:sz="24" w:space="0" w:color="auto"/>
              <w:left w:val="nil"/>
              <w:right w:val="nil"/>
            </w:tcBorders>
            <w:vAlign w:val="center"/>
          </w:tcPr>
          <w:p w14:paraId="3B0943A3"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24" w:type="dxa"/>
            <w:tcBorders>
              <w:top w:val="thinThickSmallGap" w:sz="24" w:space="0" w:color="auto"/>
              <w:left w:val="nil"/>
              <w:right w:val="nil"/>
            </w:tcBorders>
            <w:vAlign w:val="center"/>
          </w:tcPr>
          <w:p w14:paraId="6D749822"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r>
      <w:tr w:rsidR="00F1465E" w:rsidRPr="00AC67B2" w14:paraId="485221A2" w14:textId="77777777" w:rsidTr="00231073">
        <w:trPr>
          <w:trHeight w:val="306"/>
          <w:jc w:val="center"/>
        </w:trPr>
        <w:tc>
          <w:tcPr>
            <w:tcW w:w="3781" w:type="dxa"/>
            <w:tcBorders>
              <w:left w:val="nil"/>
              <w:right w:val="nil"/>
            </w:tcBorders>
          </w:tcPr>
          <w:p w14:paraId="09CC4E95" w14:textId="77777777" w:rsidR="00F1465E" w:rsidRPr="00AC67B2" w:rsidRDefault="00F1465E" w:rsidP="00231073">
            <w:pPr>
              <w:spacing w:before="0" w:after="0" w:line="240" w:lineRule="auto"/>
              <w:ind w:left="252" w:firstLine="0"/>
              <w:jc w:val="left"/>
              <w:rPr>
                <w:sz w:val="20"/>
                <w:szCs w:val="20"/>
                <w:lang w:val="hy-AM"/>
              </w:rPr>
            </w:pPr>
            <w:r w:rsidRPr="00AC67B2">
              <w:rPr>
                <w:sz w:val="20"/>
                <w:szCs w:val="20"/>
                <w:lang w:val="hy-AM"/>
              </w:rPr>
              <w:t xml:space="preserve">       </w:t>
            </w:r>
            <w:r w:rsidRPr="00AC67B2">
              <w:rPr>
                <w:rFonts w:cs="Times Unicode"/>
                <w:sz w:val="20"/>
                <w:szCs w:val="20"/>
                <w:lang w:val="hy-AM"/>
              </w:rPr>
              <w:t>այդ</w:t>
            </w:r>
            <w:r w:rsidRPr="00AC67B2">
              <w:rPr>
                <w:sz w:val="20"/>
                <w:szCs w:val="20"/>
                <w:lang w:val="hy-AM"/>
              </w:rPr>
              <w:t xml:space="preserve"> </w:t>
            </w:r>
            <w:r w:rsidRPr="00AC67B2">
              <w:rPr>
                <w:rFonts w:cs="Times Unicode"/>
                <w:sz w:val="20"/>
                <w:szCs w:val="20"/>
                <w:lang w:val="hy-AM"/>
              </w:rPr>
              <w:t>թվում</w:t>
            </w:r>
            <w:r w:rsidRPr="00AC67B2">
              <w:rPr>
                <w:sz w:val="20"/>
                <w:szCs w:val="20"/>
                <w:lang w:val="hy-AM"/>
              </w:rPr>
              <w:t>`</w:t>
            </w:r>
          </w:p>
        </w:tc>
        <w:tc>
          <w:tcPr>
            <w:tcW w:w="1376" w:type="dxa"/>
            <w:tcBorders>
              <w:left w:val="nil"/>
              <w:right w:val="double" w:sz="4" w:space="0" w:color="auto"/>
            </w:tcBorders>
            <w:vAlign w:val="center"/>
          </w:tcPr>
          <w:p w14:paraId="7DEF61B9" w14:textId="77777777" w:rsidR="00F1465E" w:rsidRPr="00AC67B2" w:rsidRDefault="00F1465E" w:rsidP="00231073">
            <w:pPr>
              <w:spacing w:before="0" w:after="0" w:line="240" w:lineRule="auto"/>
              <w:ind w:firstLine="0"/>
              <w:jc w:val="center"/>
              <w:rPr>
                <w:sz w:val="20"/>
                <w:szCs w:val="20"/>
                <w:lang w:val="hy-AM"/>
              </w:rPr>
            </w:pPr>
          </w:p>
        </w:tc>
        <w:tc>
          <w:tcPr>
            <w:tcW w:w="1155" w:type="dxa"/>
            <w:tcBorders>
              <w:left w:val="double" w:sz="4" w:space="0" w:color="auto"/>
              <w:right w:val="nil"/>
            </w:tcBorders>
            <w:vAlign w:val="center"/>
          </w:tcPr>
          <w:p w14:paraId="6384EDDE" w14:textId="77777777" w:rsidR="00F1465E" w:rsidRPr="00AC67B2" w:rsidRDefault="00F1465E" w:rsidP="00231073">
            <w:pPr>
              <w:spacing w:before="0" w:after="0" w:line="240" w:lineRule="auto"/>
              <w:ind w:firstLine="0"/>
              <w:jc w:val="center"/>
              <w:rPr>
                <w:sz w:val="20"/>
                <w:szCs w:val="20"/>
                <w:lang w:val="hy-AM"/>
              </w:rPr>
            </w:pPr>
          </w:p>
        </w:tc>
        <w:tc>
          <w:tcPr>
            <w:tcW w:w="1177" w:type="dxa"/>
            <w:tcBorders>
              <w:left w:val="nil"/>
              <w:right w:val="nil"/>
            </w:tcBorders>
            <w:vAlign w:val="center"/>
          </w:tcPr>
          <w:p w14:paraId="7DA63AA2" w14:textId="77777777" w:rsidR="00F1465E" w:rsidRPr="00AC67B2" w:rsidRDefault="00F1465E" w:rsidP="00231073">
            <w:pPr>
              <w:spacing w:before="0" w:after="0" w:line="240" w:lineRule="auto"/>
              <w:ind w:firstLine="0"/>
              <w:jc w:val="center"/>
              <w:rPr>
                <w:sz w:val="20"/>
                <w:szCs w:val="20"/>
                <w:lang w:val="hy-AM"/>
              </w:rPr>
            </w:pPr>
          </w:p>
        </w:tc>
        <w:tc>
          <w:tcPr>
            <w:tcW w:w="1111" w:type="dxa"/>
            <w:tcBorders>
              <w:left w:val="nil"/>
              <w:right w:val="nil"/>
            </w:tcBorders>
            <w:vAlign w:val="center"/>
          </w:tcPr>
          <w:p w14:paraId="6D2442A6" w14:textId="77777777" w:rsidR="00F1465E" w:rsidRPr="00AC67B2" w:rsidRDefault="00F1465E" w:rsidP="00231073">
            <w:pPr>
              <w:spacing w:before="0" w:after="0" w:line="240" w:lineRule="auto"/>
              <w:ind w:firstLine="0"/>
              <w:jc w:val="center"/>
              <w:rPr>
                <w:sz w:val="20"/>
                <w:szCs w:val="20"/>
                <w:lang w:val="hy-AM"/>
              </w:rPr>
            </w:pPr>
          </w:p>
        </w:tc>
        <w:tc>
          <w:tcPr>
            <w:tcW w:w="1124" w:type="dxa"/>
            <w:tcBorders>
              <w:left w:val="nil"/>
              <w:right w:val="nil"/>
            </w:tcBorders>
            <w:vAlign w:val="center"/>
          </w:tcPr>
          <w:p w14:paraId="231DC66E" w14:textId="77777777" w:rsidR="00F1465E" w:rsidRPr="00AC67B2" w:rsidRDefault="00F1465E" w:rsidP="00231073">
            <w:pPr>
              <w:spacing w:before="0" w:after="0" w:line="240" w:lineRule="auto"/>
              <w:ind w:firstLine="0"/>
              <w:jc w:val="center"/>
              <w:rPr>
                <w:sz w:val="20"/>
                <w:szCs w:val="20"/>
                <w:lang w:val="hy-AM"/>
              </w:rPr>
            </w:pPr>
          </w:p>
        </w:tc>
      </w:tr>
      <w:tr w:rsidR="00F1465E" w:rsidRPr="00AC67B2" w14:paraId="332FFB4A" w14:textId="77777777" w:rsidTr="00231073">
        <w:trPr>
          <w:trHeight w:val="306"/>
          <w:jc w:val="center"/>
        </w:trPr>
        <w:tc>
          <w:tcPr>
            <w:tcW w:w="3781" w:type="dxa"/>
            <w:tcBorders>
              <w:left w:val="nil"/>
              <w:right w:val="nil"/>
            </w:tcBorders>
          </w:tcPr>
          <w:p w14:paraId="11E11C1F" w14:textId="77777777" w:rsidR="00F1465E" w:rsidRPr="00AC67B2" w:rsidRDefault="00F1465E" w:rsidP="00231073">
            <w:pPr>
              <w:spacing w:before="0" w:after="0" w:line="240" w:lineRule="auto"/>
              <w:ind w:left="252" w:firstLine="0"/>
              <w:jc w:val="left"/>
              <w:rPr>
                <w:sz w:val="20"/>
                <w:szCs w:val="20"/>
                <w:lang w:val="hy-AM"/>
              </w:rPr>
            </w:pPr>
            <w:r w:rsidRPr="00AC67B2">
              <w:rPr>
                <w:rFonts w:cs="Times Unicode"/>
                <w:sz w:val="20"/>
                <w:szCs w:val="20"/>
                <w:lang w:val="hy-AM"/>
              </w:rPr>
              <w:t>Ֆիքսված</w:t>
            </w:r>
            <w:r w:rsidRPr="00AC67B2">
              <w:rPr>
                <w:sz w:val="20"/>
                <w:szCs w:val="20"/>
                <w:lang w:val="hy-AM"/>
              </w:rPr>
              <w:t xml:space="preserve"> </w:t>
            </w:r>
            <w:r w:rsidRPr="00AC67B2">
              <w:rPr>
                <w:rFonts w:cs="Times Unicode"/>
                <w:sz w:val="20"/>
                <w:szCs w:val="20"/>
                <w:lang w:val="hy-AM"/>
              </w:rPr>
              <w:t>տոկոսադրույքով</w:t>
            </w:r>
          </w:p>
        </w:tc>
        <w:tc>
          <w:tcPr>
            <w:tcW w:w="1376" w:type="dxa"/>
            <w:tcBorders>
              <w:left w:val="nil"/>
              <w:right w:val="double" w:sz="4" w:space="0" w:color="auto"/>
            </w:tcBorders>
            <w:vAlign w:val="center"/>
          </w:tcPr>
          <w:p w14:paraId="040083B1"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81.8</w:t>
            </w:r>
          </w:p>
        </w:tc>
        <w:tc>
          <w:tcPr>
            <w:tcW w:w="1155" w:type="dxa"/>
            <w:tcBorders>
              <w:left w:val="double" w:sz="4" w:space="0" w:color="auto"/>
              <w:right w:val="nil"/>
            </w:tcBorders>
            <w:vAlign w:val="center"/>
          </w:tcPr>
          <w:p w14:paraId="22C8DA25"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78.8</w:t>
            </w:r>
          </w:p>
        </w:tc>
        <w:tc>
          <w:tcPr>
            <w:tcW w:w="1177" w:type="dxa"/>
            <w:tcBorders>
              <w:left w:val="nil"/>
              <w:right w:val="nil"/>
            </w:tcBorders>
            <w:vAlign w:val="center"/>
          </w:tcPr>
          <w:p w14:paraId="0E6583CD"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78.9</w:t>
            </w:r>
          </w:p>
        </w:tc>
        <w:tc>
          <w:tcPr>
            <w:tcW w:w="1111" w:type="dxa"/>
            <w:tcBorders>
              <w:left w:val="nil"/>
              <w:right w:val="nil"/>
            </w:tcBorders>
            <w:vAlign w:val="center"/>
          </w:tcPr>
          <w:p w14:paraId="677E1873"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78.8</w:t>
            </w:r>
          </w:p>
        </w:tc>
        <w:tc>
          <w:tcPr>
            <w:tcW w:w="1124" w:type="dxa"/>
            <w:tcBorders>
              <w:left w:val="nil"/>
              <w:right w:val="nil"/>
            </w:tcBorders>
            <w:vAlign w:val="center"/>
          </w:tcPr>
          <w:p w14:paraId="6B7CF0D5"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80.7</w:t>
            </w:r>
          </w:p>
        </w:tc>
      </w:tr>
      <w:tr w:rsidR="00F1465E" w:rsidRPr="00AC67B2" w14:paraId="2D8149C6" w14:textId="77777777" w:rsidTr="00231073">
        <w:trPr>
          <w:trHeight w:val="320"/>
          <w:jc w:val="center"/>
        </w:trPr>
        <w:tc>
          <w:tcPr>
            <w:tcW w:w="3781" w:type="dxa"/>
            <w:tcBorders>
              <w:left w:val="nil"/>
              <w:right w:val="nil"/>
            </w:tcBorders>
          </w:tcPr>
          <w:p w14:paraId="52C80C8A" w14:textId="77777777" w:rsidR="00F1465E" w:rsidRPr="00AC67B2" w:rsidRDefault="00F1465E" w:rsidP="00231073">
            <w:pPr>
              <w:spacing w:before="0" w:after="0" w:line="240" w:lineRule="auto"/>
              <w:ind w:left="252" w:firstLine="0"/>
              <w:jc w:val="left"/>
              <w:rPr>
                <w:sz w:val="20"/>
                <w:szCs w:val="20"/>
                <w:lang w:val="hy-AM"/>
              </w:rPr>
            </w:pPr>
            <w:r w:rsidRPr="00AC67B2">
              <w:rPr>
                <w:rFonts w:cs="Times Unicode"/>
                <w:sz w:val="20"/>
                <w:szCs w:val="20"/>
                <w:lang w:val="hy-AM"/>
              </w:rPr>
              <w:t>Լողացող</w:t>
            </w:r>
            <w:r w:rsidRPr="00AC67B2">
              <w:rPr>
                <w:sz w:val="20"/>
                <w:szCs w:val="20"/>
                <w:lang w:val="hy-AM"/>
              </w:rPr>
              <w:t xml:space="preserve"> </w:t>
            </w:r>
            <w:r w:rsidRPr="00AC67B2">
              <w:rPr>
                <w:rFonts w:cs="Times Unicode"/>
                <w:sz w:val="20"/>
                <w:szCs w:val="20"/>
                <w:lang w:val="hy-AM"/>
              </w:rPr>
              <w:t>տոկոսադրույքով</w:t>
            </w:r>
          </w:p>
        </w:tc>
        <w:tc>
          <w:tcPr>
            <w:tcW w:w="1376" w:type="dxa"/>
            <w:tcBorders>
              <w:left w:val="nil"/>
              <w:right w:val="double" w:sz="4" w:space="0" w:color="auto"/>
            </w:tcBorders>
            <w:vAlign w:val="center"/>
          </w:tcPr>
          <w:p w14:paraId="5F95EEFC"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18.2</w:t>
            </w:r>
          </w:p>
        </w:tc>
        <w:tc>
          <w:tcPr>
            <w:tcW w:w="1155" w:type="dxa"/>
            <w:tcBorders>
              <w:left w:val="double" w:sz="4" w:space="0" w:color="auto"/>
              <w:right w:val="nil"/>
            </w:tcBorders>
            <w:vAlign w:val="center"/>
          </w:tcPr>
          <w:p w14:paraId="15FE261F"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21.2</w:t>
            </w:r>
          </w:p>
        </w:tc>
        <w:tc>
          <w:tcPr>
            <w:tcW w:w="1177" w:type="dxa"/>
            <w:tcBorders>
              <w:left w:val="nil"/>
              <w:right w:val="nil"/>
            </w:tcBorders>
            <w:vAlign w:val="center"/>
          </w:tcPr>
          <w:p w14:paraId="52092E4E"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21.1</w:t>
            </w:r>
          </w:p>
        </w:tc>
        <w:tc>
          <w:tcPr>
            <w:tcW w:w="1111" w:type="dxa"/>
            <w:tcBorders>
              <w:left w:val="nil"/>
              <w:right w:val="nil"/>
            </w:tcBorders>
            <w:vAlign w:val="center"/>
          </w:tcPr>
          <w:p w14:paraId="45424545"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21.2</w:t>
            </w:r>
          </w:p>
        </w:tc>
        <w:tc>
          <w:tcPr>
            <w:tcW w:w="1124" w:type="dxa"/>
            <w:tcBorders>
              <w:left w:val="nil"/>
              <w:right w:val="nil"/>
            </w:tcBorders>
            <w:vAlign w:val="center"/>
          </w:tcPr>
          <w:p w14:paraId="1A68473A"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19.3</w:t>
            </w:r>
          </w:p>
        </w:tc>
      </w:tr>
      <w:tr w:rsidR="00F1465E" w:rsidRPr="00AC67B2" w14:paraId="44A3B2FA" w14:textId="77777777" w:rsidTr="00231073">
        <w:trPr>
          <w:trHeight w:val="375"/>
          <w:jc w:val="center"/>
        </w:trPr>
        <w:tc>
          <w:tcPr>
            <w:tcW w:w="3781" w:type="dxa"/>
            <w:tcBorders>
              <w:left w:val="nil"/>
              <w:right w:val="nil"/>
            </w:tcBorders>
          </w:tcPr>
          <w:p w14:paraId="53F7F244" w14:textId="77777777" w:rsidR="00F1465E" w:rsidRPr="00AC67B2" w:rsidRDefault="00F1465E" w:rsidP="00231073">
            <w:pPr>
              <w:spacing w:before="0" w:after="0" w:line="240" w:lineRule="auto"/>
              <w:ind w:firstLine="0"/>
              <w:jc w:val="left"/>
              <w:rPr>
                <w:sz w:val="20"/>
                <w:szCs w:val="20"/>
                <w:lang w:val="hy-AM"/>
              </w:rPr>
            </w:pPr>
            <w:r w:rsidRPr="00AC67B2">
              <w:rPr>
                <w:rFonts w:cs="Times Unicode"/>
                <w:sz w:val="20"/>
                <w:szCs w:val="20"/>
                <w:lang w:val="hy-AM"/>
              </w:rPr>
              <w:t>ՀՀ</w:t>
            </w:r>
            <w:r w:rsidRPr="00AC67B2">
              <w:rPr>
                <w:sz w:val="20"/>
                <w:szCs w:val="20"/>
                <w:lang w:val="hy-AM"/>
              </w:rPr>
              <w:t xml:space="preserve"> </w:t>
            </w:r>
            <w:r w:rsidRPr="00AC67B2">
              <w:rPr>
                <w:rFonts w:cs="Times Unicode"/>
                <w:sz w:val="20"/>
                <w:szCs w:val="20"/>
                <w:lang w:val="hy-AM"/>
              </w:rPr>
              <w:t>կառավարության</w:t>
            </w:r>
            <w:r w:rsidRPr="00AC67B2">
              <w:rPr>
                <w:sz w:val="20"/>
                <w:szCs w:val="20"/>
                <w:lang w:val="hy-AM"/>
              </w:rPr>
              <w:t xml:space="preserve"> </w:t>
            </w:r>
            <w:r w:rsidRPr="00AC67B2">
              <w:rPr>
                <w:rFonts w:cs="Times Unicode"/>
                <w:sz w:val="20"/>
                <w:szCs w:val="20"/>
                <w:lang w:val="hy-AM"/>
              </w:rPr>
              <w:t>արտաքին</w:t>
            </w:r>
            <w:r w:rsidRPr="00AC67B2">
              <w:rPr>
                <w:sz w:val="20"/>
                <w:szCs w:val="20"/>
                <w:lang w:val="hy-AM"/>
              </w:rPr>
              <w:t xml:space="preserve"> </w:t>
            </w:r>
            <w:r w:rsidRPr="00AC67B2">
              <w:rPr>
                <w:rFonts w:cs="Times Unicode"/>
                <w:sz w:val="20"/>
                <w:szCs w:val="20"/>
                <w:lang w:val="hy-AM"/>
              </w:rPr>
              <w:t>պարտք</w:t>
            </w:r>
          </w:p>
        </w:tc>
        <w:tc>
          <w:tcPr>
            <w:tcW w:w="1376" w:type="dxa"/>
            <w:tcBorders>
              <w:left w:val="nil"/>
              <w:right w:val="double" w:sz="4" w:space="0" w:color="auto"/>
            </w:tcBorders>
            <w:vAlign w:val="center"/>
          </w:tcPr>
          <w:p w14:paraId="6A160387" w14:textId="77777777" w:rsidR="00F1465E" w:rsidRPr="007F16AF" w:rsidRDefault="00F1465E" w:rsidP="00231073">
            <w:pPr>
              <w:spacing w:before="0" w:after="0" w:line="240" w:lineRule="auto"/>
              <w:ind w:firstLine="0"/>
              <w:jc w:val="center"/>
              <w:rPr>
                <w:sz w:val="20"/>
                <w:szCs w:val="20"/>
                <w:lang w:val="hy-AM"/>
              </w:rPr>
            </w:pPr>
            <w:r w:rsidRPr="007F16AF">
              <w:rPr>
                <w:sz w:val="20"/>
                <w:szCs w:val="20"/>
                <w:lang w:val="hy-AM"/>
              </w:rPr>
              <w:t>100.0</w:t>
            </w:r>
          </w:p>
        </w:tc>
        <w:tc>
          <w:tcPr>
            <w:tcW w:w="1155" w:type="dxa"/>
            <w:tcBorders>
              <w:left w:val="double" w:sz="4" w:space="0" w:color="auto"/>
              <w:right w:val="nil"/>
            </w:tcBorders>
            <w:vAlign w:val="center"/>
          </w:tcPr>
          <w:p w14:paraId="6992304D" w14:textId="77777777" w:rsidR="00F1465E" w:rsidRPr="007F16AF" w:rsidRDefault="00F1465E" w:rsidP="00231073">
            <w:pPr>
              <w:spacing w:before="0" w:after="0" w:line="240" w:lineRule="auto"/>
              <w:ind w:firstLine="0"/>
              <w:jc w:val="center"/>
              <w:rPr>
                <w:sz w:val="20"/>
                <w:szCs w:val="20"/>
                <w:lang w:val="hy-AM"/>
              </w:rPr>
            </w:pPr>
            <w:r w:rsidRPr="007F16AF">
              <w:rPr>
                <w:sz w:val="20"/>
                <w:szCs w:val="20"/>
                <w:lang w:val="hy-AM"/>
              </w:rPr>
              <w:t>100.0</w:t>
            </w:r>
          </w:p>
        </w:tc>
        <w:tc>
          <w:tcPr>
            <w:tcW w:w="1177" w:type="dxa"/>
            <w:tcBorders>
              <w:left w:val="nil"/>
              <w:right w:val="nil"/>
            </w:tcBorders>
            <w:vAlign w:val="center"/>
          </w:tcPr>
          <w:p w14:paraId="2853E725" w14:textId="77777777" w:rsidR="00F1465E" w:rsidRPr="007F16AF" w:rsidRDefault="00F1465E" w:rsidP="00231073">
            <w:pPr>
              <w:spacing w:before="0" w:after="0" w:line="240" w:lineRule="auto"/>
              <w:ind w:firstLine="0"/>
              <w:jc w:val="center"/>
              <w:rPr>
                <w:sz w:val="20"/>
                <w:szCs w:val="20"/>
                <w:lang w:val="hy-AM"/>
              </w:rPr>
            </w:pPr>
            <w:r w:rsidRPr="007F16AF">
              <w:rPr>
                <w:sz w:val="20"/>
                <w:szCs w:val="20"/>
                <w:lang w:val="hy-AM"/>
              </w:rPr>
              <w:t>100.0</w:t>
            </w:r>
          </w:p>
        </w:tc>
        <w:tc>
          <w:tcPr>
            <w:tcW w:w="1111" w:type="dxa"/>
            <w:tcBorders>
              <w:left w:val="nil"/>
              <w:right w:val="nil"/>
            </w:tcBorders>
            <w:vAlign w:val="center"/>
          </w:tcPr>
          <w:p w14:paraId="35D742DF" w14:textId="77777777" w:rsidR="00F1465E" w:rsidRPr="007F16AF" w:rsidRDefault="00F1465E" w:rsidP="00231073">
            <w:pPr>
              <w:spacing w:before="0" w:after="0" w:line="240" w:lineRule="auto"/>
              <w:ind w:firstLine="0"/>
              <w:jc w:val="center"/>
              <w:rPr>
                <w:sz w:val="20"/>
                <w:szCs w:val="20"/>
                <w:lang w:val="hy-AM"/>
              </w:rPr>
            </w:pPr>
            <w:r w:rsidRPr="007F16AF">
              <w:rPr>
                <w:sz w:val="20"/>
                <w:szCs w:val="20"/>
                <w:lang w:val="hy-AM"/>
              </w:rPr>
              <w:t>100.0</w:t>
            </w:r>
          </w:p>
        </w:tc>
        <w:tc>
          <w:tcPr>
            <w:tcW w:w="1124" w:type="dxa"/>
            <w:tcBorders>
              <w:left w:val="nil"/>
              <w:right w:val="nil"/>
            </w:tcBorders>
            <w:vAlign w:val="center"/>
          </w:tcPr>
          <w:p w14:paraId="1E2D22FB" w14:textId="77777777" w:rsidR="00F1465E" w:rsidRPr="007F16AF" w:rsidRDefault="00F1465E" w:rsidP="00231073">
            <w:pPr>
              <w:spacing w:before="0" w:after="0" w:line="240" w:lineRule="auto"/>
              <w:ind w:firstLine="0"/>
              <w:jc w:val="center"/>
              <w:rPr>
                <w:sz w:val="20"/>
                <w:szCs w:val="20"/>
                <w:lang w:val="hy-AM"/>
              </w:rPr>
            </w:pPr>
            <w:r w:rsidRPr="007F16AF">
              <w:rPr>
                <w:sz w:val="20"/>
                <w:szCs w:val="20"/>
                <w:lang w:val="hy-AM"/>
              </w:rPr>
              <w:t>100.0</w:t>
            </w:r>
          </w:p>
        </w:tc>
      </w:tr>
      <w:tr w:rsidR="00F1465E" w:rsidRPr="00AC67B2" w14:paraId="0D8D3CE4" w14:textId="77777777" w:rsidTr="00231073">
        <w:trPr>
          <w:trHeight w:val="306"/>
          <w:jc w:val="center"/>
        </w:trPr>
        <w:tc>
          <w:tcPr>
            <w:tcW w:w="3781" w:type="dxa"/>
            <w:tcBorders>
              <w:left w:val="nil"/>
              <w:right w:val="nil"/>
            </w:tcBorders>
          </w:tcPr>
          <w:p w14:paraId="5715F8B6" w14:textId="77777777" w:rsidR="00F1465E" w:rsidRPr="00AC67B2" w:rsidRDefault="00F1465E" w:rsidP="00231073">
            <w:pPr>
              <w:spacing w:before="0" w:after="0" w:line="240" w:lineRule="auto"/>
              <w:ind w:left="252" w:firstLine="0"/>
              <w:jc w:val="left"/>
              <w:rPr>
                <w:sz w:val="20"/>
                <w:szCs w:val="20"/>
                <w:lang w:val="hy-AM"/>
              </w:rPr>
            </w:pPr>
            <w:r w:rsidRPr="00AC67B2">
              <w:rPr>
                <w:sz w:val="20"/>
                <w:szCs w:val="20"/>
                <w:lang w:val="hy-AM"/>
              </w:rPr>
              <w:t xml:space="preserve">     </w:t>
            </w:r>
            <w:r w:rsidRPr="00AC67B2">
              <w:rPr>
                <w:rFonts w:cs="Times Unicode"/>
                <w:sz w:val="20"/>
                <w:szCs w:val="20"/>
                <w:lang w:val="hy-AM"/>
              </w:rPr>
              <w:t>այդ</w:t>
            </w:r>
            <w:r w:rsidRPr="00AC67B2">
              <w:rPr>
                <w:sz w:val="20"/>
                <w:szCs w:val="20"/>
                <w:lang w:val="hy-AM"/>
              </w:rPr>
              <w:t xml:space="preserve"> </w:t>
            </w:r>
            <w:r w:rsidRPr="00AC67B2">
              <w:rPr>
                <w:rFonts w:cs="Times Unicode"/>
                <w:sz w:val="20"/>
                <w:szCs w:val="20"/>
                <w:lang w:val="hy-AM"/>
              </w:rPr>
              <w:t>թվում</w:t>
            </w:r>
          </w:p>
        </w:tc>
        <w:tc>
          <w:tcPr>
            <w:tcW w:w="1376" w:type="dxa"/>
            <w:tcBorders>
              <w:left w:val="nil"/>
              <w:right w:val="double" w:sz="4" w:space="0" w:color="auto"/>
            </w:tcBorders>
            <w:vAlign w:val="center"/>
          </w:tcPr>
          <w:p w14:paraId="00F33A6F" w14:textId="77777777" w:rsidR="00F1465E" w:rsidRPr="007F16AF" w:rsidRDefault="00F1465E" w:rsidP="00231073">
            <w:pPr>
              <w:spacing w:before="0" w:after="0" w:line="240" w:lineRule="auto"/>
              <w:ind w:firstLine="0"/>
              <w:jc w:val="center"/>
              <w:rPr>
                <w:sz w:val="20"/>
                <w:szCs w:val="20"/>
                <w:lang w:val="hy-AM"/>
              </w:rPr>
            </w:pPr>
          </w:p>
        </w:tc>
        <w:tc>
          <w:tcPr>
            <w:tcW w:w="1155" w:type="dxa"/>
            <w:tcBorders>
              <w:left w:val="double" w:sz="4" w:space="0" w:color="auto"/>
              <w:right w:val="nil"/>
            </w:tcBorders>
            <w:vAlign w:val="center"/>
          </w:tcPr>
          <w:p w14:paraId="0E155F69" w14:textId="77777777" w:rsidR="00F1465E" w:rsidRPr="007F16AF" w:rsidRDefault="00F1465E" w:rsidP="00231073">
            <w:pPr>
              <w:spacing w:before="0" w:after="0" w:line="240" w:lineRule="auto"/>
              <w:ind w:firstLine="0"/>
              <w:jc w:val="center"/>
              <w:rPr>
                <w:sz w:val="20"/>
                <w:szCs w:val="20"/>
                <w:lang w:val="hy-AM"/>
              </w:rPr>
            </w:pPr>
          </w:p>
        </w:tc>
        <w:tc>
          <w:tcPr>
            <w:tcW w:w="1177" w:type="dxa"/>
            <w:tcBorders>
              <w:left w:val="nil"/>
              <w:right w:val="nil"/>
            </w:tcBorders>
            <w:vAlign w:val="center"/>
          </w:tcPr>
          <w:p w14:paraId="64FA03A1" w14:textId="77777777" w:rsidR="00F1465E" w:rsidRPr="007F16AF" w:rsidRDefault="00F1465E" w:rsidP="00231073">
            <w:pPr>
              <w:spacing w:before="0" w:after="0" w:line="240" w:lineRule="auto"/>
              <w:ind w:firstLine="0"/>
              <w:jc w:val="center"/>
              <w:rPr>
                <w:sz w:val="20"/>
                <w:szCs w:val="20"/>
                <w:lang w:val="hy-AM"/>
              </w:rPr>
            </w:pPr>
          </w:p>
        </w:tc>
        <w:tc>
          <w:tcPr>
            <w:tcW w:w="1111" w:type="dxa"/>
            <w:tcBorders>
              <w:left w:val="nil"/>
              <w:right w:val="nil"/>
            </w:tcBorders>
            <w:vAlign w:val="center"/>
          </w:tcPr>
          <w:p w14:paraId="666A1D93" w14:textId="77777777" w:rsidR="00F1465E" w:rsidRPr="007F16AF" w:rsidRDefault="00F1465E" w:rsidP="00231073">
            <w:pPr>
              <w:spacing w:before="0" w:after="0" w:line="240" w:lineRule="auto"/>
              <w:ind w:firstLine="0"/>
              <w:jc w:val="center"/>
              <w:rPr>
                <w:sz w:val="20"/>
                <w:szCs w:val="20"/>
                <w:lang w:val="hy-AM"/>
              </w:rPr>
            </w:pPr>
          </w:p>
        </w:tc>
        <w:tc>
          <w:tcPr>
            <w:tcW w:w="1124" w:type="dxa"/>
            <w:tcBorders>
              <w:left w:val="nil"/>
              <w:right w:val="nil"/>
            </w:tcBorders>
            <w:vAlign w:val="center"/>
          </w:tcPr>
          <w:p w14:paraId="0FFD9015" w14:textId="77777777" w:rsidR="00F1465E" w:rsidRPr="007F16AF" w:rsidRDefault="00F1465E" w:rsidP="00231073">
            <w:pPr>
              <w:spacing w:before="0" w:after="0" w:line="240" w:lineRule="auto"/>
              <w:ind w:firstLine="0"/>
              <w:jc w:val="center"/>
              <w:rPr>
                <w:sz w:val="20"/>
                <w:szCs w:val="20"/>
                <w:lang w:val="hy-AM"/>
              </w:rPr>
            </w:pPr>
          </w:p>
        </w:tc>
      </w:tr>
      <w:tr w:rsidR="00F1465E" w:rsidRPr="00AC67B2" w14:paraId="557F0CD6" w14:textId="77777777" w:rsidTr="00231073">
        <w:trPr>
          <w:trHeight w:val="306"/>
          <w:jc w:val="center"/>
        </w:trPr>
        <w:tc>
          <w:tcPr>
            <w:tcW w:w="3781" w:type="dxa"/>
            <w:tcBorders>
              <w:left w:val="nil"/>
              <w:right w:val="nil"/>
            </w:tcBorders>
          </w:tcPr>
          <w:p w14:paraId="7E65A056" w14:textId="77777777" w:rsidR="00F1465E" w:rsidRPr="00AC67B2" w:rsidRDefault="00F1465E" w:rsidP="00231073">
            <w:pPr>
              <w:spacing w:before="0" w:after="0" w:line="240" w:lineRule="auto"/>
              <w:ind w:left="252" w:firstLine="0"/>
              <w:jc w:val="left"/>
              <w:rPr>
                <w:sz w:val="20"/>
                <w:szCs w:val="20"/>
                <w:lang w:val="hy-AM"/>
              </w:rPr>
            </w:pPr>
            <w:r w:rsidRPr="00AC67B2">
              <w:rPr>
                <w:rFonts w:cs="Times Unicode"/>
                <w:sz w:val="20"/>
                <w:szCs w:val="20"/>
                <w:lang w:val="hy-AM"/>
              </w:rPr>
              <w:t>Ֆիքսված</w:t>
            </w:r>
            <w:r w:rsidRPr="00AC67B2">
              <w:rPr>
                <w:sz w:val="20"/>
                <w:szCs w:val="20"/>
                <w:lang w:val="hy-AM"/>
              </w:rPr>
              <w:t xml:space="preserve"> </w:t>
            </w:r>
            <w:r w:rsidRPr="00AC67B2">
              <w:rPr>
                <w:rFonts w:cs="Times Unicode"/>
                <w:sz w:val="20"/>
                <w:szCs w:val="20"/>
                <w:lang w:val="hy-AM"/>
              </w:rPr>
              <w:t>տոկոսադրույքով</w:t>
            </w:r>
          </w:p>
        </w:tc>
        <w:tc>
          <w:tcPr>
            <w:tcW w:w="1376" w:type="dxa"/>
            <w:tcBorders>
              <w:left w:val="nil"/>
              <w:right w:val="double" w:sz="4" w:space="0" w:color="auto"/>
            </w:tcBorders>
            <w:vAlign w:val="center"/>
          </w:tcPr>
          <w:p w14:paraId="1BC4F536"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75.8</w:t>
            </w:r>
          </w:p>
        </w:tc>
        <w:tc>
          <w:tcPr>
            <w:tcW w:w="1155" w:type="dxa"/>
            <w:tcBorders>
              <w:left w:val="double" w:sz="4" w:space="0" w:color="auto"/>
              <w:right w:val="nil"/>
            </w:tcBorders>
            <w:vAlign w:val="center"/>
          </w:tcPr>
          <w:p w14:paraId="6DFFD6BB"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71.7</w:t>
            </w:r>
          </w:p>
        </w:tc>
        <w:tc>
          <w:tcPr>
            <w:tcW w:w="1177" w:type="dxa"/>
            <w:tcBorders>
              <w:left w:val="nil"/>
              <w:right w:val="nil"/>
            </w:tcBorders>
            <w:vAlign w:val="center"/>
          </w:tcPr>
          <w:p w14:paraId="0ADDB408"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69.9</w:t>
            </w:r>
          </w:p>
        </w:tc>
        <w:tc>
          <w:tcPr>
            <w:tcW w:w="1111" w:type="dxa"/>
            <w:tcBorders>
              <w:left w:val="nil"/>
              <w:right w:val="nil"/>
            </w:tcBorders>
            <w:vAlign w:val="center"/>
          </w:tcPr>
          <w:p w14:paraId="76504030"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68.7</w:t>
            </w:r>
          </w:p>
        </w:tc>
        <w:tc>
          <w:tcPr>
            <w:tcW w:w="1124" w:type="dxa"/>
            <w:tcBorders>
              <w:left w:val="nil"/>
              <w:right w:val="nil"/>
            </w:tcBorders>
            <w:vAlign w:val="center"/>
          </w:tcPr>
          <w:p w14:paraId="7FBB74DC"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69.0</w:t>
            </w:r>
          </w:p>
        </w:tc>
      </w:tr>
      <w:tr w:rsidR="00F1465E" w:rsidRPr="00AC67B2" w14:paraId="71A25005" w14:textId="77777777" w:rsidTr="00231073">
        <w:trPr>
          <w:trHeight w:val="308"/>
          <w:jc w:val="center"/>
        </w:trPr>
        <w:tc>
          <w:tcPr>
            <w:tcW w:w="3781" w:type="dxa"/>
            <w:tcBorders>
              <w:left w:val="nil"/>
              <w:right w:val="nil"/>
            </w:tcBorders>
          </w:tcPr>
          <w:p w14:paraId="061C63C2" w14:textId="77777777" w:rsidR="00F1465E" w:rsidRPr="00AC67B2" w:rsidRDefault="00F1465E" w:rsidP="00231073">
            <w:pPr>
              <w:spacing w:before="0" w:after="0" w:line="240" w:lineRule="auto"/>
              <w:ind w:left="252" w:firstLine="0"/>
              <w:jc w:val="left"/>
              <w:rPr>
                <w:sz w:val="20"/>
                <w:szCs w:val="20"/>
                <w:lang w:val="hy-AM"/>
              </w:rPr>
            </w:pPr>
            <w:r w:rsidRPr="00AC67B2">
              <w:rPr>
                <w:rFonts w:cs="Times Unicode"/>
                <w:sz w:val="20"/>
                <w:szCs w:val="20"/>
                <w:lang w:val="hy-AM"/>
              </w:rPr>
              <w:t>Լողացող</w:t>
            </w:r>
            <w:r w:rsidRPr="00AC67B2">
              <w:rPr>
                <w:sz w:val="20"/>
                <w:szCs w:val="20"/>
                <w:lang w:val="hy-AM"/>
              </w:rPr>
              <w:t xml:space="preserve"> </w:t>
            </w:r>
            <w:r w:rsidRPr="00AC67B2">
              <w:rPr>
                <w:rFonts w:cs="Times Unicode"/>
                <w:sz w:val="20"/>
                <w:szCs w:val="20"/>
                <w:lang w:val="hy-AM"/>
              </w:rPr>
              <w:t>տոկոսադրույքով</w:t>
            </w:r>
          </w:p>
        </w:tc>
        <w:tc>
          <w:tcPr>
            <w:tcW w:w="1376" w:type="dxa"/>
            <w:tcBorders>
              <w:left w:val="nil"/>
              <w:right w:val="double" w:sz="4" w:space="0" w:color="auto"/>
            </w:tcBorders>
            <w:vAlign w:val="center"/>
          </w:tcPr>
          <w:p w14:paraId="0A2BC02E"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24.2</w:t>
            </w:r>
          </w:p>
        </w:tc>
        <w:tc>
          <w:tcPr>
            <w:tcW w:w="1155" w:type="dxa"/>
            <w:tcBorders>
              <w:left w:val="double" w:sz="4" w:space="0" w:color="auto"/>
              <w:right w:val="nil"/>
            </w:tcBorders>
            <w:vAlign w:val="center"/>
          </w:tcPr>
          <w:p w14:paraId="4B7848C0"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28.3</w:t>
            </w:r>
          </w:p>
        </w:tc>
        <w:tc>
          <w:tcPr>
            <w:tcW w:w="1177" w:type="dxa"/>
            <w:tcBorders>
              <w:left w:val="nil"/>
              <w:right w:val="nil"/>
            </w:tcBorders>
            <w:vAlign w:val="center"/>
          </w:tcPr>
          <w:p w14:paraId="608BD5C0"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30.1</w:t>
            </w:r>
          </w:p>
        </w:tc>
        <w:tc>
          <w:tcPr>
            <w:tcW w:w="1111" w:type="dxa"/>
            <w:tcBorders>
              <w:left w:val="nil"/>
              <w:right w:val="nil"/>
            </w:tcBorders>
            <w:vAlign w:val="center"/>
          </w:tcPr>
          <w:p w14:paraId="6F940515"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31.3</w:t>
            </w:r>
          </w:p>
        </w:tc>
        <w:tc>
          <w:tcPr>
            <w:tcW w:w="1124" w:type="dxa"/>
            <w:tcBorders>
              <w:left w:val="nil"/>
              <w:right w:val="nil"/>
            </w:tcBorders>
            <w:vAlign w:val="center"/>
          </w:tcPr>
          <w:p w14:paraId="1C93EAC5" w14:textId="77777777" w:rsidR="00F1465E" w:rsidRPr="007F16AF" w:rsidRDefault="00F1465E" w:rsidP="00231073">
            <w:pPr>
              <w:spacing w:before="0" w:after="0" w:line="240" w:lineRule="auto"/>
              <w:ind w:firstLine="0"/>
              <w:jc w:val="center"/>
              <w:rPr>
                <w:sz w:val="20"/>
                <w:szCs w:val="20"/>
                <w:lang w:val="hy-AM"/>
              </w:rPr>
            </w:pPr>
            <w:r w:rsidRPr="007F16AF">
              <w:rPr>
                <w:sz w:val="20"/>
                <w:szCs w:val="20"/>
              </w:rPr>
              <w:t>31.0</w:t>
            </w:r>
          </w:p>
        </w:tc>
      </w:tr>
      <w:tr w:rsidR="00F1465E" w:rsidRPr="00AC67B2" w14:paraId="3589E9F6" w14:textId="77777777" w:rsidTr="00231073">
        <w:trPr>
          <w:trHeight w:val="394"/>
          <w:jc w:val="center"/>
        </w:trPr>
        <w:tc>
          <w:tcPr>
            <w:tcW w:w="3781" w:type="dxa"/>
            <w:tcBorders>
              <w:left w:val="nil"/>
              <w:right w:val="nil"/>
            </w:tcBorders>
          </w:tcPr>
          <w:p w14:paraId="7AE4C274" w14:textId="77777777" w:rsidR="00F1465E" w:rsidRPr="00AC67B2" w:rsidRDefault="00F1465E" w:rsidP="00231073">
            <w:pPr>
              <w:spacing w:before="0" w:after="0" w:line="240" w:lineRule="auto"/>
              <w:ind w:firstLine="0"/>
              <w:jc w:val="left"/>
              <w:rPr>
                <w:sz w:val="20"/>
                <w:szCs w:val="20"/>
                <w:lang w:val="hy-AM"/>
              </w:rPr>
            </w:pPr>
            <w:r w:rsidRPr="00AC67B2">
              <w:rPr>
                <w:rFonts w:cs="Times Unicode"/>
                <w:sz w:val="20"/>
                <w:szCs w:val="20"/>
                <w:lang w:val="hy-AM"/>
              </w:rPr>
              <w:t>ՀՀ</w:t>
            </w:r>
            <w:r w:rsidRPr="00AC67B2">
              <w:rPr>
                <w:sz w:val="20"/>
                <w:szCs w:val="20"/>
                <w:lang w:val="hy-AM"/>
              </w:rPr>
              <w:t xml:space="preserve"> </w:t>
            </w:r>
            <w:r w:rsidRPr="00AC67B2">
              <w:rPr>
                <w:rFonts w:cs="Times Unicode"/>
                <w:sz w:val="20"/>
                <w:szCs w:val="20"/>
                <w:lang w:val="hy-AM"/>
              </w:rPr>
              <w:t>կառավարության</w:t>
            </w:r>
            <w:r w:rsidRPr="00AC67B2">
              <w:rPr>
                <w:sz w:val="20"/>
                <w:szCs w:val="20"/>
                <w:lang w:val="hy-AM"/>
              </w:rPr>
              <w:t xml:space="preserve"> </w:t>
            </w:r>
            <w:r w:rsidRPr="00AC67B2">
              <w:rPr>
                <w:rFonts w:cs="Times Unicode"/>
                <w:sz w:val="20"/>
                <w:szCs w:val="20"/>
                <w:lang w:val="hy-AM"/>
              </w:rPr>
              <w:t>ներքին</w:t>
            </w:r>
            <w:r w:rsidRPr="00AC67B2">
              <w:rPr>
                <w:sz w:val="20"/>
                <w:szCs w:val="20"/>
                <w:lang w:val="hy-AM"/>
              </w:rPr>
              <w:t xml:space="preserve"> </w:t>
            </w:r>
            <w:r w:rsidRPr="00AC67B2">
              <w:rPr>
                <w:rFonts w:cs="Times Unicode"/>
                <w:sz w:val="20"/>
                <w:szCs w:val="20"/>
                <w:lang w:val="hy-AM"/>
              </w:rPr>
              <w:t>պարտք</w:t>
            </w:r>
          </w:p>
        </w:tc>
        <w:tc>
          <w:tcPr>
            <w:tcW w:w="1376" w:type="dxa"/>
            <w:tcBorders>
              <w:left w:val="nil"/>
              <w:right w:val="double" w:sz="4" w:space="0" w:color="auto"/>
            </w:tcBorders>
            <w:vAlign w:val="center"/>
          </w:tcPr>
          <w:p w14:paraId="3504D90C"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55" w:type="dxa"/>
            <w:tcBorders>
              <w:left w:val="double" w:sz="4" w:space="0" w:color="auto"/>
              <w:right w:val="nil"/>
            </w:tcBorders>
            <w:vAlign w:val="center"/>
          </w:tcPr>
          <w:p w14:paraId="16077369"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77" w:type="dxa"/>
            <w:tcBorders>
              <w:left w:val="nil"/>
              <w:right w:val="nil"/>
            </w:tcBorders>
            <w:vAlign w:val="center"/>
          </w:tcPr>
          <w:p w14:paraId="36E332A6"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11" w:type="dxa"/>
            <w:tcBorders>
              <w:left w:val="nil"/>
              <w:right w:val="nil"/>
            </w:tcBorders>
            <w:vAlign w:val="center"/>
          </w:tcPr>
          <w:p w14:paraId="451AEA4A"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24" w:type="dxa"/>
            <w:tcBorders>
              <w:left w:val="nil"/>
              <w:right w:val="nil"/>
            </w:tcBorders>
            <w:vAlign w:val="center"/>
          </w:tcPr>
          <w:p w14:paraId="349AE682"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r>
      <w:tr w:rsidR="00F1465E" w:rsidRPr="00AC67B2" w14:paraId="067431BB" w14:textId="77777777" w:rsidTr="00231073">
        <w:trPr>
          <w:trHeight w:val="306"/>
          <w:jc w:val="center"/>
        </w:trPr>
        <w:tc>
          <w:tcPr>
            <w:tcW w:w="3781" w:type="dxa"/>
            <w:tcBorders>
              <w:left w:val="nil"/>
              <w:right w:val="nil"/>
            </w:tcBorders>
          </w:tcPr>
          <w:p w14:paraId="06E148F4" w14:textId="77777777" w:rsidR="00F1465E" w:rsidRPr="00AC67B2" w:rsidRDefault="00F1465E" w:rsidP="00231073">
            <w:pPr>
              <w:spacing w:before="0" w:after="0" w:line="240" w:lineRule="auto"/>
              <w:ind w:left="252" w:firstLine="0"/>
              <w:jc w:val="left"/>
              <w:rPr>
                <w:sz w:val="20"/>
                <w:szCs w:val="20"/>
                <w:lang w:val="hy-AM"/>
              </w:rPr>
            </w:pPr>
            <w:r w:rsidRPr="00AC67B2">
              <w:rPr>
                <w:sz w:val="20"/>
                <w:szCs w:val="20"/>
                <w:lang w:val="hy-AM"/>
              </w:rPr>
              <w:t xml:space="preserve">      </w:t>
            </w:r>
            <w:r w:rsidRPr="00AC67B2">
              <w:rPr>
                <w:rFonts w:cs="Times Unicode"/>
                <w:sz w:val="20"/>
                <w:szCs w:val="20"/>
                <w:lang w:val="hy-AM"/>
              </w:rPr>
              <w:t>այդ</w:t>
            </w:r>
            <w:r w:rsidRPr="00AC67B2">
              <w:rPr>
                <w:sz w:val="20"/>
                <w:szCs w:val="20"/>
                <w:lang w:val="hy-AM"/>
              </w:rPr>
              <w:t xml:space="preserve"> </w:t>
            </w:r>
            <w:r w:rsidRPr="00AC67B2">
              <w:rPr>
                <w:rFonts w:cs="Times Unicode"/>
                <w:sz w:val="20"/>
                <w:szCs w:val="20"/>
                <w:lang w:val="hy-AM"/>
              </w:rPr>
              <w:t>թվում</w:t>
            </w:r>
          </w:p>
        </w:tc>
        <w:tc>
          <w:tcPr>
            <w:tcW w:w="1376" w:type="dxa"/>
            <w:tcBorders>
              <w:left w:val="nil"/>
              <w:right w:val="double" w:sz="4" w:space="0" w:color="auto"/>
            </w:tcBorders>
            <w:vAlign w:val="center"/>
          </w:tcPr>
          <w:p w14:paraId="0BB8702A" w14:textId="77777777" w:rsidR="00F1465E" w:rsidRPr="00AC67B2" w:rsidRDefault="00F1465E" w:rsidP="00231073">
            <w:pPr>
              <w:spacing w:before="0" w:after="0" w:line="240" w:lineRule="auto"/>
              <w:ind w:firstLine="0"/>
              <w:jc w:val="center"/>
              <w:rPr>
                <w:sz w:val="20"/>
                <w:szCs w:val="20"/>
                <w:lang w:val="hy-AM"/>
              </w:rPr>
            </w:pPr>
          </w:p>
        </w:tc>
        <w:tc>
          <w:tcPr>
            <w:tcW w:w="1155" w:type="dxa"/>
            <w:tcBorders>
              <w:left w:val="double" w:sz="4" w:space="0" w:color="auto"/>
              <w:right w:val="nil"/>
            </w:tcBorders>
            <w:vAlign w:val="center"/>
          </w:tcPr>
          <w:p w14:paraId="3DB3C596" w14:textId="77777777" w:rsidR="00F1465E" w:rsidRPr="00AC67B2" w:rsidRDefault="00F1465E" w:rsidP="00231073">
            <w:pPr>
              <w:spacing w:before="0" w:after="0" w:line="240" w:lineRule="auto"/>
              <w:ind w:firstLine="0"/>
              <w:jc w:val="center"/>
              <w:rPr>
                <w:sz w:val="20"/>
                <w:szCs w:val="20"/>
                <w:lang w:val="hy-AM"/>
              </w:rPr>
            </w:pPr>
          </w:p>
        </w:tc>
        <w:tc>
          <w:tcPr>
            <w:tcW w:w="1177" w:type="dxa"/>
            <w:tcBorders>
              <w:left w:val="nil"/>
              <w:right w:val="nil"/>
            </w:tcBorders>
            <w:vAlign w:val="center"/>
          </w:tcPr>
          <w:p w14:paraId="34AFEC86" w14:textId="77777777" w:rsidR="00F1465E" w:rsidRPr="00AC67B2" w:rsidRDefault="00F1465E" w:rsidP="00231073">
            <w:pPr>
              <w:spacing w:before="0" w:after="0" w:line="240" w:lineRule="auto"/>
              <w:ind w:firstLine="0"/>
              <w:jc w:val="center"/>
              <w:rPr>
                <w:sz w:val="20"/>
                <w:szCs w:val="20"/>
                <w:lang w:val="hy-AM"/>
              </w:rPr>
            </w:pPr>
          </w:p>
        </w:tc>
        <w:tc>
          <w:tcPr>
            <w:tcW w:w="1111" w:type="dxa"/>
            <w:tcBorders>
              <w:left w:val="nil"/>
              <w:right w:val="nil"/>
            </w:tcBorders>
            <w:vAlign w:val="center"/>
          </w:tcPr>
          <w:p w14:paraId="5C11B322" w14:textId="77777777" w:rsidR="00F1465E" w:rsidRPr="00AC67B2" w:rsidRDefault="00F1465E" w:rsidP="00231073">
            <w:pPr>
              <w:spacing w:before="0" w:after="0" w:line="240" w:lineRule="auto"/>
              <w:ind w:firstLine="0"/>
              <w:jc w:val="center"/>
              <w:rPr>
                <w:sz w:val="20"/>
                <w:szCs w:val="20"/>
                <w:lang w:val="hy-AM"/>
              </w:rPr>
            </w:pPr>
          </w:p>
        </w:tc>
        <w:tc>
          <w:tcPr>
            <w:tcW w:w="1124" w:type="dxa"/>
            <w:tcBorders>
              <w:left w:val="nil"/>
              <w:right w:val="nil"/>
            </w:tcBorders>
            <w:vAlign w:val="center"/>
          </w:tcPr>
          <w:p w14:paraId="2E12131E" w14:textId="77777777" w:rsidR="00F1465E" w:rsidRPr="00AC67B2" w:rsidRDefault="00F1465E" w:rsidP="00231073">
            <w:pPr>
              <w:spacing w:before="0" w:after="0" w:line="240" w:lineRule="auto"/>
              <w:ind w:firstLine="0"/>
              <w:jc w:val="center"/>
              <w:rPr>
                <w:sz w:val="20"/>
                <w:szCs w:val="20"/>
                <w:lang w:val="hy-AM"/>
              </w:rPr>
            </w:pPr>
          </w:p>
        </w:tc>
      </w:tr>
      <w:tr w:rsidR="00F1465E" w:rsidRPr="00AC67B2" w14:paraId="137DBA7F" w14:textId="77777777" w:rsidTr="00231073">
        <w:trPr>
          <w:trHeight w:val="187"/>
          <w:jc w:val="center"/>
        </w:trPr>
        <w:tc>
          <w:tcPr>
            <w:tcW w:w="3781" w:type="dxa"/>
            <w:tcBorders>
              <w:left w:val="nil"/>
              <w:right w:val="nil"/>
            </w:tcBorders>
          </w:tcPr>
          <w:p w14:paraId="32A47F84" w14:textId="77777777" w:rsidR="00F1465E" w:rsidRPr="00AC67B2" w:rsidRDefault="00F1465E" w:rsidP="00231073">
            <w:pPr>
              <w:spacing w:before="0" w:after="0" w:line="240" w:lineRule="auto"/>
              <w:ind w:left="252" w:firstLine="0"/>
              <w:jc w:val="left"/>
              <w:rPr>
                <w:sz w:val="20"/>
                <w:szCs w:val="20"/>
                <w:lang w:val="hy-AM"/>
              </w:rPr>
            </w:pPr>
            <w:r w:rsidRPr="00AC67B2">
              <w:rPr>
                <w:rFonts w:cs="Times Unicode"/>
                <w:sz w:val="20"/>
                <w:szCs w:val="20"/>
                <w:lang w:val="hy-AM"/>
              </w:rPr>
              <w:t>Ֆիքսված</w:t>
            </w:r>
            <w:r w:rsidRPr="00AC67B2">
              <w:rPr>
                <w:sz w:val="20"/>
                <w:szCs w:val="20"/>
                <w:lang w:val="hy-AM"/>
              </w:rPr>
              <w:t xml:space="preserve"> </w:t>
            </w:r>
            <w:r w:rsidRPr="00AC67B2">
              <w:rPr>
                <w:rFonts w:cs="Times Unicode"/>
                <w:sz w:val="20"/>
                <w:szCs w:val="20"/>
                <w:lang w:val="hy-AM"/>
              </w:rPr>
              <w:t>տոկոսադրույքով</w:t>
            </w:r>
          </w:p>
        </w:tc>
        <w:tc>
          <w:tcPr>
            <w:tcW w:w="1376" w:type="dxa"/>
            <w:tcBorders>
              <w:left w:val="nil"/>
              <w:right w:val="double" w:sz="4" w:space="0" w:color="auto"/>
            </w:tcBorders>
            <w:vAlign w:val="center"/>
          </w:tcPr>
          <w:p w14:paraId="6BBCC7B6"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55" w:type="dxa"/>
            <w:tcBorders>
              <w:left w:val="double" w:sz="4" w:space="0" w:color="auto"/>
              <w:right w:val="nil"/>
            </w:tcBorders>
            <w:vAlign w:val="center"/>
          </w:tcPr>
          <w:p w14:paraId="44468C60"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77" w:type="dxa"/>
            <w:tcBorders>
              <w:left w:val="nil"/>
              <w:right w:val="nil"/>
            </w:tcBorders>
            <w:vAlign w:val="center"/>
          </w:tcPr>
          <w:p w14:paraId="61841112"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11" w:type="dxa"/>
            <w:tcBorders>
              <w:left w:val="nil"/>
              <w:right w:val="nil"/>
            </w:tcBorders>
            <w:vAlign w:val="center"/>
          </w:tcPr>
          <w:p w14:paraId="228FC358"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c>
          <w:tcPr>
            <w:tcW w:w="1124" w:type="dxa"/>
            <w:tcBorders>
              <w:left w:val="nil"/>
              <w:right w:val="nil"/>
            </w:tcBorders>
            <w:vAlign w:val="center"/>
          </w:tcPr>
          <w:p w14:paraId="0045DEB7"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100.0</w:t>
            </w:r>
          </w:p>
        </w:tc>
      </w:tr>
      <w:tr w:rsidR="00F1465E" w:rsidRPr="00AC67B2" w14:paraId="5AC03F29" w14:textId="77777777" w:rsidTr="00231073">
        <w:trPr>
          <w:trHeight w:val="320"/>
          <w:jc w:val="center"/>
        </w:trPr>
        <w:tc>
          <w:tcPr>
            <w:tcW w:w="3781" w:type="dxa"/>
            <w:tcBorders>
              <w:left w:val="nil"/>
              <w:bottom w:val="thickThinSmallGap" w:sz="24" w:space="0" w:color="auto"/>
              <w:right w:val="nil"/>
            </w:tcBorders>
          </w:tcPr>
          <w:p w14:paraId="59684D76" w14:textId="77777777" w:rsidR="00F1465E" w:rsidRPr="00AC67B2" w:rsidRDefault="00F1465E" w:rsidP="00231073">
            <w:pPr>
              <w:spacing w:before="0" w:after="0" w:line="240" w:lineRule="auto"/>
              <w:ind w:left="252" w:firstLine="0"/>
              <w:jc w:val="left"/>
              <w:rPr>
                <w:sz w:val="20"/>
                <w:szCs w:val="20"/>
                <w:lang w:val="hy-AM"/>
              </w:rPr>
            </w:pPr>
            <w:r w:rsidRPr="00AC67B2">
              <w:rPr>
                <w:rFonts w:cs="Times Unicode"/>
                <w:sz w:val="20"/>
                <w:szCs w:val="20"/>
                <w:lang w:val="hy-AM"/>
              </w:rPr>
              <w:t>Լողացող</w:t>
            </w:r>
            <w:r w:rsidRPr="00AC67B2">
              <w:rPr>
                <w:sz w:val="20"/>
                <w:szCs w:val="20"/>
                <w:lang w:val="hy-AM"/>
              </w:rPr>
              <w:t xml:space="preserve"> </w:t>
            </w:r>
            <w:r w:rsidRPr="00AC67B2">
              <w:rPr>
                <w:rFonts w:cs="Times Unicode"/>
                <w:sz w:val="20"/>
                <w:szCs w:val="20"/>
                <w:lang w:val="hy-AM"/>
              </w:rPr>
              <w:t>տոկոսադրույքով</w:t>
            </w:r>
          </w:p>
        </w:tc>
        <w:tc>
          <w:tcPr>
            <w:tcW w:w="1376" w:type="dxa"/>
            <w:tcBorders>
              <w:left w:val="nil"/>
              <w:bottom w:val="thickThinSmallGap" w:sz="24" w:space="0" w:color="auto"/>
              <w:right w:val="double" w:sz="4" w:space="0" w:color="auto"/>
            </w:tcBorders>
            <w:vAlign w:val="center"/>
          </w:tcPr>
          <w:p w14:paraId="1170A056"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0.0</w:t>
            </w:r>
          </w:p>
        </w:tc>
        <w:tc>
          <w:tcPr>
            <w:tcW w:w="1155" w:type="dxa"/>
            <w:tcBorders>
              <w:left w:val="double" w:sz="4" w:space="0" w:color="auto"/>
              <w:bottom w:val="thickThinSmallGap" w:sz="24" w:space="0" w:color="auto"/>
              <w:right w:val="nil"/>
            </w:tcBorders>
            <w:vAlign w:val="center"/>
          </w:tcPr>
          <w:p w14:paraId="28C3C196"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0.0</w:t>
            </w:r>
          </w:p>
        </w:tc>
        <w:tc>
          <w:tcPr>
            <w:tcW w:w="1177" w:type="dxa"/>
            <w:tcBorders>
              <w:left w:val="nil"/>
              <w:bottom w:val="thickThinSmallGap" w:sz="24" w:space="0" w:color="auto"/>
              <w:right w:val="nil"/>
            </w:tcBorders>
            <w:vAlign w:val="center"/>
          </w:tcPr>
          <w:p w14:paraId="78E64FC3"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0.0</w:t>
            </w:r>
          </w:p>
        </w:tc>
        <w:tc>
          <w:tcPr>
            <w:tcW w:w="1111" w:type="dxa"/>
            <w:tcBorders>
              <w:left w:val="nil"/>
              <w:bottom w:val="thickThinSmallGap" w:sz="24" w:space="0" w:color="auto"/>
              <w:right w:val="nil"/>
            </w:tcBorders>
            <w:vAlign w:val="center"/>
          </w:tcPr>
          <w:p w14:paraId="368ED57D"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0.0</w:t>
            </w:r>
          </w:p>
        </w:tc>
        <w:tc>
          <w:tcPr>
            <w:tcW w:w="1124" w:type="dxa"/>
            <w:tcBorders>
              <w:left w:val="nil"/>
              <w:bottom w:val="thickThinSmallGap" w:sz="24" w:space="0" w:color="auto"/>
              <w:right w:val="nil"/>
            </w:tcBorders>
            <w:vAlign w:val="center"/>
          </w:tcPr>
          <w:p w14:paraId="20A0FABF"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0.0</w:t>
            </w:r>
          </w:p>
        </w:tc>
      </w:tr>
    </w:tbl>
    <w:p w14:paraId="1C43F691" w14:textId="77777777" w:rsidR="00F1465E" w:rsidRPr="00C712E8" w:rsidRDefault="00F1465E" w:rsidP="00774AC5">
      <w:pPr>
        <w:spacing w:line="276" w:lineRule="auto"/>
        <w:ind w:firstLine="720"/>
        <w:rPr>
          <w:rFonts w:cs="Times Unicode"/>
          <w:lang w:val="hy-AM"/>
        </w:rPr>
      </w:pPr>
      <w:r w:rsidRPr="00C712E8">
        <w:rPr>
          <w:rFonts w:cs="Times Unicode"/>
          <w:lang w:val="hy-AM"/>
        </w:rPr>
        <w:t xml:space="preserve">ՀՀ կառավարության պարտքի մինչև վերաֆիքսում միջին ժամկետի ցուցանիշը նվազում է` ժամանակահատվածի վերջում կազմելով </w:t>
      </w:r>
      <w:r w:rsidRPr="00A205DB">
        <w:rPr>
          <w:rFonts w:cs="Times Unicode"/>
          <w:lang w:val="hy-AM"/>
        </w:rPr>
        <w:t>6</w:t>
      </w:r>
      <w:r w:rsidRPr="00C712E8">
        <w:rPr>
          <w:rFonts w:cs="Times Unicode"/>
          <w:lang w:val="hy-AM"/>
        </w:rPr>
        <w:t>.</w:t>
      </w:r>
      <w:r w:rsidRPr="00A205DB">
        <w:rPr>
          <w:rFonts w:cs="Times Unicode"/>
          <w:lang w:val="hy-AM"/>
        </w:rPr>
        <w:t>4</w:t>
      </w:r>
      <w:r w:rsidRPr="00C712E8">
        <w:rPr>
          <w:rFonts w:cs="Times Unicode"/>
          <w:lang w:val="hy-AM"/>
        </w:rPr>
        <w:t xml:space="preserve"> տարի: </w:t>
      </w:r>
      <w:r w:rsidRPr="00A205DB">
        <w:rPr>
          <w:rFonts w:cs="Times Unicode"/>
          <w:lang w:val="hy-AM"/>
        </w:rPr>
        <w:t>Մ</w:t>
      </w:r>
      <w:r w:rsidRPr="00C712E8">
        <w:rPr>
          <w:rFonts w:cs="Times Unicode"/>
          <w:lang w:val="hy-AM"/>
        </w:rPr>
        <w:t>եկ տարվա ընթացքում վերաֆիքսվող ՀՀ կառավարու</w:t>
      </w:r>
      <w:r w:rsidRPr="00C712E8">
        <w:rPr>
          <w:rFonts w:cs="Times Unicode"/>
          <w:lang w:val="hy-AM"/>
        </w:rPr>
        <w:softHyphen/>
        <w:t>թյան պարտքի մասնաբաժինը</w:t>
      </w:r>
      <w:r w:rsidRPr="00A205DB">
        <w:rPr>
          <w:rFonts w:cs="Times Unicode"/>
          <w:lang w:val="hy-AM"/>
        </w:rPr>
        <w:t xml:space="preserve"> ևս նվազում է</w:t>
      </w:r>
      <w:r w:rsidRPr="00C712E8">
        <w:rPr>
          <w:rFonts w:cs="Times Unicode"/>
          <w:lang w:val="hy-AM"/>
        </w:rPr>
        <w:t>՝ 202</w:t>
      </w:r>
      <w:r w:rsidRPr="00A205DB">
        <w:rPr>
          <w:rFonts w:cs="Times Unicode"/>
          <w:lang w:val="hy-AM"/>
        </w:rPr>
        <w:t>3</w:t>
      </w:r>
      <w:r w:rsidRPr="00C712E8">
        <w:rPr>
          <w:rFonts w:cs="Times Unicode"/>
          <w:lang w:val="hy-AM"/>
        </w:rPr>
        <w:t>թ. կազմելով 2</w:t>
      </w:r>
      <w:r w:rsidRPr="00A205DB">
        <w:rPr>
          <w:rFonts w:cs="Times Unicode"/>
          <w:lang w:val="hy-AM"/>
        </w:rPr>
        <w:t>5</w:t>
      </w:r>
      <w:r w:rsidRPr="00C712E8">
        <w:rPr>
          <w:rFonts w:cs="Times Unicode"/>
          <w:lang w:val="hy-AM"/>
        </w:rPr>
        <w:t>.</w:t>
      </w:r>
      <w:r w:rsidRPr="00A205DB">
        <w:rPr>
          <w:rFonts w:cs="Times Unicode"/>
          <w:lang w:val="hy-AM"/>
        </w:rPr>
        <w:t>2</w:t>
      </w:r>
      <w:r w:rsidRPr="00C712E8">
        <w:rPr>
          <w:rFonts w:cs="Times Unicode"/>
          <w:lang w:val="hy-AM"/>
        </w:rPr>
        <w:t>%:</w:t>
      </w:r>
    </w:p>
    <w:p w14:paraId="7656D703" w14:textId="77777777" w:rsidR="00F1465E" w:rsidRDefault="00F1465E" w:rsidP="00774AC5">
      <w:pPr>
        <w:spacing w:line="276" w:lineRule="auto"/>
        <w:jc w:val="right"/>
        <w:rPr>
          <w:rFonts w:cs="Times Unicode"/>
          <w:b/>
          <w:color w:val="FF0000"/>
          <w:lang w:val="hy-AM"/>
        </w:rPr>
      </w:pPr>
    </w:p>
    <w:p w14:paraId="7C839316" w14:textId="77777777" w:rsidR="00F1465E" w:rsidRPr="00774AC5" w:rsidRDefault="00F1465E" w:rsidP="00774AC5">
      <w:pPr>
        <w:spacing w:line="276" w:lineRule="auto"/>
        <w:rPr>
          <w:b/>
          <w:i/>
          <w:sz w:val="20"/>
          <w:szCs w:val="20"/>
          <w:lang w:val="hy-AM"/>
        </w:rPr>
      </w:pPr>
      <w:r w:rsidRPr="00774AC5">
        <w:rPr>
          <w:rFonts w:cs="Times Unicode"/>
          <w:b/>
          <w:sz w:val="20"/>
          <w:szCs w:val="20"/>
          <w:lang w:val="hy-AM"/>
        </w:rPr>
        <w:t xml:space="preserve">Աղյուսակ </w:t>
      </w:r>
      <w:r w:rsidR="00774AC5" w:rsidRPr="00BE7F99">
        <w:rPr>
          <w:rFonts w:cs="Times Unicode"/>
          <w:b/>
          <w:sz w:val="20"/>
          <w:szCs w:val="20"/>
          <w:lang w:val="hy-AM"/>
        </w:rPr>
        <w:t>1.</w:t>
      </w:r>
      <w:r w:rsidRPr="00774AC5">
        <w:rPr>
          <w:b/>
          <w:sz w:val="20"/>
          <w:szCs w:val="20"/>
          <w:lang w:val="hy-AM"/>
        </w:rPr>
        <w:t>13</w:t>
      </w:r>
      <w:r w:rsidRPr="00774AC5">
        <w:rPr>
          <w:sz w:val="20"/>
          <w:szCs w:val="20"/>
          <w:lang w:val="hy-AM"/>
        </w:rPr>
        <w:t xml:space="preserve"> </w:t>
      </w:r>
      <w:r w:rsidRPr="00774AC5">
        <w:rPr>
          <w:rFonts w:cs="Times Unicode"/>
          <w:i/>
          <w:sz w:val="20"/>
          <w:szCs w:val="20"/>
          <w:lang w:val="hy-AM"/>
        </w:rPr>
        <w:t>ՀՀ</w:t>
      </w:r>
      <w:r w:rsidRPr="00774AC5">
        <w:rPr>
          <w:i/>
          <w:sz w:val="20"/>
          <w:szCs w:val="20"/>
          <w:lang w:val="hy-AM"/>
        </w:rPr>
        <w:t xml:space="preserve"> </w:t>
      </w:r>
      <w:r w:rsidRPr="00774AC5">
        <w:rPr>
          <w:rFonts w:cs="Times Unicode"/>
          <w:i/>
          <w:sz w:val="20"/>
          <w:szCs w:val="20"/>
          <w:lang w:val="hy-AM"/>
        </w:rPr>
        <w:t>կառավարության</w:t>
      </w:r>
      <w:r w:rsidRPr="00774AC5">
        <w:rPr>
          <w:i/>
          <w:sz w:val="20"/>
          <w:szCs w:val="20"/>
          <w:lang w:val="hy-AM"/>
        </w:rPr>
        <w:t xml:space="preserve"> </w:t>
      </w:r>
      <w:r w:rsidRPr="00774AC5">
        <w:rPr>
          <w:rFonts w:cs="Times Unicode"/>
          <w:i/>
          <w:sz w:val="20"/>
          <w:szCs w:val="20"/>
          <w:lang w:val="hy-AM"/>
        </w:rPr>
        <w:t>պարտքի</w:t>
      </w:r>
      <w:r w:rsidRPr="00774AC5">
        <w:rPr>
          <w:i/>
          <w:sz w:val="20"/>
          <w:szCs w:val="20"/>
          <w:lang w:val="hy-AM"/>
        </w:rPr>
        <w:t xml:space="preserve"> </w:t>
      </w:r>
      <w:r w:rsidRPr="00774AC5">
        <w:rPr>
          <w:rFonts w:cs="Times Unicode"/>
          <w:i/>
          <w:sz w:val="20"/>
          <w:szCs w:val="20"/>
          <w:lang w:val="hy-AM"/>
        </w:rPr>
        <w:t>տոկոսադրույքի ռիսկի ցուցանիշները</w:t>
      </w:r>
      <w:r w:rsidRPr="00774AC5">
        <w:rPr>
          <w:i/>
          <w:sz w:val="20"/>
          <w:szCs w:val="20"/>
          <w:lang w:val="hy-AM"/>
        </w:rPr>
        <w:t xml:space="preserve"> 2020-2023</w:t>
      </w:r>
      <w:r w:rsidRPr="00774AC5">
        <w:rPr>
          <w:rFonts w:cs="Times Unicode"/>
          <w:i/>
          <w:sz w:val="20"/>
          <w:szCs w:val="20"/>
          <w:lang w:val="hy-AM"/>
        </w:rPr>
        <w:t>թթ</w:t>
      </w:r>
      <w:r w:rsidRPr="00774AC5">
        <w:rPr>
          <w:b/>
          <w:i/>
          <w:sz w:val="20"/>
          <w:szCs w:val="20"/>
          <w:lang w:val="hy-AM"/>
        </w:rPr>
        <w:t xml:space="preserve">. </w:t>
      </w:r>
    </w:p>
    <w:p w14:paraId="5EAE9CB7" w14:textId="77777777" w:rsidR="00F1465E" w:rsidRPr="00774AC5" w:rsidRDefault="00F1465E" w:rsidP="00F1465E">
      <w:pPr>
        <w:jc w:val="right"/>
        <w:rPr>
          <w:b/>
          <w:sz w:val="20"/>
          <w:szCs w:val="20"/>
          <w:lang w:val="hy-A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1258"/>
        <w:gridCol w:w="922"/>
        <w:gridCol w:w="975"/>
        <w:gridCol w:w="899"/>
      </w:tblGrid>
      <w:tr w:rsidR="00F1465E" w:rsidRPr="00BB7FB8" w14:paraId="6022DD1A" w14:textId="77777777" w:rsidTr="00231073">
        <w:trPr>
          <w:trHeight w:val="590"/>
          <w:tblHeader/>
          <w:jc w:val="center"/>
        </w:trPr>
        <w:tc>
          <w:tcPr>
            <w:tcW w:w="4731" w:type="dxa"/>
            <w:tcBorders>
              <w:top w:val="thinThickThinSmallGap" w:sz="24" w:space="0" w:color="auto"/>
              <w:left w:val="nil"/>
              <w:bottom w:val="thinThickSmallGap" w:sz="24" w:space="0" w:color="auto"/>
              <w:right w:val="nil"/>
            </w:tcBorders>
            <w:shd w:val="clear" w:color="auto" w:fill="0B70B5"/>
            <w:vAlign w:val="center"/>
          </w:tcPr>
          <w:p w14:paraId="6BBEFDB5" w14:textId="77777777" w:rsidR="00F1465E" w:rsidRPr="00C35116" w:rsidRDefault="00F1465E" w:rsidP="00231073">
            <w:pPr>
              <w:spacing w:before="0" w:after="0" w:line="360" w:lineRule="auto"/>
              <w:ind w:firstLine="0"/>
              <w:jc w:val="center"/>
              <w:rPr>
                <w:color w:val="FFFFFF" w:themeColor="background1"/>
                <w:sz w:val="20"/>
                <w:szCs w:val="20"/>
                <w:lang w:val="hy-AM"/>
              </w:rPr>
            </w:pPr>
          </w:p>
        </w:tc>
        <w:tc>
          <w:tcPr>
            <w:tcW w:w="1258" w:type="dxa"/>
            <w:tcBorders>
              <w:top w:val="thinThickThinSmallGap" w:sz="24" w:space="0" w:color="auto"/>
              <w:left w:val="nil"/>
              <w:bottom w:val="thinThickSmallGap" w:sz="24" w:space="0" w:color="auto"/>
              <w:right w:val="nil"/>
            </w:tcBorders>
            <w:shd w:val="clear" w:color="auto" w:fill="0B70B5"/>
            <w:vAlign w:val="center"/>
          </w:tcPr>
          <w:p w14:paraId="1917F1CE"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22" w:type="dxa"/>
            <w:tcBorders>
              <w:top w:val="thinThickThinSmallGap" w:sz="24" w:space="0" w:color="auto"/>
              <w:left w:val="nil"/>
              <w:bottom w:val="thinThickSmallGap" w:sz="24" w:space="0" w:color="auto"/>
              <w:right w:val="nil"/>
            </w:tcBorders>
            <w:shd w:val="clear" w:color="auto" w:fill="0B70B5"/>
            <w:vAlign w:val="center"/>
          </w:tcPr>
          <w:p w14:paraId="46A438CA"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75" w:type="dxa"/>
            <w:tcBorders>
              <w:top w:val="thinThickThinSmallGap" w:sz="24" w:space="0" w:color="auto"/>
              <w:left w:val="nil"/>
              <w:bottom w:val="thinThickSmallGap" w:sz="24" w:space="0" w:color="auto"/>
              <w:right w:val="nil"/>
            </w:tcBorders>
            <w:shd w:val="clear" w:color="auto" w:fill="0B70B5"/>
            <w:vAlign w:val="center"/>
          </w:tcPr>
          <w:p w14:paraId="252365C4"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899" w:type="dxa"/>
            <w:tcBorders>
              <w:top w:val="thinThickThinSmallGap" w:sz="24" w:space="0" w:color="auto"/>
              <w:left w:val="nil"/>
              <w:bottom w:val="thinThickSmallGap" w:sz="24" w:space="0" w:color="auto"/>
              <w:right w:val="nil"/>
            </w:tcBorders>
            <w:shd w:val="clear" w:color="auto" w:fill="0B70B5"/>
            <w:vAlign w:val="center"/>
          </w:tcPr>
          <w:p w14:paraId="5A03D583" w14:textId="77777777" w:rsidR="00F1465E" w:rsidRPr="00C35116" w:rsidRDefault="00F1465E" w:rsidP="00231073">
            <w:pPr>
              <w:spacing w:before="0" w:after="0"/>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AC67B2" w14:paraId="6334B073" w14:textId="77777777" w:rsidTr="00231073">
        <w:trPr>
          <w:trHeight w:val="796"/>
          <w:jc w:val="center"/>
        </w:trPr>
        <w:tc>
          <w:tcPr>
            <w:tcW w:w="4731" w:type="dxa"/>
            <w:tcBorders>
              <w:top w:val="thinThickSmallGap" w:sz="24" w:space="0" w:color="auto"/>
              <w:left w:val="nil"/>
              <w:right w:val="nil"/>
            </w:tcBorders>
            <w:vAlign w:val="center"/>
          </w:tcPr>
          <w:p w14:paraId="34891878" w14:textId="77777777" w:rsidR="00F1465E" w:rsidRPr="00AC67B2" w:rsidRDefault="00F1465E" w:rsidP="00231073">
            <w:pPr>
              <w:spacing w:before="0" w:after="0"/>
              <w:ind w:firstLine="0"/>
              <w:jc w:val="left"/>
              <w:rPr>
                <w:b/>
                <w:sz w:val="20"/>
                <w:szCs w:val="20"/>
                <w:lang w:val="hy-AM"/>
              </w:rPr>
            </w:pPr>
            <w:r w:rsidRPr="00AC67B2">
              <w:rPr>
                <w:rFonts w:cs="Times Unicode"/>
                <w:b/>
                <w:sz w:val="20"/>
                <w:szCs w:val="20"/>
                <w:lang w:val="hy-AM"/>
              </w:rPr>
              <w:t>ՀՀ</w:t>
            </w:r>
            <w:r w:rsidRPr="00AC67B2">
              <w:rPr>
                <w:b/>
                <w:sz w:val="20"/>
                <w:szCs w:val="20"/>
                <w:lang w:val="hy-AM"/>
              </w:rPr>
              <w:t xml:space="preserve"> </w:t>
            </w:r>
            <w:r w:rsidRPr="00AC67B2">
              <w:rPr>
                <w:rFonts w:cs="Times Unicode"/>
                <w:b/>
                <w:sz w:val="20"/>
                <w:szCs w:val="20"/>
                <w:lang w:val="hy-AM"/>
              </w:rPr>
              <w:t>կառավարության</w:t>
            </w:r>
            <w:r w:rsidRPr="00AC67B2">
              <w:rPr>
                <w:b/>
                <w:sz w:val="20"/>
                <w:szCs w:val="20"/>
                <w:lang w:val="hy-AM"/>
              </w:rPr>
              <w:t xml:space="preserve"> </w:t>
            </w:r>
            <w:r w:rsidRPr="00AC67B2">
              <w:rPr>
                <w:rFonts w:cs="Times Unicode"/>
                <w:b/>
                <w:sz w:val="20"/>
                <w:szCs w:val="20"/>
                <w:lang w:val="hy-AM"/>
              </w:rPr>
              <w:t>պարտքի</w:t>
            </w:r>
            <w:r w:rsidRPr="00AC67B2">
              <w:rPr>
                <w:b/>
                <w:sz w:val="20"/>
                <w:szCs w:val="20"/>
                <w:lang w:val="hy-AM"/>
              </w:rPr>
              <w:t xml:space="preserve"> մ</w:t>
            </w:r>
            <w:r w:rsidRPr="00AC67B2">
              <w:rPr>
                <w:rFonts w:cs="Times Unicode"/>
                <w:b/>
                <w:sz w:val="20"/>
                <w:szCs w:val="20"/>
                <w:lang w:val="hy-AM"/>
              </w:rPr>
              <w:t>ինչև վերաֆիքսում միջին ժամկետը, (տարի)</w:t>
            </w:r>
          </w:p>
        </w:tc>
        <w:tc>
          <w:tcPr>
            <w:tcW w:w="1258" w:type="dxa"/>
            <w:tcBorders>
              <w:top w:val="thinThickSmallGap" w:sz="24" w:space="0" w:color="auto"/>
              <w:left w:val="nil"/>
              <w:right w:val="nil"/>
            </w:tcBorders>
            <w:vAlign w:val="center"/>
          </w:tcPr>
          <w:p w14:paraId="0A7C8E43" w14:textId="77777777" w:rsidR="00F1465E" w:rsidRPr="00CA2138" w:rsidRDefault="00F1465E" w:rsidP="00231073">
            <w:pPr>
              <w:spacing w:before="0" w:after="0"/>
              <w:ind w:firstLine="0"/>
              <w:jc w:val="center"/>
              <w:rPr>
                <w:b/>
                <w:sz w:val="20"/>
                <w:szCs w:val="20"/>
              </w:rPr>
            </w:pPr>
            <w:r>
              <w:rPr>
                <w:b/>
                <w:sz w:val="20"/>
                <w:szCs w:val="20"/>
              </w:rPr>
              <w:t>7</w:t>
            </w:r>
            <w:r w:rsidRPr="00AC67B2">
              <w:rPr>
                <w:b/>
                <w:sz w:val="20"/>
                <w:szCs w:val="20"/>
                <w:lang w:val="hy-AM"/>
              </w:rPr>
              <w:t>.</w:t>
            </w:r>
            <w:r>
              <w:rPr>
                <w:b/>
                <w:sz w:val="20"/>
                <w:szCs w:val="20"/>
              </w:rPr>
              <w:t>0</w:t>
            </w:r>
          </w:p>
        </w:tc>
        <w:tc>
          <w:tcPr>
            <w:tcW w:w="922" w:type="dxa"/>
            <w:tcBorders>
              <w:top w:val="thinThickSmallGap" w:sz="24" w:space="0" w:color="auto"/>
              <w:left w:val="nil"/>
              <w:right w:val="nil"/>
            </w:tcBorders>
            <w:vAlign w:val="center"/>
          </w:tcPr>
          <w:p w14:paraId="676A4B92" w14:textId="77777777" w:rsidR="00F1465E" w:rsidRPr="00CA2138" w:rsidRDefault="00F1465E" w:rsidP="00231073">
            <w:pPr>
              <w:spacing w:before="0" w:after="0"/>
              <w:ind w:firstLine="0"/>
              <w:jc w:val="center"/>
              <w:rPr>
                <w:b/>
                <w:sz w:val="20"/>
                <w:szCs w:val="20"/>
              </w:rPr>
            </w:pPr>
            <w:r w:rsidRPr="00AC67B2">
              <w:rPr>
                <w:b/>
                <w:sz w:val="20"/>
                <w:szCs w:val="20"/>
                <w:lang w:val="hy-AM"/>
              </w:rPr>
              <w:t>6.</w:t>
            </w:r>
            <w:r>
              <w:rPr>
                <w:b/>
                <w:sz w:val="20"/>
                <w:szCs w:val="20"/>
              </w:rPr>
              <w:t>9</w:t>
            </w:r>
          </w:p>
        </w:tc>
        <w:tc>
          <w:tcPr>
            <w:tcW w:w="975" w:type="dxa"/>
            <w:tcBorders>
              <w:top w:val="thinThickSmallGap" w:sz="24" w:space="0" w:color="auto"/>
              <w:left w:val="nil"/>
              <w:right w:val="nil"/>
            </w:tcBorders>
            <w:vAlign w:val="center"/>
          </w:tcPr>
          <w:p w14:paraId="73E218D2" w14:textId="77777777" w:rsidR="00F1465E" w:rsidRPr="00CA2138" w:rsidRDefault="00F1465E" w:rsidP="00231073">
            <w:pPr>
              <w:spacing w:before="0" w:after="0"/>
              <w:ind w:firstLine="0"/>
              <w:jc w:val="center"/>
              <w:rPr>
                <w:b/>
                <w:sz w:val="20"/>
                <w:szCs w:val="20"/>
              </w:rPr>
            </w:pPr>
            <w:r w:rsidRPr="00AC67B2">
              <w:rPr>
                <w:b/>
                <w:sz w:val="20"/>
                <w:szCs w:val="20"/>
                <w:lang w:val="hy-AM"/>
              </w:rPr>
              <w:t>6.</w:t>
            </w:r>
            <w:r>
              <w:rPr>
                <w:b/>
                <w:sz w:val="20"/>
                <w:szCs w:val="20"/>
              </w:rPr>
              <w:t>5</w:t>
            </w:r>
          </w:p>
        </w:tc>
        <w:tc>
          <w:tcPr>
            <w:tcW w:w="899" w:type="dxa"/>
            <w:tcBorders>
              <w:top w:val="thinThickSmallGap" w:sz="24" w:space="0" w:color="auto"/>
              <w:left w:val="nil"/>
              <w:right w:val="nil"/>
            </w:tcBorders>
            <w:vAlign w:val="center"/>
          </w:tcPr>
          <w:p w14:paraId="43DF2900" w14:textId="77777777" w:rsidR="00F1465E" w:rsidRPr="00CA2138" w:rsidRDefault="00F1465E" w:rsidP="00231073">
            <w:pPr>
              <w:spacing w:before="0" w:after="0"/>
              <w:ind w:firstLine="0"/>
              <w:jc w:val="center"/>
              <w:rPr>
                <w:b/>
                <w:sz w:val="20"/>
                <w:szCs w:val="20"/>
              </w:rPr>
            </w:pPr>
            <w:r>
              <w:rPr>
                <w:b/>
                <w:sz w:val="20"/>
                <w:szCs w:val="20"/>
              </w:rPr>
              <w:t>6</w:t>
            </w:r>
            <w:r w:rsidRPr="00AC67B2">
              <w:rPr>
                <w:b/>
                <w:sz w:val="20"/>
                <w:szCs w:val="20"/>
                <w:lang w:val="hy-AM"/>
              </w:rPr>
              <w:t>.</w:t>
            </w:r>
            <w:r>
              <w:rPr>
                <w:b/>
                <w:sz w:val="20"/>
                <w:szCs w:val="20"/>
              </w:rPr>
              <w:t>4</w:t>
            </w:r>
          </w:p>
        </w:tc>
      </w:tr>
      <w:tr w:rsidR="00F1465E" w:rsidRPr="00AC67B2" w14:paraId="64778DC9" w14:textId="77777777" w:rsidTr="00231073">
        <w:trPr>
          <w:trHeight w:val="777"/>
          <w:jc w:val="center"/>
        </w:trPr>
        <w:tc>
          <w:tcPr>
            <w:tcW w:w="4731" w:type="dxa"/>
            <w:tcBorders>
              <w:left w:val="nil"/>
              <w:bottom w:val="single" w:sz="4" w:space="0" w:color="auto"/>
              <w:right w:val="nil"/>
            </w:tcBorders>
            <w:vAlign w:val="center"/>
          </w:tcPr>
          <w:p w14:paraId="7762289B" w14:textId="77777777" w:rsidR="00F1465E" w:rsidRPr="00AC67B2" w:rsidRDefault="00F1465E" w:rsidP="00231073">
            <w:pPr>
              <w:spacing w:before="0" w:after="0"/>
              <w:ind w:firstLine="0"/>
              <w:jc w:val="left"/>
              <w:rPr>
                <w:sz w:val="20"/>
                <w:szCs w:val="20"/>
                <w:lang w:val="hy-AM"/>
              </w:rPr>
            </w:pPr>
            <w:r w:rsidRPr="00AC67B2">
              <w:rPr>
                <w:rFonts w:cs="Times Unicode"/>
                <w:sz w:val="20"/>
                <w:szCs w:val="20"/>
                <w:lang w:val="hy-AM"/>
              </w:rPr>
              <w:t>ՀՀ</w:t>
            </w:r>
            <w:r w:rsidRPr="00AC67B2">
              <w:rPr>
                <w:sz w:val="20"/>
                <w:szCs w:val="20"/>
                <w:lang w:val="hy-AM"/>
              </w:rPr>
              <w:t xml:space="preserve"> </w:t>
            </w:r>
            <w:r w:rsidRPr="00AC67B2">
              <w:rPr>
                <w:rFonts w:cs="Times Unicode"/>
                <w:sz w:val="20"/>
                <w:szCs w:val="20"/>
                <w:lang w:val="hy-AM"/>
              </w:rPr>
              <w:t>կառավարության</w:t>
            </w:r>
            <w:r w:rsidRPr="00AC67B2">
              <w:rPr>
                <w:sz w:val="20"/>
                <w:szCs w:val="20"/>
                <w:lang w:val="hy-AM"/>
              </w:rPr>
              <w:t xml:space="preserve"> ա</w:t>
            </w:r>
            <w:r w:rsidRPr="00AC67B2">
              <w:rPr>
                <w:rFonts w:cs="Times Unicode"/>
                <w:sz w:val="20"/>
                <w:szCs w:val="20"/>
                <w:lang w:val="hy-AM"/>
              </w:rPr>
              <w:t xml:space="preserve">րտաքին պարտքի </w:t>
            </w:r>
            <w:r w:rsidRPr="00AC67B2">
              <w:rPr>
                <w:sz w:val="20"/>
                <w:szCs w:val="20"/>
                <w:lang w:val="hy-AM"/>
              </w:rPr>
              <w:t>մ</w:t>
            </w:r>
            <w:r w:rsidRPr="00AC67B2">
              <w:rPr>
                <w:rFonts w:cs="Times Unicode"/>
                <w:sz w:val="20"/>
                <w:szCs w:val="20"/>
                <w:lang w:val="hy-AM"/>
              </w:rPr>
              <w:t>ինչև վերաֆիքսում միջին ժամկետը, (տարի)</w:t>
            </w:r>
          </w:p>
        </w:tc>
        <w:tc>
          <w:tcPr>
            <w:tcW w:w="1258" w:type="dxa"/>
            <w:tcBorders>
              <w:left w:val="nil"/>
              <w:bottom w:val="single" w:sz="4" w:space="0" w:color="auto"/>
              <w:right w:val="nil"/>
            </w:tcBorders>
            <w:vAlign w:val="center"/>
          </w:tcPr>
          <w:p w14:paraId="0BBCB3AE" w14:textId="77777777" w:rsidR="00F1465E" w:rsidRPr="00CA2138" w:rsidRDefault="00F1465E" w:rsidP="00231073">
            <w:pPr>
              <w:spacing w:before="0" w:after="0"/>
              <w:ind w:firstLine="0"/>
              <w:jc w:val="center"/>
              <w:rPr>
                <w:sz w:val="20"/>
                <w:szCs w:val="20"/>
              </w:rPr>
            </w:pPr>
            <w:r>
              <w:rPr>
                <w:sz w:val="20"/>
                <w:szCs w:val="20"/>
              </w:rPr>
              <w:t>5</w:t>
            </w:r>
            <w:r w:rsidRPr="00AC67B2">
              <w:rPr>
                <w:sz w:val="20"/>
                <w:szCs w:val="20"/>
                <w:lang w:val="hy-AM"/>
              </w:rPr>
              <w:t>.</w:t>
            </w:r>
            <w:r>
              <w:rPr>
                <w:sz w:val="20"/>
                <w:szCs w:val="20"/>
              </w:rPr>
              <w:t>9</w:t>
            </w:r>
          </w:p>
        </w:tc>
        <w:tc>
          <w:tcPr>
            <w:tcW w:w="922" w:type="dxa"/>
            <w:tcBorders>
              <w:left w:val="nil"/>
              <w:bottom w:val="single" w:sz="4" w:space="0" w:color="auto"/>
              <w:right w:val="nil"/>
            </w:tcBorders>
            <w:vAlign w:val="center"/>
          </w:tcPr>
          <w:p w14:paraId="6145C6F1" w14:textId="77777777" w:rsidR="00F1465E" w:rsidRPr="00CA2138" w:rsidRDefault="00F1465E" w:rsidP="00231073">
            <w:pPr>
              <w:spacing w:before="0" w:after="0"/>
              <w:ind w:firstLine="0"/>
              <w:jc w:val="center"/>
              <w:rPr>
                <w:sz w:val="20"/>
                <w:szCs w:val="20"/>
              </w:rPr>
            </w:pPr>
            <w:r>
              <w:rPr>
                <w:sz w:val="20"/>
                <w:szCs w:val="20"/>
              </w:rPr>
              <w:t>5</w:t>
            </w:r>
            <w:r w:rsidRPr="00AC67B2">
              <w:rPr>
                <w:sz w:val="20"/>
                <w:szCs w:val="20"/>
                <w:lang w:val="hy-AM"/>
              </w:rPr>
              <w:t>.</w:t>
            </w:r>
            <w:r>
              <w:rPr>
                <w:sz w:val="20"/>
                <w:szCs w:val="20"/>
              </w:rPr>
              <w:t>4</w:t>
            </w:r>
          </w:p>
        </w:tc>
        <w:tc>
          <w:tcPr>
            <w:tcW w:w="975" w:type="dxa"/>
            <w:tcBorders>
              <w:left w:val="nil"/>
              <w:bottom w:val="single" w:sz="4" w:space="0" w:color="auto"/>
              <w:right w:val="nil"/>
            </w:tcBorders>
            <w:vAlign w:val="center"/>
          </w:tcPr>
          <w:p w14:paraId="4CEDF640" w14:textId="77777777" w:rsidR="00F1465E" w:rsidRPr="00CA2138" w:rsidRDefault="00F1465E" w:rsidP="00231073">
            <w:pPr>
              <w:spacing w:before="0" w:after="0"/>
              <w:ind w:firstLine="0"/>
              <w:jc w:val="center"/>
              <w:rPr>
                <w:sz w:val="20"/>
                <w:szCs w:val="20"/>
              </w:rPr>
            </w:pPr>
            <w:r>
              <w:rPr>
                <w:sz w:val="20"/>
                <w:szCs w:val="20"/>
              </w:rPr>
              <w:t>4</w:t>
            </w:r>
            <w:r w:rsidRPr="00AC67B2">
              <w:rPr>
                <w:sz w:val="20"/>
                <w:szCs w:val="20"/>
                <w:lang w:val="hy-AM"/>
              </w:rPr>
              <w:t>.</w:t>
            </w:r>
            <w:r>
              <w:rPr>
                <w:sz w:val="20"/>
                <w:szCs w:val="20"/>
              </w:rPr>
              <w:t>8</w:t>
            </w:r>
          </w:p>
        </w:tc>
        <w:tc>
          <w:tcPr>
            <w:tcW w:w="899" w:type="dxa"/>
            <w:tcBorders>
              <w:left w:val="nil"/>
              <w:bottom w:val="single" w:sz="4" w:space="0" w:color="auto"/>
              <w:right w:val="nil"/>
            </w:tcBorders>
            <w:vAlign w:val="center"/>
          </w:tcPr>
          <w:p w14:paraId="600CC1E6" w14:textId="77777777" w:rsidR="00F1465E" w:rsidRPr="00CA2138" w:rsidRDefault="00F1465E" w:rsidP="00231073">
            <w:pPr>
              <w:spacing w:before="0" w:after="0"/>
              <w:ind w:firstLine="0"/>
              <w:jc w:val="center"/>
              <w:rPr>
                <w:sz w:val="20"/>
                <w:szCs w:val="20"/>
              </w:rPr>
            </w:pPr>
            <w:r w:rsidRPr="00AC67B2">
              <w:rPr>
                <w:sz w:val="20"/>
                <w:szCs w:val="20"/>
                <w:lang w:val="hy-AM"/>
              </w:rPr>
              <w:t>4.</w:t>
            </w:r>
            <w:r>
              <w:rPr>
                <w:sz w:val="20"/>
                <w:szCs w:val="20"/>
              </w:rPr>
              <w:t>4</w:t>
            </w:r>
          </w:p>
        </w:tc>
      </w:tr>
      <w:tr w:rsidR="00F1465E" w:rsidRPr="00AC67B2" w14:paraId="4E9E60D3" w14:textId="77777777" w:rsidTr="00231073">
        <w:trPr>
          <w:trHeight w:val="871"/>
          <w:jc w:val="center"/>
        </w:trPr>
        <w:tc>
          <w:tcPr>
            <w:tcW w:w="4731" w:type="dxa"/>
            <w:tcBorders>
              <w:left w:val="nil"/>
              <w:bottom w:val="single" w:sz="12" w:space="0" w:color="auto"/>
              <w:right w:val="nil"/>
            </w:tcBorders>
            <w:vAlign w:val="center"/>
          </w:tcPr>
          <w:p w14:paraId="5987542D" w14:textId="77777777" w:rsidR="00F1465E" w:rsidRPr="00AC67B2" w:rsidRDefault="00F1465E" w:rsidP="00231073">
            <w:pPr>
              <w:spacing w:before="0" w:after="0"/>
              <w:ind w:firstLine="0"/>
              <w:jc w:val="left"/>
              <w:rPr>
                <w:sz w:val="20"/>
                <w:szCs w:val="20"/>
                <w:lang w:val="hy-AM"/>
              </w:rPr>
            </w:pPr>
            <w:r w:rsidRPr="00AC67B2">
              <w:rPr>
                <w:rFonts w:cs="Times Unicode"/>
                <w:sz w:val="20"/>
                <w:szCs w:val="20"/>
                <w:lang w:val="hy-AM"/>
              </w:rPr>
              <w:t>ՀՀ</w:t>
            </w:r>
            <w:r w:rsidRPr="00AC67B2">
              <w:rPr>
                <w:sz w:val="20"/>
                <w:szCs w:val="20"/>
                <w:lang w:val="hy-AM"/>
              </w:rPr>
              <w:t xml:space="preserve"> </w:t>
            </w:r>
            <w:r w:rsidRPr="00AC67B2">
              <w:rPr>
                <w:rFonts w:cs="Times Unicode"/>
                <w:sz w:val="20"/>
                <w:szCs w:val="20"/>
                <w:lang w:val="hy-AM"/>
              </w:rPr>
              <w:t>կառավարության</w:t>
            </w:r>
            <w:r w:rsidRPr="00AC67B2">
              <w:rPr>
                <w:sz w:val="20"/>
                <w:szCs w:val="20"/>
                <w:lang w:val="hy-AM"/>
              </w:rPr>
              <w:t xml:space="preserve"> ն</w:t>
            </w:r>
            <w:r w:rsidRPr="00AC67B2">
              <w:rPr>
                <w:rFonts w:cs="Times Unicode"/>
                <w:sz w:val="20"/>
                <w:szCs w:val="20"/>
                <w:lang w:val="hy-AM"/>
              </w:rPr>
              <w:t xml:space="preserve">երքին պարտքի </w:t>
            </w:r>
            <w:r w:rsidRPr="00AC67B2">
              <w:rPr>
                <w:sz w:val="20"/>
                <w:szCs w:val="20"/>
                <w:lang w:val="hy-AM"/>
              </w:rPr>
              <w:t>մ</w:t>
            </w:r>
            <w:r w:rsidRPr="00AC67B2">
              <w:rPr>
                <w:rFonts w:cs="Times Unicode"/>
                <w:sz w:val="20"/>
                <w:szCs w:val="20"/>
                <w:lang w:val="hy-AM"/>
              </w:rPr>
              <w:t>ինչև վերաֆիքսում միջին ժամկետը, (տարի)</w:t>
            </w:r>
          </w:p>
        </w:tc>
        <w:tc>
          <w:tcPr>
            <w:tcW w:w="1258" w:type="dxa"/>
            <w:tcBorders>
              <w:left w:val="nil"/>
              <w:bottom w:val="single" w:sz="12" w:space="0" w:color="auto"/>
              <w:right w:val="nil"/>
            </w:tcBorders>
            <w:vAlign w:val="center"/>
          </w:tcPr>
          <w:p w14:paraId="37B51B5D" w14:textId="77777777" w:rsidR="00F1465E" w:rsidRPr="00CA2138" w:rsidRDefault="00F1465E" w:rsidP="00231073">
            <w:pPr>
              <w:spacing w:before="0" w:after="0"/>
              <w:ind w:firstLine="0"/>
              <w:jc w:val="center"/>
              <w:rPr>
                <w:sz w:val="20"/>
                <w:szCs w:val="20"/>
              </w:rPr>
            </w:pPr>
            <w:r>
              <w:rPr>
                <w:sz w:val="20"/>
                <w:szCs w:val="20"/>
              </w:rPr>
              <w:t>10</w:t>
            </w:r>
            <w:r w:rsidRPr="00AC67B2">
              <w:rPr>
                <w:sz w:val="20"/>
                <w:szCs w:val="20"/>
                <w:lang w:val="hy-AM"/>
              </w:rPr>
              <w:t>.</w:t>
            </w:r>
            <w:r>
              <w:rPr>
                <w:sz w:val="20"/>
                <w:szCs w:val="20"/>
              </w:rPr>
              <w:t>4</w:t>
            </w:r>
          </w:p>
        </w:tc>
        <w:tc>
          <w:tcPr>
            <w:tcW w:w="922" w:type="dxa"/>
            <w:tcBorders>
              <w:left w:val="nil"/>
              <w:bottom w:val="single" w:sz="12" w:space="0" w:color="auto"/>
              <w:right w:val="nil"/>
            </w:tcBorders>
            <w:vAlign w:val="center"/>
          </w:tcPr>
          <w:p w14:paraId="39E79088" w14:textId="77777777" w:rsidR="00F1465E" w:rsidRPr="00CA2138" w:rsidRDefault="00F1465E" w:rsidP="00231073">
            <w:pPr>
              <w:spacing w:before="0" w:after="0"/>
              <w:ind w:firstLine="0"/>
              <w:jc w:val="center"/>
              <w:rPr>
                <w:sz w:val="20"/>
                <w:szCs w:val="20"/>
              </w:rPr>
            </w:pPr>
            <w:r>
              <w:rPr>
                <w:sz w:val="20"/>
                <w:szCs w:val="20"/>
              </w:rPr>
              <w:t>10</w:t>
            </w:r>
            <w:r w:rsidRPr="00AC67B2">
              <w:rPr>
                <w:sz w:val="20"/>
                <w:szCs w:val="20"/>
                <w:lang w:val="hy-AM"/>
              </w:rPr>
              <w:t>.</w:t>
            </w:r>
            <w:r>
              <w:rPr>
                <w:sz w:val="20"/>
                <w:szCs w:val="20"/>
              </w:rPr>
              <w:t>5</w:t>
            </w:r>
          </w:p>
        </w:tc>
        <w:tc>
          <w:tcPr>
            <w:tcW w:w="975" w:type="dxa"/>
            <w:tcBorders>
              <w:left w:val="nil"/>
              <w:bottom w:val="single" w:sz="12" w:space="0" w:color="auto"/>
              <w:right w:val="nil"/>
            </w:tcBorders>
            <w:vAlign w:val="center"/>
          </w:tcPr>
          <w:p w14:paraId="03A091C5" w14:textId="77777777" w:rsidR="00F1465E" w:rsidRPr="00CA2138" w:rsidRDefault="00F1465E" w:rsidP="00231073">
            <w:pPr>
              <w:spacing w:before="0" w:after="0"/>
              <w:ind w:firstLine="0"/>
              <w:jc w:val="center"/>
              <w:rPr>
                <w:sz w:val="20"/>
                <w:szCs w:val="20"/>
              </w:rPr>
            </w:pPr>
            <w:r>
              <w:rPr>
                <w:sz w:val="20"/>
                <w:szCs w:val="20"/>
              </w:rPr>
              <w:t>10</w:t>
            </w:r>
            <w:r w:rsidRPr="00AC67B2">
              <w:rPr>
                <w:sz w:val="20"/>
                <w:szCs w:val="20"/>
                <w:lang w:val="hy-AM"/>
              </w:rPr>
              <w:t>.</w:t>
            </w:r>
            <w:r>
              <w:rPr>
                <w:sz w:val="20"/>
                <w:szCs w:val="20"/>
              </w:rPr>
              <w:t>0</w:t>
            </w:r>
          </w:p>
        </w:tc>
        <w:tc>
          <w:tcPr>
            <w:tcW w:w="899" w:type="dxa"/>
            <w:tcBorders>
              <w:left w:val="nil"/>
              <w:bottom w:val="single" w:sz="12" w:space="0" w:color="auto"/>
              <w:right w:val="nil"/>
            </w:tcBorders>
            <w:vAlign w:val="center"/>
          </w:tcPr>
          <w:p w14:paraId="4204D64F" w14:textId="77777777" w:rsidR="00F1465E" w:rsidRPr="00CA2138" w:rsidRDefault="00F1465E" w:rsidP="00231073">
            <w:pPr>
              <w:spacing w:before="0" w:after="0"/>
              <w:ind w:firstLine="0"/>
              <w:jc w:val="center"/>
              <w:rPr>
                <w:sz w:val="20"/>
                <w:szCs w:val="20"/>
              </w:rPr>
            </w:pPr>
            <w:r>
              <w:rPr>
                <w:sz w:val="20"/>
                <w:szCs w:val="20"/>
              </w:rPr>
              <w:t>9</w:t>
            </w:r>
            <w:r w:rsidRPr="00AC67B2">
              <w:rPr>
                <w:sz w:val="20"/>
                <w:szCs w:val="20"/>
                <w:lang w:val="hy-AM"/>
              </w:rPr>
              <w:t>.</w:t>
            </w:r>
            <w:r>
              <w:rPr>
                <w:sz w:val="20"/>
                <w:szCs w:val="20"/>
              </w:rPr>
              <w:t>7</w:t>
            </w:r>
          </w:p>
        </w:tc>
      </w:tr>
      <w:tr w:rsidR="00F1465E" w:rsidRPr="00AC67B2" w14:paraId="7CF89774" w14:textId="77777777" w:rsidTr="00231073">
        <w:trPr>
          <w:trHeight w:val="577"/>
          <w:jc w:val="center"/>
        </w:trPr>
        <w:tc>
          <w:tcPr>
            <w:tcW w:w="4731" w:type="dxa"/>
            <w:tcBorders>
              <w:top w:val="single" w:sz="12" w:space="0" w:color="auto"/>
              <w:left w:val="nil"/>
              <w:right w:val="nil"/>
            </w:tcBorders>
            <w:vAlign w:val="center"/>
          </w:tcPr>
          <w:p w14:paraId="2CF56D79" w14:textId="77777777" w:rsidR="00F1465E" w:rsidRPr="00AC67B2" w:rsidRDefault="00F1465E" w:rsidP="00231073">
            <w:pPr>
              <w:spacing w:before="0" w:after="0"/>
              <w:ind w:firstLine="0"/>
              <w:jc w:val="left"/>
              <w:rPr>
                <w:b/>
                <w:sz w:val="20"/>
                <w:szCs w:val="20"/>
                <w:lang w:val="hy-AM"/>
              </w:rPr>
            </w:pPr>
            <w:r w:rsidRPr="00AC67B2">
              <w:rPr>
                <w:rFonts w:cs="Times Unicode"/>
                <w:b/>
                <w:sz w:val="20"/>
                <w:szCs w:val="20"/>
                <w:lang w:val="hy-AM"/>
              </w:rPr>
              <w:t>Մեկ տարվա ընթացքում վերաֆիքսվող ՀՀ</w:t>
            </w:r>
            <w:r w:rsidRPr="00AC67B2">
              <w:rPr>
                <w:b/>
                <w:sz w:val="20"/>
                <w:szCs w:val="20"/>
                <w:lang w:val="hy-AM"/>
              </w:rPr>
              <w:t xml:space="preserve"> </w:t>
            </w:r>
            <w:r w:rsidRPr="00AC67B2">
              <w:rPr>
                <w:rFonts w:cs="Times Unicode"/>
                <w:b/>
                <w:sz w:val="20"/>
                <w:szCs w:val="20"/>
                <w:lang w:val="hy-AM"/>
              </w:rPr>
              <w:t>կառավարության</w:t>
            </w:r>
            <w:r w:rsidRPr="00AC67B2">
              <w:rPr>
                <w:b/>
                <w:sz w:val="20"/>
                <w:szCs w:val="20"/>
                <w:lang w:val="hy-AM"/>
              </w:rPr>
              <w:t xml:space="preserve"> </w:t>
            </w:r>
            <w:r w:rsidRPr="00AC67B2">
              <w:rPr>
                <w:rFonts w:cs="Times Unicode"/>
                <w:b/>
                <w:sz w:val="20"/>
                <w:szCs w:val="20"/>
                <w:lang w:val="hy-AM"/>
              </w:rPr>
              <w:t>պարտքի</w:t>
            </w:r>
            <w:r w:rsidRPr="00AC67B2">
              <w:rPr>
                <w:b/>
                <w:sz w:val="20"/>
                <w:szCs w:val="20"/>
                <w:lang w:val="hy-AM"/>
              </w:rPr>
              <w:t xml:space="preserve"> </w:t>
            </w:r>
            <w:r w:rsidRPr="00AC67B2">
              <w:rPr>
                <w:rFonts w:cs="Times Unicode"/>
                <w:b/>
                <w:sz w:val="20"/>
                <w:szCs w:val="20"/>
                <w:lang w:val="hy-AM"/>
              </w:rPr>
              <w:t>կշիռը (%)</w:t>
            </w:r>
          </w:p>
        </w:tc>
        <w:tc>
          <w:tcPr>
            <w:tcW w:w="1258" w:type="dxa"/>
            <w:tcBorders>
              <w:top w:val="single" w:sz="12" w:space="0" w:color="auto"/>
              <w:left w:val="nil"/>
              <w:right w:val="nil"/>
            </w:tcBorders>
            <w:vAlign w:val="center"/>
          </w:tcPr>
          <w:p w14:paraId="5E75873C" w14:textId="77777777" w:rsidR="00F1465E" w:rsidRPr="00CA2138" w:rsidRDefault="00F1465E" w:rsidP="00231073">
            <w:pPr>
              <w:spacing w:before="0" w:after="0"/>
              <w:ind w:firstLine="0"/>
              <w:jc w:val="center"/>
              <w:rPr>
                <w:b/>
                <w:sz w:val="20"/>
                <w:szCs w:val="20"/>
              </w:rPr>
            </w:pPr>
            <w:r>
              <w:rPr>
                <w:b/>
                <w:sz w:val="20"/>
                <w:szCs w:val="20"/>
              </w:rPr>
              <w:t>26</w:t>
            </w:r>
            <w:r w:rsidRPr="00AC67B2">
              <w:rPr>
                <w:b/>
                <w:sz w:val="20"/>
                <w:szCs w:val="20"/>
                <w:lang w:val="hy-AM"/>
              </w:rPr>
              <w:t>.</w:t>
            </w:r>
            <w:r>
              <w:rPr>
                <w:b/>
                <w:sz w:val="20"/>
                <w:szCs w:val="20"/>
              </w:rPr>
              <w:t>5</w:t>
            </w:r>
          </w:p>
        </w:tc>
        <w:tc>
          <w:tcPr>
            <w:tcW w:w="922" w:type="dxa"/>
            <w:tcBorders>
              <w:top w:val="single" w:sz="12" w:space="0" w:color="auto"/>
              <w:left w:val="nil"/>
              <w:right w:val="nil"/>
            </w:tcBorders>
            <w:vAlign w:val="center"/>
          </w:tcPr>
          <w:p w14:paraId="5DD1DF30" w14:textId="77777777" w:rsidR="00F1465E" w:rsidRPr="00CA2138" w:rsidRDefault="00F1465E" w:rsidP="00231073">
            <w:pPr>
              <w:spacing w:before="0" w:after="0"/>
              <w:ind w:firstLine="0"/>
              <w:jc w:val="center"/>
              <w:rPr>
                <w:b/>
                <w:sz w:val="20"/>
                <w:szCs w:val="20"/>
              </w:rPr>
            </w:pPr>
            <w:r w:rsidRPr="00AC67B2">
              <w:rPr>
                <w:b/>
                <w:sz w:val="20"/>
                <w:szCs w:val="20"/>
                <w:lang w:val="hy-AM"/>
              </w:rPr>
              <w:t>2</w:t>
            </w:r>
            <w:r>
              <w:rPr>
                <w:b/>
                <w:sz w:val="20"/>
                <w:szCs w:val="20"/>
              </w:rPr>
              <w:t>6</w:t>
            </w:r>
            <w:r w:rsidRPr="00AC67B2">
              <w:rPr>
                <w:b/>
                <w:sz w:val="20"/>
                <w:szCs w:val="20"/>
                <w:lang w:val="hy-AM"/>
              </w:rPr>
              <w:t>.</w:t>
            </w:r>
            <w:r>
              <w:rPr>
                <w:b/>
                <w:sz w:val="20"/>
                <w:szCs w:val="20"/>
              </w:rPr>
              <w:t>0</w:t>
            </w:r>
          </w:p>
        </w:tc>
        <w:tc>
          <w:tcPr>
            <w:tcW w:w="975" w:type="dxa"/>
            <w:tcBorders>
              <w:top w:val="single" w:sz="12" w:space="0" w:color="auto"/>
              <w:left w:val="nil"/>
              <w:right w:val="nil"/>
            </w:tcBorders>
            <w:vAlign w:val="center"/>
          </w:tcPr>
          <w:p w14:paraId="576C1ED6" w14:textId="77777777" w:rsidR="00F1465E" w:rsidRPr="00CA2138" w:rsidRDefault="00F1465E" w:rsidP="00231073">
            <w:pPr>
              <w:spacing w:before="0" w:after="0"/>
              <w:ind w:firstLine="0"/>
              <w:jc w:val="center"/>
              <w:rPr>
                <w:b/>
                <w:sz w:val="20"/>
                <w:szCs w:val="20"/>
              </w:rPr>
            </w:pPr>
            <w:r w:rsidRPr="00AC67B2">
              <w:rPr>
                <w:b/>
                <w:sz w:val="20"/>
                <w:szCs w:val="20"/>
                <w:lang w:val="hy-AM"/>
              </w:rPr>
              <w:t>26.</w:t>
            </w:r>
            <w:r>
              <w:rPr>
                <w:b/>
                <w:sz w:val="20"/>
                <w:szCs w:val="20"/>
              </w:rPr>
              <w:t>2</w:t>
            </w:r>
          </w:p>
        </w:tc>
        <w:tc>
          <w:tcPr>
            <w:tcW w:w="899" w:type="dxa"/>
            <w:tcBorders>
              <w:top w:val="single" w:sz="12" w:space="0" w:color="auto"/>
              <w:left w:val="nil"/>
              <w:right w:val="nil"/>
            </w:tcBorders>
            <w:vAlign w:val="center"/>
          </w:tcPr>
          <w:p w14:paraId="69E7CEE2" w14:textId="77777777" w:rsidR="00F1465E" w:rsidRPr="00CA2138" w:rsidRDefault="00F1465E" w:rsidP="00231073">
            <w:pPr>
              <w:spacing w:before="0" w:after="0"/>
              <w:ind w:firstLine="0"/>
              <w:jc w:val="center"/>
              <w:rPr>
                <w:b/>
                <w:sz w:val="20"/>
                <w:szCs w:val="20"/>
              </w:rPr>
            </w:pPr>
            <w:r w:rsidRPr="00AC67B2">
              <w:rPr>
                <w:b/>
                <w:sz w:val="20"/>
                <w:szCs w:val="20"/>
                <w:lang w:val="hy-AM"/>
              </w:rPr>
              <w:t>2</w:t>
            </w:r>
            <w:r>
              <w:rPr>
                <w:b/>
                <w:sz w:val="20"/>
                <w:szCs w:val="20"/>
              </w:rPr>
              <w:t>5</w:t>
            </w:r>
            <w:r w:rsidRPr="00AC67B2">
              <w:rPr>
                <w:b/>
                <w:sz w:val="20"/>
                <w:szCs w:val="20"/>
                <w:lang w:val="hy-AM"/>
              </w:rPr>
              <w:t>.</w:t>
            </w:r>
            <w:r>
              <w:rPr>
                <w:b/>
                <w:sz w:val="20"/>
                <w:szCs w:val="20"/>
              </w:rPr>
              <w:t>2</w:t>
            </w:r>
          </w:p>
        </w:tc>
      </w:tr>
      <w:tr w:rsidR="00F1465E" w:rsidRPr="00AC67B2" w14:paraId="338DDFC4" w14:textId="77777777" w:rsidTr="00231073">
        <w:trPr>
          <w:trHeight w:val="871"/>
          <w:jc w:val="center"/>
        </w:trPr>
        <w:tc>
          <w:tcPr>
            <w:tcW w:w="4731" w:type="dxa"/>
            <w:tcBorders>
              <w:left w:val="nil"/>
              <w:right w:val="nil"/>
            </w:tcBorders>
            <w:vAlign w:val="center"/>
          </w:tcPr>
          <w:p w14:paraId="67D737CC" w14:textId="77777777" w:rsidR="00F1465E" w:rsidRPr="00AC67B2" w:rsidRDefault="00F1465E" w:rsidP="00231073">
            <w:pPr>
              <w:spacing w:before="0" w:after="0"/>
              <w:ind w:firstLine="0"/>
              <w:jc w:val="left"/>
              <w:rPr>
                <w:sz w:val="20"/>
                <w:szCs w:val="20"/>
                <w:lang w:val="hy-AM"/>
              </w:rPr>
            </w:pPr>
            <w:r w:rsidRPr="00AC67B2">
              <w:rPr>
                <w:rFonts w:cs="Times Unicode"/>
                <w:sz w:val="20"/>
                <w:szCs w:val="20"/>
                <w:lang w:val="hy-AM"/>
              </w:rPr>
              <w:t>Մեկ տարվա ընթացքում վերաֆիքսվող ՀՀ</w:t>
            </w:r>
            <w:r w:rsidRPr="00AC67B2">
              <w:rPr>
                <w:sz w:val="20"/>
                <w:szCs w:val="20"/>
                <w:lang w:val="hy-AM"/>
              </w:rPr>
              <w:t xml:space="preserve"> </w:t>
            </w:r>
            <w:r w:rsidRPr="00AC67B2">
              <w:rPr>
                <w:rFonts w:cs="Times Unicode"/>
                <w:sz w:val="20"/>
                <w:szCs w:val="20"/>
                <w:lang w:val="hy-AM"/>
              </w:rPr>
              <w:t>կառավարության</w:t>
            </w:r>
            <w:r w:rsidRPr="00AC67B2">
              <w:rPr>
                <w:sz w:val="20"/>
                <w:szCs w:val="20"/>
                <w:lang w:val="hy-AM"/>
              </w:rPr>
              <w:t xml:space="preserve"> ա</w:t>
            </w:r>
            <w:r w:rsidRPr="00AC67B2">
              <w:rPr>
                <w:rFonts w:cs="Times Unicode"/>
                <w:sz w:val="20"/>
                <w:szCs w:val="20"/>
                <w:lang w:val="hy-AM"/>
              </w:rPr>
              <w:t>րտաքին պարտքի</w:t>
            </w:r>
            <w:r w:rsidRPr="00AC67B2">
              <w:rPr>
                <w:sz w:val="20"/>
                <w:szCs w:val="20"/>
                <w:lang w:val="hy-AM"/>
              </w:rPr>
              <w:t xml:space="preserve"> </w:t>
            </w:r>
            <w:r w:rsidRPr="00AC67B2">
              <w:rPr>
                <w:rFonts w:cs="Times Unicode"/>
                <w:sz w:val="20"/>
                <w:szCs w:val="20"/>
                <w:lang w:val="hy-AM"/>
              </w:rPr>
              <w:t>կշիռը (%)</w:t>
            </w:r>
          </w:p>
        </w:tc>
        <w:tc>
          <w:tcPr>
            <w:tcW w:w="1258" w:type="dxa"/>
            <w:tcBorders>
              <w:left w:val="nil"/>
              <w:right w:val="nil"/>
            </w:tcBorders>
            <w:vAlign w:val="center"/>
          </w:tcPr>
          <w:p w14:paraId="46847449" w14:textId="77777777" w:rsidR="00F1465E" w:rsidRPr="00CA2138" w:rsidRDefault="00F1465E" w:rsidP="00231073">
            <w:pPr>
              <w:spacing w:before="0" w:after="0"/>
              <w:ind w:firstLine="0"/>
              <w:jc w:val="center"/>
              <w:rPr>
                <w:sz w:val="20"/>
                <w:szCs w:val="20"/>
              </w:rPr>
            </w:pPr>
            <w:r w:rsidRPr="00AC67B2">
              <w:rPr>
                <w:sz w:val="20"/>
                <w:szCs w:val="20"/>
                <w:lang w:val="hy-AM"/>
              </w:rPr>
              <w:t>3</w:t>
            </w:r>
            <w:r>
              <w:rPr>
                <w:sz w:val="20"/>
                <w:szCs w:val="20"/>
              </w:rPr>
              <w:t>1</w:t>
            </w:r>
            <w:r w:rsidRPr="00AC67B2">
              <w:rPr>
                <w:sz w:val="20"/>
                <w:szCs w:val="20"/>
                <w:lang w:val="hy-AM"/>
              </w:rPr>
              <w:t>.</w:t>
            </w:r>
            <w:r>
              <w:rPr>
                <w:sz w:val="20"/>
                <w:szCs w:val="20"/>
              </w:rPr>
              <w:t>7</w:t>
            </w:r>
          </w:p>
        </w:tc>
        <w:tc>
          <w:tcPr>
            <w:tcW w:w="922" w:type="dxa"/>
            <w:tcBorders>
              <w:left w:val="nil"/>
              <w:right w:val="nil"/>
            </w:tcBorders>
            <w:vAlign w:val="center"/>
          </w:tcPr>
          <w:p w14:paraId="626DF2ED" w14:textId="77777777" w:rsidR="00F1465E" w:rsidRPr="00CA2138" w:rsidRDefault="00F1465E" w:rsidP="00231073">
            <w:pPr>
              <w:spacing w:before="0" w:after="0"/>
              <w:ind w:firstLine="0"/>
              <w:jc w:val="center"/>
              <w:rPr>
                <w:sz w:val="20"/>
                <w:szCs w:val="20"/>
              </w:rPr>
            </w:pPr>
            <w:r>
              <w:rPr>
                <w:sz w:val="20"/>
                <w:szCs w:val="20"/>
              </w:rPr>
              <w:t>33</w:t>
            </w:r>
            <w:r w:rsidRPr="00AC67B2">
              <w:rPr>
                <w:sz w:val="20"/>
                <w:szCs w:val="20"/>
                <w:lang w:val="hy-AM"/>
              </w:rPr>
              <w:t>.</w:t>
            </w:r>
            <w:r>
              <w:rPr>
                <w:sz w:val="20"/>
                <w:szCs w:val="20"/>
              </w:rPr>
              <w:t>5</w:t>
            </w:r>
          </w:p>
        </w:tc>
        <w:tc>
          <w:tcPr>
            <w:tcW w:w="975" w:type="dxa"/>
            <w:tcBorders>
              <w:left w:val="nil"/>
              <w:right w:val="nil"/>
            </w:tcBorders>
            <w:vAlign w:val="center"/>
          </w:tcPr>
          <w:p w14:paraId="2F0D6935" w14:textId="77777777" w:rsidR="00F1465E" w:rsidRPr="002455E7" w:rsidRDefault="00F1465E" w:rsidP="00231073">
            <w:pPr>
              <w:spacing w:before="0" w:after="0"/>
              <w:ind w:firstLine="0"/>
              <w:jc w:val="center"/>
              <w:rPr>
                <w:sz w:val="20"/>
                <w:szCs w:val="20"/>
              </w:rPr>
            </w:pPr>
            <w:r w:rsidRPr="00AC67B2">
              <w:rPr>
                <w:sz w:val="20"/>
                <w:szCs w:val="20"/>
                <w:lang w:val="hy-AM"/>
              </w:rPr>
              <w:t>3</w:t>
            </w:r>
            <w:r>
              <w:rPr>
                <w:sz w:val="20"/>
                <w:szCs w:val="20"/>
              </w:rPr>
              <w:t>5</w:t>
            </w:r>
            <w:r w:rsidRPr="00AC67B2">
              <w:rPr>
                <w:sz w:val="20"/>
                <w:szCs w:val="20"/>
                <w:lang w:val="hy-AM"/>
              </w:rPr>
              <w:t>.</w:t>
            </w:r>
            <w:r>
              <w:rPr>
                <w:sz w:val="20"/>
                <w:szCs w:val="20"/>
              </w:rPr>
              <w:t>0</w:t>
            </w:r>
          </w:p>
        </w:tc>
        <w:tc>
          <w:tcPr>
            <w:tcW w:w="899" w:type="dxa"/>
            <w:tcBorders>
              <w:left w:val="nil"/>
              <w:right w:val="nil"/>
            </w:tcBorders>
            <w:vAlign w:val="center"/>
          </w:tcPr>
          <w:p w14:paraId="3089DA71" w14:textId="77777777" w:rsidR="00F1465E" w:rsidRPr="002455E7" w:rsidRDefault="00F1465E" w:rsidP="00231073">
            <w:pPr>
              <w:spacing w:before="0" w:after="0"/>
              <w:ind w:firstLine="0"/>
              <w:jc w:val="center"/>
              <w:rPr>
                <w:sz w:val="20"/>
                <w:szCs w:val="20"/>
              </w:rPr>
            </w:pPr>
            <w:r w:rsidRPr="00AC67B2">
              <w:rPr>
                <w:sz w:val="20"/>
                <w:szCs w:val="20"/>
                <w:lang w:val="hy-AM"/>
              </w:rPr>
              <w:t>34.</w:t>
            </w:r>
            <w:r>
              <w:rPr>
                <w:sz w:val="20"/>
                <w:szCs w:val="20"/>
              </w:rPr>
              <w:t>9</w:t>
            </w:r>
          </w:p>
        </w:tc>
      </w:tr>
      <w:tr w:rsidR="00F1465E" w:rsidRPr="00AC67B2" w14:paraId="0DA6109A" w14:textId="77777777" w:rsidTr="00231073">
        <w:trPr>
          <w:trHeight w:val="313"/>
          <w:jc w:val="center"/>
        </w:trPr>
        <w:tc>
          <w:tcPr>
            <w:tcW w:w="4731" w:type="dxa"/>
            <w:tcBorders>
              <w:left w:val="nil"/>
              <w:bottom w:val="thickThinSmallGap" w:sz="24" w:space="0" w:color="auto"/>
              <w:right w:val="nil"/>
            </w:tcBorders>
            <w:vAlign w:val="center"/>
          </w:tcPr>
          <w:p w14:paraId="64CE3D50" w14:textId="77777777" w:rsidR="00F1465E" w:rsidRPr="00AC67B2" w:rsidRDefault="00F1465E" w:rsidP="00231073">
            <w:pPr>
              <w:spacing w:before="0" w:after="0"/>
              <w:ind w:firstLine="0"/>
              <w:jc w:val="left"/>
              <w:rPr>
                <w:sz w:val="20"/>
                <w:szCs w:val="20"/>
                <w:lang w:val="hy-AM"/>
              </w:rPr>
            </w:pPr>
            <w:r w:rsidRPr="00AC67B2">
              <w:rPr>
                <w:rFonts w:cs="Times Unicode"/>
                <w:sz w:val="20"/>
                <w:szCs w:val="20"/>
                <w:lang w:val="hy-AM"/>
              </w:rPr>
              <w:lastRenderedPageBreak/>
              <w:t>Մեկ տարվա ընթացքում վերաֆիքսվող ՀՀ</w:t>
            </w:r>
            <w:r w:rsidRPr="00AC67B2">
              <w:rPr>
                <w:sz w:val="20"/>
                <w:szCs w:val="20"/>
                <w:lang w:val="hy-AM"/>
              </w:rPr>
              <w:t xml:space="preserve"> </w:t>
            </w:r>
            <w:r w:rsidRPr="00AC67B2">
              <w:rPr>
                <w:rFonts w:cs="Times Unicode"/>
                <w:sz w:val="20"/>
                <w:szCs w:val="20"/>
                <w:lang w:val="hy-AM"/>
              </w:rPr>
              <w:t>կառավարության</w:t>
            </w:r>
            <w:r w:rsidRPr="00AC67B2">
              <w:rPr>
                <w:sz w:val="20"/>
                <w:szCs w:val="20"/>
                <w:lang w:val="hy-AM"/>
              </w:rPr>
              <w:t xml:space="preserve"> ներքին</w:t>
            </w:r>
            <w:r w:rsidRPr="00AC67B2">
              <w:rPr>
                <w:rFonts w:cs="Times Unicode"/>
                <w:sz w:val="20"/>
                <w:szCs w:val="20"/>
                <w:lang w:val="hy-AM"/>
              </w:rPr>
              <w:t xml:space="preserve"> պարտքի</w:t>
            </w:r>
            <w:r w:rsidRPr="00AC67B2">
              <w:rPr>
                <w:sz w:val="20"/>
                <w:szCs w:val="20"/>
                <w:lang w:val="hy-AM"/>
              </w:rPr>
              <w:t xml:space="preserve"> </w:t>
            </w:r>
            <w:r w:rsidRPr="00AC67B2">
              <w:rPr>
                <w:rFonts w:cs="Times Unicode"/>
                <w:sz w:val="20"/>
                <w:szCs w:val="20"/>
                <w:lang w:val="hy-AM"/>
              </w:rPr>
              <w:t>կշիռը (%)</w:t>
            </w:r>
          </w:p>
        </w:tc>
        <w:tc>
          <w:tcPr>
            <w:tcW w:w="1258" w:type="dxa"/>
            <w:tcBorders>
              <w:left w:val="nil"/>
              <w:bottom w:val="thickThinSmallGap" w:sz="24" w:space="0" w:color="auto"/>
              <w:right w:val="nil"/>
            </w:tcBorders>
            <w:vAlign w:val="center"/>
          </w:tcPr>
          <w:p w14:paraId="57132178" w14:textId="77777777" w:rsidR="00F1465E" w:rsidRPr="002455E7" w:rsidRDefault="00F1465E" w:rsidP="00231073">
            <w:pPr>
              <w:spacing w:before="0" w:after="0"/>
              <w:ind w:firstLine="0"/>
              <w:jc w:val="center"/>
              <w:rPr>
                <w:sz w:val="20"/>
                <w:szCs w:val="20"/>
              </w:rPr>
            </w:pPr>
            <w:r w:rsidRPr="00AC67B2">
              <w:rPr>
                <w:sz w:val="20"/>
                <w:szCs w:val="20"/>
                <w:lang w:val="hy-AM"/>
              </w:rPr>
              <w:t>1</w:t>
            </w:r>
            <w:r>
              <w:rPr>
                <w:sz w:val="20"/>
                <w:szCs w:val="20"/>
              </w:rPr>
              <w:t>1</w:t>
            </w:r>
            <w:r w:rsidRPr="00AC67B2">
              <w:rPr>
                <w:sz w:val="20"/>
                <w:szCs w:val="20"/>
                <w:lang w:val="hy-AM"/>
              </w:rPr>
              <w:t>.</w:t>
            </w:r>
            <w:r>
              <w:rPr>
                <w:sz w:val="20"/>
                <w:szCs w:val="20"/>
              </w:rPr>
              <w:t>0</w:t>
            </w:r>
          </w:p>
        </w:tc>
        <w:tc>
          <w:tcPr>
            <w:tcW w:w="922" w:type="dxa"/>
            <w:tcBorders>
              <w:left w:val="nil"/>
              <w:bottom w:val="thickThinSmallGap" w:sz="24" w:space="0" w:color="auto"/>
              <w:right w:val="nil"/>
            </w:tcBorders>
            <w:vAlign w:val="center"/>
          </w:tcPr>
          <w:p w14:paraId="13F7D8A8" w14:textId="77777777" w:rsidR="00F1465E" w:rsidRPr="002455E7" w:rsidRDefault="00F1465E" w:rsidP="00231073">
            <w:pPr>
              <w:spacing w:before="0" w:after="0"/>
              <w:ind w:firstLine="0"/>
              <w:jc w:val="center"/>
              <w:rPr>
                <w:sz w:val="20"/>
                <w:szCs w:val="20"/>
              </w:rPr>
            </w:pPr>
            <w:r>
              <w:rPr>
                <w:sz w:val="20"/>
                <w:szCs w:val="20"/>
              </w:rPr>
              <w:t>8</w:t>
            </w:r>
            <w:r w:rsidRPr="00AC67B2">
              <w:rPr>
                <w:sz w:val="20"/>
                <w:szCs w:val="20"/>
                <w:lang w:val="hy-AM"/>
              </w:rPr>
              <w:t>.</w:t>
            </w:r>
            <w:r>
              <w:rPr>
                <w:sz w:val="20"/>
                <w:szCs w:val="20"/>
              </w:rPr>
              <w:t>7</w:t>
            </w:r>
          </w:p>
        </w:tc>
        <w:tc>
          <w:tcPr>
            <w:tcW w:w="975" w:type="dxa"/>
            <w:tcBorders>
              <w:left w:val="nil"/>
              <w:bottom w:val="thickThinSmallGap" w:sz="24" w:space="0" w:color="auto"/>
              <w:right w:val="nil"/>
            </w:tcBorders>
            <w:vAlign w:val="center"/>
          </w:tcPr>
          <w:p w14:paraId="263F5344" w14:textId="77777777" w:rsidR="00F1465E" w:rsidRPr="00AC67B2" w:rsidRDefault="00F1465E" w:rsidP="00231073">
            <w:pPr>
              <w:spacing w:before="0" w:after="0"/>
              <w:ind w:firstLine="0"/>
              <w:jc w:val="center"/>
              <w:rPr>
                <w:sz w:val="20"/>
                <w:szCs w:val="20"/>
                <w:lang w:val="hy-AM"/>
              </w:rPr>
            </w:pPr>
            <w:r>
              <w:rPr>
                <w:sz w:val="20"/>
                <w:szCs w:val="20"/>
              </w:rPr>
              <w:t>8</w:t>
            </w:r>
            <w:r w:rsidRPr="00AC67B2">
              <w:rPr>
                <w:sz w:val="20"/>
                <w:szCs w:val="20"/>
                <w:lang w:val="hy-AM"/>
              </w:rPr>
              <w:t>.1</w:t>
            </w:r>
          </w:p>
        </w:tc>
        <w:tc>
          <w:tcPr>
            <w:tcW w:w="899" w:type="dxa"/>
            <w:tcBorders>
              <w:left w:val="nil"/>
              <w:bottom w:val="thickThinSmallGap" w:sz="24" w:space="0" w:color="auto"/>
              <w:right w:val="nil"/>
            </w:tcBorders>
            <w:vAlign w:val="center"/>
          </w:tcPr>
          <w:p w14:paraId="666A0DF3" w14:textId="77777777" w:rsidR="00F1465E" w:rsidRPr="002455E7" w:rsidRDefault="00F1465E" w:rsidP="00231073">
            <w:pPr>
              <w:spacing w:before="0" w:after="0"/>
              <w:ind w:firstLine="0"/>
              <w:jc w:val="center"/>
              <w:rPr>
                <w:sz w:val="20"/>
                <w:szCs w:val="20"/>
              </w:rPr>
            </w:pPr>
            <w:r>
              <w:rPr>
                <w:sz w:val="20"/>
                <w:szCs w:val="20"/>
              </w:rPr>
              <w:t>9</w:t>
            </w:r>
            <w:r w:rsidRPr="00AC67B2">
              <w:rPr>
                <w:sz w:val="20"/>
                <w:szCs w:val="20"/>
                <w:lang w:val="hy-AM"/>
              </w:rPr>
              <w:t>.</w:t>
            </w:r>
            <w:r>
              <w:rPr>
                <w:sz w:val="20"/>
                <w:szCs w:val="20"/>
              </w:rPr>
              <w:t>3</w:t>
            </w:r>
          </w:p>
        </w:tc>
      </w:tr>
    </w:tbl>
    <w:p w14:paraId="36D797F2" w14:textId="77777777" w:rsidR="00F1465E" w:rsidRDefault="00F1465E" w:rsidP="00F1465E">
      <w:pPr>
        <w:spacing w:before="0" w:after="0" w:line="360" w:lineRule="auto"/>
        <w:ind w:firstLine="720"/>
        <w:rPr>
          <w:rFonts w:cs="Times Unicode"/>
          <w:i/>
        </w:rPr>
      </w:pPr>
    </w:p>
    <w:p w14:paraId="07ECFB01" w14:textId="77777777" w:rsidR="00F1465E" w:rsidRPr="00AC67B2" w:rsidRDefault="00F1465E" w:rsidP="00774AC5">
      <w:pPr>
        <w:spacing w:after="100" w:afterAutospacing="1" w:line="276" w:lineRule="auto"/>
        <w:ind w:firstLine="720"/>
        <w:rPr>
          <w:rFonts w:cs="Times Unicode"/>
          <w:i/>
          <w:lang w:val="hy-AM"/>
        </w:rPr>
      </w:pPr>
      <w:r w:rsidRPr="00AC67B2">
        <w:rPr>
          <w:rFonts w:cs="Times Unicode"/>
          <w:i/>
          <w:lang w:val="hy-AM"/>
        </w:rPr>
        <w:t xml:space="preserve">Գործառնական ռիսկ   </w:t>
      </w:r>
    </w:p>
    <w:p w14:paraId="296611E8" w14:textId="77777777" w:rsidR="00774AC5" w:rsidRDefault="00F1465E" w:rsidP="00774AC5">
      <w:pPr>
        <w:spacing w:after="100" w:afterAutospacing="1" w:line="276" w:lineRule="auto"/>
        <w:ind w:firstLine="720"/>
        <w:rPr>
          <w:rFonts w:cs="Times Unicode"/>
          <w:lang w:val="hy-AM"/>
        </w:rPr>
      </w:pPr>
      <w:r w:rsidRPr="00AC67B2">
        <w:rPr>
          <w:rFonts w:cs="Times Unicode"/>
          <w:lang w:val="hy-AM"/>
        </w:rPr>
        <w:t>Գործառնական ռիսկը սահմանվում է որպես արտաքին գործոնների, տեխնոլոգիաների արդյունք, ինչպես նաև անձնակազմի, կազմակերպության, գործընթացների անբավարար գոր</w:t>
      </w:r>
      <w:r w:rsidRPr="00AC67B2">
        <w:rPr>
          <w:rFonts w:cs="Times Unicode"/>
          <w:lang w:val="hy-AM"/>
        </w:rPr>
        <w:softHyphen/>
        <w:t>ծու</w:t>
      </w:r>
      <w:r w:rsidRPr="00AC67B2">
        <w:rPr>
          <w:rFonts w:cs="Times Unicode"/>
          <w:lang w:val="hy-AM"/>
        </w:rPr>
        <w:softHyphen/>
        <w:t>նեության հետևանք: Գործառնական ռիսկը կառավարելու տեսանկյունից կարևոր նշա</w:t>
      </w:r>
      <w:r w:rsidRPr="00AC67B2">
        <w:rPr>
          <w:rFonts w:cs="Times Unicode"/>
          <w:lang w:val="hy-AM"/>
        </w:rPr>
        <w:softHyphen/>
        <w:t>նակու</w:t>
      </w:r>
      <w:r w:rsidRPr="00AC67B2">
        <w:rPr>
          <w:rFonts w:cs="Times Unicode"/>
          <w:lang w:val="hy-AM"/>
        </w:rPr>
        <w:softHyphen/>
        <w:t>թյուն ունի տեղեկատվության անվտանգության ապահովումը` ներառյալ փաստաթղթերը և տեխնո</w:t>
      </w:r>
      <w:r w:rsidRPr="00AC67B2">
        <w:rPr>
          <w:rFonts w:cs="Times Unicode"/>
          <w:lang w:val="hy-AM"/>
        </w:rPr>
        <w:softHyphen/>
        <w:t>լո</w:t>
      </w:r>
      <w:r w:rsidRPr="00AC67B2">
        <w:rPr>
          <w:rFonts w:cs="Times Unicode"/>
          <w:lang w:val="hy-AM"/>
        </w:rPr>
        <w:softHyphen/>
        <w:t>գիական համակարգերը: Անհրաժեշտ է ապահովել պարտքի գրանցման և հաշվառման տվյալների բազայի այլընտրանքային պահպանումը՝ ֆորս մաժորային իրավիճակ</w:t>
      </w:r>
      <w:r w:rsidRPr="00AC67B2">
        <w:rPr>
          <w:rFonts w:cs="Times Unicode"/>
          <w:lang w:val="hy-AM"/>
        </w:rPr>
        <w:softHyphen/>
        <w:t>ներում ամբող</w:t>
      </w:r>
      <w:r w:rsidRPr="00AC67B2">
        <w:rPr>
          <w:rFonts w:cs="Times Unicode"/>
          <w:lang w:val="hy-AM"/>
        </w:rPr>
        <w:softHyphen/>
        <w:t>ջական տեղեկատվության պահպանման և աշխատանքների ընթացքը չխաթարելու, պարտքային պարտավորությունները ժամանակին և անթերի իրականացնելու համար: ՀՀ կառավարության պարտքի կառավարման հետ կապված գործառնական ռիսկերը բացահայտելու, գնահատելու, կառավարելու և նվազեցնելու նպատակով կիրականացվեն ՀՀ ֆինանսների նախարարության պետական պարտքի կառավարման վարչության «Բիզնես գործընթացների շարունակականության ծրագրով» նախատեսված միջոցառումները:</w:t>
      </w:r>
    </w:p>
    <w:p w14:paraId="4BC9C221" w14:textId="77777777" w:rsidR="00F1465E" w:rsidRPr="00AC67B2" w:rsidRDefault="00F1465E" w:rsidP="00774AC5">
      <w:pPr>
        <w:spacing w:after="100" w:afterAutospacing="1" w:line="276" w:lineRule="auto"/>
        <w:ind w:firstLine="720"/>
        <w:rPr>
          <w:rFonts w:cs="Times Unicode"/>
          <w:u w:val="single"/>
          <w:lang w:val="hy-AM"/>
        </w:rPr>
      </w:pPr>
      <w:r w:rsidRPr="00AC67B2">
        <w:rPr>
          <w:rFonts w:cs="Times Unicode"/>
          <w:u w:val="single"/>
          <w:lang w:val="hy-AM"/>
        </w:rPr>
        <w:t>Զգայունության վերլուծություններ</w:t>
      </w:r>
    </w:p>
    <w:p w14:paraId="16294575" w14:textId="77777777" w:rsidR="00F1465E" w:rsidRDefault="00F1465E" w:rsidP="00774AC5">
      <w:pPr>
        <w:spacing w:after="100" w:afterAutospacing="1" w:line="276" w:lineRule="auto"/>
        <w:ind w:firstLine="720"/>
        <w:rPr>
          <w:rFonts w:cs="Times Unicode"/>
          <w:lang w:val="hy-AM"/>
        </w:rPr>
      </w:pPr>
      <w:r w:rsidRPr="00AC67B2">
        <w:rPr>
          <w:rFonts w:cs="Times Unicode"/>
          <w:lang w:val="hy-AM"/>
        </w:rPr>
        <w:t>Մինչ այժմ կատարված ծախսերի և ռիսկերի վերլուծությունը հիմնված է եղել կանխատես</w:t>
      </w:r>
      <w:r w:rsidRPr="00AC67B2">
        <w:rPr>
          <w:rFonts w:cs="Times Unicode"/>
          <w:lang w:val="hy-AM"/>
        </w:rPr>
        <w:softHyphen/>
        <w:t>ված մակրոտնտեսական և հարկաբյուջետային ցուցանիշների վրա և իրենից ներ</w:t>
      </w:r>
      <w:r w:rsidRPr="00AC67B2">
        <w:rPr>
          <w:rFonts w:cs="Times Unicode"/>
          <w:lang w:val="hy-AM"/>
        </w:rPr>
        <w:softHyphen/>
        <w:t>կա</w:t>
      </w:r>
      <w:r w:rsidRPr="00AC67B2">
        <w:rPr>
          <w:rFonts w:cs="Times Unicode"/>
          <w:lang w:val="hy-AM"/>
        </w:rPr>
        <w:softHyphen/>
        <w:t>յացնում է ՀՀ կառավարության պարտքի կառավարման ռազմավարության հիմնական սցե</w:t>
      </w:r>
      <w:r w:rsidRPr="00AC67B2">
        <w:rPr>
          <w:rFonts w:cs="Times Unicode"/>
          <w:lang w:val="hy-AM"/>
        </w:rPr>
        <w:softHyphen/>
        <w:t>նար: Ստորև ներկայացվում է շուկայական փոփոխականների նկատմամբ կիրառված տարբեր շոկերի արդյունքում ծախ</w:t>
      </w:r>
      <w:r w:rsidRPr="00AC67B2">
        <w:rPr>
          <w:rFonts w:cs="Times Unicode"/>
          <w:lang w:val="hy-AM"/>
        </w:rPr>
        <w:softHyphen/>
        <w:t xml:space="preserve">սերի և ռիսկերի ցուցանիշների շեղման չափը հիմնական սցենարի արդյունքներից: </w:t>
      </w:r>
    </w:p>
    <w:p w14:paraId="485A4855" w14:textId="77777777" w:rsidR="00774AC5" w:rsidRDefault="00774AC5" w:rsidP="00774AC5">
      <w:pPr>
        <w:spacing w:line="276" w:lineRule="auto"/>
        <w:rPr>
          <w:b/>
          <w:sz w:val="20"/>
          <w:szCs w:val="20"/>
          <w:lang w:val="hy-AM"/>
        </w:rPr>
      </w:pPr>
    </w:p>
    <w:p w14:paraId="4A95D2E0" w14:textId="77777777" w:rsidR="00774AC5" w:rsidRDefault="00774AC5" w:rsidP="00774AC5">
      <w:pPr>
        <w:spacing w:line="276" w:lineRule="auto"/>
        <w:rPr>
          <w:b/>
          <w:sz w:val="20"/>
          <w:szCs w:val="20"/>
          <w:lang w:val="hy-AM"/>
        </w:rPr>
      </w:pPr>
    </w:p>
    <w:p w14:paraId="70C7A7B9" w14:textId="77777777" w:rsidR="00774AC5" w:rsidRDefault="00774AC5" w:rsidP="00774AC5">
      <w:pPr>
        <w:spacing w:line="276" w:lineRule="auto"/>
        <w:rPr>
          <w:b/>
          <w:sz w:val="20"/>
          <w:szCs w:val="20"/>
          <w:lang w:val="hy-AM"/>
        </w:rPr>
      </w:pPr>
    </w:p>
    <w:p w14:paraId="367A67EF" w14:textId="77777777" w:rsidR="00F1465E" w:rsidRPr="00774AC5" w:rsidRDefault="00F1465E" w:rsidP="00774AC5">
      <w:pPr>
        <w:spacing w:line="276" w:lineRule="auto"/>
        <w:rPr>
          <w:i/>
          <w:sz w:val="20"/>
          <w:szCs w:val="20"/>
          <w:lang w:val="hy-AM"/>
        </w:rPr>
      </w:pPr>
      <w:r w:rsidRPr="00774AC5">
        <w:rPr>
          <w:b/>
          <w:sz w:val="20"/>
          <w:szCs w:val="20"/>
          <w:lang w:val="hy-AM"/>
        </w:rPr>
        <w:t>Գծապատկեր 11.</w:t>
      </w:r>
      <w:r w:rsidRPr="00774AC5">
        <w:rPr>
          <w:sz w:val="20"/>
          <w:szCs w:val="20"/>
          <w:lang w:val="hy-AM"/>
        </w:rPr>
        <w:t xml:space="preserve"> </w:t>
      </w:r>
      <w:r w:rsidRPr="00774AC5">
        <w:rPr>
          <w:rFonts w:cs="Times Unicode"/>
          <w:i/>
          <w:sz w:val="20"/>
          <w:szCs w:val="20"/>
          <w:lang w:val="hy-AM"/>
        </w:rPr>
        <w:t>ՀՀ</w:t>
      </w:r>
      <w:r w:rsidRPr="00774AC5">
        <w:rPr>
          <w:i/>
          <w:sz w:val="20"/>
          <w:szCs w:val="20"/>
          <w:lang w:val="hy-AM"/>
        </w:rPr>
        <w:t xml:space="preserve"> </w:t>
      </w:r>
      <w:r w:rsidRPr="00774AC5">
        <w:rPr>
          <w:rFonts w:cs="Times Unicode"/>
          <w:i/>
          <w:sz w:val="20"/>
          <w:szCs w:val="20"/>
          <w:lang w:val="hy-AM"/>
        </w:rPr>
        <w:t>կառավարության</w:t>
      </w:r>
      <w:r w:rsidRPr="00774AC5">
        <w:rPr>
          <w:i/>
          <w:sz w:val="20"/>
          <w:szCs w:val="20"/>
          <w:lang w:val="hy-AM"/>
        </w:rPr>
        <w:t xml:space="preserve"> </w:t>
      </w:r>
      <w:r w:rsidRPr="00774AC5">
        <w:rPr>
          <w:rFonts w:cs="Times Unicode"/>
          <w:i/>
          <w:sz w:val="20"/>
          <w:szCs w:val="20"/>
          <w:lang w:val="hy-AM"/>
        </w:rPr>
        <w:t xml:space="preserve">պարտք/ՀՆԱ ցուցանիշը </w:t>
      </w:r>
      <w:r w:rsidRPr="00774AC5">
        <w:rPr>
          <w:i/>
          <w:sz w:val="20"/>
          <w:szCs w:val="20"/>
          <w:lang w:val="hy-AM"/>
        </w:rPr>
        <w:t>2020-2023</w:t>
      </w:r>
      <w:r w:rsidRPr="00774AC5">
        <w:rPr>
          <w:rFonts w:cs="Times Unicode"/>
          <w:i/>
          <w:sz w:val="20"/>
          <w:szCs w:val="20"/>
          <w:lang w:val="hy-AM"/>
        </w:rPr>
        <w:t>թթ</w:t>
      </w:r>
      <w:r w:rsidRPr="00774AC5">
        <w:rPr>
          <w:i/>
          <w:sz w:val="20"/>
          <w:szCs w:val="20"/>
          <w:lang w:val="hy-AM"/>
        </w:rPr>
        <w:t>.</w:t>
      </w:r>
    </w:p>
    <w:p w14:paraId="10F1FBE4" w14:textId="77777777" w:rsidR="00F1465E" w:rsidRPr="00F738AB" w:rsidRDefault="00F1465E" w:rsidP="00F1465E">
      <w:pPr>
        <w:rPr>
          <w:lang w:val="hy-AM"/>
        </w:rPr>
      </w:pPr>
    </w:p>
    <w:p w14:paraId="2E5918EB" w14:textId="77777777" w:rsidR="00F1465E" w:rsidRPr="00AF4ADE" w:rsidRDefault="00F1465E" w:rsidP="00F1465E">
      <w:pPr>
        <w:ind w:firstLine="1134"/>
        <w:rPr>
          <w:color w:val="FF0000"/>
          <w:sz w:val="20"/>
          <w:szCs w:val="20"/>
        </w:rPr>
      </w:pPr>
      <w:r>
        <w:rPr>
          <w:noProof/>
          <w:color w:val="FF0000"/>
          <w:sz w:val="20"/>
          <w:szCs w:val="20"/>
        </w:rPr>
        <w:lastRenderedPageBreak/>
        <w:drawing>
          <wp:inline distT="0" distB="0" distL="0" distR="0" wp14:anchorId="6166AD26" wp14:editId="3B0D6B8A">
            <wp:extent cx="4871158" cy="3457575"/>
            <wp:effectExtent l="19050" t="0" r="5642"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71158" cy="3457575"/>
                    </a:xfrm>
                    <a:prstGeom prst="rect">
                      <a:avLst/>
                    </a:prstGeom>
                    <a:noFill/>
                  </pic:spPr>
                </pic:pic>
              </a:graphicData>
            </a:graphic>
          </wp:inline>
        </w:drawing>
      </w:r>
    </w:p>
    <w:p w14:paraId="2B1DC6F7" w14:textId="77777777" w:rsidR="00F1465E" w:rsidRPr="007B07A7" w:rsidRDefault="00F1465E" w:rsidP="00F1465E">
      <w:pPr>
        <w:rPr>
          <w:sz w:val="20"/>
          <w:szCs w:val="20"/>
        </w:rPr>
      </w:pPr>
    </w:p>
    <w:p w14:paraId="3066B22C" w14:textId="77777777" w:rsidR="00F1465E" w:rsidRPr="00774AC5" w:rsidRDefault="00F1465E" w:rsidP="00F1465E">
      <w:pPr>
        <w:rPr>
          <w:i/>
          <w:sz w:val="20"/>
          <w:szCs w:val="20"/>
        </w:rPr>
      </w:pPr>
      <w:r w:rsidRPr="00774AC5">
        <w:rPr>
          <w:b/>
          <w:sz w:val="20"/>
          <w:szCs w:val="20"/>
          <w:lang w:val="hy-AM"/>
        </w:rPr>
        <w:t>Գծապատկեր 1</w:t>
      </w:r>
      <w:r w:rsidRPr="00774AC5">
        <w:rPr>
          <w:b/>
          <w:sz w:val="20"/>
          <w:szCs w:val="20"/>
        </w:rPr>
        <w:t>2</w:t>
      </w:r>
      <w:r w:rsidRPr="00774AC5">
        <w:rPr>
          <w:b/>
          <w:sz w:val="20"/>
          <w:szCs w:val="20"/>
          <w:lang w:val="hy-AM"/>
        </w:rPr>
        <w:t xml:space="preserve">. </w:t>
      </w:r>
      <w:r w:rsidRPr="00774AC5">
        <w:rPr>
          <w:rFonts w:cs="Times Unicode"/>
          <w:i/>
          <w:sz w:val="20"/>
          <w:szCs w:val="20"/>
          <w:lang w:val="hy-AM"/>
        </w:rPr>
        <w:t xml:space="preserve">Տոկոսավճար/ՀՆԱ ցուցանիշը </w:t>
      </w:r>
      <w:r w:rsidRPr="00774AC5">
        <w:rPr>
          <w:i/>
          <w:sz w:val="20"/>
          <w:szCs w:val="20"/>
          <w:lang w:val="hy-AM"/>
        </w:rPr>
        <w:t>20</w:t>
      </w:r>
      <w:r w:rsidRPr="00774AC5">
        <w:rPr>
          <w:i/>
          <w:sz w:val="20"/>
          <w:szCs w:val="20"/>
        </w:rPr>
        <w:t>20</w:t>
      </w:r>
      <w:r w:rsidRPr="00774AC5">
        <w:rPr>
          <w:i/>
          <w:sz w:val="20"/>
          <w:szCs w:val="20"/>
          <w:lang w:val="hy-AM"/>
        </w:rPr>
        <w:t>-202</w:t>
      </w:r>
      <w:r w:rsidRPr="00774AC5">
        <w:rPr>
          <w:i/>
          <w:sz w:val="20"/>
          <w:szCs w:val="20"/>
        </w:rPr>
        <w:t>3</w:t>
      </w:r>
      <w:r w:rsidRPr="00774AC5">
        <w:rPr>
          <w:rFonts w:cs="Times Unicode"/>
          <w:i/>
          <w:sz w:val="20"/>
          <w:szCs w:val="20"/>
          <w:lang w:val="hy-AM"/>
        </w:rPr>
        <w:t>թթ</w:t>
      </w:r>
      <w:r w:rsidRPr="00774AC5">
        <w:rPr>
          <w:i/>
          <w:sz w:val="20"/>
          <w:szCs w:val="20"/>
          <w:lang w:val="hy-AM"/>
        </w:rPr>
        <w:t>.</w:t>
      </w:r>
    </w:p>
    <w:p w14:paraId="6ECDFD8D" w14:textId="77777777" w:rsidR="00F1465E" w:rsidRPr="000257B5" w:rsidRDefault="00F1465E" w:rsidP="00F1465E">
      <w:pPr>
        <w:ind w:firstLine="1134"/>
        <w:rPr>
          <w:sz w:val="20"/>
          <w:szCs w:val="20"/>
        </w:rPr>
      </w:pPr>
      <w:r>
        <w:rPr>
          <w:noProof/>
          <w:sz w:val="20"/>
          <w:szCs w:val="20"/>
        </w:rPr>
        <w:drawing>
          <wp:inline distT="0" distB="0" distL="0" distR="0" wp14:anchorId="0CE353B8" wp14:editId="080F715F">
            <wp:extent cx="4697171" cy="3362325"/>
            <wp:effectExtent l="19050" t="0" r="8179"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697171" cy="3362325"/>
                    </a:xfrm>
                    <a:prstGeom prst="rect">
                      <a:avLst/>
                    </a:prstGeom>
                    <a:noFill/>
                  </pic:spPr>
                </pic:pic>
              </a:graphicData>
            </a:graphic>
          </wp:inline>
        </w:drawing>
      </w:r>
    </w:p>
    <w:p w14:paraId="6F84F392" w14:textId="77777777" w:rsidR="00F1465E" w:rsidRDefault="00F1465E" w:rsidP="00F1465E">
      <w:pPr>
        <w:spacing w:line="360" w:lineRule="auto"/>
        <w:ind w:firstLine="720"/>
        <w:rPr>
          <w:rFonts w:cs="Times Unicode"/>
          <w:i/>
        </w:rPr>
      </w:pPr>
    </w:p>
    <w:p w14:paraId="5A8110DD" w14:textId="77777777" w:rsidR="00F1465E" w:rsidRPr="00AC67B2" w:rsidRDefault="00F1465E" w:rsidP="00774AC5">
      <w:pPr>
        <w:spacing w:line="276" w:lineRule="auto"/>
        <w:ind w:firstLine="720"/>
        <w:rPr>
          <w:rFonts w:cs="Times Unicode"/>
          <w:i/>
          <w:lang w:val="hy-AM"/>
        </w:rPr>
      </w:pPr>
      <w:r w:rsidRPr="00AC67B2">
        <w:rPr>
          <w:rFonts w:cs="Times Unicode"/>
          <w:i/>
          <w:lang w:val="hy-AM"/>
        </w:rPr>
        <w:lastRenderedPageBreak/>
        <w:t>Փոխարժեքի շոկ</w:t>
      </w:r>
    </w:p>
    <w:p w14:paraId="2470CC9F" w14:textId="77777777" w:rsidR="00F1465E" w:rsidRPr="00AC67B2" w:rsidRDefault="00F1465E" w:rsidP="00774AC5">
      <w:pPr>
        <w:spacing w:line="276" w:lineRule="auto"/>
        <w:ind w:firstLine="720"/>
        <w:rPr>
          <w:rFonts w:cs="Times Unicode"/>
          <w:lang w:val="hy-AM"/>
        </w:rPr>
      </w:pPr>
      <w:r w:rsidRPr="00AC67B2">
        <w:rPr>
          <w:rFonts w:cs="Times Unicode"/>
          <w:lang w:val="hy-AM"/>
        </w:rPr>
        <w:t>ՀՀ կառավարության պարտքի պորտֆելը պարունակում է փոխարժեքի էական ռիսկեր: Կիրառելով 30% շոկ՝ 202</w:t>
      </w:r>
      <w:r>
        <w:rPr>
          <w:rFonts w:cs="Times Unicode"/>
        </w:rPr>
        <w:t>1</w:t>
      </w:r>
      <w:r w:rsidRPr="00AC67B2">
        <w:rPr>
          <w:rFonts w:cs="Times Unicode"/>
          <w:lang w:val="hy-AM"/>
        </w:rPr>
        <w:t>թ-ին արժեզրկելով ՀՀ դրամը ԱՄՆ դոլարի, եվրոյի և SDR-ի նկատմամբ, ՀՀ կառա</w:t>
      </w:r>
      <w:r w:rsidRPr="00AC67B2">
        <w:rPr>
          <w:rFonts w:cs="Times Unicode"/>
          <w:lang w:val="hy-AM"/>
        </w:rPr>
        <w:softHyphen/>
        <w:t>վարության պարտք/ՀՆԱ հարաբերակցությունը 202</w:t>
      </w:r>
      <w:r>
        <w:rPr>
          <w:rFonts w:cs="Times Unicode"/>
        </w:rPr>
        <w:t>3</w:t>
      </w:r>
      <w:r w:rsidRPr="00AC67B2">
        <w:rPr>
          <w:rFonts w:cs="Times Unicode"/>
          <w:lang w:val="hy-AM"/>
        </w:rPr>
        <w:t xml:space="preserve">թ. տարեվերջին </w:t>
      </w:r>
      <w:r w:rsidRPr="00B6119F">
        <w:rPr>
          <w:rFonts w:cs="Times Unicode"/>
          <w:lang w:val="hy-AM"/>
        </w:rPr>
        <w:t>հասնում է 6</w:t>
      </w:r>
      <w:r w:rsidRPr="00B6119F">
        <w:rPr>
          <w:rFonts w:cs="Times Unicode"/>
        </w:rPr>
        <w:t>5</w:t>
      </w:r>
      <w:r w:rsidRPr="00B6119F">
        <w:rPr>
          <w:rFonts w:cs="Times Unicode"/>
          <w:lang w:val="hy-AM"/>
        </w:rPr>
        <w:t>.</w:t>
      </w:r>
      <w:r w:rsidRPr="00B6119F">
        <w:rPr>
          <w:rFonts w:cs="Times Unicode"/>
        </w:rPr>
        <w:t>9</w:t>
      </w:r>
      <w:r w:rsidRPr="00B6119F">
        <w:rPr>
          <w:rFonts w:cs="Times Unicode"/>
          <w:lang w:val="hy-AM"/>
        </w:rPr>
        <w:t>%-ի,</w:t>
      </w:r>
      <w:r w:rsidRPr="00AC67B2">
        <w:rPr>
          <w:rFonts w:cs="Times Unicode"/>
          <w:lang w:val="hy-AM"/>
        </w:rPr>
        <w:t xml:space="preserve"> </w:t>
      </w:r>
      <w:r w:rsidRPr="00B6119F">
        <w:rPr>
          <w:rFonts w:cs="Times Unicode"/>
          <w:lang w:val="hy-AM"/>
        </w:rPr>
        <w:t>որը 11.2 տոկոսային կետով</w:t>
      </w:r>
      <w:r w:rsidRPr="00AC67B2">
        <w:rPr>
          <w:rFonts w:cs="Times Unicode"/>
          <w:lang w:val="hy-AM"/>
        </w:rPr>
        <w:t xml:space="preserve"> ավելի է հիմնական սցենարի նույն ցուցանիշից: </w:t>
      </w:r>
    </w:p>
    <w:p w14:paraId="1666BD8A" w14:textId="77777777" w:rsidR="00F1465E" w:rsidRPr="00A205DB" w:rsidRDefault="00F1465E" w:rsidP="00774AC5">
      <w:pPr>
        <w:spacing w:line="276" w:lineRule="auto"/>
        <w:ind w:firstLine="720"/>
        <w:rPr>
          <w:lang w:val="hy-AM"/>
        </w:rPr>
      </w:pPr>
      <w:r w:rsidRPr="00AC67B2">
        <w:rPr>
          <w:rFonts w:cs="Times Unicode"/>
          <w:lang w:val="hy-AM"/>
        </w:rPr>
        <w:t>Եթե 0</w:t>
      </w:r>
      <w:r w:rsidRPr="00A205DB">
        <w:rPr>
          <w:rFonts w:cs="Times Unicode"/>
          <w:lang w:val="hy-AM"/>
        </w:rPr>
        <w:t>4</w:t>
      </w:r>
      <w:r w:rsidRPr="00AC67B2">
        <w:rPr>
          <w:rFonts w:cs="Times Unicode"/>
          <w:lang w:val="hy-AM"/>
        </w:rPr>
        <w:t>.0</w:t>
      </w:r>
      <w:r w:rsidRPr="00A205DB">
        <w:rPr>
          <w:rFonts w:cs="Times Unicode"/>
          <w:lang w:val="hy-AM"/>
        </w:rPr>
        <w:t>5</w:t>
      </w:r>
      <w:r w:rsidRPr="00AC67B2">
        <w:rPr>
          <w:rFonts w:cs="Times Unicode"/>
          <w:lang w:val="hy-AM"/>
        </w:rPr>
        <w:t>.20</w:t>
      </w:r>
      <w:r w:rsidRPr="00A205DB">
        <w:rPr>
          <w:rFonts w:cs="Times Unicode"/>
          <w:lang w:val="hy-AM"/>
        </w:rPr>
        <w:t>20</w:t>
      </w:r>
      <w:r w:rsidRPr="00AC67B2">
        <w:rPr>
          <w:rFonts w:cs="Times Unicode"/>
          <w:lang w:val="hy-AM"/>
        </w:rPr>
        <w:t>թ. դրությամբ ձևավորված փոխարժեքները, որոնց հիման վրա ՀՀ կառավարության արտարժութային պարտքը փոխարկվել է ԱՄՆ դոլարի, փոփոխվեն 1%-</w:t>
      </w:r>
      <w:r w:rsidRPr="00A205DB">
        <w:rPr>
          <w:rFonts w:cs="Times Unicode"/>
          <w:lang w:val="hy-AM"/>
        </w:rPr>
        <w:t>ով</w:t>
      </w:r>
      <w:r w:rsidRPr="00AC67B2">
        <w:rPr>
          <w:rFonts w:cs="Times Unicode"/>
          <w:lang w:val="hy-AM"/>
        </w:rPr>
        <w:t xml:space="preserve">, ապա </w:t>
      </w:r>
      <w:r w:rsidRPr="00AC67B2">
        <w:rPr>
          <w:lang w:val="hy-AM"/>
        </w:rPr>
        <w:t>202</w:t>
      </w:r>
      <w:r w:rsidRPr="00A205DB">
        <w:rPr>
          <w:lang w:val="hy-AM"/>
        </w:rPr>
        <w:t>1</w:t>
      </w:r>
      <w:r w:rsidRPr="00AC67B2">
        <w:rPr>
          <w:lang w:val="hy-AM"/>
        </w:rPr>
        <w:t>-202</w:t>
      </w:r>
      <w:r w:rsidRPr="00A205DB">
        <w:rPr>
          <w:lang w:val="hy-AM"/>
        </w:rPr>
        <w:t>3</w:t>
      </w:r>
      <w:r w:rsidRPr="00AC67B2">
        <w:rPr>
          <w:lang w:val="hy-AM"/>
        </w:rPr>
        <w:t>թթ. ընթացքում ՀՀ կառա</w:t>
      </w:r>
      <w:r w:rsidRPr="00AC67B2">
        <w:rPr>
          <w:lang w:val="hy-AM"/>
        </w:rPr>
        <w:softHyphen/>
        <w:t>վա</w:t>
      </w:r>
      <w:r w:rsidRPr="00AC67B2">
        <w:rPr>
          <w:lang w:val="hy-AM"/>
        </w:rPr>
        <w:softHyphen/>
        <w:t>րության արտա</w:t>
      </w:r>
      <w:r w:rsidRPr="00A205DB">
        <w:rPr>
          <w:lang w:val="hy-AM"/>
        </w:rPr>
        <w:t>ր</w:t>
      </w:r>
      <w:r w:rsidRPr="00AC67B2">
        <w:rPr>
          <w:lang w:val="hy-AM"/>
        </w:rPr>
        <w:t>ժութային պարտքը կփոփոխվի միջին հաշվով տարեկան 2</w:t>
      </w:r>
      <w:r w:rsidRPr="00A205DB">
        <w:rPr>
          <w:lang w:val="hy-AM"/>
        </w:rPr>
        <w:t>7</w:t>
      </w:r>
      <w:r w:rsidRPr="00AC67B2">
        <w:rPr>
          <w:lang w:val="hy-AM"/>
        </w:rPr>
        <w:t>.</w:t>
      </w:r>
      <w:r w:rsidRPr="00A205DB">
        <w:rPr>
          <w:lang w:val="hy-AM"/>
        </w:rPr>
        <w:t>7</w:t>
      </w:r>
      <w:r w:rsidRPr="00AC67B2">
        <w:rPr>
          <w:lang w:val="hy-AM"/>
        </w:rPr>
        <w:t xml:space="preserve"> մլրդ դրամով կամ ՀՆԱ-ի 0.4%-ով:</w:t>
      </w:r>
    </w:p>
    <w:p w14:paraId="7E821F6F" w14:textId="77777777" w:rsidR="00F1465E" w:rsidRPr="00A205DB" w:rsidRDefault="00F1465E" w:rsidP="00774AC5">
      <w:pPr>
        <w:spacing w:line="276" w:lineRule="auto"/>
        <w:ind w:firstLine="720"/>
        <w:rPr>
          <w:rFonts w:cs="Times Unicode"/>
          <w:i/>
          <w:lang w:val="hy-AM"/>
        </w:rPr>
      </w:pPr>
    </w:p>
    <w:p w14:paraId="60FCF064" w14:textId="77777777" w:rsidR="00F1465E" w:rsidRPr="00AC67B2" w:rsidRDefault="00F1465E" w:rsidP="00774AC5">
      <w:pPr>
        <w:spacing w:line="276" w:lineRule="auto"/>
        <w:ind w:firstLine="720"/>
        <w:rPr>
          <w:rFonts w:cs="Times Unicode"/>
          <w:i/>
          <w:lang w:val="hy-AM"/>
        </w:rPr>
      </w:pPr>
      <w:r w:rsidRPr="00AC67B2">
        <w:rPr>
          <w:rFonts w:cs="Times Unicode"/>
          <w:i/>
          <w:lang w:val="hy-AM"/>
        </w:rPr>
        <w:t>Տոկոսադրույքի շոկ</w:t>
      </w:r>
    </w:p>
    <w:p w14:paraId="629F0AF6" w14:textId="77777777" w:rsidR="00F1465E" w:rsidRPr="00B6119F" w:rsidRDefault="00F1465E" w:rsidP="00774AC5">
      <w:pPr>
        <w:spacing w:line="276" w:lineRule="auto"/>
        <w:ind w:firstLine="720"/>
        <w:rPr>
          <w:rFonts w:cs="Times Unicode"/>
          <w:lang w:val="hy-AM"/>
        </w:rPr>
      </w:pPr>
      <w:r w:rsidRPr="00AC67B2">
        <w:rPr>
          <w:rFonts w:cs="Times Unicode"/>
          <w:lang w:val="hy-AM"/>
        </w:rPr>
        <w:t>Վերլուծելով արտաքին աղբյուրներից ներգրավվող փոխառու միջոցների տոկո</w:t>
      </w:r>
      <w:r w:rsidRPr="00AC67B2">
        <w:rPr>
          <w:rFonts w:cs="Times Unicode"/>
          <w:lang w:val="hy-AM"/>
        </w:rPr>
        <w:softHyphen/>
        <w:t>սադրույք</w:t>
      </w:r>
      <w:r w:rsidRPr="00AC67B2">
        <w:rPr>
          <w:rFonts w:cs="Times Unicode"/>
          <w:lang w:val="hy-AM"/>
        </w:rPr>
        <w:softHyphen/>
        <w:t>ների 250 բազիսային կետի և ներքին աղբյուրներից ներգրավվող փոխառու միջոցների 500 բազիսային կետի չափով աճի շոկային սցենարը՝ պարզ է դառնում, որ տոկոսադրույքի շոկի ազդեցությունը ՀՀ կառավարության պարտքի պորտֆելի վրա մնում է չափավոր: ՀՀ կառա</w:t>
      </w:r>
      <w:r w:rsidRPr="00AC67B2">
        <w:rPr>
          <w:rFonts w:cs="Times Unicode"/>
          <w:lang w:val="hy-AM"/>
        </w:rPr>
        <w:softHyphen/>
        <w:t>վարության պարտք/ՀՆԱ հարաբերակցությունը 202</w:t>
      </w:r>
      <w:r w:rsidRPr="00A205DB">
        <w:rPr>
          <w:rFonts w:cs="Times Unicode"/>
          <w:lang w:val="hy-AM"/>
        </w:rPr>
        <w:t>3</w:t>
      </w:r>
      <w:r w:rsidRPr="00AC67B2">
        <w:rPr>
          <w:rFonts w:cs="Times Unicode"/>
          <w:lang w:val="hy-AM"/>
        </w:rPr>
        <w:t xml:space="preserve">թ. տարեվերջին հիմնական սցենարի նույն ցուցանիշի նկատմամբ </w:t>
      </w:r>
      <w:r w:rsidRPr="00B6119F">
        <w:rPr>
          <w:rFonts w:cs="Times Unicode"/>
          <w:lang w:val="hy-AM"/>
        </w:rPr>
        <w:t xml:space="preserve">ավելանալով </w:t>
      </w:r>
      <w:r w:rsidRPr="00A205DB">
        <w:rPr>
          <w:rFonts w:cs="Times Unicode"/>
          <w:lang w:val="hy-AM"/>
        </w:rPr>
        <w:t>2</w:t>
      </w:r>
      <w:r w:rsidRPr="00B6119F">
        <w:rPr>
          <w:rFonts w:cs="Times Unicode"/>
          <w:lang w:val="hy-AM"/>
        </w:rPr>
        <w:t>.</w:t>
      </w:r>
      <w:r w:rsidRPr="00A205DB">
        <w:rPr>
          <w:rFonts w:cs="Times Unicode"/>
          <w:lang w:val="hy-AM"/>
        </w:rPr>
        <w:t>1</w:t>
      </w:r>
      <w:r w:rsidRPr="00B6119F">
        <w:rPr>
          <w:rFonts w:cs="Times Unicode"/>
          <w:lang w:val="hy-AM"/>
        </w:rPr>
        <w:t xml:space="preserve"> տոկոսային կետով՝ կազմում է 5</w:t>
      </w:r>
      <w:r w:rsidRPr="00A205DB">
        <w:rPr>
          <w:rFonts w:cs="Times Unicode"/>
          <w:lang w:val="hy-AM"/>
        </w:rPr>
        <w:t>6</w:t>
      </w:r>
      <w:r w:rsidRPr="00B6119F">
        <w:rPr>
          <w:rFonts w:cs="Times Unicode"/>
          <w:lang w:val="hy-AM"/>
        </w:rPr>
        <w:t>.</w:t>
      </w:r>
      <w:r w:rsidRPr="00A205DB">
        <w:rPr>
          <w:rFonts w:cs="Times Unicode"/>
          <w:lang w:val="hy-AM"/>
        </w:rPr>
        <w:t>8</w:t>
      </w:r>
      <w:r w:rsidRPr="00B6119F">
        <w:rPr>
          <w:rFonts w:cs="Times Unicode"/>
          <w:lang w:val="hy-AM"/>
        </w:rPr>
        <w:t>%: Տոկոսավճար/ՀՆԱ</w:t>
      </w:r>
      <w:r w:rsidRPr="00AC67B2">
        <w:rPr>
          <w:rFonts w:cs="Times Unicode"/>
          <w:lang w:val="hy-AM"/>
        </w:rPr>
        <w:t xml:space="preserve"> հարաբերակցությունն այս պարագայում կարող է </w:t>
      </w:r>
      <w:r w:rsidRPr="00B6119F">
        <w:rPr>
          <w:rFonts w:cs="Times Unicode"/>
          <w:lang w:val="hy-AM"/>
        </w:rPr>
        <w:t xml:space="preserve">ավելանալ </w:t>
      </w:r>
      <w:r w:rsidRPr="00A205DB">
        <w:rPr>
          <w:rFonts w:cs="Times Unicode"/>
          <w:lang w:val="hy-AM"/>
        </w:rPr>
        <w:t>1</w:t>
      </w:r>
      <w:r w:rsidRPr="00B6119F">
        <w:rPr>
          <w:rFonts w:cs="Times Unicode"/>
          <w:lang w:val="hy-AM"/>
        </w:rPr>
        <w:t>.</w:t>
      </w:r>
      <w:r w:rsidRPr="00A205DB">
        <w:rPr>
          <w:rFonts w:cs="Times Unicode"/>
          <w:lang w:val="hy-AM"/>
        </w:rPr>
        <w:t>0</w:t>
      </w:r>
      <w:r w:rsidRPr="00B6119F">
        <w:rPr>
          <w:rFonts w:cs="Times Unicode"/>
          <w:lang w:val="hy-AM"/>
        </w:rPr>
        <w:t xml:space="preserve"> տոկոսային կետով: </w:t>
      </w:r>
    </w:p>
    <w:p w14:paraId="0A746905" w14:textId="77777777" w:rsidR="00F1465E" w:rsidRPr="00AC67B2" w:rsidRDefault="00F1465E" w:rsidP="00774AC5">
      <w:pPr>
        <w:spacing w:line="276" w:lineRule="auto"/>
        <w:ind w:firstLine="720"/>
        <w:rPr>
          <w:rFonts w:cs="Times Unicode"/>
          <w:lang w:val="hy-AM"/>
        </w:rPr>
      </w:pPr>
      <w:r w:rsidRPr="00AC67B2">
        <w:rPr>
          <w:rFonts w:cs="Times Unicode"/>
          <w:lang w:val="hy-AM"/>
        </w:rPr>
        <w:t xml:space="preserve">Զուգահեռաբար ենթադրվել է նաև էական՝ 500 բազիսային կետի չափով արտաքին աղբյուրներից ներգրավվող փոխառու միջոցների տոկոսադրույքների և 1000 բազիսային կետի չափով ներքին աղբյուրներից ներգրավվող փոխառու միջոցների նկատմամբ շոկային սցենար, որի տեղի ունենալու հավանականությունը բավականին ցածր է: Տոկոսադրույքների նման շոկը ՀՀ կառավարության պարտք/ՀՆԱ ցուցանիշը բազային սցենարի </w:t>
      </w:r>
      <w:r w:rsidRPr="00546C37">
        <w:rPr>
          <w:rFonts w:cs="Times Unicode"/>
          <w:lang w:val="hy-AM"/>
        </w:rPr>
        <w:t xml:space="preserve">նկատմամբ կավելացնի </w:t>
      </w:r>
      <w:r w:rsidRPr="00A205DB">
        <w:rPr>
          <w:rFonts w:cs="Times Unicode"/>
          <w:lang w:val="hy-AM"/>
        </w:rPr>
        <w:t>4</w:t>
      </w:r>
      <w:r w:rsidRPr="00546C37">
        <w:rPr>
          <w:rFonts w:cs="Times Unicode"/>
          <w:lang w:val="hy-AM"/>
        </w:rPr>
        <w:t>.</w:t>
      </w:r>
      <w:r w:rsidRPr="00A205DB">
        <w:rPr>
          <w:rFonts w:cs="Times Unicode"/>
          <w:lang w:val="hy-AM"/>
        </w:rPr>
        <w:t>3</w:t>
      </w:r>
      <w:r w:rsidRPr="00546C37">
        <w:rPr>
          <w:rFonts w:cs="Times Unicode"/>
          <w:lang w:val="hy-AM"/>
        </w:rPr>
        <w:t xml:space="preserve"> տոկոսային կետով՝ 202</w:t>
      </w:r>
      <w:r w:rsidRPr="00A205DB">
        <w:rPr>
          <w:rFonts w:cs="Times Unicode"/>
          <w:lang w:val="hy-AM"/>
        </w:rPr>
        <w:t>3</w:t>
      </w:r>
      <w:r w:rsidRPr="00546C37">
        <w:rPr>
          <w:rFonts w:cs="Times Unicode"/>
          <w:lang w:val="hy-AM"/>
        </w:rPr>
        <w:t>թ. տարեվերջին հասցնելով 5</w:t>
      </w:r>
      <w:r w:rsidRPr="00A205DB">
        <w:rPr>
          <w:rFonts w:cs="Times Unicode"/>
          <w:lang w:val="hy-AM"/>
        </w:rPr>
        <w:t>9</w:t>
      </w:r>
      <w:r w:rsidRPr="00546C37">
        <w:rPr>
          <w:rFonts w:cs="Times Unicode"/>
          <w:lang w:val="hy-AM"/>
        </w:rPr>
        <w:t>.0%-ի: ՀՀ</w:t>
      </w:r>
      <w:r w:rsidRPr="00AC67B2">
        <w:rPr>
          <w:rFonts w:cs="Times Unicode"/>
          <w:lang w:val="hy-AM"/>
        </w:rPr>
        <w:t xml:space="preserve"> կառավարության պարտքի սպասարկման </w:t>
      </w:r>
      <w:r w:rsidRPr="00546C37">
        <w:rPr>
          <w:rFonts w:cs="Times Unicode"/>
          <w:lang w:val="hy-AM"/>
        </w:rPr>
        <w:t>տեսա</w:t>
      </w:r>
      <w:r w:rsidRPr="00546C37">
        <w:rPr>
          <w:rFonts w:cs="Times Unicode"/>
          <w:lang w:val="hy-AM"/>
        </w:rPr>
        <w:softHyphen/>
        <w:t>կետից այսպիսի էական շոկը 202</w:t>
      </w:r>
      <w:r w:rsidRPr="00A205DB">
        <w:rPr>
          <w:rFonts w:cs="Times Unicode"/>
          <w:lang w:val="hy-AM"/>
        </w:rPr>
        <w:t>3</w:t>
      </w:r>
      <w:r w:rsidRPr="00546C37">
        <w:rPr>
          <w:rFonts w:cs="Times Unicode"/>
          <w:lang w:val="hy-AM"/>
        </w:rPr>
        <w:t xml:space="preserve">թ. տարեվերջին Տոկոսավճար/ՀՆԱ ցուցանիշը կարող է ավելացնել </w:t>
      </w:r>
      <w:r w:rsidRPr="00A205DB">
        <w:rPr>
          <w:rFonts w:cs="Times Unicode"/>
          <w:lang w:val="hy-AM"/>
        </w:rPr>
        <w:t>2</w:t>
      </w:r>
      <w:r w:rsidRPr="00546C37">
        <w:rPr>
          <w:rFonts w:cs="Times Unicode"/>
          <w:lang w:val="hy-AM"/>
        </w:rPr>
        <w:t>.</w:t>
      </w:r>
      <w:r w:rsidRPr="00A205DB">
        <w:rPr>
          <w:rFonts w:cs="Times Unicode"/>
          <w:lang w:val="hy-AM"/>
        </w:rPr>
        <w:t>0</w:t>
      </w:r>
      <w:r w:rsidRPr="00546C37">
        <w:rPr>
          <w:rFonts w:cs="Times Unicode"/>
          <w:lang w:val="hy-AM"/>
        </w:rPr>
        <w:t xml:space="preserve"> տոկոսային կետով</w:t>
      </w:r>
      <w:r w:rsidRPr="00AC67B2">
        <w:rPr>
          <w:rFonts w:cs="Times Unicode"/>
          <w:lang w:val="hy-AM"/>
        </w:rPr>
        <w:t xml:space="preserve">: </w:t>
      </w:r>
    </w:p>
    <w:p w14:paraId="2EED9CA4" w14:textId="77777777" w:rsidR="00F1465E" w:rsidRDefault="00F1465E" w:rsidP="00774AC5">
      <w:pPr>
        <w:spacing w:line="276" w:lineRule="auto"/>
        <w:ind w:firstLine="720"/>
        <w:rPr>
          <w:rFonts w:cs="Times Unicode"/>
          <w:i/>
          <w:lang w:val="hy-AM"/>
        </w:rPr>
      </w:pPr>
    </w:p>
    <w:p w14:paraId="6C9EFF6A" w14:textId="77777777" w:rsidR="00F1465E" w:rsidRPr="00AC67B2" w:rsidRDefault="00F1465E" w:rsidP="00774AC5">
      <w:pPr>
        <w:spacing w:line="276" w:lineRule="auto"/>
        <w:ind w:firstLine="720"/>
        <w:rPr>
          <w:rFonts w:cs="Times Unicode"/>
          <w:i/>
          <w:lang w:val="hy-AM"/>
        </w:rPr>
      </w:pPr>
      <w:r w:rsidRPr="00AC67B2">
        <w:rPr>
          <w:rFonts w:cs="Times Unicode"/>
          <w:i/>
          <w:lang w:val="hy-AM"/>
        </w:rPr>
        <w:t>Փոխարժեքի և տոկոսադրույքի համակցված շոկ</w:t>
      </w:r>
    </w:p>
    <w:p w14:paraId="2AB97C6C" w14:textId="77777777" w:rsidR="00F1465E" w:rsidRPr="00AC67B2" w:rsidRDefault="00F1465E" w:rsidP="00774AC5">
      <w:pPr>
        <w:spacing w:line="276" w:lineRule="auto"/>
        <w:ind w:firstLine="720"/>
        <w:rPr>
          <w:rFonts w:cs="Times Unicode"/>
          <w:lang w:val="hy-AM"/>
        </w:rPr>
      </w:pPr>
      <w:r w:rsidRPr="00AC67B2">
        <w:rPr>
          <w:rFonts w:cs="Times Unicode"/>
          <w:lang w:val="hy-AM"/>
        </w:rPr>
        <w:t>Կիրառելով 15% փոխարժեքի (202</w:t>
      </w:r>
      <w:r w:rsidRPr="00A205DB">
        <w:rPr>
          <w:rFonts w:cs="Times Unicode"/>
          <w:lang w:val="hy-AM"/>
        </w:rPr>
        <w:t>1</w:t>
      </w:r>
      <w:r w:rsidRPr="00AC67B2">
        <w:rPr>
          <w:rFonts w:cs="Times Unicode"/>
          <w:lang w:val="hy-AM"/>
        </w:rPr>
        <w:t>թ-ին արժեզրկելով ՀՀ դրամը ԱՄՆ դոլարի, եվրոյի և SDR-ի նկատմամբ) և տոկոսադրույքի առաջին սցենարում նկարագրված համակցված շոկ՝ ՀՀ կառա</w:t>
      </w:r>
      <w:r w:rsidRPr="00AC67B2">
        <w:rPr>
          <w:rFonts w:cs="Times Unicode"/>
          <w:lang w:val="hy-AM"/>
        </w:rPr>
        <w:softHyphen/>
        <w:t xml:space="preserve">վարության պարտք/ՀՆԱ </w:t>
      </w:r>
      <w:r w:rsidRPr="002728F4">
        <w:rPr>
          <w:rFonts w:cs="Times Unicode"/>
          <w:lang w:val="hy-AM"/>
        </w:rPr>
        <w:t>հարաբերակցությունը 202</w:t>
      </w:r>
      <w:r w:rsidRPr="00A205DB">
        <w:rPr>
          <w:rFonts w:cs="Times Unicode"/>
          <w:lang w:val="hy-AM"/>
        </w:rPr>
        <w:t>3</w:t>
      </w:r>
      <w:r w:rsidRPr="002728F4">
        <w:rPr>
          <w:rFonts w:cs="Times Unicode"/>
          <w:lang w:val="hy-AM"/>
        </w:rPr>
        <w:t xml:space="preserve">թ. տարեվերջին հասնում է </w:t>
      </w:r>
      <w:r w:rsidRPr="00A205DB">
        <w:rPr>
          <w:rFonts w:cs="Times Unicode"/>
          <w:lang w:val="hy-AM"/>
        </w:rPr>
        <w:t>62</w:t>
      </w:r>
      <w:r w:rsidRPr="002728F4">
        <w:rPr>
          <w:rFonts w:cs="Times Unicode"/>
          <w:lang w:val="hy-AM"/>
        </w:rPr>
        <w:t>.</w:t>
      </w:r>
      <w:r w:rsidRPr="00A205DB">
        <w:rPr>
          <w:rFonts w:cs="Times Unicode"/>
          <w:lang w:val="hy-AM"/>
        </w:rPr>
        <w:t>5</w:t>
      </w:r>
      <w:r w:rsidRPr="002728F4">
        <w:rPr>
          <w:rFonts w:cs="Times Unicode"/>
          <w:lang w:val="hy-AM"/>
        </w:rPr>
        <w:t>%-ի, որը 7.</w:t>
      </w:r>
      <w:r w:rsidRPr="00A205DB">
        <w:rPr>
          <w:rFonts w:cs="Times Unicode"/>
          <w:lang w:val="hy-AM"/>
        </w:rPr>
        <w:t>8</w:t>
      </w:r>
      <w:r w:rsidRPr="002728F4">
        <w:rPr>
          <w:rFonts w:cs="Times Unicode"/>
          <w:lang w:val="hy-AM"/>
        </w:rPr>
        <w:t xml:space="preserve"> տոկոսային կետով ավելի է</w:t>
      </w:r>
      <w:r w:rsidRPr="00AC67B2">
        <w:rPr>
          <w:rFonts w:cs="Times Unicode"/>
          <w:lang w:val="hy-AM"/>
        </w:rPr>
        <w:t xml:space="preserve"> հիմնական սցենարի նույն ցուցանիշից: Տոկոսավճար/ՀՆԱ հարաբերակցությունն այս </w:t>
      </w:r>
      <w:r w:rsidRPr="006466FC">
        <w:rPr>
          <w:rFonts w:cs="Times Unicode"/>
          <w:lang w:val="hy-AM"/>
        </w:rPr>
        <w:t>դեպքում</w:t>
      </w:r>
      <w:r>
        <w:rPr>
          <w:rFonts w:cs="Times Unicode"/>
          <w:lang w:val="hy-AM"/>
        </w:rPr>
        <w:t xml:space="preserve"> կարող է </w:t>
      </w:r>
      <w:r w:rsidRPr="002728F4">
        <w:rPr>
          <w:rFonts w:cs="Times Unicode"/>
          <w:lang w:val="hy-AM"/>
        </w:rPr>
        <w:t>ավելանալ 1.</w:t>
      </w:r>
      <w:r w:rsidRPr="00A205DB">
        <w:rPr>
          <w:rFonts w:cs="Times Unicode"/>
          <w:lang w:val="hy-AM"/>
        </w:rPr>
        <w:t>2</w:t>
      </w:r>
      <w:r w:rsidRPr="002728F4">
        <w:rPr>
          <w:rFonts w:cs="Times Unicode"/>
          <w:lang w:val="hy-AM"/>
        </w:rPr>
        <w:t xml:space="preserve"> տոկոսային կետով</w:t>
      </w:r>
      <w:r w:rsidRPr="00AC67B2">
        <w:rPr>
          <w:rFonts w:cs="Times Unicode"/>
          <w:lang w:val="hy-AM"/>
        </w:rPr>
        <w:t>:</w:t>
      </w:r>
    </w:p>
    <w:p w14:paraId="28E6F8E7" w14:textId="77777777" w:rsidR="00F1465E" w:rsidRPr="00AC67B2" w:rsidRDefault="00F1465E" w:rsidP="00774AC5">
      <w:pPr>
        <w:spacing w:line="276" w:lineRule="auto"/>
        <w:ind w:firstLine="720"/>
        <w:rPr>
          <w:rFonts w:cs="Times Unicode"/>
          <w:lang w:val="hy-AM"/>
        </w:rPr>
      </w:pPr>
      <w:r w:rsidRPr="00AC67B2">
        <w:rPr>
          <w:rFonts w:cs="Times Unicode"/>
          <w:lang w:val="hy-AM"/>
        </w:rPr>
        <w:t>Ստորև ներկայացվում է նաև լողացող տոկոսադրույքով պարտքի մեկ տոկոսային կետով աճի և ներքին տոկոսադրույքների մեկ տոկոսային կետով աճի ազդեցությունները:</w:t>
      </w:r>
    </w:p>
    <w:p w14:paraId="3FE77C33" w14:textId="77777777" w:rsidR="00F1465E" w:rsidRPr="00AC67B2" w:rsidRDefault="00F1465E" w:rsidP="00774AC5">
      <w:pPr>
        <w:spacing w:line="276" w:lineRule="auto"/>
        <w:ind w:firstLine="720"/>
        <w:rPr>
          <w:rFonts w:cs="Times Unicode"/>
          <w:lang w:val="hy-AM"/>
        </w:rPr>
      </w:pPr>
      <w:r w:rsidRPr="00AC67B2">
        <w:rPr>
          <w:rFonts w:cs="Times Unicode"/>
          <w:lang w:val="hy-AM"/>
        </w:rPr>
        <w:lastRenderedPageBreak/>
        <w:t>Լողացող տոկոսադրույքների՝ 6-ամսյա ԱՄՆ դոլարի լիբորի և 6-ամսյա եվրիբորի մեկ տոկոսային կետի փոփոխության դեպքում 202</w:t>
      </w:r>
      <w:r w:rsidRPr="00A205DB">
        <w:rPr>
          <w:rFonts w:cs="Times Unicode"/>
          <w:lang w:val="hy-AM"/>
        </w:rPr>
        <w:t>1</w:t>
      </w:r>
      <w:r w:rsidRPr="00AC67B2">
        <w:rPr>
          <w:rFonts w:cs="Times Unicode"/>
          <w:lang w:val="hy-AM"/>
        </w:rPr>
        <w:t>-202</w:t>
      </w:r>
      <w:r w:rsidRPr="00A205DB">
        <w:rPr>
          <w:rFonts w:cs="Times Unicode"/>
          <w:lang w:val="hy-AM"/>
        </w:rPr>
        <w:t>3</w:t>
      </w:r>
      <w:r w:rsidRPr="00AC67B2">
        <w:rPr>
          <w:rFonts w:cs="Times Unicode"/>
          <w:lang w:val="hy-AM"/>
        </w:rPr>
        <w:t>թթ. ՀՀ կառավարության արտաքին պարտ</w:t>
      </w:r>
      <w:r w:rsidRPr="00AC67B2">
        <w:rPr>
          <w:rFonts w:cs="Times Unicode"/>
          <w:lang w:val="hy-AM"/>
        </w:rPr>
        <w:softHyphen/>
        <w:t>քի գծով տոկոսային ծախսերը միջին հաշվով կփոփոխվեն տարեկան 7.</w:t>
      </w:r>
      <w:r w:rsidRPr="00A205DB">
        <w:rPr>
          <w:rFonts w:cs="Times Unicode"/>
          <w:lang w:val="hy-AM"/>
        </w:rPr>
        <w:t>6</w:t>
      </w:r>
      <w:r w:rsidRPr="00AC67B2">
        <w:rPr>
          <w:rFonts w:cs="Times Unicode"/>
          <w:lang w:val="hy-AM"/>
        </w:rPr>
        <w:t xml:space="preserve"> մլրդ դրամով: Մասնավորապես, լողացող տոկոսադրույքներից յուրաքանչյուրի ազդեցությունը ՀՀ կառավա</w:t>
      </w:r>
      <w:r w:rsidRPr="00AC67B2">
        <w:rPr>
          <w:rFonts w:cs="Times Unicode"/>
          <w:lang w:val="hy-AM"/>
        </w:rPr>
        <w:softHyphen/>
        <w:t>րու</w:t>
      </w:r>
      <w:r w:rsidRPr="00AC67B2">
        <w:rPr>
          <w:rFonts w:cs="Times Unicode"/>
          <w:lang w:val="hy-AM"/>
        </w:rPr>
        <w:softHyphen/>
        <w:t>թյան արտաքին պարտքի սպասարկման ծախսերի վրա կանխատեսվող ժամանա</w:t>
      </w:r>
      <w:r w:rsidRPr="00AC67B2">
        <w:rPr>
          <w:rFonts w:cs="Times Unicode"/>
          <w:lang w:val="hy-AM"/>
        </w:rPr>
        <w:softHyphen/>
        <w:t>կաշրջանում կլինի հետևյալը.</w:t>
      </w:r>
    </w:p>
    <w:p w14:paraId="2E9498E7" w14:textId="77777777" w:rsidR="00F1465E" w:rsidRPr="00A205DB" w:rsidRDefault="00F1465E" w:rsidP="00774AC5">
      <w:pPr>
        <w:tabs>
          <w:tab w:val="left" w:pos="2694"/>
        </w:tabs>
        <w:spacing w:line="276" w:lineRule="auto"/>
        <w:ind w:left="1560" w:hanging="1560"/>
        <w:rPr>
          <w:rFonts w:cs="Times Unicode"/>
          <w:b/>
          <w:sz w:val="20"/>
          <w:szCs w:val="20"/>
          <w:lang w:val="hy-AM"/>
        </w:rPr>
      </w:pPr>
    </w:p>
    <w:p w14:paraId="15BAB0BC" w14:textId="77777777" w:rsidR="00F1465E" w:rsidRPr="00774AC5" w:rsidRDefault="00F1465E" w:rsidP="00774AC5">
      <w:pPr>
        <w:tabs>
          <w:tab w:val="left" w:pos="2694"/>
        </w:tabs>
        <w:spacing w:line="276" w:lineRule="auto"/>
        <w:ind w:left="1560" w:hanging="1560"/>
        <w:rPr>
          <w:i/>
          <w:sz w:val="20"/>
          <w:szCs w:val="20"/>
          <w:lang w:val="hy-AM"/>
        </w:rPr>
      </w:pPr>
      <w:r w:rsidRPr="00774AC5">
        <w:rPr>
          <w:rFonts w:cs="Times Unicode"/>
          <w:b/>
          <w:sz w:val="20"/>
          <w:szCs w:val="20"/>
          <w:lang w:val="hy-AM"/>
        </w:rPr>
        <w:t>Աղյուսակ</w:t>
      </w:r>
      <w:r w:rsidRPr="00774AC5">
        <w:rPr>
          <w:b/>
          <w:sz w:val="20"/>
          <w:szCs w:val="20"/>
          <w:lang w:val="hy-AM"/>
        </w:rPr>
        <w:t xml:space="preserve"> </w:t>
      </w:r>
      <w:r w:rsidR="00774AC5" w:rsidRPr="00BE7F99">
        <w:rPr>
          <w:b/>
          <w:sz w:val="20"/>
          <w:szCs w:val="20"/>
          <w:lang w:val="hy-AM"/>
        </w:rPr>
        <w:t>1.</w:t>
      </w:r>
      <w:r w:rsidRPr="00774AC5">
        <w:rPr>
          <w:b/>
          <w:sz w:val="20"/>
          <w:szCs w:val="20"/>
          <w:lang w:val="hy-AM"/>
        </w:rPr>
        <w:t>14</w:t>
      </w:r>
      <w:r w:rsidRPr="00774AC5">
        <w:rPr>
          <w:sz w:val="20"/>
          <w:szCs w:val="20"/>
          <w:lang w:val="hy-AM"/>
        </w:rPr>
        <w:t xml:space="preserve"> </w:t>
      </w:r>
      <w:r w:rsidRPr="00774AC5">
        <w:rPr>
          <w:rFonts w:cs="Times Unicode"/>
          <w:i/>
          <w:sz w:val="20"/>
          <w:szCs w:val="20"/>
          <w:lang w:val="hy-AM"/>
        </w:rPr>
        <w:t>Լողացող</w:t>
      </w:r>
      <w:r w:rsidRPr="00774AC5">
        <w:rPr>
          <w:i/>
          <w:sz w:val="20"/>
          <w:szCs w:val="20"/>
          <w:lang w:val="hy-AM"/>
        </w:rPr>
        <w:t xml:space="preserve"> </w:t>
      </w:r>
      <w:r w:rsidRPr="00774AC5">
        <w:rPr>
          <w:rFonts w:cs="Times Unicode"/>
          <w:i/>
          <w:sz w:val="20"/>
          <w:szCs w:val="20"/>
          <w:lang w:val="hy-AM"/>
        </w:rPr>
        <w:t>տոկոսադրույքների</w:t>
      </w:r>
      <w:r w:rsidRPr="00774AC5">
        <w:rPr>
          <w:i/>
          <w:sz w:val="20"/>
          <w:szCs w:val="20"/>
          <w:lang w:val="hy-AM"/>
        </w:rPr>
        <w:t xml:space="preserve"> 1 </w:t>
      </w:r>
      <w:r w:rsidRPr="00774AC5">
        <w:rPr>
          <w:rFonts w:cs="Times Unicode"/>
          <w:i/>
          <w:sz w:val="20"/>
          <w:szCs w:val="20"/>
          <w:lang w:val="hy-AM"/>
        </w:rPr>
        <w:t>տոկոսային</w:t>
      </w:r>
      <w:r w:rsidRPr="00774AC5">
        <w:rPr>
          <w:i/>
          <w:sz w:val="20"/>
          <w:szCs w:val="20"/>
          <w:lang w:val="hy-AM"/>
        </w:rPr>
        <w:t xml:space="preserve"> </w:t>
      </w:r>
      <w:r w:rsidRPr="00774AC5">
        <w:rPr>
          <w:rFonts w:cs="Times Unicode"/>
          <w:i/>
          <w:sz w:val="20"/>
          <w:szCs w:val="20"/>
          <w:lang w:val="hy-AM"/>
        </w:rPr>
        <w:t>կետի</w:t>
      </w:r>
      <w:r w:rsidRPr="00774AC5">
        <w:rPr>
          <w:i/>
          <w:sz w:val="20"/>
          <w:szCs w:val="20"/>
          <w:lang w:val="hy-AM"/>
        </w:rPr>
        <w:t xml:space="preserve"> </w:t>
      </w:r>
      <w:r w:rsidRPr="00774AC5">
        <w:rPr>
          <w:rFonts w:cs="Times Unicode"/>
          <w:i/>
          <w:sz w:val="20"/>
          <w:szCs w:val="20"/>
          <w:lang w:val="hy-AM"/>
        </w:rPr>
        <w:t>փոփոխության</w:t>
      </w:r>
      <w:r w:rsidRPr="00774AC5">
        <w:rPr>
          <w:i/>
          <w:sz w:val="20"/>
          <w:szCs w:val="20"/>
          <w:lang w:val="hy-AM"/>
        </w:rPr>
        <w:t xml:space="preserve"> ազդեցությունը ՀՀ կառավարության արտաքին պարտքի տոկոսավճարների վրա</w:t>
      </w:r>
    </w:p>
    <w:p w14:paraId="361AD578" w14:textId="77777777" w:rsidR="00F1465E" w:rsidRPr="00AC67B2" w:rsidRDefault="00F1465E" w:rsidP="00F1465E">
      <w:pPr>
        <w:ind w:left="5040" w:firstLine="720"/>
        <w:jc w:val="center"/>
        <w:rPr>
          <w:sz w:val="20"/>
          <w:szCs w:val="20"/>
          <w:lang w:val="hy-AM"/>
        </w:rPr>
      </w:pP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4"/>
        <w:gridCol w:w="1421"/>
        <w:gridCol w:w="1421"/>
        <w:gridCol w:w="1422"/>
      </w:tblGrid>
      <w:tr w:rsidR="00F1465E" w:rsidRPr="00BB7FB8" w14:paraId="21B39433" w14:textId="77777777" w:rsidTr="00231073">
        <w:trPr>
          <w:trHeight w:val="294"/>
          <w:tblHeader/>
          <w:jc w:val="center"/>
        </w:trPr>
        <w:tc>
          <w:tcPr>
            <w:tcW w:w="4884" w:type="dxa"/>
            <w:tcBorders>
              <w:top w:val="thinThickSmallGap" w:sz="24" w:space="0" w:color="auto"/>
              <w:left w:val="nil"/>
              <w:bottom w:val="thinThickSmallGap" w:sz="24" w:space="0" w:color="auto"/>
              <w:right w:val="nil"/>
            </w:tcBorders>
            <w:shd w:val="clear" w:color="auto" w:fill="0B70B5"/>
            <w:noWrap/>
            <w:vAlign w:val="bottom"/>
          </w:tcPr>
          <w:p w14:paraId="3E7C26C6" w14:textId="77777777" w:rsidR="00F1465E" w:rsidRPr="00C35116" w:rsidRDefault="00F1465E" w:rsidP="00231073">
            <w:pPr>
              <w:spacing w:before="0" w:after="0" w:line="240" w:lineRule="auto"/>
              <w:ind w:firstLine="0"/>
              <w:jc w:val="center"/>
              <w:rPr>
                <w:color w:val="FFFFFF" w:themeColor="background1"/>
                <w:sz w:val="20"/>
                <w:szCs w:val="20"/>
                <w:lang w:val="hy-AM"/>
              </w:rPr>
            </w:pPr>
          </w:p>
        </w:tc>
        <w:tc>
          <w:tcPr>
            <w:tcW w:w="1421" w:type="dxa"/>
            <w:tcBorders>
              <w:top w:val="thinThickSmallGap" w:sz="24" w:space="0" w:color="auto"/>
              <w:left w:val="nil"/>
              <w:bottom w:val="thinThickSmallGap" w:sz="24" w:space="0" w:color="auto"/>
              <w:right w:val="nil"/>
            </w:tcBorders>
            <w:shd w:val="clear" w:color="auto" w:fill="0B70B5"/>
            <w:noWrap/>
            <w:vAlign w:val="bottom"/>
          </w:tcPr>
          <w:p w14:paraId="3BE84D07"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color w:val="FFFFFF" w:themeColor="background1"/>
                <w:sz w:val="20"/>
                <w:szCs w:val="20"/>
                <w:lang w:val="hy-AM"/>
              </w:rPr>
              <w:t>թ.</w:t>
            </w:r>
          </w:p>
        </w:tc>
        <w:tc>
          <w:tcPr>
            <w:tcW w:w="1421" w:type="dxa"/>
            <w:tcBorders>
              <w:top w:val="thinThickSmallGap" w:sz="24" w:space="0" w:color="auto"/>
              <w:left w:val="nil"/>
              <w:bottom w:val="thinThickSmallGap" w:sz="24" w:space="0" w:color="auto"/>
              <w:right w:val="nil"/>
            </w:tcBorders>
            <w:shd w:val="clear" w:color="auto" w:fill="0B70B5"/>
            <w:noWrap/>
            <w:vAlign w:val="bottom"/>
          </w:tcPr>
          <w:p w14:paraId="59DFC9E0"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color w:val="FFFFFF" w:themeColor="background1"/>
                <w:sz w:val="20"/>
                <w:szCs w:val="20"/>
                <w:lang w:val="hy-AM"/>
              </w:rPr>
              <w:t>թ.</w:t>
            </w:r>
          </w:p>
        </w:tc>
        <w:tc>
          <w:tcPr>
            <w:tcW w:w="1422" w:type="dxa"/>
            <w:tcBorders>
              <w:top w:val="thinThickSmallGap" w:sz="24" w:space="0" w:color="auto"/>
              <w:left w:val="nil"/>
              <w:bottom w:val="thinThickSmallGap" w:sz="24" w:space="0" w:color="auto"/>
              <w:right w:val="nil"/>
            </w:tcBorders>
            <w:shd w:val="clear" w:color="auto" w:fill="0B70B5"/>
            <w:noWrap/>
            <w:vAlign w:val="bottom"/>
          </w:tcPr>
          <w:p w14:paraId="79508963"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color w:val="FFFFFF" w:themeColor="background1"/>
                <w:sz w:val="20"/>
                <w:szCs w:val="20"/>
                <w:lang w:val="hy-AM"/>
              </w:rPr>
              <w:t>թ.</w:t>
            </w:r>
          </w:p>
        </w:tc>
      </w:tr>
      <w:tr w:rsidR="00F1465E" w:rsidRPr="00AC67B2" w14:paraId="1AA91C36" w14:textId="77777777" w:rsidTr="00231073">
        <w:trPr>
          <w:trHeight w:val="653"/>
          <w:jc w:val="center"/>
        </w:trPr>
        <w:tc>
          <w:tcPr>
            <w:tcW w:w="4884" w:type="dxa"/>
            <w:tcBorders>
              <w:left w:val="nil"/>
              <w:bottom w:val="single" w:sz="4" w:space="0" w:color="auto"/>
              <w:right w:val="nil"/>
            </w:tcBorders>
            <w:shd w:val="clear" w:color="auto" w:fill="auto"/>
            <w:noWrap/>
            <w:vAlign w:val="center"/>
          </w:tcPr>
          <w:p w14:paraId="01493E79" w14:textId="77777777" w:rsidR="00F1465E" w:rsidRPr="00AC67B2" w:rsidRDefault="00F1465E" w:rsidP="00231073">
            <w:pPr>
              <w:spacing w:before="0" w:after="0" w:line="240" w:lineRule="auto"/>
              <w:ind w:firstLine="0"/>
              <w:jc w:val="left"/>
              <w:rPr>
                <w:sz w:val="20"/>
                <w:szCs w:val="20"/>
                <w:lang w:val="hy-AM"/>
              </w:rPr>
            </w:pPr>
            <w:r w:rsidRPr="00AC67B2">
              <w:rPr>
                <w:sz w:val="20"/>
                <w:szCs w:val="20"/>
                <w:lang w:val="hy-AM"/>
              </w:rPr>
              <w:t xml:space="preserve">ՀՀ կառավարության արտաքին պարտքի տոկոսավճարի փոփոխությունը </w:t>
            </w:r>
            <w:r w:rsidRPr="00AC67B2">
              <w:rPr>
                <w:rFonts w:cs="Times Unicode"/>
                <w:sz w:val="20"/>
                <w:szCs w:val="20"/>
                <w:lang w:val="hy-AM"/>
              </w:rPr>
              <w:t>(մլրդ դրամ)</w:t>
            </w:r>
          </w:p>
        </w:tc>
        <w:tc>
          <w:tcPr>
            <w:tcW w:w="1421" w:type="dxa"/>
            <w:tcBorders>
              <w:left w:val="nil"/>
              <w:bottom w:val="single" w:sz="4" w:space="0" w:color="auto"/>
              <w:right w:val="nil"/>
            </w:tcBorders>
            <w:shd w:val="clear" w:color="auto" w:fill="auto"/>
            <w:noWrap/>
            <w:vAlign w:val="center"/>
          </w:tcPr>
          <w:p w14:paraId="71EE688B"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6.8 </w:t>
            </w:r>
          </w:p>
        </w:tc>
        <w:tc>
          <w:tcPr>
            <w:tcW w:w="1421" w:type="dxa"/>
            <w:tcBorders>
              <w:left w:val="nil"/>
              <w:bottom w:val="single" w:sz="4" w:space="0" w:color="auto"/>
              <w:right w:val="nil"/>
            </w:tcBorders>
            <w:shd w:val="clear" w:color="auto" w:fill="auto"/>
            <w:noWrap/>
            <w:vAlign w:val="center"/>
          </w:tcPr>
          <w:p w14:paraId="622D8C5D"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7.80 </w:t>
            </w:r>
          </w:p>
        </w:tc>
        <w:tc>
          <w:tcPr>
            <w:tcW w:w="1422" w:type="dxa"/>
            <w:tcBorders>
              <w:left w:val="nil"/>
              <w:bottom w:val="single" w:sz="4" w:space="0" w:color="auto"/>
              <w:right w:val="nil"/>
            </w:tcBorders>
            <w:shd w:val="clear" w:color="auto" w:fill="auto"/>
            <w:noWrap/>
            <w:vAlign w:val="center"/>
          </w:tcPr>
          <w:p w14:paraId="086EB883"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8.3 </w:t>
            </w:r>
          </w:p>
        </w:tc>
      </w:tr>
      <w:tr w:rsidR="00F1465E" w:rsidRPr="00AC67B2" w14:paraId="19C05BCC" w14:textId="77777777" w:rsidTr="00231073">
        <w:trPr>
          <w:trHeight w:val="294"/>
          <w:jc w:val="center"/>
        </w:trPr>
        <w:tc>
          <w:tcPr>
            <w:tcW w:w="4884" w:type="dxa"/>
            <w:tcBorders>
              <w:left w:val="nil"/>
              <w:bottom w:val="single" w:sz="4" w:space="0" w:color="auto"/>
              <w:right w:val="nil"/>
            </w:tcBorders>
            <w:shd w:val="clear" w:color="auto" w:fill="auto"/>
            <w:noWrap/>
            <w:vAlign w:val="center"/>
          </w:tcPr>
          <w:p w14:paraId="64ABF3F2"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այդ թվում</w:t>
            </w:r>
          </w:p>
        </w:tc>
        <w:tc>
          <w:tcPr>
            <w:tcW w:w="1421" w:type="dxa"/>
            <w:tcBorders>
              <w:left w:val="nil"/>
              <w:bottom w:val="single" w:sz="4" w:space="0" w:color="auto"/>
              <w:right w:val="nil"/>
            </w:tcBorders>
            <w:shd w:val="clear" w:color="auto" w:fill="auto"/>
            <w:noWrap/>
            <w:vAlign w:val="center"/>
          </w:tcPr>
          <w:p w14:paraId="33BA6AD3" w14:textId="77777777" w:rsidR="00F1465E" w:rsidRPr="00955540" w:rsidRDefault="00F1465E" w:rsidP="00231073">
            <w:pPr>
              <w:spacing w:before="0" w:after="0" w:line="240" w:lineRule="auto"/>
              <w:ind w:firstLine="0"/>
              <w:jc w:val="center"/>
              <w:rPr>
                <w:sz w:val="20"/>
                <w:szCs w:val="20"/>
                <w:lang w:val="hy-AM"/>
              </w:rPr>
            </w:pPr>
          </w:p>
        </w:tc>
        <w:tc>
          <w:tcPr>
            <w:tcW w:w="1421" w:type="dxa"/>
            <w:tcBorders>
              <w:left w:val="nil"/>
              <w:bottom w:val="single" w:sz="4" w:space="0" w:color="auto"/>
              <w:right w:val="nil"/>
            </w:tcBorders>
            <w:shd w:val="clear" w:color="auto" w:fill="auto"/>
            <w:noWrap/>
            <w:vAlign w:val="center"/>
          </w:tcPr>
          <w:p w14:paraId="11A0E750" w14:textId="77777777" w:rsidR="00F1465E" w:rsidRPr="00955540" w:rsidRDefault="00F1465E" w:rsidP="00231073">
            <w:pPr>
              <w:spacing w:before="0" w:after="0" w:line="240" w:lineRule="auto"/>
              <w:ind w:firstLine="0"/>
              <w:jc w:val="center"/>
              <w:rPr>
                <w:sz w:val="20"/>
                <w:szCs w:val="20"/>
                <w:lang w:val="hy-AM"/>
              </w:rPr>
            </w:pPr>
          </w:p>
        </w:tc>
        <w:tc>
          <w:tcPr>
            <w:tcW w:w="1422" w:type="dxa"/>
            <w:tcBorders>
              <w:left w:val="nil"/>
              <w:bottom w:val="single" w:sz="4" w:space="0" w:color="auto"/>
              <w:right w:val="nil"/>
            </w:tcBorders>
            <w:shd w:val="clear" w:color="auto" w:fill="auto"/>
            <w:noWrap/>
            <w:vAlign w:val="center"/>
          </w:tcPr>
          <w:p w14:paraId="64D6A68D" w14:textId="77777777" w:rsidR="00F1465E" w:rsidRPr="00955540" w:rsidRDefault="00F1465E" w:rsidP="00231073">
            <w:pPr>
              <w:spacing w:before="0" w:after="0" w:line="240" w:lineRule="auto"/>
              <w:ind w:firstLine="0"/>
              <w:jc w:val="center"/>
              <w:rPr>
                <w:sz w:val="20"/>
                <w:szCs w:val="20"/>
                <w:lang w:val="hy-AM"/>
              </w:rPr>
            </w:pPr>
          </w:p>
        </w:tc>
      </w:tr>
      <w:tr w:rsidR="00F1465E" w:rsidRPr="00AC67B2" w14:paraId="56C4AF6D" w14:textId="77777777" w:rsidTr="00231073">
        <w:trPr>
          <w:trHeight w:val="294"/>
          <w:jc w:val="center"/>
        </w:trPr>
        <w:tc>
          <w:tcPr>
            <w:tcW w:w="4884" w:type="dxa"/>
            <w:tcBorders>
              <w:left w:val="nil"/>
              <w:right w:val="nil"/>
            </w:tcBorders>
            <w:shd w:val="clear" w:color="auto" w:fill="auto"/>
            <w:noWrap/>
            <w:vAlign w:val="center"/>
          </w:tcPr>
          <w:p w14:paraId="038E5C28" w14:textId="77777777" w:rsidR="00F1465E" w:rsidRPr="00AC67B2" w:rsidRDefault="00F1465E" w:rsidP="00231073">
            <w:pPr>
              <w:spacing w:before="0" w:after="0" w:line="240" w:lineRule="auto"/>
              <w:ind w:left="524" w:firstLine="0"/>
              <w:jc w:val="left"/>
              <w:rPr>
                <w:sz w:val="20"/>
                <w:szCs w:val="20"/>
                <w:lang w:val="hy-AM"/>
              </w:rPr>
            </w:pPr>
            <w:r w:rsidRPr="00AC67B2">
              <w:rPr>
                <w:sz w:val="20"/>
                <w:szCs w:val="20"/>
                <w:lang w:val="hy-AM"/>
              </w:rPr>
              <w:t>6-ամսյա ԱՄՆ դոլարի Libor</w:t>
            </w:r>
            <w:r w:rsidRPr="00A205DB">
              <w:rPr>
                <w:sz w:val="20"/>
                <w:szCs w:val="20"/>
                <w:lang w:val="hy-AM"/>
              </w:rPr>
              <w:t xml:space="preserve"> </w:t>
            </w:r>
            <w:r w:rsidRPr="00AC67B2">
              <w:rPr>
                <w:rFonts w:cs="Times Unicode"/>
                <w:sz w:val="20"/>
                <w:szCs w:val="20"/>
                <w:lang w:val="hy-AM"/>
              </w:rPr>
              <w:t>(մլրդ դրամ)</w:t>
            </w:r>
          </w:p>
        </w:tc>
        <w:tc>
          <w:tcPr>
            <w:tcW w:w="1421" w:type="dxa"/>
            <w:tcBorders>
              <w:left w:val="nil"/>
              <w:right w:val="nil"/>
            </w:tcBorders>
            <w:shd w:val="clear" w:color="auto" w:fill="auto"/>
            <w:noWrap/>
            <w:vAlign w:val="center"/>
          </w:tcPr>
          <w:p w14:paraId="0772231B"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5.6 </w:t>
            </w:r>
          </w:p>
        </w:tc>
        <w:tc>
          <w:tcPr>
            <w:tcW w:w="1421" w:type="dxa"/>
            <w:tcBorders>
              <w:left w:val="nil"/>
              <w:right w:val="nil"/>
            </w:tcBorders>
            <w:shd w:val="clear" w:color="auto" w:fill="auto"/>
            <w:noWrap/>
            <w:vAlign w:val="center"/>
          </w:tcPr>
          <w:p w14:paraId="40B97B9B"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6.4 </w:t>
            </w:r>
          </w:p>
        </w:tc>
        <w:tc>
          <w:tcPr>
            <w:tcW w:w="1422" w:type="dxa"/>
            <w:tcBorders>
              <w:left w:val="nil"/>
              <w:right w:val="nil"/>
            </w:tcBorders>
            <w:shd w:val="clear" w:color="auto" w:fill="auto"/>
            <w:noWrap/>
            <w:vAlign w:val="center"/>
          </w:tcPr>
          <w:p w14:paraId="26C7B703"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6.8 </w:t>
            </w:r>
          </w:p>
        </w:tc>
      </w:tr>
      <w:tr w:rsidR="00F1465E" w:rsidRPr="00AC67B2" w14:paraId="0B805DF0" w14:textId="77777777" w:rsidTr="00231073">
        <w:trPr>
          <w:trHeight w:val="294"/>
          <w:jc w:val="center"/>
        </w:trPr>
        <w:tc>
          <w:tcPr>
            <w:tcW w:w="4884" w:type="dxa"/>
            <w:tcBorders>
              <w:top w:val="single" w:sz="4" w:space="0" w:color="auto"/>
              <w:left w:val="nil"/>
              <w:bottom w:val="single" w:sz="4" w:space="0" w:color="auto"/>
              <w:right w:val="nil"/>
            </w:tcBorders>
            <w:shd w:val="clear" w:color="auto" w:fill="auto"/>
            <w:noWrap/>
            <w:vAlign w:val="center"/>
          </w:tcPr>
          <w:p w14:paraId="528AD16C" w14:textId="77777777" w:rsidR="00F1465E" w:rsidRPr="00955540" w:rsidRDefault="00F1465E" w:rsidP="00231073">
            <w:pPr>
              <w:spacing w:before="0" w:after="0" w:line="240" w:lineRule="auto"/>
              <w:ind w:left="524" w:firstLine="0"/>
              <w:jc w:val="left"/>
              <w:rPr>
                <w:sz w:val="20"/>
                <w:szCs w:val="20"/>
              </w:rPr>
            </w:pPr>
            <w:r w:rsidRPr="00AC67B2">
              <w:rPr>
                <w:sz w:val="20"/>
                <w:szCs w:val="20"/>
                <w:lang w:val="hy-AM"/>
              </w:rPr>
              <w:t>6-ամսյա Euribor</w:t>
            </w:r>
            <w:r>
              <w:rPr>
                <w:sz w:val="20"/>
                <w:szCs w:val="20"/>
              </w:rPr>
              <w:t xml:space="preserve"> </w:t>
            </w:r>
            <w:r w:rsidRPr="00AC67B2">
              <w:rPr>
                <w:rFonts w:cs="Times Unicode"/>
                <w:sz w:val="20"/>
                <w:szCs w:val="20"/>
                <w:lang w:val="hy-AM"/>
              </w:rPr>
              <w:t>(մլրդ դրամ)</w:t>
            </w:r>
          </w:p>
        </w:tc>
        <w:tc>
          <w:tcPr>
            <w:tcW w:w="1421" w:type="dxa"/>
            <w:tcBorders>
              <w:top w:val="single" w:sz="4" w:space="0" w:color="auto"/>
              <w:left w:val="nil"/>
              <w:bottom w:val="single" w:sz="4" w:space="0" w:color="auto"/>
              <w:right w:val="nil"/>
            </w:tcBorders>
            <w:shd w:val="clear" w:color="auto" w:fill="auto"/>
            <w:noWrap/>
            <w:vAlign w:val="center"/>
          </w:tcPr>
          <w:p w14:paraId="3290FA7F"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1.2 </w:t>
            </w:r>
          </w:p>
        </w:tc>
        <w:tc>
          <w:tcPr>
            <w:tcW w:w="1421" w:type="dxa"/>
            <w:tcBorders>
              <w:top w:val="single" w:sz="4" w:space="0" w:color="auto"/>
              <w:left w:val="nil"/>
              <w:bottom w:val="single" w:sz="4" w:space="0" w:color="auto"/>
              <w:right w:val="nil"/>
            </w:tcBorders>
            <w:shd w:val="clear" w:color="auto" w:fill="auto"/>
            <w:noWrap/>
            <w:vAlign w:val="center"/>
          </w:tcPr>
          <w:p w14:paraId="7EE6A0F1"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1.4 </w:t>
            </w:r>
          </w:p>
        </w:tc>
        <w:tc>
          <w:tcPr>
            <w:tcW w:w="1422" w:type="dxa"/>
            <w:tcBorders>
              <w:top w:val="single" w:sz="4" w:space="0" w:color="auto"/>
              <w:left w:val="nil"/>
              <w:bottom w:val="single" w:sz="4" w:space="0" w:color="auto"/>
              <w:right w:val="nil"/>
            </w:tcBorders>
            <w:shd w:val="clear" w:color="auto" w:fill="auto"/>
            <w:noWrap/>
            <w:vAlign w:val="center"/>
          </w:tcPr>
          <w:p w14:paraId="70B93057"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1.5 </w:t>
            </w:r>
          </w:p>
        </w:tc>
      </w:tr>
      <w:tr w:rsidR="00F1465E" w:rsidRPr="00AC67B2" w14:paraId="087A5BD1" w14:textId="77777777" w:rsidTr="00231073">
        <w:trPr>
          <w:trHeight w:val="612"/>
          <w:jc w:val="center"/>
        </w:trPr>
        <w:tc>
          <w:tcPr>
            <w:tcW w:w="4884" w:type="dxa"/>
            <w:tcBorders>
              <w:top w:val="single" w:sz="4" w:space="0" w:color="auto"/>
              <w:left w:val="nil"/>
              <w:bottom w:val="single" w:sz="4" w:space="0" w:color="auto"/>
              <w:right w:val="nil"/>
            </w:tcBorders>
            <w:shd w:val="clear" w:color="auto" w:fill="auto"/>
            <w:noWrap/>
            <w:vAlign w:val="center"/>
          </w:tcPr>
          <w:p w14:paraId="56A07C0E" w14:textId="77777777" w:rsidR="00F1465E" w:rsidRPr="00AC67B2" w:rsidRDefault="00F1465E" w:rsidP="00231073">
            <w:pPr>
              <w:spacing w:before="0" w:after="0" w:line="240" w:lineRule="auto"/>
              <w:ind w:firstLine="0"/>
              <w:jc w:val="left"/>
              <w:rPr>
                <w:sz w:val="20"/>
                <w:szCs w:val="20"/>
                <w:lang w:val="hy-AM"/>
              </w:rPr>
            </w:pPr>
            <w:r w:rsidRPr="00AC67B2">
              <w:rPr>
                <w:sz w:val="20"/>
                <w:szCs w:val="20"/>
                <w:lang w:val="hy-AM"/>
              </w:rPr>
              <w:t xml:space="preserve">ՀՀ կառավարության արտաքին պարտքի տոկոսավճարի փոփոխությունը </w:t>
            </w:r>
            <w:r w:rsidRPr="00AC67B2">
              <w:rPr>
                <w:rFonts w:cs="Times Unicode"/>
                <w:sz w:val="20"/>
                <w:szCs w:val="20"/>
                <w:lang w:val="hy-AM"/>
              </w:rPr>
              <w:t>(%)</w:t>
            </w:r>
          </w:p>
        </w:tc>
        <w:tc>
          <w:tcPr>
            <w:tcW w:w="1421" w:type="dxa"/>
            <w:tcBorders>
              <w:top w:val="single" w:sz="4" w:space="0" w:color="auto"/>
              <w:left w:val="nil"/>
              <w:bottom w:val="single" w:sz="4" w:space="0" w:color="auto"/>
              <w:right w:val="nil"/>
            </w:tcBorders>
            <w:shd w:val="clear" w:color="auto" w:fill="auto"/>
            <w:noWrap/>
            <w:vAlign w:val="center"/>
          </w:tcPr>
          <w:p w14:paraId="65C403F1"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13.5 </w:t>
            </w:r>
          </w:p>
        </w:tc>
        <w:tc>
          <w:tcPr>
            <w:tcW w:w="1421" w:type="dxa"/>
            <w:tcBorders>
              <w:top w:val="single" w:sz="4" w:space="0" w:color="auto"/>
              <w:left w:val="nil"/>
              <w:bottom w:val="single" w:sz="4" w:space="0" w:color="auto"/>
              <w:right w:val="nil"/>
            </w:tcBorders>
            <w:shd w:val="clear" w:color="auto" w:fill="auto"/>
            <w:noWrap/>
            <w:vAlign w:val="center"/>
          </w:tcPr>
          <w:p w14:paraId="2BD8331B"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13.8 </w:t>
            </w:r>
          </w:p>
        </w:tc>
        <w:tc>
          <w:tcPr>
            <w:tcW w:w="1422" w:type="dxa"/>
            <w:tcBorders>
              <w:top w:val="single" w:sz="4" w:space="0" w:color="auto"/>
              <w:left w:val="nil"/>
              <w:bottom w:val="single" w:sz="4" w:space="0" w:color="auto"/>
              <w:right w:val="nil"/>
            </w:tcBorders>
            <w:shd w:val="clear" w:color="auto" w:fill="auto"/>
            <w:noWrap/>
            <w:vAlign w:val="center"/>
          </w:tcPr>
          <w:p w14:paraId="202D64A2" w14:textId="77777777" w:rsidR="00F1465E" w:rsidRPr="00955540" w:rsidRDefault="00F1465E" w:rsidP="00231073">
            <w:pPr>
              <w:spacing w:before="0" w:after="0" w:line="240" w:lineRule="auto"/>
              <w:ind w:firstLine="0"/>
              <w:jc w:val="center"/>
              <w:rPr>
                <w:sz w:val="20"/>
                <w:szCs w:val="20"/>
                <w:lang w:val="hy-AM"/>
              </w:rPr>
            </w:pPr>
            <w:r w:rsidRPr="00955540">
              <w:rPr>
                <w:sz w:val="20"/>
                <w:szCs w:val="20"/>
              </w:rPr>
              <w:t xml:space="preserve">14.6 </w:t>
            </w:r>
          </w:p>
        </w:tc>
      </w:tr>
      <w:tr w:rsidR="00F1465E" w:rsidRPr="00AC67B2" w14:paraId="011B33EF" w14:textId="77777777" w:rsidTr="00231073">
        <w:trPr>
          <w:trHeight w:val="1170"/>
          <w:jc w:val="center"/>
        </w:trPr>
        <w:tc>
          <w:tcPr>
            <w:tcW w:w="4884" w:type="dxa"/>
            <w:tcBorders>
              <w:top w:val="single" w:sz="4" w:space="0" w:color="auto"/>
              <w:left w:val="nil"/>
              <w:bottom w:val="thinThickSmallGap" w:sz="24" w:space="0" w:color="auto"/>
              <w:right w:val="nil"/>
            </w:tcBorders>
            <w:shd w:val="clear" w:color="auto" w:fill="auto"/>
            <w:noWrap/>
            <w:vAlign w:val="center"/>
          </w:tcPr>
          <w:p w14:paraId="592126E8" w14:textId="77777777" w:rsidR="00F1465E" w:rsidRPr="00AC67B2" w:rsidRDefault="00F1465E" w:rsidP="00231073">
            <w:pPr>
              <w:spacing w:before="0" w:after="0" w:line="240" w:lineRule="auto"/>
              <w:ind w:firstLine="0"/>
              <w:jc w:val="left"/>
              <w:rPr>
                <w:sz w:val="20"/>
                <w:szCs w:val="20"/>
                <w:lang w:val="hy-AM"/>
              </w:rPr>
            </w:pPr>
            <w:r w:rsidRPr="00AC67B2">
              <w:rPr>
                <w:sz w:val="20"/>
                <w:szCs w:val="20"/>
                <w:lang w:val="hy-AM"/>
              </w:rPr>
              <w:t>ՀՀ կառավարության արտաքին պարտքի տոկոսավճարի փոփոխության կշիռը պետբյուջեի սեփական եկամուտներում (առանց դրամաշնորհի) (%)</w:t>
            </w:r>
          </w:p>
        </w:tc>
        <w:tc>
          <w:tcPr>
            <w:tcW w:w="1421" w:type="dxa"/>
            <w:tcBorders>
              <w:top w:val="single" w:sz="4" w:space="0" w:color="auto"/>
              <w:left w:val="nil"/>
              <w:bottom w:val="thinThickSmallGap" w:sz="24" w:space="0" w:color="auto"/>
              <w:right w:val="nil"/>
            </w:tcBorders>
            <w:shd w:val="clear" w:color="auto" w:fill="auto"/>
            <w:noWrap/>
            <w:vAlign w:val="center"/>
          </w:tcPr>
          <w:p w14:paraId="67DE8525"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0.4</w:t>
            </w:r>
          </w:p>
        </w:tc>
        <w:tc>
          <w:tcPr>
            <w:tcW w:w="1421" w:type="dxa"/>
            <w:tcBorders>
              <w:top w:val="single" w:sz="4" w:space="0" w:color="auto"/>
              <w:left w:val="nil"/>
              <w:bottom w:val="thinThickSmallGap" w:sz="24" w:space="0" w:color="auto"/>
              <w:right w:val="nil"/>
            </w:tcBorders>
            <w:shd w:val="clear" w:color="auto" w:fill="auto"/>
            <w:noWrap/>
            <w:vAlign w:val="center"/>
          </w:tcPr>
          <w:p w14:paraId="5EA6C7BD"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0.4</w:t>
            </w:r>
          </w:p>
        </w:tc>
        <w:tc>
          <w:tcPr>
            <w:tcW w:w="1422" w:type="dxa"/>
            <w:tcBorders>
              <w:top w:val="single" w:sz="4" w:space="0" w:color="auto"/>
              <w:left w:val="nil"/>
              <w:bottom w:val="thinThickSmallGap" w:sz="24" w:space="0" w:color="auto"/>
              <w:right w:val="nil"/>
            </w:tcBorders>
            <w:shd w:val="clear" w:color="auto" w:fill="auto"/>
            <w:noWrap/>
            <w:vAlign w:val="center"/>
          </w:tcPr>
          <w:p w14:paraId="3F497BB2"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0.4</w:t>
            </w:r>
          </w:p>
        </w:tc>
      </w:tr>
    </w:tbl>
    <w:p w14:paraId="0BA40A41" w14:textId="77777777" w:rsidR="00F1465E" w:rsidRPr="00AC67B2" w:rsidRDefault="00F1465E" w:rsidP="00F1465E">
      <w:pPr>
        <w:spacing w:before="0" w:after="0"/>
        <w:ind w:firstLine="720"/>
        <w:rPr>
          <w:color w:val="FF0000"/>
          <w:lang w:val="hy-AM"/>
        </w:rPr>
      </w:pPr>
    </w:p>
    <w:p w14:paraId="2F2A1C75" w14:textId="77777777" w:rsidR="00F1465E" w:rsidRPr="00A205DB" w:rsidRDefault="00F1465E" w:rsidP="00774AC5">
      <w:pPr>
        <w:spacing w:line="276" w:lineRule="auto"/>
        <w:ind w:firstLine="720"/>
        <w:rPr>
          <w:rFonts w:cs="Times Unicode"/>
          <w:lang w:val="hy-AM"/>
        </w:rPr>
      </w:pPr>
      <w:r w:rsidRPr="00AC67B2">
        <w:rPr>
          <w:rFonts w:cs="Times Unicode"/>
          <w:lang w:val="hy-AM"/>
        </w:rPr>
        <w:t>Ներքին պարտքի շուկայում, միջնաժամկետ հատվածի սկզբում, եկամտաբերության կորի մեկ տոկոսային կետով աճը 202</w:t>
      </w:r>
      <w:r w:rsidRPr="00A205DB">
        <w:rPr>
          <w:rFonts w:cs="Times Unicode"/>
          <w:lang w:val="hy-AM"/>
        </w:rPr>
        <w:t>1</w:t>
      </w:r>
      <w:r w:rsidRPr="00AC67B2">
        <w:rPr>
          <w:rFonts w:cs="Times Unicode"/>
          <w:lang w:val="hy-AM"/>
        </w:rPr>
        <w:t>-202</w:t>
      </w:r>
      <w:r w:rsidRPr="00A205DB">
        <w:rPr>
          <w:rFonts w:cs="Times Unicode"/>
          <w:lang w:val="hy-AM"/>
        </w:rPr>
        <w:t>3</w:t>
      </w:r>
      <w:r w:rsidRPr="00AC67B2">
        <w:rPr>
          <w:rFonts w:cs="Times Unicode"/>
          <w:lang w:val="hy-AM"/>
        </w:rPr>
        <w:t xml:space="preserve">թթ. ընթացքում կավելացնի պարտքի տոկոսավճարները տարեկան միջինը </w:t>
      </w:r>
      <w:r w:rsidRPr="00A205DB">
        <w:rPr>
          <w:rFonts w:cs="Times Unicode"/>
          <w:lang w:val="hy-AM"/>
        </w:rPr>
        <w:t>5</w:t>
      </w:r>
      <w:r w:rsidRPr="00AC67B2">
        <w:rPr>
          <w:rFonts w:cs="Times Unicode"/>
          <w:lang w:val="hy-AM"/>
        </w:rPr>
        <w:t>.</w:t>
      </w:r>
      <w:r w:rsidRPr="00A205DB">
        <w:rPr>
          <w:rFonts w:cs="Times Unicode"/>
          <w:lang w:val="hy-AM"/>
        </w:rPr>
        <w:t>5</w:t>
      </w:r>
      <w:r w:rsidRPr="00AC67B2">
        <w:rPr>
          <w:rFonts w:cs="Times Unicode"/>
          <w:lang w:val="hy-AM"/>
        </w:rPr>
        <w:t xml:space="preserve"> մլրդ դրամով:</w:t>
      </w:r>
    </w:p>
    <w:p w14:paraId="7D92865C" w14:textId="77777777" w:rsidR="00F1465E" w:rsidRPr="00A205DB" w:rsidRDefault="00F1465E" w:rsidP="00774AC5">
      <w:pPr>
        <w:spacing w:line="276" w:lineRule="auto"/>
        <w:ind w:firstLine="720"/>
        <w:rPr>
          <w:rFonts w:cs="Times Unicode"/>
          <w:lang w:val="hy-AM"/>
        </w:rPr>
      </w:pPr>
    </w:p>
    <w:p w14:paraId="79397569" w14:textId="77777777" w:rsidR="00F1465E" w:rsidRPr="00774AC5" w:rsidRDefault="00F1465E" w:rsidP="00774AC5">
      <w:pPr>
        <w:spacing w:line="276" w:lineRule="auto"/>
        <w:ind w:left="1843" w:hanging="1843"/>
        <w:rPr>
          <w:i/>
          <w:sz w:val="20"/>
          <w:szCs w:val="20"/>
          <w:lang w:val="hy-AM"/>
        </w:rPr>
      </w:pPr>
      <w:r w:rsidRPr="00774AC5">
        <w:rPr>
          <w:rFonts w:cs="Times Unicode"/>
          <w:b/>
          <w:sz w:val="20"/>
          <w:szCs w:val="20"/>
          <w:lang w:val="hy-AM"/>
        </w:rPr>
        <w:t>Աղյուսակ</w:t>
      </w:r>
      <w:r w:rsidRPr="00774AC5">
        <w:rPr>
          <w:b/>
          <w:sz w:val="20"/>
          <w:szCs w:val="20"/>
          <w:lang w:val="hy-AM"/>
        </w:rPr>
        <w:t xml:space="preserve"> </w:t>
      </w:r>
      <w:r w:rsidR="00774AC5" w:rsidRPr="00BE7F99">
        <w:rPr>
          <w:b/>
          <w:sz w:val="20"/>
          <w:szCs w:val="20"/>
          <w:lang w:val="hy-AM"/>
        </w:rPr>
        <w:t>1.</w:t>
      </w:r>
      <w:r w:rsidRPr="00774AC5">
        <w:rPr>
          <w:b/>
          <w:sz w:val="20"/>
          <w:szCs w:val="20"/>
          <w:lang w:val="hy-AM"/>
        </w:rPr>
        <w:t xml:space="preserve">15 </w:t>
      </w:r>
      <w:r w:rsidRPr="00774AC5">
        <w:rPr>
          <w:i/>
          <w:sz w:val="20"/>
          <w:szCs w:val="20"/>
          <w:lang w:val="hy-AM"/>
        </w:rPr>
        <w:t>Միջնաժամկետ հատվածի սկզբում ՀՀ կառավարության ներքին պարտքի</w:t>
      </w:r>
      <w:r w:rsidRPr="00774AC5">
        <w:rPr>
          <w:rFonts w:cs="Times Unicode"/>
          <w:i/>
          <w:sz w:val="20"/>
          <w:szCs w:val="20"/>
          <w:lang w:val="hy-AM"/>
        </w:rPr>
        <w:t xml:space="preserve"> տոկոսադրույքի</w:t>
      </w:r>
      <w:r w:rsidRPr="00774AC5">
        <w:rPr>
          <w:i/>
          <w:sz w:val="20"/>
          <w:szCs w:val="20"/>
          <w:lang w:val="hy-AM"/>
        </w:rPr>
        <w:t xml:space="preserve"> մեկ </w:t>
      </w:r>
      <w:r w:rsidRPr="00774AC5">
        <w:rPr>
          <w:rFonts w:cs="Times Unicode"/>
          <w:i/>
          <w:sz w:val="20"/>
          <w:szCs w:val="20"/>
          <w:lang w:val="hy-AM"/>
        </w:rPr>
        <w:t>տոկոսային</w:t>
      </w:r>
      <w:r w:rsidRPr="00774AC5">
        <w:rPr>
          <w:i/>
          <w:sz w:val="20"/>
          <w:szCs w:val="20"/>
          <w:lang w:val="hy-AM"/>
        </w:rPr>
        <w:t xml:space="preserve"> </w:t>
      </w:r>
      <w:r w:rsidRPr="00774AC5">
        <w:rPr>
          <w:rFonts w:cs="Times Unicode"/>
          <w:i/>
          <w:sz w:val="20"/>
          <w:szCs w:val="20"/>
          <w:lang w:val="hy-AM"/>
        </w:rPr>
        <w:t>կետի</w:t>
      </w:r>
      <w:r w:rsidRPr="00774AC5">
        <w:rPr>
          <w:i/>
          <w:sz w:val="20"/>
          <w:szCs w:val="20"/>
          <w:lang w:val="hy-AM"/>
        </w:rPr>
        <w:t xml:space="preserve"> </w:t>
      </w:r>
      <w:r w:rsidRPr="00774AC5">
        <w:rPr>
          <w:rFonts w:cs="Times Unicode"/>
          <w:i/>
          <w:sz w:val="20"/>
          <w:szCs w:val="20"/>
          <w:lang w:val="hy-AM"/>
        </w:rPr>
        <w:t>փոփոխության</w:t>
      </w:r>
      <w:r w:rsidRPr="00774AC5">
        <w:rPr>
          <w:i/>
          <w:sz w:val="20"/>
          <w:szCs w:val="20"/>
          <w:lang w:val="hy-AM"/>
        </w:rPr>
        <w:t xml:space="preserve"> ազդեցությունը ՀՀ կառավարության ներքին պարտքի տոկոսավճարի վրա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1"/>
        <w:gridCol w:w="1170"/>
        <w:gridCol w:w="1040"/>
        <w:gridCol w:w="1107"/>
      </w:tblGrid>
      <w:tr w:rsidR="00F1465E" w:rsidRPr="00BB7FB8" w14:paraId="68FD3A46" w14:textId="77777777" w:rsidTr="00231073">
        <w:trPr>
          <w:trHeight w:val="612"/>
          <w:tblHeader/>
          <w:jc w:val="center"/>
        </w:trPr>
        <w:tc>
          <w:tcPr>
            <w:tcW w:w="5191" w:type="dxa"/>
            <w:tcBorders>
              <w:top w:val="thinThickThinSmallGap" w:sz="24" w:space="0" w:color="auto"/>
              <w:left w:val="nil"/>
              <w:bottom w:val="thinThickSmallGap" w:sz="24" w:space="0" w:color="auto"/>
              <w:right w:val="nil"/>
            </w:tcBorders>
            <w:shd w:val="clear" w:color="auto" w:fill="0B70B5"/>
            <w:vAlign w:val="center"/>
          </w:tcPr>
          <w:p w14:paraId="2C5A3AA7" w14:textId="77777777" w:rsidR="00F1465E" w:rsidRPr="00C35116" w:rsidRDefault="00F1465E" w:rsidP="00231073">
            <w:pPr>
              <w:spacing w:before="0" w:after="0" w:line="240" w:lineRule="auto"/>
              <w:ind w:firstLine="0"/>
              <w:rPr>
                <w:color w:val="FFFFFF" w:themeColor="background1"/>
                <w:sz w:val="20"/>
                <w:szCs w:val="20"/>
                <w:lang w:val="hy-AM"/>
              </w:rPr>
            </w:pPr>
          </w:p>
        </w:tc>
        <w:tc>
          <w:tcPr>
            <w:tcW w:w="1170" w:type="dxa"/>
            <w:tcBorders>
              <w:top w:val="thinThickThinSmallGap" w:sz="24" w:space="0" w:color="auto"/>
              <w:left w:val="double" w:sz="4" w:space="0" w:color="auto"/>
              <w:bottom w:val="thinThickSmallGap" w:sz="24" w:space="0" w:color="auto"/>
              <w:right w:val="nil"/>
            </w:tcBorders>
            <w:shd w:val="clear" w:color="auto" w:fill="0B70B5"/>
            <w:vAlign w:val="center"/>
          </w:tcPr>
          <w:p w14:paraId="1C88D5BD"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40" w:type="dxa"/>
            <w:tcBorders>
              <w:top w:val="thinThickThinSmallGap" w:sz="24" w:space="0" w:color="auto"/>
              <w:left w:val="nil"/>
              <w:bottom w:val="thinThickSmallGap" w:sz="24" w:space="0" w:color="auto"/>
              <w:right w:val="nil"/>
            </w:tcBorders>
            <w:shd w:val="clear" w:color="auto" w:fill="0B70B5"/>
            <w:vAlign w:val="center"/>
          </w:tcPr>
          <w:p w14:paraId="487C688F"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107" w:type="dxa"/>
            <w:tcBorders>
              <w:top w:val="thinThickThinSmallGap" w:sz="24" w:space="0" w:color="auto"/>
              <w:left w:val="nil"/>
              <w:bottom w:val="thinThickSmallGap" w:sz="24" w:space="0" w:color="auto"/>
              <w:right w:val="nil"/>
            </w:tcBorders>
            <w:shd w:val="clear" w:color="auto" w:fill="0B70B5"/>
            <w:vAlign w:val="center"/>
          </w:tcPr>
          <w:p w14:paraId="67C418ED"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AC67B2" w14:paraId="6EA245D0" w14:textId="77777777" w:rsidTr="00231073">
        <w:trPr>
          <w:trHeight w:val="607"/>
          <w:jc w:val="center"/>
        </w:trPr>
        <w:tc>
          <w:tcPr>
            <w:tcW w:w="5191" w:type="dxa"/>
            <w:tcBorders>
              <w:left w:val="nil"/>
              <w:right w:val="nil"/>
            </w:tcBorders>
            <w:vAlign w:val="center"/>
          </w:tcPr>
          <w:p w14:paraId="55B18B23" w14:textId="77777777" w:rsidR="00F1465E" w:rsidRPr="00AC67B2" w:rsidRDefault="00F1465E" w:rsidP="00231073">
            <w:pPr>
              <w:spacing w:before="0" w:after="0" w:line="240" w:lineRule="auto"/>
              <w:ind w:firstLine="0"/>
              <w:jc w:val="left"/>
              <w:rPr>
                <w:sz w:val="20"/>
                <w:szCs w:val="20"/>
                <w:lang w:val="hy-AM"/>
              </w:rPr>
            </w:pPr>
            <w:r w:rsidRPr="00AC67B2">
              <w:rPr>
                <w:rFonts w:cs="Times Unicode"/>
                <w:sz w:val="20"/>
                <w:szCs w:val="20"/>
                <w:lang w:val="hy-AM"/>
              </w:rPr>
              <w:t>ՀՀ կառավարության ներքին պարտքի տոկոսավճարի փոփոխությունը (մլրդ դրամ)</w:t>
            </w:r>
          </w:p>
        </w:tc>
        <w:tc>
          <w:tcPr>
            <w:tcW w:w="1170" w:type="dxa"/>
            <w:tcBorders>
              <w:left w:val="double" w:sz="4" w:space="0" w:color="auto"/>
              <w:right w:val="nil"/>
            </w:tcBorders>
            <w:vAlign w:val="center"/>
          </w:tcPr>
          <w:p w14:paraId="17339349" w14:textId="77777777" w:rsidR="00F1465E" w:rsidRPr="00246415" w:rsidRDefault="00F1465E" w:rsidP="00231073">
            <w:pPr>
              <w:spacing w:before="0" w:after="0" w:line="240" w:lineRule="auto"/>
              <w:ind w:firstLine="0"/>
              <w:jc w:val="center"/>
              <w:rPr>
                <w:sz w:val="20"/>
                <w:szCs w:val="20"/>
                <w:lang w:val="hy-AM"/>
              </w:rPr>
            </w:pPr>
            <w:r w:rsidRPr="00246415">
              <w:rPr>
                <w:sz w:val="20"/>
                <w:szCs w:val="20"/>
              </w:rPr>
              <w:t xml:space="preserve">2.0 </w:t>
            </w:r>
          </w:p>
        </w:tc>
        <w:tc>
          <w:tcPr>
            <w:tcW w:w="1040" w:type="dxa"/>
            <w:tcBorders>
              <w:left w:val="nil"/>
              <w:right w:val="nil"/>
            </w:tcBorders>
            <w:vAlign w:val="center"/>
          </w:tcPr>
          <w:p w14:paraId="30A61BA1" w14:textId="77777777" w:rsidR="00F1465E" w:rsidRPr="00246415" w:rsidRDefault="00F1465E" w:rsidP="00231073">
            <w:pPr>
              <w:spacing w:before="0" w:after="0" w:line="240" w:lineRule="auto"/>
              <w:ind w:firstLine="0"/>
              <w:jc w:val="center"/>
              <w:rPr>
                <w:sz w:val="20"/>
                <w:szCs w:val="20"/>
                <w:lang w:val="hy-AM"/>
              </w:rPr>
            </w:pPr>
            <w:r w:rsidRPr="00246415">
              <w:rPr>
                <w:sz w:val="20"/>
                <w:szCs w:val="20"/>
              </w:rPr>
              <w:t xml:space="preserve">5.4 </w:t>
            </w:r>
          </w:p>
        </w:tc>
        <w:tc>
          <w:tcPr>
            <w:tcW w:w="1107" w:type="dxa"/>
            <w:tcBorders>
              <w:left w:val="nil"/>
              <w:right w:val="nil"/>
            </w:tcBorders>
            <w:vAlign w:val="center"/>
          </w:tcPr>
          <w:p w14:paraId="6F7ECD98" w14:textId="77777777" w:rsidR="00F1465E" w:rsidRPr="00246415" w:rsidRDefault="00F1465E" w:rsidP="00231073">
            <w:pPr>
              <w:spacing w:before="0" w:after="0" w:line="240" w:lineRule="auto"/>
              <w:ind w:firstLine="0"/>
              <w:jc w:val="center"/>
              <w:rPr>
                <w:sz w:val="20"/>
                <w:szCs w:val="20"/>
                <w:lang w:val="hy-AM"/>
              </w:rPr>
            </w:pPr>
            <w:r w:rsidRPr="00246415">
              <w:rPr>
                <w:sz w:val="20"/>
                <w:szCs w:val="20"/>
              </w:rPr>
              <w:t xml:space="preserve">9.1 </w:t>
            </w:r>
          </w:p>
        </w:tc>
      </w:tr>
      <w:tr w:rsidR="00F1465E" w:rsidRPr="00AC67B2" w14:paraId="0CF8E1D4" w14:textId="77777777" w:rsidTr="00231073">
        <w:trPr>
          <w:trHeight w:val="696"/>
          <w:jc w:val="center"/>
        </w:trPr>
        <w:tc>
          <w:tcPr>
            <w:tcW w:w="5191" w:type="dxa"/>
            <w:tcBorders>
              <w:left w:val="nil"/>
              <w:right w:val="nil"/>
            </w:tcBorders>
            <w:vAlign w:val="center"/>
          </w:tcPr>
          <w:p w14:paraId="625D37AB" w14:textId="77777777" w:rsidR="00F1465E" w:rsidRPr="00AC67B2" w:rsidRDefault="00F1465E" w:rsidP="00231073">
            <w:pPr>
              <w:spacing w:before="0" w:after="0" w:line="240" w:lineRule="auto"/>
              <w:ind w:firstLine="0"/>
              <w:jc w:val="left"/>
              <w:rPr>
                <w:sz w:val="20"/>
                <w:szCs w:val="20"/>
                <w:lang w:val="hy-AM"/>
              </w:rPr>
            </w:pPr>
            <w:r w:rsidRPr="00AC67B2">
              <w:rPr>
                <w:rFonts w:cs="Times Unicode"/>
                <w:sz w:val="20"/>
                <w:szCs w:val="20"/>
                <w:lang w:val="hy-AM"/>
              </w:rPr>
              <w:t>ՀՀ կառավարության ներքին պարտքի տոկոսավճարի փոփոխությունը (%)</w:t>
            </w:r>
          </w:p>
        </w:tc>
        <w:tc>
          <w:tcPr>
            <w:tcW w:w="1170" w:type="dxa"/>
            <w:tcBorders>
              <w:left w:val="double" w:sz="4" w:space="0" w:color="auto"/>
              <w:right w:val="nil"/>
            </w:tcBorders>
            <w:vAlign w:val="center"/>
          </w:tcPr>
          <w:p w14:paraId="2D2D85BF" w14:textId="77777777" w:rsidR="00F1465E" w:rsidRPr="00246415" w:rsidRDefault="00F1465E" w:rsidP="00231073">
            <w:pPr>
              <w:spacing w:before="0" w:after="0" w:line="240" w:lineRule="auto"/>
              <w:ind w:firstLine="0"/>
              <w:jc w:val="center"/>
              <w:rPr>
                <w:sz w:val="20"/>
                <w:szCs w:val="20"/>
              </w:rPr>
            </w:pPr>
            <w:r w:rsidRPr="00AC67B2">
              <w:rPr>
                <w:sz w:val="20"/>
                <w:szCs w:val="20"/>
                <w:lang w:val="hy-AM"/>
              </w:rPr>
              <w:t>1.</w:t>
            </w:r>
            <w:r>
              <w:rPr>
                <w:sz w:val="20"/>
                <w:szCs w:val="20"/>
              </w:rPr>
              <w:t>8</w:t>
            </w:r>
          </w:p>
        </w:tc>
        <w:tc>
          <w:tcPr>
            <w:tcW w:w="1040" w:type="dxa"/>
            <w:tcBorders>
              <w:left w:val="nil"/>
              <w:right w:val="nil"/>
            </w:tcBorders>
            <w:vAlign w:val="center"/>
          </w:tcPr>
          <w:p w14:paraId="4670B612" w14:textId="77777777" w:rsidR="00F1465E" w:rsidRPr="00246415" w:rsidRDefault="00F1465E" w:rsidP="00231073">
            <w:pPr>
              <w:spacing w:before="0" w:after="0" w:line="240" w:lineRule="auto"/>
              <w:ind w:firstLine="0"/>
              <w:jc w:val="center"/>
              <w:rPr>
                <w:sz w:val="20"/>
                <w:szCs w:val="20"/>
              </w:rPr>
            </w:pPr>
            <w:r>
              <w:rPr>
                <w:sz w:val="20"/>
                <w:szCs w:val="20"/>
              </w:rPr>
              <w:t>4</w:t>
            </w:r>
            <w:r w:rsidRPr="00AC67B2">
              <w:rPr>
                <w:sz w:val="20"/>
                <w:szCs w:val="20"/>
                <w:lang w:val="hy-AM"/>
              </w:rPr>
              <w:t>.</w:t>
            </w:r>
            <w:r>
              <w:rPr>
                <w:sz w:val="20"/>
                <w:szCs w:val="20"/>
              </w:rPr>
              <w:t>3</w:t>
            </w:r>
          </w:p>
        </w:tc>
        <w:tc>
          <w:tcPr>
            <w:tcW w:w="1107" w:type="dxa"/>
            <w:tcBorders>
              <w:left w:val="nil"/>
              <w:right w:val="nil"/>
            </w:tcBorders>
            <w:vAlign w:val="center"/>
          </w:tcPr>
          <w:p w14:paraId="6D05A787" w14:textId="77777777" w:rsidR="00F1465E" w:rsidRPr="00246415" w:rsidRDefault="00F1465E" w:rsidP="00231073">
            <w:pPr>
              <w:spacing w:before="0" w:after="0" w:line="240" w:lineRule="auto"/>
              <w:ind w:firstLine="0"/>
              <w:jc w:val="center"/>
              <w:rPr>
                <w:sz w:val="20"/>
                <w:szCs w:val="20"/>
              </w:rPr>
            </w:pPr>
            <w:r>
              <w:rPr>
                <w:sz w:val="20"/>
                <w:szCs w:val="20"/>
              </w:rPr>
              <w:t>6</w:t>
            </w:r>
            <w:r w:rsidRPr="00AC67B2">
              <w:rPr>
                <w:sz w:val="20"/>
                <w:szCs w:val="20"/>
                <w:lang w:val="hy-AM"/>
              </w:rPr>
              <w:t>.</w:t>
            </w:r>
            <w:r>
              <w:rPr>
                <w:sz w:val="20"/>
                <w:szCs w:val="20"/>
              </w:rPr>
              <w:t>0</w:t>
            </w:r>
          </w:p>
        </w:tc>
      </w:tr>
      <w:tr w:rsidR="00F1465E" w:rsidRPr="00AC67B2" w14:paraId="771FF5D9" w14:textId="77777777" w:rsidTr="00231073">
        <w:trPr>
          <w:trHeight w:val="887"/>
          <w:jc w:val="center"/>
        </w:trPr>
        <w:tc>
          <w:tcPr>
            <w:tcW w:w="5191" w:type="dxa"/>
            <w:tcBorders>
              <w:left w:val="nil"/>
              <w:bottom w:val="thickThinSmallGap" w:sz="24" w:space="0" w:color="auto"/>
              <w:right w:val="nil"/>
            </w:tcBorders>
            <w:vAlign w:val="center"/>
          </w:tcPr>
          <w:p w14:paraId="42FC3830" w14:textId="77777777" w:rsidR="00F1465E" w:rsidRPr="00AC67B2" w:rsidRDefault="00F1465E" w:rsidP="00231073">
            <w:pPr>
              <w:spacing w:before="0" w:after="0" w:line="240" w:lineRule="auto"/>
              <w:ind w:firstLine="0"/>
              <w:jc w:val="left"/>
              <w:rPr>
                <w:sz w:val="20"/>
                <w:szCs w:val="20"/>
                <w:lang w:val="hy-AM"/>
              </w:rPr>
            </w:pPr>
            <w:r w:rsidRPr="00AC67B2">
              <w:rPr>
                <w:rFonts w:cs="Times Unicode"/>
                <w:sz w:val="20"/>
                <w:szCs w:val="20"/>
                <w:lang w:val="hy-AM"/>
              </w:rPr>
              <w:lastRenderedPageBreak/>
              <w:t xml:space="preserve">ՀՀ կառավարության ներքին պարտքի տոկոսավճարի փոփոխության կշիռը պետբյուջեի սեփական եկամուտներում (առանց </w:t>
            </w:r>
            <w:r w:rsidRPr="00AC67B2">
              <w:rPr>
                <w:sz w:val="20"/>
                <w:szCs w:val="20"/>
                <w:lang w:val="hy-AM"/>
              </w:rPr>
              <w:t>դրամաշնորհ</w:t>
            </w:r>
            <w:r w:rsidRPr="00AC67B2">
              <w:rPr>
                <w:rFonts w:cs="Times Unicode"/>
                <w:sz w:val="20"/>
                <w:szCs w:val="20"/>
                <w:lang w:val="hy-AM"/>
              </w:rPr>
              <w:t>)</w:t>
            </w:r>
            <w:r w:rsidRPr="00AC67B2">
              <w:rPr>
                <w:sz w:val="20"/>
                <w:szCs w:val="20"/>
                <w:lang w:val="hy-AM"/>
              </w:rPr>
              <w:t xml:space="preserve"> (%)</w:t>
            </w:r>
          </w:p>
        </w:tc>
        <w:tc>
          <w:tcPr>
            <w:tcW w:w="1170" w:type="dxa"/>
            <w:tcBorders>
              <w:left w:val="double" w:sz="4" w:space="0" w:color="auto"/>
              <w:bottom w:val="thickThinSmallGap" w:sz="24" w:space="0" w:color="auto"/>
              <w:right w:val="nil"/>
            </w:tcBorders>
            <w:vAlign w:val="center"/>
          </w:tcPr>
          <w:p w14:paraId="61046FCA" w14:textId="77777777" w:rsidR="00F1465E" w:rsidRPr="00AC67B2" w:rsidRDefault="00F1465E" w:rsidP="00231073">
            <w:pPr>
              <w:spacing w:before="0" w:after="0" w:line="240" w:lineRule="auto"/>
              <w:ind w:firstLine="0"/>
              <w:jc w:val="center"/>
              <w:rPr>
                <w:sz w:val="20"/>
                <w:szCs w:val="20"/>
                <w:lang w:val="hy-AM"/>
              </w:rPr>
            </w:pPr>
            <w:r w:rsidRPr="00AC67B2">
              <w:rPr>
                <w:sz w:val="20"/>
                <w:szCs w:val="20"/>
                <w:lang w:val="hy-AM"/>
              </w:rPr>
              <w:t>0.1</w:t>
            </w:r>
          </w:p>
        </w:tc>
        <w:tc>
          <w:tcPr>
            <w:tcW w:w="1040" w:type="dxa"/>
            <w:tcBorders>
              <w:left w:val="nil"/>
              <w:bottom w:val="thickThinSmallGap" w:sz="24" w:space="0" w:color="auto"/>
              <w:right w:val="nil"/>
            </w:tcBorders>
            <w:vAlign w:val="center"/>
          </w:tcPr>
          <w:p w14:paraId="024176DF" w14:textId="77777777" w:rsidR="00F1465E" w:rsidRPr="00246415" w:rsidRDefault="00F1465E" w:rsidP="00231073">
            <w:pPr>
              <w:spacing w:before="0" w:after="0" w:line="240" w:lineRule="auto"/>
              <w:ind w:firstLine="0"/>
              <w:jc w:val="center"/>
              <w:rPr>
                <w:sz w:val="20"/>
                <w:szCs w:val="20"/>
              </w:rPr>
            </w:pPr>
            <w:r w:rsidRPr="00AC67B2">
              <w:rPr>
                <w:sz w:val="20"/>
                <w:szCs w:val="20"/>
                <w:lang w:val="hy-AM"/>
              </w:rPr>
              <w:t>0.</w:t>
            </w:r>
            <w:r>
              <w:rPr>
                <w:sz w:val="20"/>
                <w:szCs w:val="20"/>
              </w:rPr>
              <w:t>3</w:t>
            </w:r>
          </w:p>
        </w:tc>
        <w:tc>
          <w:tcPr>
            <w:tcW w:w="1107" w:type="dxa"/>
            <w:tcBorders>
              <w:left w:val="nil"/>
              <w:bottom w:val="thickThinSmallGap" w:sz="24" w:space="0" w:color="auto"/>
              <w:right w:val="nil"/>
            </w:tcBorders>
            <w:vAlign w:val="center"/>
          </w:tcPr>
          <w:p w14:paraId="2479FE5D" w14:textId="77777777" w:rsidR="00F1465E" w:rsidRPr="00246415" w:rsidRDefault="00F1465E" w:rsidP="00231073">
            <w:pPr>
              <w:spacing w:before="0" w:after="0" w:line="240" w:lineRule="auto"/>
              <w:ind w:firstLine="0"/>
              <w:jc w:val="center"/>
              <w:rPr>
                <w:sz w:val="20"/>
                <w:szCs w:val="20"/>
              </w:rPr>
            </w:pPr>
            <w:r w:rsidRPr="00AC67B2">
              <w:rPr>
                <w:sz w:val="20"/>
                <w:szCs w:val="20"/>
                <w:lang w:val="hy-AM"/>
              </w:rPr>
              <w:t>0.</w:t>
            </w:r>
            <w:r>
              <w:rPr>
                <w:sz w:val="20"/>
                <w:szCs w:val="20"/>
              </w:rPr>
              <w:t>4</w:t>
            </w:r>
          </w:p>
        </w:tc>
      </w:tr>
    </w:tbl>
    <w:p w14:paraId="2027824A" w14:textId="77777777" w:rsidR="00FE76C6" w:rsidRDefault="00FE76C6" w:rsidP="00F1465E">
      <w:pPr>
        <w:spacing w:before="0" w:after="0" w:line="360" w:lineRule="auto"/>
        <w:ind w:firstLine="720"/>
        <w:rPr>
          <w:rFonts w:cs="Times Unicode"/>
          <w:lang w:val="hy-AM"/>
        </w:rPr>
      </w:pPr>
    </w:p>
    <w:p w14:paraId="26BE1F7C" w14:textId="77777777" w:rsidR="00F1465E" w:rsidRPr="00AC67B2" w:rsidRDefault="00F1465E" w:rsidP="00FE76C6">
      <w:pPr>
        <w:spacing w:before="0" w:after="0" w:line="276" w:lineRule="auto"/>
        <w:ind w:firstLine="720"/>
        <w:rPr>
          <w:rFonts w:cs="Times Unicode"/>
          <w:lang w:val="hy-AM"/>
        </w:rPr>
      </w:pPr>
      <w:r w:rsidRPr="00A205DB">
        <w:rPr>
          <w:rFonts w:cs="Times Unicode"/>
          <w:lang w:val="hy-AM"/>
        </w:rPr>
        <w:t>Իրականացված զ</w:t>
      </w:r>
      <w:r w:rsidRPr="00AC67B2">
        <w:rPr>
          <w:rFonts w:cs="Times Unicode"/>
          <w:lang w:val="hy-AM"/>
        </w:rPr>
        <w:t>գայունության վերլուծությունները թույլ են տալիս ենթադրել, որ ՀՀ կառավարության պարտքի պորտֆելի վրա փոխարժեքի շոկի ազդեցությունը շատ ավելի մեծ է, քան տոկո</w:t>
      </w:r>
      <w:r w:rsidRPr="00AC67B2">
        <w:rPr>
          <w:rFonts w:cs="Times Unicode"/>
          <w:lang w:val="hy-AM"/>
        </w:rPr>
        <w:softHyphen/>
        <w:t>սա</w:t>
      </w:r>
      <w:r w:rsidRPr="00AC67B2">
        <w:rPr>
          <w:rFonts w:cs="Times Unicode"/>
          <w:lang w:val="hy-AM"/>
        </w:rPr>
        <w:softHyphen/>
        <w:t xml:space="preserve">դրույքի շոկի ազդեցությունը: Դա </w:t>
      </w:r>
      <w:r w:rsidRPr="00A205DB">
        <w:rPr>
          <w:rFonts w:cs="Times Unicode"/>
          <w:lang w:val="hy-AM"/>
        </w:rPr>
        <w:t xml:space="preserve">հիմնականում </w:t>
      </w:r>
      <w:r w:rsidRPr="00AC67B2">
        <w:rPr>
          <w:rFonts w:cs="Times Unicode"/>
          <w:lang w:val="hy-AM"/>
        </w:rPr>
        <w:t xml:space="preserve">պայմանավորված է </w:t>
      </w:r>
      <w:r w:rsidRPr="00A205DB">
        <w:rPr>
          <w:rFonts w:cs="Times Unicode"/>
          <w:lang w:val="hy-AM"/>
        </w:rPr>
        <w:t xml:space="preserve">մի կողմից </w:t>
      </w:r>
      <w:r w:rsidRPr="00AC67B2">
        <w:rPr>
          <w:rFonts w:cs="Times Unicode"/>
          <w:lang w:val="hy-AM"/>
        </w:rPr>
        <w:t xml:space="preserve">ՀՀ կառավարության պարտքի պորտֆելում արտարժութային պարտքի մեծ տեսակարար կշռով և </w:t>
      </w:r>
      <w:r w:rsidRPr="00A205DB">
        <w:rPr>
          <w:rFonts w:cs="Times Unicode"/>
          <w:lang w:val="hy-AM"/>
        </w:rPr>
        <w:t xml:space="preserve">մյուս կողմից` </w:t>
      </w:r>
      <w:r w:rsidRPr="00AC67B2">
        <w:rPr>
          <w:rFonts w:cs="Times Unicode"/>
          <w:lang w:val="hy-AM"/>
        </w:rPr>
        <w:t>ֆիքսված տոկոսադրույքով պարտքի գերակայությամբ:</w:t>
      </w:r>
    </w:p>
    <w:p w14:paraId="66CAA047" w14:textId="77777777" w:rsidR="00F1465E" w:rsidRPr="00A205DB" w:rsidRDefault="00F1465E" w:rsidP="00FE76C6">
      <w:pPr>
        <w:spacing w:line="276" w:lineRule="auto"/>
        <w:ind w:firstLine="720"/>
        <w:rPr>
          <w:rFonts w:cs="Times Unicode"/>
          <w:color w:val="FF0000"/>
          <w:u w:val="single"/>
          <w:lang w:val="hy-AM"/>
        </w:rPr>
      </w:pPr>
    </w:p>
    <w:p w14:paraId="0673A188" w14:textId="77777777" w:rsidR="00F1465E" w:rsidRPr="00AC67B2" w:rsidRDefault="00F1465E" w:rsidP="00FE76C6">
      <w:pPr>
        <w:spacing w:after="100" w:afterAutospacing="1" w:line="276" w:lineRule="auto"/>
        <w:ind w:firstLine="720"/>
        <w:rPr>
          <w:rFonts w:cs="Times Unicode"/>
          <w:u w:val="single"/>
          <w:lang w:val="hy-AM"/>
        </w:rPr>
      </w:pPr>
      <w:r w:rsidRPr="00AC67B2">
        <w:rPr>
          <w:rFonts w:cs="Times Unicode"/>
          <w:u w:val="single"/>
          <w:lang w:val="hy-AM"/>
        </w:rPr>
        <w:t>Եզրակացություններ</w:t>
      </w:r>
    </w:p>
    <w:p w14:paraId="1D089ACD" w14:textId="77777777" w:rsidR="00F1465E" w:rsidRPr="00AC67B2" w:rsidRDefault="00F1465E" w:rsidP="00FE76C6">
      <w:pPr>
        <w:spacing w:line="276" w:lineRule="auto"/>
        <w:ind w:firstLine="720"/>
        <w:rPr>
          <w:rFonts w:cs="Times Unicode"/>
          <w:lang w:val="hy-AM"/>
        </w:rPr>
      </w:pPr>
      <w:r w:rsidRPr="00AC67B2">
        <w:rPr>
          <w:rFonts w:cs="Times Unicode"/>
          <w:lang w:val="hy-AM"/>
        </w:rPr>
        <w:t>ՀՀ կառավարության պարտքի պորտֆելի ծախսերի և ռիսկերի վերլուծության արդյունք</w:t>
      </w:r>
      <w:r w:rsidRPr="00AC67B2">
        <w:rPr>
          <w:rFonts w:cs="Times Unicode"/>
          <w:lang w:val="hy-AM"/>
        </w:rPr>
        <w:softHyphen/>
        <w:t>ները ցույց են տալիս, որ պարտքի պորտֆելն ամենաշատը ենթակա է փոխարժեքի ռիսկի ազդե</w:t>
      </w:r>
      <w:r w:rsidRPr="00AC67B2">
        <w:rPr>
          <w:rFonts w:cs="Times Unicode"/>
          <w:lang w:val="hy-AM"/>
        </w:rPr>
        <w:softHyphen/>
        <w:t>ցությանը: Այդ իսկ պատճառով, ՀՀ կառավարությունն առաջնային է համարում պետական գան</w:t>
      </w:r>
      <w:r w:rsidRPr="00AC67B2">
        <w:rPr>
          <w:rFonts w:cs="Times Unicode"/>
          <w:lang w:val="hy-AM"/>
        </w:rPr>
        <w:softHyphen/>
        <w:t>ձա</w:t>
      </w:r>
      <w:r w:rsidRPr="00AC67B2">
        <w:rPr>
          <w:rFonts w:cs="Times Unicode"/>
          <w:lang w:val="hy-AM"/>
        </w:rPr>
        <w:softHyphen/>
        <w:t>պե</w:t>
      </w:r>
      <w:r w:rsidRPr="00AC67B2">
        <w:rPr>
          <w:rFonts w:cs="Times Unicode"/>
          <w:lang w:val="hy-AM"/>
        </w:rPr>
        <w:softHyphen/>
        <w:t>տական պարտատոմսերի շուկայի շարունակական զարգացումը և ներքին շուկայից փոխա</w:t>
      </w:r>
      <w:r w:rsidRPr="00AC67B2">
        <w:rPr>
          <w:rFonts w:cs="Times Unicode"/>
          <w:lang w:val="hy-AM"/>
        </w:rPr>
        <w:softHyphen/>
        <w:t>ռությունների ներգրավման ծավալի աճ</w:t>
      </w:r>
      <w:r w:rsidRPr="00A205DB">
        <w:rPr>
          <w:rFonts w:cs="Times Unicode"/>
          <w:lang w:val="hy-AM"/>
        </w:rPr>
        <w:t>ի միջոցով դրամային</w:t>
      </w:r>
      <w:r w:rsidRPr="00E64CA4">
        <w:rPr>
          <w:rFonts w:cs="Times Unicode"/>
          <w:lang w:val="hy-AM"/>
        </w:rPr>
        <w:t xml:space="preserve"> պարտքի մասնաբաժն</w:t>
      </w:r>
      <w:r w:rsidRPr="00A205DB">
        <w:rPr>
          <w:rFonts w:cs="Times Unicode"/>
          <w:lang w:val="hy-AM"/>
        </w:rPr>
        <w:t>ի</w:t>
      </w:r>
      <w:r w:rsidRPr="00E141AD">
        <w:rPr>
          <w:rFonts w:cs="Times Unicode"/>
          <w:lang w:val="hy-AM"/>
        </w:rPr>
        <w:t xml:space="preserve"> </w:t>
      </w:r>
      <w:r w:rsidRPr="009D2268">
        <w:rPr>
          <w:rFonts w:cs="Times Unicode"/>
          <w:lang w:val="hy-AM"/>
        </w:rPr>
        <w:t>ավելաց</w:t>
      </w:r>
      <w:r w:rsidRPr="00A205DB">
        <w:rPr>
          <w:rFonts w:cs="Times Unicode"/>
          <w:lang w:val="hy-AM"/>
        </w:rPr>
        <w:t>ումը</w:t>
      </w:r>
      <w:r w:rsidRPr="00AC67B2">
        <w:rPr>
          <w:rFonts w:cs="Times Unicode"/>
          <w:lang w:val="hy-AM"/>
        </w:rPr>
        <w:t>: 202</w:t>
      </w:r>
      <w:r w:rsidRPr="00A205DB">
        <w:rPr>
          <w:rFonts w:cs="Times Unicode"/>
          <w:lang w:val="hy-AM"/>
        </w:rPr>
        <w:t>1</w:t>
      </w:r>
      <w:r w:rsidRPr="00AC67B2">
        <w:rPr>
          <w:rFonts w:cs="Times Unicode"/>
          <w:lang w:val="hy-AM"/>
        </w:rPr>
        <w:t>-202</w:t>
      </w:r>
      <w:r w:rsidRPr="00A205DB">
        <w:rPr>
          <w:rFonts w:cs="Times Unicode"/>
          <w:lang w:val="hy-AM"/>
        </w:rPr>
        <w:t>3</w:t>
      </w:r>
      <w:r w:rsidRPr="00AC67B2">
        <w:rPr>
          <w:rFonts w:cs="Times Unicode"/>
          <w:lang w:val="hy-AM"/>
        </w:rPr>
        <w:t>թթ. ժամանակահատվածում նախա</w:t>
      </w:r>
      <w:r w:rsidRPr="00AC67B2">
        <w:rPr>
          <w:rFonts w:cs="Times Unicode"/>
          <w:lang w:val="hy-AM"/>
        </w:rPr>
        <w:softHyphen/>
        <w:t>տես</w:t>
      </w:r>
      <w:r w:rsidRPr="00AC67B2">
        <w:rPr>
          <w:rFonts w:cs="Times Unicode"/>
          <w:lang w:val="hy-AM"/>
        </w:rPr>
        <w:softHyphen/>
        <w:t xml:space="preserve">վում է ավելացնել ներքին փոխառու զուտ </w:t>
      </w:r>
      <w:r w:rsidRPr="00080E7B">
        <w:rPr>
          <w:rFonts w:cs="Times Unicode"/>
          <w:lang w:val="hy-AM"/>
        </w:rPr>
        <w:t>միջոցների հաշվին դեֆիցիտի ֆինանսավորման կշիռը՝ 202</w:t>
      </w:r>
      <w:r w:rsidRPr="00A205DB">
        <w:rPr>
          <w:rFonts w:cs="Times Unicode"/>
          <w:lang w:val="hy-AM"/>
        </w:rPr>
        <w:t>3</w:t>
      </w:r>
      <w:r w:rsidRPr="00080E7B">
        <w:rPr>
          <w:rFonts w:cs="Times Unicode"/>
          <w:lang w:val="hy-AM"/>
        </w:rPr>
        <w:t xml:space="preserve">թ. այն հասցնելով </w:t>
      </w:r>
      <w:r w:rsidRPr="00A205DB">
        <w:rPr>
          <w:rFonts w:cs="Times Unicode"/>
          <w:lang w:val="hy-AM"/>
        </w:rPr>
        <w:t>ընդհուպ մինչև 100</w:t>
      </w:r>
      <w:r w:rsidRPr="00080E7B">
        <w:rPr>
          <w:rFonts w:cs="Times Unicode"/>
          <w:lang w:val="hy-AM"/>
        </w:rPr>
        <w:t>.0%</w:t>
      </w:r>
      <w:r w:rsidRPr="00A205DB">
        <w:rPr>
          <w:rFonts w:cs="Times Unicode"/>
          <w:lang w:val="hy-AM"/>
        </w:rPr>
        <w:t>-ի</w:t>
      </w:r>
      <w:r w:rsidRPr="00080E7B">
        <w:rPr>
          <w:rFonts w:cs="Times Unicode"/>
          <w:lang w:val="hy-AM"/>
        </w:rPr>
        <w:t>:</w:t>
      </w:r>
      <w:r w:rsidRPr="00AC67B2">
        <w:rPr>
          <w:rFonts w:cs="Times Unicode"/>
          <w:lang w:val="hy-AM"/>
        </w:rPr>
        <w:t xml:space="preserve"> </w:t>
      </w:r>
    </w:p>
    <w:p w14:paraId="6E276D62" w14:textId="77777777" w:rsidR="00F1465E" w:rsidRPr="00AC67B2" w:rsidRDefault="00F1465E" w:rsidP="00FE76C6">
      <w:pPr>
        <w:spacing w:line="276" w:lineRule="auto"/>
        <w:ind w:firstLine="720"/>
        <w:rPr>
          <w:rFonts w:cs="Times Unicode"/>
          <w:lang w:val="hy-AM"/>
        </w:rPr>
      </w:pPr>
      <w:r w:rsidRPr="00AC67B2">
        <w:rPr>
          <w:rFonts w:cs="Times Unicode"/>
          <w:lang w:val="hy-AM"/>
        </w:rPr>
        <w:t>Կարևոր է նշել, որ միայն ՀՀ կառավարության պարտքի կառավարման ոլորտում իրակա</w:t>
      </w:r>
      <w:r w:rsidRPr="00AC67B2">
        <w:rPr>
          <w:rFonts w:cs="Times Unicode"/>
          <w:lang w:val="hy-AM"/>
        </w:rPr>
        <w:softHyphen/>
        <w:t>նացվող միջոցառումները բավարար չեն ՀՀ կառավարության ներքին պարտքի շուկան էակա</w:t>
      </w:r>
      <w:r w:rsidRPr="00AC67B2">
        <w:rPr>
          <w:rFonts w:cs="Times Unicode"/>
          <w:lang w:val="hy-AM"/>
        </w:rPr>
        <w:softHyphen/>
        <w:t>նորեն զարգացնելու համար: Ներքին պարտքի շուկայի զարգացման և ներդրողների բազայի ընդլայնման նախապայմաններից է նաև ֆինանսական շուկայի այլ հատվածներ</w:t>
      </w:r>
      <w:r w:rsidRPr="006466FC">
        <w:rPr>
          <w:rFonts w:cs="Times Unicode"/>
          <w:lang w:val="hy-AM"/>
        </w:rPr>
        <w:t>ի</w:t>
      </w:r>
      <w:r w:rsidRPr="00A205DB">
        <w:rPr>
          <w:rFonts w:cs="Times Unicode"/>
          <w:lang w:val="hy-AM"/>
        </w:rPr>
        <w:t xml:space="preserve"> </w:t>
      </w:r>
      <w:r w:rsidRPr="00AC67B2">
        <w:rPr>
          <w:rFonts w:cs="Times Unicode"/>
          <w:lang w:val="hy-AM"/>
        </w:rPr>
        <w:t>(կենսաթո</w:t>
      </w:r>
      <w:r w:rsidRPr="00AC67B2">
        <w:rPr>
          <w:rFonts w:cs="Times Unicode"/>
          <w:lang w:val="hy-AM"/>
        </w:rPr>
        <w:softHyphen/>
        <w:t xml:space="preserve">շակային, ապահովագրական և այլն) </w:t>
      </w:r>
      <w:r w:rsidRPr="006466FC">
        <w:rPr>
          <w:rFonts w:cs="Times Unicode"/>
          <w:lang w:val="hy-AM"/>
        </w:rPr>
        <w:t>հետագա  զարգացումը</w:t>
      </w:r>
      <w:r w:rsidRPr="00AC67B2">
        <w:rPr>
          <w:rFonts w:cs="Times Unicode"/>
          <w:lang w:val="hy-AM"/>
        </w:rPr>
        <w:t xml:space="preserve">: </w:t>
      </w:r>
    </w:p>
    <w:p w14:paraId="799C2A4E" w14:textId="77777777" w:rsidR="00F1465E" w:rsidRPr="00AC67B2" w:rsidRDefault="00F1465E" w:rsidP="00FE76C6">
      <w:pPr>
        <w:spacing w:line="276" w:lineRule="auto"/>
        <w:ind w:firstLine="720"/>
        <w:rPr>
          <w:rFonts w:cs="Times Unicode"/>
          <w:color w:val="FF0000"/>
          <w:lang w:val="hy-AM"/>
        </w:rPr>
      </w:pPr>
      <w:r w:rsidRPr="00AC67B2">
        <w:rPr>
          <w:rFonts w:cs="Times Unicode"/>
          <w:lang w:val="hy-AM"/>
        </w:rPr>
        <w:t>ՀՀ կառավա</w:t>
      </w:r>
      <w:r w:rsidRPr="00AC67B2">
        <w:rPr>
          <w:rFonts w:cs="Times Unicode"/>
          <w:lang w:val="hy-AM"/>
        </w:rPr>
        <w:softHyphen/>
        <w:t>րությունը միջնաժամկետ հատվածում շարունակելու է ՀՀ կառավարության պարտքի մարման գրաֆիկի հարթեցման և վերաֆինանսավորման ռիսկի նվազեց</w:t>
      </w:r>
      <w:r w:rsidRPr="00AC67B2">
        <w:rPr>
          <w:rFonts w:cs="Times Unicode"/>
          <w:lang w:val="hy-AM"/>
        </w:rPr>
        <w:softHyphen/>
        <w:t>մանն ուղղված գործողությունները՝ կիրառելով իրացվելիության կառավարման այնպիսի գործիքներ, ինչպիսիք են կանխիկի բուֆերի ձևավորումը, հետգնումների ու փոխանակումների իրականացումը:</w:t>
      </w:r>
    </w:p>
    <w:p w14:paraId="770FED24" w14:textId="77777777" w:rsidR="00F1465E" w:rsidRPr="00F738AB" w:rsidRDefault="00F1465E" w:rsidP="00FE76C6">
      <w:pPr>
        <w:pStyle w:val="Heading3"/>
        <w:numPr>
          <w:ilvl w:val="0"/>
          <w:numId w:val="0"/>
        </w:numPr>
        <w:spacing w:before="0" w:after="120" w:line="276" w:lineRule="auto"/>
        <w:jc w:val="both"/>
        <w:rPr>
          <w:rFonts w:cs="Times Unicode"/>
          <w:b w:val="0"/>
        </w:rPr>
      </w:pPr>
      <w:r w:rsidRPr="00C76568">
        <w:rPr>
          <w:rFonts w:eastAsia="Times New Roman" w:cs="Times New Roman"/>
          <w:caps w:val="0"/>
          <w:color w:val="1F497D" w:themeColor="text2"/>
          <w:sz w:val="28"/>
          <w:szCs w:val="28"/>
        </w:rPr>
        <w:t xml:space="preserve"> </w:t>
      </w:r>
    </w:p>
    <w:p w14:paraId="39097331" w14:textId="77777777" w:rsidR="00FE76C6" w:rsidRDefault="00FE76C6" w:rsidP="00FE76C6">
      <w:pPr>
        <w:spacing w:line="276" w:lineRule="auto"/>
        <w:ind w:firstLine="720"/>
        <w:rPr>
          <w:rFonts w:cs="Times Unicode"/>
          <w:b/>
          <w:lang w:val="hy-AM"/>
        </w:rPr>
      </w:pPr>
    </w:p>
    <w:p w14:paraId="3A94F50B" w14:textId="77777777" w:rsidR="00F1465E" w:rsidRPr="00AC67B2" w:rsidRDefault="00F1465E" w:rsidP="00FE76C6">
      <w:pPr>
        <w:spacing w:line="276" w:lineRule="auto"/>
        <w:ind w:firstLine="720"/>
        <w:rPr>
          <w:rFonts w:cs="Times Unicode"/>
          <w:b/>
          <w:lang w:val="hy-AM"/>
        </w:rPr>
      </w:pPr>
      <w:r w:rsidRPr="00AC67B2">
        <w:rPr>
          <w:rFonts w:cs="Times Unicode"/>
          <w:b/>
          <w:lang w:val="hy-AM"/>
        </w:rPr>
        <w:t xml:space="preserve">ՀՀ </w:t>
      </w:r>
      <w:r w:rsidRPr="00AC67B2">
        <w:rPr>
          <w:b/>
          <w:lang w:val="hy-AM"/>
        </w:rPr>
        <w:t xml:space="preserve">կառավարության </w:t>
      </w:r>
      <w:r w:rsidRPr="00AC67B2">
        <w:rPr>
          <w:rFonts w:cs="Times Unicode"/>
          <w:b/>
          <w:lang w:val="hy-AM"/>
        </w:rPr>
        <w:t>պարտքը</w:t>
      </w:r>
      <w:r w:rsidRPr="00AC67B2">
        <w:rPr>
          <w:b/>
          <w:lang w:val="hy-AM"/>
        </w:rPr>
        <w:t xml:space="preserve"> </w:t>
      </w:r>
      <w:r w:rsidRPr="00AC67B2">
        <w:rPr>
          <w:rFonts w:cs="Times Unicode"/>
          <w:b/>
          <w:lang w:val="hy-AM"/>
        </w:rPr>
        <w:t>բնութագրող</w:t>
      </w:r>
      <w:r w:rsidRPr="00AC67B2">
        <w:rPr>
          <w:b/>
          <w:lang w:val="hy-AM"/>
        </w:rPr>
        <w:t xml:space="preserve"> 201</w:t>
      </w:r>
      <w:r w:rsidRPr="00A205DB">
        <w:rPr>
          <w:b/>
          <w:lang w:val="hy-AM"/>
        </w:rPr>
        <w:t>8</w:t>
      </w:r>
      <w:r w:rsidRPr="00AC67B2">
        <w:rPr>
          <w:b/>
          <w:lang w:val="hy-AM"/>
        </w:rPr>
        <w:t>-201</w:t>
      </w:r>
      <w:r w:rsidRPr="00A205DB">
        <w:rPr>
          <w:b/>
          <w:lang w:val="hy-AM"/>
        </w:rPr>
        <w:t>9</w:t>
      </w:r>
      <w:r w:rsidRPr="00AC67B2">
        <w:rPr>
          <w:rFonts w:cs="Times Unicode"/>
          <w:b/>
          <w:lang w:val="hy-AM"/>
        </w:rPr>
        <w:t>թթ</w:t>
      </w:r>
      <w:r w:rsidRPr="00AC67B2">
        <w:rPr>
          <w:b/>
          <w:lang w:val="hy-AM"/>
        </w:rPr>
        <w:t xml:space="preserve">. </w:t>
      </w:r>
      <w:r w:rsidRPr="00AC67B2">
        <w:rPr>
          <w:rFonts w:cs="Times Unicode"/>
          <w:b/>
          <w:lang w:val="hy-AM"/>
        </w:rPr>
        <w:t>փաստացի, 20</w:t>
      </w:r>
      <w:r w:rsidRPr="00A205DB">
        <w:rPr>
          <w:rFonts w:cs="Times Unicode"/>
          <w:b/>
          <w:lang w:val="hy-AM"/>
        </w:rPr>
        <w:t>20</w:t>
      </w:r>
      <w:r w:rsidRPr="00AC67B2">
        <w:rPr>
          <w:rFonts w:cs="Times Unicode"/>
          <w:b/>
          <w:lang w:val="hy-AM"/>
        </w:rPr>
        <w:t>թ. պետական բյուջեի ծրագրային</w:t>
      </w:r>
      <w:r w:rsidRPr="00AC67B2">
        <w:rPr>
          <w:b/>
          <w:lang w:val="hy-AM"/>
        </w:rPr>
        <w:t xml:space="preserve"> </w:t>
      </w:r>
      <w:r w:rsidRPr="00AC67B2">
        <w:rPr>
          <w:rFonts w:cs="Times Unicode"/>
          <w:b/>
          <w:lang w:val="hy-AM"/>
        </w:rPr>
        <w:t>և</w:t>
      </w:r>
      <w:r w:rsidRPr="00AC67B2">
        <w:rPr>
          <w:b/>
          <w:lang w:val="hy-AM"/>
        </w:rPr>
        <w:t xml:space="preserve"> 20</w:t>
      </w:r>
      <w:r w:rsidRPr="00A205DB">
        <w:rPr>
          <w:b/>
          <w:lang w:val="hy-AM"/>
        </w:rPr>
        <w:t>20</w:t>
      </w:r>
      <w:r w:rsidRPr="00AC67B2">
        <w:rPr>
          <w:b/>
          <w:lang w:val="hy-AM"/>
        </w:rPr>
        <w:t>-202</w:t>
      </w:r>
      <w:r w:rsidRPr="00A205DB">
        <w:rPr>
          <w:b/>
          <w:lang w:val="hy-AM"/>
        </w:rPr>
        <w:t>3</w:t>
      </w:r>
      <w:r w:rsidRPr="00AC67B2">
        <w:rPr>
          <w:rFonts w:cs="Times Unicode"/>
          <w:b/>
          <w:lang w:val="hy-AM"/>
        </w:rPr>
        <w:t>թթ</w:t>
      </w:r>
      <w:r w:rsidRPr="00AC67B2">
        <w:rPr>
          <w:b/>
          <w:lang w:val="hy-AM"/>
        </w:rPr>
        <w:t xml:space="preserve">. </w:t>
      </w:r>
      <w:r w:rsidRPr="00AC67B2">
        <w:rPr>
          <w:rFonts w:cs="Times Unicode"/>
          <w:b/>
          <w:lang w:val="hy-AM"/>
        </w:rPr>
        <w:t>կանխատեսումային</w:t>
      </w:r>
      <w:r w:rsidRPr="00AC67B2">
        <w:rPr>
          <w:b/>
          <w:lang w:val="hy-AM"/>
        </w:rPr>
        <w:t xml:space="preserve"> </w:t>
      </w:r>
      <w:r w:rsidRPr="00AC67B2">
        <w:rPr>
          <w:rFonts w:cs="Times Unicode"/>
          <w:b/>
          <w:lang w:val="hy-AM"/>
        </w:rPr>
        <w:t>ցուցանիշները</w:t>
      </w:r>
    </w:p>
    <w:p w14:paraId="7F898374" w14:textId="77777777" w:rsidR="00F1465E" w:rsidRPr="00AC67B2" w:rsidRDefault="00F1465E" w:rsidP="00F1465E">
      <w:pPr>
        <w:jc w:val="right"/>
        <w:rPr>
          <w:rFonts w:cs="Times Unicode"/>
          <w:sz w:val="20"/>
          <w:szCs w:val="20"/>
          <w:lang w:val="hy-AM"/>
        </w:rPr>
      </w:pPr>
    </w:p>
    <w:p w14:paraId="5984FEE3" w14:textId="77777777" w:rsidR="00F1465E" w:rsidRPr="00FE76C6" w:rsidRDefault="00F1465E" w:rsidP="00F1465E">
      <w:pPr>
        <w:rPr>
          <w:i/>
          <w:sz w:val="20"/>
          <w:szCs w:val="20"/>
          <w:lang w:val="hy-AM"/>
        </w:rPr>
      </w:pPr>
      <w:r w:rsidRPr="00FE76C6">
        <w:rPr>
          <w:rFonts w:cs="Times Unicode"/>
          <w:b/>
          <w:sz w:val="20"/>
          <w:szCs w:val="20"/>
          <w:lang w:val="hy-AM"/>
        </w:rPr>
        <w:lastRenderedPageBreak/>
        <w:t xml:space="preserve">Աղյուսակ </w:t>
      </w:r>
      <w:r w:rsidR="00FE76C6" w:rsidRPr="00BE7F99">
        <w:rPr>
          <w:rFonts w:cs="Times Unicode"/>
          <w:b/>
          <w:sz w:val="20"/>
          <w:szCs w:val="20"/>
          <w:lang w:val="hy-AM"/>
        </w:rPr>
        <w:t>1.</w:t>
      </w:r>
      <w:r w:rsidRPr="00FE76C6">
        <w:rPr>
          <w:rFonts w:cs="Times Unicode"/>
          <w:b/>
          <w:sz w:val="20"/>
          <w:szCs w:val="20"/>
          <w:lang w:val="hy-AM"/>
        </w:rPr>
        <w:t>16</w:t>
      </w:r>
      <w:r w:rsidRPr="00FE76C6">
        <w:rPr>
          <w:b/>
          <w:sz w:val="20"/>
          <w:szCs w:val="20"/>
          <w:lang w:val="hy-AM"/>
        </w:rPr>
        <w:t xml:space="preserve"> </w:t>
      </w:r>
      <w:r w:rsidRPr="00FE76C6">
        <w:rPr>
          <w:rFonts w:cs="Times Unicode"/>
          <w:i/>
          <w:sz w:val="20"/>
          <w:szCs w:val="20"/>
          <w:lang w:val="hy-AM"/>
        </w:rPr>
        <w:t>ՀՀ</w:t>
      </w:r>
      <w:r w:rsidRPr="00FE76C6">
        <w:rPr>
          <w:i/>
          <w:sz w:val="20"/>
          <w:szCs w:val="20"/>
          <w:lang w:val="hy-AM"/>
        </w:rPr>
        <w:t xml:space="preserve"> </w:t>
      </w:r>
      <w:r w:rsidRPr="00FE76C6">
        <w:rPr>
          <w:rFonts w:cs="Times Unicode"/>
          <w:i/>
          <w:sz w:val="20"/>
          <w:szCs w:val="20"/>
          <w:lang w:val="hy-AM"/>
        </w:rPr>
        <w:t>կառավարության</w:t>
      </w:r>
      <w:r w:rsidRPr="00FE76C6">
        <w:rPr>
          <w:i/>
          <w:sz w:val="20"/>
          <w:szCs w:val="20"/>
          <w:lang w:val="hy-AM"/>
        </w:rPr>
        <w:t xml:space="preserve"> </w:t>
      </w:r>
      <w:r w:rsidRPr="00FE76C6">
        <w:rPr>
          <w:rFonts w:cs="Times Unicode"/>
          <w:i/>
          <w:sz w:val="20"/>
          <w:szCs w:val="20"/>
          <w:lang w:val="hy-AM"/>
        </w:rPr>
        <w:t>պարտքի</w:t>
      </w:r>
      <w:r w:rsidRPr="00FE76C6">
        <w:rPr>
          <w:i/>
          <w:sz w:val="20"/>
          <w:szCs w:val="20"/>
          <w:lang w:val="hy-AM"/>
        </w:rPr>
        <w:t xml:space="preserve"> </w:t>
      </w:r>
      <w:r w:rsidRPr="00FE76C6">
        <w:rPr>
          <w:rFonts w:cs="Times Unicode"/>
          <w:i/>
          <w:sz w:val="20"/>
          <w:szCs w:val="20"/>
          <w:lang w:val="hy-AM"/>
        </w:rPr>
        <w:t>հիմնական ցուցանիշները</w:t>
      </w:r>
      <w:r w:rsidRPr="00FE76C6">
        <w:rPr>
          <w:i/>
          <w:sz w:val="20"/>
          <w:szCs w:val="20"/>
          <w:lang w:val="hy-AM"/>
        </w:rPr>
        <w:t xml:space="preserve"> 2018-2023</w:t>
      </w:r>
      <w:r w:rsidRPr="00FE76C6">
        <w:rPr>
          <w:rFonts w:cs="Times Unicode"/>
          <w:i/>
          <w:sz w:val="20"/>
          <w:szCs w:val="20"/>
          <w:lang w:val="hy-AM"/>
        </w:rPr>
        <w:t xml:space="preserve">թթ </w:t>
      </w:r>
      <w:r w:rsidRPr="00FE76C6">
        <w:rPr>
          <w:i/>
          <w:sz w:val="20"/>
          <w:szCs w:val="20"/>
          <w:lang w:val="hy-AM"/>
        </w:rPr>
        <w:t>(</w:t>
      </w:r>
      <w:r w:rsidRPr="00FE76C6">
        <w:rPr>
          <w:rFonts w:cs="Times Unicode"/>
          <w:i/>
          <w:sz w:val="20"/>
          <w:szCs w:val="20"/>
          <w:lang w:val="hy-AM"/>
        </w:rPr>
        <w:t>մլրդ</w:t>
      </w:r>
      <w:r w:rsidRPr="00FE76C6">
        <w:rPr>
          <w:i/>
          <w:sz w:val="20"/>
          <w:szCs w:val="20"/>
          <w:lang w:val="hy-AM"/>
        </w:rPr>
        <w:t xml:space="preserve"> </w:t>
      </w:r>
      <w:r w:rsidRPr="00FE76C6">
        <w:rPr>
          <w:rFonts w:cs="Times Unicode"/>
          <w:i/>
          <w:sz w:val="20"/>
          <w:szCs w:val="20"/>
          <w:lang w:val="hy-AM"/>
        </w:rPr>
        <w:t>դրամ</w:t>
      </w:r>
      <w:r w:rsidRPr="00FE76C6">
        <w:rPr>
          <w:i/>
          <w:sz w:val="20"/>
          <w:szCs w:val="20"/>
          <w:lang w:val="hy-AM"/>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1095"/>
        <w:gridCol w:w="963"/>
        <w:gridCol w:w="1351"/>
        <w:gridCol w:w="1071"/>
        <w:gridCol w:w="1093"/>
        <w:gridCol w:w="933"/>
        <w:gridCol w:w="982"/>
      </w:tblGrid>
      <w:tr w:rsidR="00F1465E" w:rsidRPr="00BB7FB8" w14:paraId="6DCD6FE5" w14:textId="77777777" w:rsidTr="00231073">
        <w:trPr>
          <w:trHeight w:val="616"/>
          <w:tblHeader/>
          <w:jc w:val="center"/>
        </w:trPr>
        <w:tc>
          <w:tcPr>
            <w:tcW w:w="2783" w:type="dxa"/>
            <w:tcBorders>
              <w:top w:val="thinThickThinSmallGap" w:sz="24" w:space="0" w:color="auto"/>
              <w:left w:val="nil"/>
              <w:bottom w:val="thinThickSmallGap" w:sz="24" w:space="0" w:color="auto"/>
              <w:right w:val="nil"/>
            </w:tcBorders>
            <w:shd w:val="clear" w:color="auto" w:fill="0B70B5"/>
          </w:tcPr>
          <w:p w14:paraId="5E332D25" w14:textId="77777777" w:rsidR="00F1465E" w:rsidRPr="00C35116" w:rsidRDefault="00F1465E" w:rsidP="00231073">
            <w:pPr>
              <w:spacing w:before="0" w:after="0" w:line="240" w:lineRule="auto"/>
              <w:ind w:hanging="14"/>
              <w:rPr>
                <w:color w:val="FFFFFF" w:themeColor="background1"/>
                <w:sz w:val="20"/>
                <w:szCs w:val="20"/>
                <w:lang w:val="hy-AM"/>
              </w:rPr>
            </w:pPr>
          </w:p>
        </w:tc>
        <w:tc>
          <w:tcPr>
            <w:tcW w:w="1095" w:type="dxa"/>
            <w:tcBorders>
              <w:top w:val="thinThickThinSmallGap" w:sz="24" w:space="0" w:color="auto"/>
              <w:left w:val="nil"/>
              <w:bottom w:val="thinThickSmallGap" w:sz="24" w:space="0" w:color="auto"/>
              <w:right w:val="nil"/>
            </w:tcBorders>
            <w:shd w:val="clear" w:color="auto" w:fill="0B70B5"/>
            <w:vAlign w:val="center"/>
          </w:tcPr>
          <w:p w14:paraId="6C57C6BF" w14:textId="77777777" w:rsidR="00F1465E" w:rsidRPr="00C35116" w:rsidRDefault="00F1465E" w:rsidP="00231073">
            <w:pPr>
              <w:spacing w:before="0" w:after="0" w:line="240" w:lineRule="auto"/>
              <w:ind w:hanging="14"/>
              <w:jc w:val="center"/>
              <w:rPr>
                <w:color w:val="FFFFFF" w:themeColor="background1"/>
                <w:sz w:val="20"/>
                <w:szCs w:val="20"/>
                <w:lang w:val="hy-AM"/>
              </w:rPr>
            </w:pPr>
            <w:r w:rsidRPr="00C35116">
              <w:rPr>
                <w:color w:val="FFFFFF" w:themeColor="background1"/>
                <w:sz w:val="20"/>
                <w:szCs w:val="20"/>
                <w:lang w:val="hy-AM"/>
              </w:rPr>
              <w:t>201</w:t>
            </w:r>
            <w:r w:rsidRPr="00C35116">
              <w:rPr>
                <w:color w:val="FFFFFF" w:themeColor="background1"/>
                <w:sz w:val="20"/>
                <w:szCs w:val="20"/>
              </w:rPr>
              <w:t>8</w:t>
            </w:r>
            <w:r w:rsidRPr="00C35116">
              <w:rPr>
                <w:rFonts w:cs="Times Unicode"/>
                <w:color w:val="FFFFFF" w:themeColor="background1"/>
                <w:sz w:val="20"/>
                <w:szCs w:val="20"/>
                <w:lang w:val="hy-AM"/>
              </w:rPr>
              <w:t>թ</w:t>
            </w:r>
            <w:r w:rsidRPr="00C35116">
              <w:rPr>
                <w:color w:val="FFFFFF" w:themeColor="background1"/>
                <w:sz w:val="20"/>
                <w:szCs w:val="20"/>
                <w:lang w:val="hy-AM"/>
              </w:rPr>
              <w:t xml:space="preserve">. </w:t>
            </w:r>
            <w:r w:rsidRPr="00C35116">
              <w:rPr>
                <w:rFonts w:cs="Times Unicode"/>
                <w:color w:val="FFFFFF" w:themeColor="background1"/>
                <w:sz w:val="20"/>
                <w:szCs w:val="20"/>
                <w:lang w:val="hy-AM"/>
              </w:rPr>
              <w:t>փաստ</w:t>
            </w:r>
            <w:r w:rsidRPr="00C35116">
              <w:rPr>
                <w:color w:val="FFFFFF" w:themeColor="background1"/>
                <w:sz w:val="20"/>
                <w:szCs w:val="20"/>
                <w:lang w:val="hy-AM"/>
              </w:rPr>
              <w:t>.</w:t>
            </w:r>
          </w:p>
        </w:tc>
        <w:tc>
          <w:tcPr>
            <w:tcW w:w="963" w:type="dxa"/>
            <w:tcBorders>
              <w:top w:val="thinThickThinSmallGap" w:sz="24" w:space="0" w:color="auto"/>
              <w:left w:val="nil"/>
              <w:bottom w:val="thinThickSmallGap" w:sz="24" w:space="0" w:color="auto"/>
              <w:right w:val="nil"/>
            </w:tcBorders>
            <w:shd w:val="clear" w:color="auto" w:fill="0B70B5"/>
            <w:vAlign w:val="center"/>
          </w:tcPr>
          <w:p w14:paraId="7E707336" w14:textId="77777777" w:rsidR="00F1465E" w:rsidRPr="00C35116" w:rsidRDefault="00F1465E" w:rsidP="00231073">
            <w:pPr>
              <w:spacing w:before="0" w:after="0" w:line="240" w:lineRule="auto"/>
              <w:ind w:hanging="14"/>
              <w:jc w:val="center"/>
              <w:rPr>
                <w:color w:val="FFFFFF" w:themeColor="background1"/>
                <w:sz w:val="20"/>
                <w:szCs w:val="20"/>
                <w:lang w:val="hy-AM"/>
              </w:rPr>
            </w:pPr>
            <w:r w:rsidRPr="00C35116">
              <w:rPr>
                <w:color w:val="FFFFFF" w:themeColor="background1"/>
                <w:sz w:val="20"/>
                <w:szCs w:val="20"/>
                <w:lang w:val="hy-AM"/>
              </w:rPr>
              <w:t>201</w:t>
            </w:r>
            <w:r w:rsidRPr="00C35116">
              <w:rPr>
                <w:color w:val="FFFFFF" w:themeColor="background1"/>
                <w:sz w:val="20"/>
                <w:szCs w:val="20"/>
              </w:rPr>
              <w:t>9</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փաստ</w:t>
            </w:r>
            <w:r w:rsidRPr="00C35116">
              <w:rPr>
                <w:color w:val="FFFFFF" w:themeColor="background1"/>
                <w:sz w:val="20"/>
                <w:szCs w:val="20"/>
                <w:lang w:val="hy-AM"/>
              </w:rPr>
              <w:t>.</w:t>
            </w:r>
          </w:p>
        </w:tc>
        <w:tc>
          <w:tcPr>
            <w:tcW w:w="1351" w:type="dxa"/>
            <w:tcBorders>
              <w:top w:val="thinThickThinSmallGap" w:sz="24" w:space="0" w:color="auto"/>
              <w:left w:val="nil"/>
              <w:bottom w:val="thinThickSmallGap" w:sz="24" w:space="0" w:color="auto"/>
              <w:right w:val="double" w:sz="4" w:space="0" w:color="auto"/>
            </w:tcBorders>
            <w:shd w:val="clear" w:color="auto" w:fill="0B70B5"/>
            <w:vAlign w:val="center"/>
          </w:tcPr>
          <w:p w14:paraId="3B00D920" w14:textId="77777777" w:rsidR="00F1465E" w:rsidRPr="00C35116" w:rsidRDefault="00F1465E" w:rsidP="00231073">
            <w:pPr>
              <w:spacing w:before="0" w:after="0" w:line="240" w:lineRule="auto"/>
              <w:ind w:hanging="14"/>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պետբյուջեի ծրագիր</w:t>
            </w:r>
          </w:p>
        </w:tc>
        <w:tc>
          <w:tcPr>
            <w:tcW w:w="1071" w:type="dxa"/>
            <w:tcBorders>
              <w:top w:val="thinThickThinSmallGap" w:sz="24" w:space="0" w:color="auto"/>
              <w:left w:val="double" w:sz="4" w:space="0" w:color="auto"/>
              <w:bottom w:val="thinThickSmallGap" w:sz="24" w:space="0" w:color="auto"/>
              <w:right w:val="nil"/>
            </w:tcBorders>
            <w:shd w:val="clear" w:color="auto" w:fill="0B70B5"/>
            <w:vAlign w:val="center"/>
          </w:tcPr>
          <w:p w14:paraId="2A9679DE" w14:textId="77777777" w:rsidR="00F1465E" w:rsidRPr="00C35116" w:rsidRDefault="00F1465E" w:rsidP="00231073">
            <w:pPr>
              <w:spacing w:before="0" w:after="0" w:line="240" w:lineRule="auto"/>
              <w:ind w:hanging="14"/>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93" w:type="dxa"/>
            <w:tcBorders>
              <w:top w:val="thinThickThinSmallGap" w:sz="24" w:space="0" w:color="auto"/>
              <w:left w:val="nil"/>
              <w:bottom w:val="thinThickSmallGap" w:sz="24" w:space="0" w:color="auto"/>
              <w:right w:val="nil"/>
            </w:tcBorders>
            <w:shd w:val="clear" w:color="auto" w:fill="0B70B5"/>
            <w:vAlign w:val="center"/>
          </w:tcPr>
          <w:p w14:paraId="69CDF9EF" w14:textId="77777777" w:rsidR="00F1465E" w:rsidRPr="00C35116" w:rsidRDefault="00F1465E" w:rsidP="00231073">
            <w:pPr>
              <w:spacing w:before="0" w:after="0" w:line="240" w:lineRule="auto"/>
              <w:ind w:hanging="14"/>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33" w:type="dxa"/>
            <w:tcBorders>
              <w:top w:val="thinThickThinSmallGap" w:sz="24" w:space="0" w:color="auto"/>
              <w:left w:val="nil"/>
              <w:bottom w:val="thinThickSmallGap" w:sz="24" w:space="0" w:color="auto"/>
              <w:right w:val="nil"/>
            </w:tcBorders>
            <w:shd w:val="clear" w:color="auto" w:fill="0B70B5"/>
            <w:vAlign w:val="center"/>
          </w:tcPr>
          <w:p w14:paraId="1DFA402F" w14:textId="77777777" w:rsidR="00F1465E" w:rsidRPr="00C35116" w:rsidRDefault="00F1465E" w:rsidP="00231073">
            <w:pPr>
              <w:spacing w:before="0" w:after="0" w:line="240" w:lineRule="auto"/>
              <w:ind w:hanging="14"/>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82" w:type="dxa"/>
            <w:tcBorders>
              <w:top w:val="thinThickThinSmallGap" w:sz="24" w:space="0" w:color="auto"/>
              <w:left w:val="nil"/>
              <w:bottom w:val="thinThickSmallGap" w:sz="24" w:space="0" w:color="auto"/>
              <w:right w:val="nil"/>
            </w:tcBorders>
            <w:shd w:val="clear" w:color="auto" w:fill="0B70B5"/>
            <w:vAlign w:val="center"/>
          </w:tcPr>
          <w:p w14:paraId="247D164E" w14:textId="77777777" w:rsidR="00F1465E" w:rsidRPr="00C35116" w:rsidRDefault="00F1465E" w:rsidP="00231073">
            <w:pPr>
              <w:spacing w:before="0" w:after="0" w:line="240" w:lineRule="auto"/>
              <w:ind w:hanging="14"/>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B830F3" w14:paraId="0408DA9F" w14:textId="77777777" w:rsidTr="00231073">
        <w:trPr>
          <w:trHeight w:val="256"/>
          <w:jc w:val="center"/>
        </w:trPr>
        <w:tc>
          <w:tcPr>
            <w:tcW w:w="2783" w:type="dxa"/>
            <w:tcBorders>
              <w:left w:val="nil"/>
              <w:bottom w:val="single" w:sz="4" w:space="0" w:color="auto"/>
              <w:right w:val="nil"/>
            </w:tcBorders>
          </w:tcPr>
          <w:p w14:paraId="7D4AA1EB" w14:textId="77777777" w:rsidR="00F1465E" w:rsidRPr="00B830F3" w:rsidRDefault="00F1465E" w:rsidP="00231073">
            <w:pPr>
              <w:spacing w:before="0" w:after="0" w:line="240" w:lineRule="auto"/>
              <w:ind w:hanging="14"/>
              <w:rPr>
                <w:sz w:val="20"/>
                <w:szCs w:val="20"/>
                <w:lang w:val="hy-AM"/>
              </w:rPr>
            </w:pPr>
            <w:r w:rsidRPr="00B830F3">
              <w:rPr>
                <w:rFonts w:cs="Times Unicode"/>
                <w:sz w:val="20"/>
                <w:szCs w:val="20"/>
                <w:lang w:val="hy-AM"/>
              </w:rPr>
              <w:t>Կառավարության</w:t>
            </w:r>
            <w:r w:rsidRPr="00B830F3">
              <w:rPr>
                <w:sz w:val="20"/>
                <w:szCs w:val="20"/>
                <w:lang w:val="hy-AM"/>
              </w:rPr>
              <w:t xml:space="preserve"> </w:t>
            </w:r>
            <w:r w:rsidRPr="00B830F3">
              <w:rPr>
                <w:rFonts w:cs="Times Unicode"/>
                <w:sz w:val="20"/>
                <w:szCs w:val="20"/>
                <w:lang w:val="hy-AM"/>
              </w:rPr>
              <w:t>պարտք</w:t>
            </w:r>
          </w:p>
        </w:tc>
        <w:tc>
          <w:tcPr>
            <w:tcW w:w="1095" w:type="dxa"/>
            <w:tcBorders>
              <w:left w:val="nil"/>
              <w:bottom w:val="single" w:sz="4" w:space="0" w:color="auto"/>
              <w:right w:val="nil"/>
            </w:tcBorders>
            <w:vAlign w:val="center"/>
          </w:tcPr>
          <w:p w14:paraId="3332ACC8"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3,082.7 </w:t>
            </w:r>
          </w:p>
        </w:tc>
        <w:tc>
          <w:tcPr>
            <w:tcW w:w="963" w:type="dxa"/>
            <w:tcBorders>
              <w:left w:val="nil"/>
              <w:bottom w:val="single" w:sz="4" w:space="0" w:color="auto"/>
              <w:right w:val="nil"/>
            </w:tcBorders>
            <w:vAlign w:val="center"/>
          </w:tcPr>
          <w:p w14:paraId="3A1B4A9A"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3,278.7 </w:t>
            </w:r>
          </w:p>
        </w:tc>
        <w:tc>
          <w:tcPr>
            <w:tcW w:w="1351" w:type="dxa"/>
            <w:tcBorders>
              <w:left w:val="nil"/>
              <w:bottom w:val="single" w:sz="4" w:space="0" w:color="auto"/>
              <w:right w:val="double" w:sz="4" w:space="0" w:color="auto"/>
            </w:tcBorders>
            <w:vAlign w:val="center"/>
          </w:tcPr>
          <w:p w14:paraId="4409B689"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3,593 </w:t>
            </w:r>
          </w:p>
        </w:tc>
        <w:tc>
          <w:tcPr>
            <w:tcW w:w="1071" w:type="dxa"/>
            <w:tcBorders>
              <w:left w:val="double" w:sz="4" w:space="0" w:color="auto"/>
              <w:bottom w:val="single" w:sz="4" w:space="0" w:color="auto"/>
              <w:right w:val="nil"/>
            </w:tcBorders>
            <w:vAlign w:val="center"/>
          </w:tcPr>
          <w:p w14:paraId="43AC6F46"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3,812.0 </w:t>
            </w:r>
          </w:p>
        </w:tc>
        <w:tc>
          <w:tcPr>
            <w:tcW w:w="1093" w:type="dxa"/>
            <w:tcBorders>
              <w:left w:val="nil"/>
              <w:bottom w:val="single" w:sz="4" w:space="0" w:color="auto"/>
              <w:right w:val="nil"/>
            </w:tcBorders>
            <w:vAlign w:val="center"/>
          </w:tcPr>
          <w:p w14:paraId="4935B189"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4,159.8 </w:t>
            </w:r>
          </w:p>
        </w:tc>
        <w:tc>
          <w:tcPr>
            <w:tcW w:w="933" w:type="dxa"/>
            <w:tcBorders>
              <w:left w:val="nil"/>
              <w:bottom w:val="single" w:sz="4" w:space="0" w:color="auto"/>
              <w:right w:val="nil"/>
            </w:tcBorders>
            <w:vAlign w:val="center"/>
          </w:tcPr>
          <w:p w14:paraId="2BE8BE32"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4,438.1 </w:t>
            </w:r>
          </w:p>
        </w:tc>
        <w:tc>
          <w:tcPr>
            <w:tcW w:w="982" w:type="dxa"/>
            <w:tcBorders>
              <w:left w:val="nil"/>
              <w:bottom w:val="single" w:sz="4" w:space="0" w:color="auto"/>
              <w:right w:val="nil"/>
            </w:tcBorders>
            <w:vAlign w:val="center"/>
          </w:tcPr>
          <w:p w14:paraId="1AD54D72"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4,692.3 </w:t>
            </w:r>
          </w:p>
        </w:tc>
      </w:tr>
      <w:tr w:rsidR="00F1465E" w:rsidRPr="00B830F3" w14:paraId="50E69D14" w14:textId="77777777" w:rsidTr="00231073">
        <w:trPr>
          <w:trHeight w:val="328"/>
          <w:jc w:val="center"/>
        </w:trPr>
        <w:tc>
          <w:tcPr>
            <w:tcW w:w="2783" w:type="dxa"/>
            <w:tcBorders>
              <w:left w:val="nil"/>
              <w:bottom w:val="single" w:sz="12" w:space="0" w:color="auto"/>
              <w:right w:val="nil"/>
            </w:tcBorders>
          </w:tcPr>
          <w:p w14:paraId="62B7AED2" w14:textId="77777777" w:rsidR="00F1465E" w:rsidRPr="00B830F3" w:rsidRDefault="00F1465E" w:rsidP="00231073">
            <w:pPr>
              <w:spacing w:before="0" w:after="0" w:line="240" w:lineRule="auto"/>
              <w:ind w:left="356" w:hanging="14"/>
              <w:rPr>
                <w:sz w:val="20"/>
                <w:szCs w:val="20"/>
                <w:lang w:val="hy-AM"/>
              </w:rPr>
            </w:pPr>
            <w:r w:rsidRPr="00B830F3">
              <w:rPr>
                <w:sz w:val="20"/>
                <w:szCs w:val="20"/>
                <w:lang w:val="hy-AM"/>
              </w:rPr>
              <w:t>% ՀՆԱ-ի նկատմամբ</w:t>
            </w:r>
          </w:p>
        </w:tc>
        <w:tc>
          <w:tcPr>
            <w:tcW w:w="1095" w:type="dxa"/>
            <w:tcBorders>
              <w:left w:val="nil"/>
              <w:bottom w:val="single" w:sz="12" w:space="0" w:color="auto"/>
              <w:right w:val="nil"/>
            </w:tcBorders>
            <w:vAlign w:val="center"/>
          </w:tcPr>
          <w:p w14:paraId="3BBA9CCF"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51.2 </w:t>
            </w:r>
          </w:p>
        </w:tc>
        <w:tc>
          <w:tcPr>
            <w:tcW w:w="963" w:type="dxa"/>
            <w:tcBorders>
              <w:left w:val="nil"/>
              <w:bottom w:val="single" w:sz="12" w:space="0" w:color="auto"/>
              <w:right w:val="nil"/>
            </w:tcBorders>
            <w:vAlign w:val="center"/>
          </w:tcPr>
          <w:p w14:paraId="011E87F8"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49.9 </w:t>
            </w:r>
          </w:p>
        </w:tc>
        <w:tc>
          <w:tcPr>
            <w:tcW w:w="1351" w:type="dxa"/>
            <w:tcBorders>
              <w:left w:val="nil"/>
              <w:bottom w:val="single" w:sz="12" w:space="0" w:color="auto"/>
              <w:right w:val="double" w:sz="4" w:space="0" w:color="auto"/>
            </w:tcBorders>
            <w:vAlign w:val="center"/>
          </w:tcPr>
          <w:p w14:paraId="0B52F59C"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50.6 </w:t>
            </w:r>
          </w:p>
        </w:tc>
        <w:tc>
          <w:tcPr>
            <w:tcW w:w="1071" w:type="dxa"/>
            <w:tcBorders>
              <w:left w:val="double" w:sz="4" w:space="0" w:color="auto"/>
              <w:bottom w:val="single" w:sz="12" w:space="0" w:color="auto"/>
              <w:right w:val="nil"/>
            </w:tcBorders>
            <w:vAlign w:val="center"/>
          </w:tcPr>
          <w:p w14:paraId="08A52437"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58.6 </w:t>
            </w:r>
          </w:p>
        </w:tc>
        <w:tc>
          <w:tcPr>
            <w:tcW w:w="1093" w:type="dxa"/>
            <w:tcBorders>
              <w:left w:val="nil"/>
              <w:bottom w:val="single" w:sz="12" w:space="0" w:color="auto"/>
              <w:right w:val="nil"/>
            </w:tcBorders>
            <w:vAlign w:val="center"/>
          </w:tcPr>
          <w:p w14:paraId="426AF5FC"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58.2 </w:t>
            </w:r>
          </w:p>
        </w:tc>
        <w:tc>
          <w:tcPr>
            <w:tcW w:w="933" w:type="dxa"/>
            <w:tcBorders>
              <w:left w:val="nil"/>
              <w:bottom w:val="single" w:sz="12" w:space="0" w:color="auto"/>
              <w:right w:val="nil"/>
            </w:tcBorders>
            <w:vAlign w:val="center"/>
          </w:tcPr>
          <w:p w14:paraId="1C6B95E2"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56.5 </w:t>
            </w:r>
          </w:p>
        </w:tc>
        <w:tc>
          <w:tcPr>
            <w:tcW w:w="982" w:type="dxa"/>
            <w:tcBorders>
              <w:left w:val="nil"/>
              <w:bottom w:val="single" w:sz="12" w:space="0" w:color="auto"/>
              <w:right w:val="nil"/>
            </w:tcBorders>
            <w:vAlign w:val="center"/>
          </w:tcPr>
          <w:p w14:paraId="6661CC47"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54.7 </w:t>
            </w:r>
          </w:p>
        </w:tc>
      </w:tr>
      <w:tr w:rsidR="00F1465E" w:rsidRPr="00B830F3" w14:paraId="70EA0663" w14:textId="77777777" w:rsidTr="00231073">
        <w:trPr>
          <w:trHeight w:val="256"/>
          <w:jc w:val="center"/>
        </w:trPr>
        <w:tc>
          <w:tcPr>
            <w:tcW w:w="2783" w:type="dxa"/>
            <w:tcBorders>
              <w:top w:val="single" w:sz="12" w:space="0" w:color="auto"/>
              <w:left w:val="nil"/>
              <w:right w:val="nil"/>
            </w:tcBorders>
            <w:vAlign w:val="center"/>
          </w:tcPr>
          <w:p w14:paraId="3A24E793" w14:textId="77777777" w:rsidR="00F1465E" w:rsidRPr="00B830F3" w:rsidRDefault="00F1465E" w:rsidP="00231073">
            <w:pPr>
              <w:spacing w:before="0" w:after="0" w:line="240" w:lineRule="auto"/>
              <w:ind w:hanging="14"/>
              <w:rPr>
                <w:rFonts w:cs="Times Unicode"/>
                <w:sz w:val="20"/>
                <w:szCs w:val="20"/>
                <w:lang w:val="hy-AM"/>
              </w:rPr>
            </w:pPr>
            <w:r w:rsidRPr="00B830F3">
              <w:rPr>
                <w:sz w:val="20"/>
                <w:szCs w:val="20"/>
                <w:lang w:val="hy-AM"/>
              </w:rPr>
              <w:t>Ըստ ռեզիդենտության</w:t>
            </w:r>
          </w:p>
        </w:tc>
        <w:tc>
          <w:tcPr>
            <w:tcW w:w="1095" w:type="dxa"/>
            <w:tcBorders>
              <w:top w:val="single" w:sz="12" w:space="0" w:color="auto"/>
              <w:left w:val="nil"/>
              <w:right w:val="nil"/>
            </w:tcBorders>
            <w:vAlign w:val="center"/>
          </w:tcPr>
          <w:p w14:paraId="34D4CE0A" w14:textId="77777777" w:rsidR="00F1465E" w:rsidRPr="00B830F3" w:rsidRDefault="00F1465E" w:rsidP="00231073">
            <w:pPr>
              <w:spacing w:before="0" w:after="0" w:line="240" w:lineRule="auto"/>
              <w:ind w:hanging="14"/>
              <w:jc w:val="center"/>
              <w:rPr>
                <w:sz w:val="20"/>
                <w:szCs w:val="20"/>
                <w:lang w:val="hy-AM"/>
              </w:rPr>
            </w:pPr>
          </w:p>
        </w:tc>
        <w:tc>
          <w:tcPr>
            <w:tcW w:w="963" w:type="dxa"/>
            <w:tcBorders>
              <w:top w:val="single" w:sz="12" w:space="0" w:color="auto"/>
              <w:left w:val="nil"/>
              <w:right w:val="nil"/>
            </w:tcBorders>
            <w:vAlign w:val="center"/>
          </w:tcPr>
          <w:p w14:paraId="62F13517" w14:textId="77777777" w:rsidR="00F1465E" w:rsidRPr="00B830F3" w:rsidRDefault="00F1465E" w:rsidP="00231073">
            <w:pPr>
              <w:spacing w:before="0" w:after="0" w:line="240" w:lineRule="auto"/>
              <w:ind w:hanging="14"/>
              <w:jc w:val="center"/>
              <w:rPr>
                <w:sz w:val="20"/>
                <w:szCs w:val="20"/>
                <w:lang w:val="hy-AM"/>
              </w:rPr>
            </w:pPr>
          </w:p>
        </w:tc>
        <w:tc>
          <w:tcPr>
            <w:tcW w:w="1351" w:type="dxa"/>
            <w:tcBorders>
              <w:top w:val="single" w:sz="12" w:space="0" w:color="auto"/>
              <w:left w:val="nil"/>
              <w:right w:val="double" w:sz="4" w:space="0" w:color="auto"/>
            </w:tcBorders>
            <w:vAlign w:val="center"/>
          </w:tcPr>
          <w:p w14:paraId="5A8E9CEE" w14:textId="77777777" w:rsidR="00F1465E" w:rsidRPr="00B830F3" w:rsidRDefault="00F1465E" w:rsidP="00231073">
            <w:pPr>
              <w:spacing w:before="0" w:after="0" w:line="240" w:lineRule="auto"/>
              <w:ind w:hanging="14"/>
              <w:jc w:val="center"/>
              <w:rPr>
                <w:sz w:val="20"/>
                <w:szCs w:val="20"/>
                <w:lang w:val="hy-AM"/>
              </w:rPr>
            </w:pPr>
          </w:p>
        </w:tc>
        <w:tc>
          <w:tcPr>
            <w:tcW w:w="1071" w:type="dxa"/>
            <w:tcBorders>
              <w:top w:val="single" w:sz="12" w:space="0" w:color="auto"/>
              <w:left w:val="double" w:sz="4" w:space="0" w:color="auto"/>
              <w:right w:val="nil"/>
            </w:tcBorders>
            <w:vAlign w:val="center"/>
          </w:tcPr>
          <w:p w14:paraId="2C272DAE" w14:textId="77777777" w:rsidR="00F1465E" w:rsidRPr="00B830F3" w:rsidRDefault="00F1465E" w:rsidP="00231073">
            <w:pPr>
              <w:spacing w:before="0" w:after="0" w:line="240" w:lineRule="auto"/>
              <w:ind w:hanging="14"/>
              <w:jc w:val="center"/>
              <w:rPr>
                <w:sz w:val="20"/>
                <w:szCs w:val="20"/>
                <w:lang w:val="hy-AM"/>
              </w:rPr>
            </w:pPr>
          </w:p>
        </w:tc>
        <w:tc>
          <w:tcPr>
            <w:tcW w:w="1093" w:type="dxa"/>
            <w:tcBorders>
              <w:top w:val="single" w:sz="12" w:space="0" w:color="auto"/>
              <w:left w:val="nil"/>
              <w:right w:val="nil"/>
            </w:tcBorders>
            <w:vAlign w:val="center"/>
          </w:tcPr>
          <w:p w14:paraId="7610302B" w14:textId="77777777" w:rsidR="00F1465E" w:rsidRPr="00B830F3" w:rsidRDefault="00F1465E" w:rsidP="00231073">
            <w:pPr>
              <w:spacing w:before="0" w:after="0" w:line="240" w:lineRule="auto"/>
              <w:ind w:hanging="14"/>
              <w:jc w:val="center"/>
              <w:rPr>
                <w:sz w:val="20"/>
                <w:szCs w:val="20"/>
                <w:lang w:val="hy-AM"/>
              </w:rPr>
            </w:pPr>
          </w:p>
        </w:tc>
        <w:tc>
          <w:tcPr>
            <w:tcW w:w="933" w:type="dxa"/>
            <w:tcBorders>
              <w:top w:val="single" w:sz="12" w:space="0" w:color="auto"/>
              <w:left w:val="nil"/>
              <w:right w:val="nil"/>
            </w:tcBorders>
            <w:vAlign w:val="center"/>
          </w:tcPr>
          <w:p w14:paraId="6614D828" w14:textId="77777777" w:rsidR="00F1465E" w:rsidRPr="00B830F3" w:rsidRDefault="00F1465E" w:rsidP="00231073">
            <w:pPr>
              <w:spacing w:before="0" w:after="0" w:line="240" w:lineRule="auto"/>
              <w:ind w:hanging="14"/>
              <w:jc w:val="center"/>
              <w:rPr>
                <w:sz w:val="20"/>
                <w:szCs w:val="20"/>
                <w:lang w:val="hy-AM"/>
              </w:rPr>
            </w:pPr>
          </w:p>
        </w:tc>
        <w:tc>
          <w:tcPr>
            <w:tcW w:w="982" w:type="dxa"/>
            <w:tcBorders>
              <w:top w:val="single" w:sz="12" w:space="0" w:color="auto"/>
              <w:left w:val="nil"/>
              <w:right w:val="nil"/>
            </w:tcBorders>
            <w:vAlign w:val="center"/>
          </w:tcPr>
          <w:p w14:paraId="48B55E28" w14:textId="77777777" w:rsidR="00F1465E" w:rsidRPr="00B830F3" w:rsidRDefault="00F1465E" w:rsidP="00231073">
            <w:pPr>
              <w:spacing w:before="0" w:after="0" w:line="240" w:lineRule="auto"/>
              <w:ind w:hanging="14"/>
              <w:jc w:val="center"/>
              <w:rPr>
                <w:sz w:val="20"/>
                <w:szCs w:val="20"/>
                <w:lang w:val="hy-AM"/>
              </w:rPr>
            </w:pPr>
          </w:p>
        </w:tc>
      </w:tr>
      <w:tr w:rsidR="00F1465E" w:rsidRPr="00B830F3" w14:paraId="63AB14DA" w14:textId="77777777" w:rsidTr="00231073">
        <w:trPr>
          <w:trHeight w:val="256"/>
          <w:jc w:val="center"/>
        </w:trPr>
        <w:tc>
          <w:tcPr>
            <w:tcW w:w="2783" w:type="dxa"/>
            <w:tcBorders>
              <w:left w:val="nil"/>
              <w:bottom w:val="single" w:sz="4" w:space="0" w:color="auto"/>
              <w:right w:val="nil"/>
            </w:tcBorders>
            <w:vAlign w:val="center"/>
          </w:tcPr>
          <w:p w14:paraId="5D03E658" w14:textId="77777777" w:rsidR="00F1465E" w:rsidRPr="00B830F3" w:rsidRDefault="00F1465E" w:rsidP="00231073">
            <w:pPr>
              <w:spacing w:before="0" w:after="0" w:line="240" w:lineRule="auto"/>
              <w:ind w:left="297" w:hanging="14"/>
              <w:rPr>
                <w:rFonts w:cs="Times Unicode"/>
                <w:sz w:val="20"/>
                <w:szCs w:val="20"/>
                <w:lang w:val="hy-AM"/>
              </w:rPr>
            </w:pPr>
            <w:r w:rsidRPr="00B830F3">
              <w:rPr>
                <w:sz w:val="20"/>
                <w:szCs w:val="20"/>
                <w:lang w:val="hy-AM"/>
              </w:rPr>
              <w:t>կառավարության ներքին պարտք</w:t>
            </w:r>
          </w:p>
        </w:tc>
        <w:tc>
          <w:tcPr>
            <w:tcW w:w="1095" w:type="dxa"/>
            <w:tcBorders>
              <w:left w:val="nil"/>
              <w:bottom w:val="single" w:sz="4" w:space="0" w:color="auto"/>
              <w:right w:val="nil"/>
            </w:tcBorders>
            <w:vAlign w:val="center"/>
          </w:tcPr>
          <w:p w14:paraId="79A8AAD6"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670.5 </w:t>
            </w:r>
          </w:p>
        </w:tc>
        <w:tc>
          <w:tcPr>
            <w:tcW w:w="963" w:type="dxa"/>
            <w:tcBorders>
              <w:left w:val="nil"/>
              <w:bottom w:val="single" w:sz="4" w:space="0" w:color="auto"/>
              <w:right w:val="nil"/>
            </w:tcBorders>
            <w:vAlign w:val="center"/>
          </w:tcPr>
          <w:p w14:paraId="56AED105"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737.2 </w:t>
            </w:r>
          </w:p>
        </w:tc>
        <w:tc>
          <w:tcPr>
            <w:tcW w:w="1351" w:type="dxa"/>
            <w:tcBorders>
              <w:left w:val="nil"/>
              <w:bottom w:val="single" w:sz="4" w:space="0" w:color="auto"/>
              <w:right w:val="double" w:sz="4" w:space="0" w:color="auto"/>
            </w:tcBorders>
            <w:vAlign w:val="center"/>
          </w:tcPr>
          <w:p w14:paraId="0B95A1A2"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887.7 </w:t>
            </w:r>
          </w:p>
        </w:tc>
        <w:tc>
          <w:tcPr>
            <w:tcW w:w="1071" w:type="dxa"/>
            <w:tcBorders>
              <w:left w:val="double" w:sz="4" w:space="0" w:color="auto"/>
              <w:bottom w:val="single" w:sz="4" w:space="0" w:color="auto"/>
              <w:right w:val="nil"/>
            </w:tcBorders>
            <w:vAlign w:val="center"/>
          </w:tcPr>
          <w:p w14:paraId="06667E26"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950.2 </w:t>
            </w:r>
          </w:p>
        </w:tc>
        <w:tc>
          <w:tcPr>
            <w:tcW w:w="1093" w:type="dxa"/>
            <w:tcBorders>
              <w:left w:val="nil"/>
              <w:bottom w:val="single" w:sz="4" w:space="0" w:color="auto"/>
              <w:right w:val="nil"/>
            </w:tcBorders>
            <w:vAlign w:val="center"/>
          </w:tcPr>
          <w:p w14:paraId="2502376C"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1,244.8 </w:t>
            </w:r>
          </w:p>
        </w:tc>
        <w:tc>
          <w:tcPr>
            <w:tcW w:w="933" w:type="dxa"/>
            <w:tcBorders>
              <w:left w:val="nil"/>
              <w:bottom w:val="single" w:sz="4" w:space="0" w:color="auto"/>
              <w:right w:val="nil"/>
            </w:tcBorders>
            <w:vAlign w:val="center"/>
          </w:tcPr>
          <w:p w14:paraId="6114E5E0"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1,435.0 </w:t>
            </w:r>
          </w:p>
        </w:tc>
        <w:tc>
          <w:tcPr>
            <w:tcW w:w="982" w:type="dxa"/>
            <w:tcBorders>
              <w:left w:val="nil"/>
              <w:bottom w:val="single" w:sz="4" w:space="0" w:color="auto"/>
              <w:right w:val="nil"/>
            </w:tcBorders>
            <w:vAlign w:val="center"/>
          </w:tcPr>
          <w:p w14:paraId="79C3B2B0"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1,762.8 </w:t>
            </w:r>
          </w:p>
        </w:tc>
      </w:tr>
      <w:tr w:rsidR="00F1465E" w:rsidRPr="00B830F3" w14:paraId="2DB4ABD6" w14:textId="77777777" w:rsidTr="00231073">
        <w:trPr>
          <w:trHeight w:val="511"/>
          <w:jc w:val="center"/>
        </w:trPr>
        <w:tc>
          <w:tcPr>
            <w:tcW w:w="2783" w:type="dxa"/>
            <w:tcBorders>
              <w:left w:val="nil"/>
              <w:bottom w:val="single" w:sz="12" w:space="0" w:color="auto"/>
              <w:right w:val="nil"/>
            </w:tcBorders>
            <w:vAlign w:val="center"/>
          </w:tcPr>
          <w:p w14:paraId="354BE668" w14:textId="77777777" w:rsidR="00F1465E" w:rsidRPr="00B830F3" w:rsidRDefault="00F1465E" w:rsidP="00231073">
            <w:pPr>
              <w:spacing w:before="0" w:after="0" w:line="240" w:lineRule="auto"/>
              <w:ind w:left="297" w:hanging="14"/>
              <w:rPr>
                <w:rFonts w:cs="Times Unicode"/>
                <w:sz w:val="20"/>
                <w:szCs w:val="20"/>
                <w:lang w:val="hy-AM"/>
              </w:rPr>
            </w:pPr>
            <w:r w:rsidRPr="00B830F3">
              <w:rPr>
                <w:sz w:val="20"/>
                <w:szCs w:val="20"/>
                <w:lang w:val="hy-AM"/>
              </w:rPr>
              <w:t>կառավարության արտաքին պարտք</w:t>
            </w:r>
          </w:p>
        </w:tc>
        <w:tc>
          <w:tcPr>
            <w:tcW w:w="1095" w:type="dxa"/>
            <w:tcBorders>
              <w:left w:val="nil"/>
              <w:bottom w:val="single" w:sz="12" w:space="0" w:color="auto"/>
              <w:right w:val="nil"/>
            </w:tcBorders>
            <w:vAlign w:val="center"/>
          </w:tcPr>
          <w:p w14:paraId="3BD2FD3F"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2,412.1 </w:t>
            </w:r>
          </w:p>
        </w:tc>
        <w:tc>
          <w:tcPr>
            <w:tcW w:w="963" w:type="dxa"/>
            <w:tcBorders>
              <w:left w:val="nil"/>
              <w:bottom w:val="single" w:sz="12" w:space="0" w:color="auto"/>
              <w:right w:val="nil"/>
            </w:tcBorders>
            <w:vAlign w:val="center"/>
          </w:tcPr>
          <w:p w14:paraId="284A2F15"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2,541.5 </w:t>
            </w:r>
          </w:p>
        </w:tc>
        <w:tc>
          <w:tcPr>
            <w:tcW w:w="1351" w:type="dxa"/>
            <w:tcBorders>
              <w:left w:val="nil"/>
              <w:bottom w:val="single" w:sz="12" w:space="0" w:color="auto"/>
              <w:right w:val="double" w:sz="4" w:space="0" w:color="auto"/>
            </w:tcBorders>
            <w:vAlign w:val="center"/>
          </w:tcPr>
          <w:p w14:paraId="40FD0043"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2,704.9 </w:t>
            </w:r>
          </w:p>
        </w:tc>
        <w:tc>
          <w:tcPr>
            <w:tcW w:w="1071" w:type="dxa"/>
            <w:tcBorders>
              <w:left w:val="double" w:sz="4" w:space="0" w:color="auto"/>
              <w:bottom w:val="single" w:sz="12" w:space="0" w:color="auto"/>
              <w:right w:val="nil"/>
            </w:tcBorders>
            <w:vAlign w:val="center"/>
          </w:tcPr>
          <w:p w14:paraId="44FFD6B1"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2,861.8 </w:t>
            </w:r>
          </w:p>
        </w:tc>
        <w:tc>
          <w:tcPr>
            <w:tcW w:w="1093" w:type="dxa"/>
            <w:tcBorders>
              <w:left w:val="nil"/>
              <w:bottom w:val="single" w:sz="12" w:space="0" w:color="auto"/>
              <w:right w:val="nil"/>
            </w:tcBorders>
            <w:vAlign w:val="center"/>
          </w:tcPr>
          <w:p w14:paraId="25DC21AA"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2,915.0 </w:t>
            </w:r>
          </w:p>
        </w:tc>
        <w:tc>
          <w:tcPr>
            <w:tcW w:w="933" w:type="dxa"/>
            <w:tcBorders>
              <w:left w:val="nil"/>
              <w:bottom w:val="single" w:sz="12" w:space="0" w:color="auto"/>
              <w:right w:val="nil"/>
            </w:tcBorders>
            <w:vAlign w:val="center"/>
          </w:tcPr>
          <w:p w14:paraId="090436AD"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3,003.1 </w:t>
            </w:r>
          </w:p>
        </w:tc>
        <w:tc>
          <w:tcPr>
            <w:tcW w:w="982" w:type="dxa"/>
            <w:tcBorders>
              <w:left w:val="nil"/>
              <w:bottom w:val="single" w:sz="12" w:space="0" w:color="auto"/>
              <w:right w:val="nil"/>
            </w:tcBorders>
            <w:vAlign w:val="center"/>
          </w:tcPr>
          <w:p w14:paraId="01B23C01"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2,929.5 </w:t>
            </w:r>
          </w:p>
        </w:tc>
      </w:tr>
      <w:tr w:rsidR="00F1465E" w:rsidRPr="00B830F3" w14:paraId="232A7F11" w14:textId="77777777" w:rsidTr="00231073">
        <w:trPr>
          <w:trHeight w:val="249"/>
          <w:jc w:val="center"/>
        </w:trPr>
        <w:tc>
          <w:tcPr>
            <w:tcW w:w="2783" w:type="dxa"/>
            <w:tcBorders>
              <w:top w:val="single" w:sz="12" w:space="0" w:color="auto"/>
              <w:left w:val="nil"/>
              <w:right w:val="nil"/>
            </w:tcBorders>
            <w:vAlign w:val="center"/>
          </w:tcPr>
          <w:p w14:paraId="0730F070" w14:textId="77777777" w:rsidR="00F1465E" w:rsidRPr="00B830F3" w:rsidRDefault="00F1465E" w:rsidP="00231073">
            <w:pPr>
              <w:spacing w:before="0" w:after="0" w:line="240" w:lineRule="auto"/>
              <w:ind w:hanging="14"/>
              <w:rPr>
                <w:rFonts w:cs="Times Unicode"/>
                <w:sz w:val="20"/>
                <w:szCs w:val="20"/>
                <w:lang w:val="hy-AM"/>
              </w:rPr>
            </w:pPr>
            <w:r w:rsidRPr="00B830F3">
              <w:rPr>
                <w:sz w:val="20"/>
                <w:szCs w:val="20"/>
                <w:lang w:val="hy-AM"/>
              </w:rPr>
              <w:t>Ըստ գործիքակազմի</w:t>
            </w:r>
          </w:p>
        </w:tc>
        <w:tc>
          <w:tcPr>
            <w:tcW w:w="1095" w:type="dxa"/>
            <w:tcBorders>
              <w:top w:val="single" w:sz="12" w:space="0" w:color="auto"/>
              <w:left w:val="nil"/>
              <w:right w:val="nil"/>
            </w:tcBorders>
            <w:vAlign w:val="center"/>
          </w:tcPr>
          <w:p w14:paraId="7B84ABEF" w14:textId="77777777" w:rsidR="00F1465E" w:rsidRPr="00B830F3" w:rsidRDefault="00F1465E" w:rsidP="00231073">
            <w:pPr>
              <w:spacing w:before="0" w:after="0" w:line="240" w:lineRule="auto"/>
              <w:ind w:hanging="14"/>
              <w:jc w:val="center"/>
              <w:rPr>
                <w:sz w:val="20"/>
                <w:szCs w:val="20"/>
                <w:lang w:val="hy-AM"/>
              </w:rPr>
            </w:pPr>
          </w:p>
        </w:tc>
        <w:tc>
          <w:tcPr>
            <w:tcW w:w="963" w:type="dxa"/>
            <w:tcBorders>
              <w:top w:val="single" w:sz="12" w:space="0" w:color="auto"/>
              <w:left w:val="nil"/>
              <w:right w:val="nil"/>
            </w:tcBorders>
            <w:vAlign w:val="center"/>
          </w:tcPr>
          <w:p w14:paraId="2BC4F952" w14:textId="77777777" w:rsidR="00F1465E" w:rsidRPr="00B830F3" w:rsidRDefault="00F1465E" w:rsidP="00231073">
            <w:pPr>
              <w:spacing w:before="0" w:after="0" w:line="240" w:lineRule="auto"/>
              <w:ind w:hanging="14"/>
              <w:jc w:val="center"/>
              <w:rPr>
                <w:sz w:val="20"/>
                <w:szCs w:val="20"/>
                <w:lang w:val="hy-AM"/>
              </w:rPr>
            </w:pPr>
          </w:p>
        </w:tc>
        <w:tc>
          <w:tcPr>
            <w:tcW w:w="1351" w:type="dxa"/>
            <w:tcBorders>
              <w:top w:val="single" w:sz="12" w:space="0" w:color="auto"/>
              <w:left w:val="nil"/>
              <w:right w:val="double" w:sz="4" w:space="0" w:color="auto"/>
            </w:tcBorders>
            <w:vAlign w:val="center"/>
          </w:tcPr>
          <w:p w14:paraId="3E9D7E41" w14:textId="77777777" w:rsidR="00F1465E" w:rsidRPr="00B830F3" w:rsidRDefault="00F1465E" w:rsidP="00231073">
            <w:pPr>
              <w:spacing w:before="0" w:after="0" w:line="240" w:lineRule="auto"/>
              <w:ind w:hanging="14"/>
              <w:jc w:val="center"/>
              <w:rPr>
                <w:sz w:val="20"/>
                <w:szCs w:val="20"/>
                <w:lang w:val="hy-AM"/>
              </w:rPr>
            </w:pPr>
          </w:p>
        </w:tc>
        <w:tc>
          <w:tcPr>
            <w:tcW w:w="1071" w:type="dxa"/>
            <w:tcBorders>
              <w:top w:val="single" w:sz="12" w:space="0" w:color="auto"/>
              <w:left w:val="double" w:sz="4" w:space="0" w:color="auto"/>
              <w:right w:val="nil"/>
            </w:tcBorders>
            <w:vAlign w:val="center"/>
          </w:tcPr>
          <w:p w14:paraId="3B0157AF" w14:textId="77777777" w:rsidR="00F1465E" w:rsidRPr="00B830F3" w:rsidRDefault="00F1465E" w:rsidP="00231073">
            <w:pPr>
              <w:spacing w:before="0" w:after="0" w:line="240" w:lineRule="auto"/>
              <w:ind w:hanging="14"/>
              <w:jc w:val="center"/>
              <w:rPr>
                <w:sz w:val="20"/>
                <w:szCs w:val="20"/>
                <w:lang w:val="hy-AM"/>
              </w:rPr>
            </w:pPr>
          </w:p>
        </w:tc>
        <w:tc>
          <w:tcPr>
            <w:tcW w:w="1093" w:type="dxa"/>
            <w:tcBorders>
              <w:top w:val="single" w:sz="12" w:space="0" w:color="auto"/>
              <w:left w:val="nil"/>
              <w:right w:val="nil"/>
            </w:tcBorders>
            <w:vAlign w:val="center"/>
          </w:tcPr>
          <w:p w14:paraId="3D8DA6C5" w14:textId="77777777" w:rsidR="00F1465E" w:rsidRPr="00B830F3" w:rsidRDefault="00F1465E" w:rsidP="00231073">
            <w:pPr>
              <w:spacing w:before="0" w:after="0" w:line="240" w:lineRule="auto"/>
              <w:ind w:hanging="14"/>
              <w:jc w:val="center"/>
              <w:rPr>
                <w:sz w:val="20"/>
                <w:szCs w:val="20"/>
                <w:lang w:val="hy-AM"/>
              </w:rPr>
            </w:pPr>
          </w:p>
        </w:tc>
        <w:tc>
          <w:tcPr>
            <w:tcW w:w="933" w:type="dxa"/>
            <w:tcBorders>
              <w:top w:val="single" w:sz="12" w:space="0" w:color="auto"/>
              <w:left w:val="nil"/>
              <w:right w:val="nil"/>
            </w:tcBorders>
            <w:vAlign w:val="center"/>
          </w:tcPr>
          <w:p w14:paraId="7E43B75E" w14:textId="77777777" w:rsidR="00F1465E" w:rsidRPr="00B830F3" w:rsidRDefault="00F1465E" w:rsidP="00231073">
            <w:pPr>
              <w:spacing w:before="0" w:after="0" w:line="240" w:lineRule="auto"/>
              <w:ind w:hanging="14"/>
              <w:jc w:val="center"/>
              <w:rPr>
                <w:sz w:val="20"/>
                <w:szCs w:val="20"/>
                <w:lang w:val="hy-AM"/>
              </w:rPr>
            </w:pPr>
          </w:p>
        </w:tc>
        <w:tc>
          <w:tcPr>
            <w:tcW w:w="982" w:type="dxa"/>
            <w:tcBorders>
              <w:top w:val="single" w:sz="12" w:space="0" w:color="auto"/>
              <w:left w:val="nil"/>
              <w:right w:val="nil"/>
            </w:tcBorders>
            <w:vAlign w:val="center"/>
          </w:tcPr>
          <w:p w14:paraId="06DE8F42" w14:textId="77777777" w:rsidR="00F1465E" w:rsidRPr="00B830F3" w:rsidRDefault="00F1465E" w:rsidP="00231073">
            <w:pPr>
              <w:spacing w:before="0" w:after="0" w:line="240" w:lineRule="auto"/>
              <w:ind w:hanging="14"/>
              <w:jc w:val="center"/>
              <w:rPr>
                <w:sz w:val="20"/>
                <w:szCs w:val="20"/>
                <w:lang w:val="hy-AM"/>
              </w:rPr>
            </w:pPr>
          </w:p>
        </w:tc>
      </w:tr>
      <w:tr w:rsidR="00F1465E" w:rsidRPr="00B830F3" w14:paraId="7631C733" w14:textId="77777777" w:rsidTr="00231073">
        <w:trPr>
          <w:trHeight w:val="511"/>
          <w:jc w:val="center"/>
        </w:trPr>
        <w:tc>
          <w:tcPr>
            <w:tcW w:w="2783" w:type="dxa"/>
            <w:tcBorders>
              <w:left w:val="nil"/>
              <w:right w:val="nil"/>
            </w:tcBorders>
            <w:vAlign w:val="center"/>
          </w:tcPr>
          <w:p w14:paraId="30596979" w14:textId="77777777" w:rsidR="00F1465E" w:rsidRPr="00B830F3" w:rsidRDefault="00F1465E" w:rsidP="00231073">
            <w:pPr>
              <w:spacing w:before="0" w:after="0" w:line="240" w:lineRule="auto"/>
              <w:ind w:left="297" w:hanging="14"/>
              <w:rPr>
                <w:rFonts w:cs="Times Unicode"/>
                <w:sz w:val="20"/>
                <w:szCs w:val="20"/>
                <w:lang w:val="hy-AM"/>
              </w:rPr>
            </w:pPr>
            <w:r w:rsidRPr="00B830F3">
              <w:rPr>
                <w:sz w:val="20"/>
                <w:szCs w:val="20"/>
                <w:lang w:val="hy-AM"/>
              </w:rPr>
              <w:t>արտաքին վարկեր և փոխառություններ</w:t>
            </w:r>
          </w:p>
        </w:tc>
        <w:tc>
          <w:tcPr>
            <w:tcW w:w="1095" w:type="dxa"/>
            <w:tcBorders>
              <w:left w:val="nil"/>
              <w:right w:val="nil"/>
            </w:tcBorders>
            <w:vAlign w:val="center"/>
          </w:tcPr>
          <w:p w14:paraId="71300692"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2,002.6 </w:t>
            </w:r>
          </w:p>
        </w:tc>
        <w:tc>
          <w:tcPr>
            <w:tcW w:w="963" w:type="dxa"/>
            <w:tcBorders>
              <w:left w:val="nil"/>
              <w:right w:val="nil"/>
            </w:tcBorders>
            <w:vAlign w:val="center"/>
          </w:tcPr>
          <w:p w14:paraId="5A78F10B"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2,067.3 </w:t>
            </w:r>
          </w:p>
        </w:tc>
        <w:tc>
          <w:tcPr>
            <w:tcW w:w="1351" w:type="dxa"/>
            <w:tcBorders>
              <w:left w:val="nil"/>
              <w:right w:val="double" w:sz="4" w:space="0" w:color="auto"/>
            </w:tcBorders>
            <w:vAlign w:val="center"/>
          </w:tcPr>
          <w:p w14:paraId="6CC42350"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2,251.1 </w:t>
            </w:r>
          </w:p>
        </w:tc>
        <w:tc>
          <w:tcPr>
            <w:tcW w:w="1071" w:type="dxa"/>
            <w:tcBorders>
              <w:left w:val="double" w:sz="4" w:space="0" w:color="auto"/>
              <w:right w:val="nil"/>
            </w:tcBorders>
            <w:vAlign w:val="center"/>
          </w:tcPr>
          <w:p w14:paraId="3B8B989E"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2,407.8 </w:t>
            </w:r>
          </w:p>
        </w:tc>
        <w:tc>
          <w:tcPr>
            <w:tcW w:w="1093" w:type="dxa"/>
            <w:tcBorders>
              <w:left w:val="nil"/>
              <w:right w:val="nil"/>
            </w:tcBorders>
            <w:vAlign w:val="center"/>
          </w:tcPr>
          <w:p w14:paraId="756AB63E"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2,454.4 </w:t>
            </w:r>
          </w:p>
        </w:tc>
        <w:tc>
          <w:tcPr>
            <w:tcW w:w="933" w:type="dxa"/>
            <w:tcBorders>
              <w:left w:val="nil"/>
              <w:right w:val="nil"/>
            </w:tcBorders>
            <w:vAlign w:val="center"/>
          </w:tcPr>
          <w:p w14:paraId="19DE685B"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2,534.5 </w:t>
            </w:r>
          </w:p>
        </w:tc>
        <w:tc>
          <w:tcPr>
            <w:tcW w:w="982" w:type="dxa"/>
            <w:tcBorders>
              <w:left w:val="nil"/>
              <w:right w:val="nil"/>
            </w:tcBorders>
            <w:vAlign w:val="center"/>
          </w:tcPr>
          <w:p w14:paraId="04561A0B"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2,452.6 </w:t>
            </w:r>
          </w:p>
        </w:tc>
      </w:tr>
      <w:tr w:rsidR="00F1465E" w:rsidRPr="00B830F3" w14:paraId="09684C9D" w14:textId="77777777" w:rsidTr="00231073">
        <w:trPr>
          <w:trHeight w:val="511"/>
          <w:jc w:val="center"/>
        </w:trPr>
        <w:tc>
          <w:tcPr>
            <w:tcW w:w="2783" w:type="dxa"/>
            <w:tcBorders>
              <w:left w:val="nil"/>
              <w:right w:val="nil"/>
            </w:tcBorders>
            <w:vAlign w:val="center"/>
          </w:tcPr>
          <w:p w14:paraId="6EB3D9FF" w14:textId="77777777" w:rsidR="00F1465E" w:rsidRPr="00B830F3" w:rsidRDefault="00F1465E" w:rsidP="00231073">
            <w:pPr>
              <w:spacing w:before="0" w:after="0" w:line="240" w:lineRule="auto"/>
              <w:ind w:left="297" w:hanging="14"/>
              <w:rPr>
                <w:rFonts w:cs="Times Unicode"/>
                <w:sz w:val="20"/>
                <w:szCs w:val="20"/>
                <w:lang w:val="hy-AM"/>
              </w:rPr>
            </w:pPr>
            <w:r w:rsidRPr="00B830F3">
              <w:rPr>
                <w:sz w:val="20"/>
                <w:szCs w:val="20"/>
                <w:lang w:val="hy-AM"/>
              </w:rPr>
              <w:t>պետական գանձապետական պարտատոմսեր</w:t>
            </w:r>
          </w:p>
        </w:tc>
        <w:tc>
          <w:tcPr>
            <w:tcW w:w="1095" w:type="dxa"/>
            <w:tcBorders>
              <w:left w:val="nil"/>
              <w:right w:val="nil"/>
            </w:tcBorders>
            <w:vAlign w:val="center"/>
          </w:tcPr>
          <w:p w14:paraId="04BF1030"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588.1 </w:t>
            </w:r>
          </w:p>
        </w:tc>
        <w:tc>
          <w:tcPr>
            <w:tcW w:w="963" w:type="dxa"/>
            <w:tcBorders>
              <w:left w:val="nil"/>
              <w:right w:val="nil"/>
            </w:tcBorders>
            <w:vAlign w:val="center"/>
          </w:tcPr>
          <w:p w14:paraId="30DCC15A"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681.0 </w:t>
            </w:r>
          </w:p>
        </w:tc>
        <w:tc>
          <w:tcPr>
            <w:tcW w:w="1351" w:type="dxa"/>
            <w:tcBorders>
              <w:left w:val="nil"/>
              <w:right w:val="double" w:sz="4" w:space="0" w:color="auto"/>
            </w:tcBorders>
            <w:vAlign w:val="center"/>
          </w:tcPr>
          <w:p w14:paraId="1FF27137"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826.3 </w:t>
            </w:r>
          </w:p>
        </w:tc>
        <w:tc>
          <w:tcPr>
            <w:tcW w:w="1071" w:type="dxa"/>
            <w:tcBorders>
              <w:left w:val="double" w:sz="4" w:space="0" w:color="auto"/>
              <w:right w:val="nil"/>
            </w:tcBorders>
            <w:vAlign w:val="center"/>
          </w:tcPr>
          <w:p w14:paraId="32EE0474"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889.1 </w:t>
            </w:r>
          </w:p>
        </w:tc>
        <w:tc>
          <w:tcPr>
            <w:tcW w:w="1093" w:type="dxa"/>
            <w:tcBorders>
              <w:left w:val="nil"/>
              <w:right w:val="nil"/>
            </w:tcBorders>
            <w:vAlign w:val="center"/>
          </w:tcPr>
          <w:p w14:paraId="702D95D4"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1,184.1 </w:t>
            </w:r>
          </w:p>
        </w:tc>
        <w:tc>
          <w:tcPr>
            <w:tcW w:w="933" w:type="dxa"/>
            <w:tcBorders>
              <w:left w:val="nil"/>
              <w:right w:val="nil"/>
            </w:tcBorders>
            <w:vAlign w:val="center"/>
          </w:tcPr>
          <w:p w14:paraId="1FD9CEFE"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1,374.2 </w:t>
            </w:r>
          </w:p>
        </w:tc>
        <w:tc>
          <w:tcPr>
            <w:tcW w:w="982" w:type="dxa"/>
            <w:tcBorders>
              <w:left w:val="nil"/>
              <w:right w:val="nil"/>
            </w:tcBorders>
            <w:vAlign w:val="center"/>
          </w:tcPr>
          <w:p w14:paraId="01E6AC30"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1,702.3 </w:t>
            </w:r>
          </w:p>
        </w:tc>
      </w:tr>
      <w:tr w:rsidR="00F1465E" w:rsidRPr="00B830F3" w14:paraId="50CFFE4F" w14:textId="77777777" w:rsidTr="00231073">
        <w:trPr>
          <w:trHeight w:val="511"/>
          <w:jc w:val="center"/>
        </w:trPr>
        <w:tc>
          <w:tcPr>
            <w:tcW w:w="2783" w:type="dxa"/>
            <w:tcBorders>
              <w:left w:val="nil"/>
              <w:right w:val="nil"/>
            </w:tcBorders>
            <w:vAlign w:val="center"/>
          </w:tcPr>
          <w:p w14:paraId="014FC5BC" w14:textId="77777777" w:rsidR="00F1465E" w:rsidRPr="00B830F3" w:rsidRDefault="00F1465E" w:rsidP="00231073">
            <w:pPr>
              <w:spacing w:before="0" w:after="0" w:line="240" w:lineRule="auto"/>
              <w:ind w:left="297" w:hanging="14"/>
              <w:rPr>
                <w:rFonts w:cs="Times Unicode"/>
                <w:sz w:val="20"/>
                <w:szCs w:val="20"/>
                <w:lang w:val="hy-AM"/>
              </w:rPr>
            </w:pPr>
            <w:r w:rsidRPr="00B830F3">
              <w:rPr>
                <w:sz w:val="20"/>
                <w:szCs w:val="20"/>
                <w:lang w:val="hy-AM"/>
              </w:rPr>
              <w:t>արտարժութային պետական պարտատոմսեր</w:t>
            </w:r>
          </w:p>
        </w:tc>
        <w:tc>
          <w:tcPr>
            <w:tcW w:w="1095" w:type="dxa"/>
            <w:tcBorders>
              <w:left w:val="nil"/>
              <w:right w:val="nil"/>
            </w:tcBorders>
            <w:vAlign w:val="center"/>
          </w:tcPr>
          <w:p w14:paraId="6C616539"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483.8 </w:t>
            </w:r>
          </w:p>
        </w:tc>
        <w:tc>
          <w:tcPr>
            <w:tcW w:w="963" w:type="dxa"/>
            <w:tcBorders>
              <w:left w:val="nil"/>
              <w:right w:val="nil"/>
            </w:tcBorders>
            <w:vAlign w:val="center"/>
          </w:tcPr>
          <w:p w14:paraId="6F752588"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526.5 </w:t>
            </w:r>
          </w:p>
        </w:tc>
        <w:tc>
          <w:tcPr>
            <w:tcW w:w="1351" w:type="dxa"/>
            <w:tcBorders>
              <w:left w:val="nil"/>
              <w:right w:val="double" w:sz="4" w:space="0" w:color="auto"/>
            </w:tcBorders>
            <w:vAlign w:val="center"/>
          </w:tcPr>
          <w:p w14:paraId="7C2DD18E"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507.4 </w:t>
            </w:r>
          </w:p>
        </w:tc>
        <w:tc>
          <w:tcPr>
            <w:tcW w:w="1071" w:type="dxa"/>
            <w:tcBorders>
              <w:left w:val="double" w:sz="4" w:space="0" w:color="auto"/>
              <w:right w:val="nil"/>
            </w:tcBorders>
            <w:vAlign w:val="center"/>
          </w:tcPr>
          <w:p w14:paraId="04CD3E3C"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507.4 </w:t>
            </w:r>
          </w:p>
        </w:tc>
        <w:tc>
          <w:tcPr>
            <w:tcW w:w="1093" w:type="dxa"/>
            <w:tcBorders>
              <w:left w:val="nil"/>
              <w:right w:val="nil"/>
            </w:tcBorders>
            <w:vAlign w:val="center"/>
          </w:tcPr>
          <w:p w14:paraId="50D92AD5"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513.5 </w:t>
            </w:r>
          </w:p>
        </w:tc>
        <w:tc>
          <w:tcPr>
            <w:tcW w:w="933" w:type="dxa"/>
            <w:tcBorders>
              <w:left w:val="nil"/>
              <w:right w:val="nil"/>
            </w:tcBorders>
            <w:vAlign w:val="center"/>
          </w:tcPr>
          <w:p w14:paraId="364D1F92"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521.8 </w:t>
            </w:r>
          </w:p>
        </w:tc>
        <w:tc>
          <w:tcPr>
            <w:tcW w:w="982" w:type="dxa"/>
            <w:tcBorders>
              <w:left w:val="nil"/>
              <w:right w:val="nil"/>
            </w:tcBorders>
            <w:vAlign w:val="center"/>
          </w:tcPr>
          <w:p w14:paraId="47C0F6FC"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530.1 </w:t>
            </w:r>
          </w:p>
        </w:tc>
      </w:tr>
      <w:tr w:rsidR="00F1465E" w:rsidRPr="00B830F3" w14:paraId="79EC028E" w14:textId="77777777" w:rsidTr="00231073">
        <w:trPr>
          <w:trHeight w:val="249"/>
          <w:jc w:val="center"/>
        </w:trPr>
        <w:tc>
          <w:tcPr>
            <w:tcW w:w="2783" w:type="dxa"/>
            <w:tcBorders>
              <w:left w:val="nil"/>
              <w:bottom w:val="single" w:sz="4" w:space="0" w:color="auto"/>
              <w:right w:val="nil"/>
            </w:tcBorders>
            <w:vAlign w:val="center"/>
          </w:tcPr>
          <w:p w14:paraId="565BF198" w14:textId="77777777" w:rsidR="00F1465E" w:rsidRPr="00B830F3" w:rsidRDefault="00F1465E" w:rsidP="00231073">
            <w:pPr>
              <w:spacing w:before="0" w:after="0" w:line="240" w:lineRule="auto"/>
              <w:ind w:left="297" w:hanging="14"/>
              <w:rPr>
                <w:sz w:val="20"/>
                <w:szCs w:val="20"/>
                <w:lang w:val="hy-AM"/>
              </w:rPr>
            </w:pPr>
            <w:r w:rsidRPr="00B830F3">
              <w:rPr>
                <w:sz w:val="20"/>
                <w:szCs w:val="20"/>
                <w:lang w:val="hy-AM"/>
              </w:rPr>
              <w:t>արտաքին երաշխիքներ</w:t>
            </w:r>
          </w:p>
        </w:tc>
        <w:tc>
          <w:tcPr>
            <w:tcW w:w="1095" w:type="dxa"/>
            <w:tcBorders>
              <w:left w:val="nil"/>
              <w:bottom w:val="single" w:sz="4" w:space="0" w:color="auto"/>
              <w:right w:val="nil"/>
            </w:tcBorders>
            <w:vAlign w:val="center"/>
          </w:tcPr>
          <w:p w14:paraId="20502658"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3.9 </w:t>
            </w:r>
          </w:p>
        </w:tc>
        <w:tc>
          <w:tcPr>
            <w:tcW w:w="963" w:type="dxa"/>
            <w:tcBorders>
              <w:left w:val="nil"/>
              <w:bottom w:val="single" w:sz="4" w:space="0" w:color="auto"/>
              <w:right w:val="nil"/>
            </w:tcBorders>
            <w:vAlign w:val="center"/>
          </w:tcPr>
          <w:p w14:paraId="3DDBB471"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3.8 </w:t>
            </w:r>
          </w:p>
        </w:tc>
        <w:tc>
          <w:tcPr>
            <w:tcW w:w="1351" w:type="dxa"/>
            <w:tcBorders>
              <w:left w:val="nil"/>
              <w:bottom w:val="single" w:sz="4" w:space="0" w:color="auto"/>
              <w:right w:val="double" w:sz="4" w:space="0" w:color="auto"/>
            </w:tcBorders>
            <w:vAlign w:val="center"/>
          </w:tcPr>
          <w:p w14:paraId="30A62EEA"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7.8 </w:t>
            </w:r>
          </w:p>
        </w:tc>
        <w:tc>
          <w:tcPr>
            <w:tcW w:w="1071" w:type="dxa"/>
            <w:tcBorders>
              <w:left w:val="double" w:sz="4" w:space="0" w:color="auto"/>
              <w:bottom w:val="single" w:sz="4" w:space="0" w:color="auto"/>
              <w:right w:val="nil"/>
            </w:tcBorders>
            <w:vAlign w:val="center"/>
          </w:tcPr>
          <w:p w14:paraId="72629501"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7.7 </w:t>
            </w:r>
          </w:p>
        </w:tc>
        <w:tc>
          <w:tcPr>
            <w:tcW w:w="1093" w:type="dxa"/>
            <w:tcBorders>
              <w:left w:val="nil"/>
              <w:bottom w:val="single" w:sz="4" w:space="0" w:color="auto"/>
              <w:right w:val="nil"/>
            </w:tcBorders>
            <w:vAlign w:val="center"/>
          </w:tcPr>
          <w:p w14:paraId="4AFB4AF0"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7.7 </w:t>
            </w:r>
          </w:p>
        </w:tc>
        <w:tc>
          <w:tcPr>
            <w:tcW w:w="933" w:type="dxa"/>
            <w:tcBorders>
              <w:left w:val="nil"/>
              <w:bottom w:val="single" w:sz="4" w:space="0" w:color="auto"/>
              <w:right w:val="nil"/>
            </w:tcBorders>
            <w:vAlign w:val="center"/>
          </w:tcPr>
          <w:p w14:paraId="2576B188"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7.7 </w:t>
            </w:r>
          </w:p>
        </w:tc>
        <w:tc>
          <w:tcPr>
            <w:tcW w:w="982" w:type="dxa"/>
            <w:tcBorders>
              <w:left w:val="nil"/>
              <w:bottom w:val="single" w:sz="4" w:space="0" w:color="auto"/>
              <w:right w:val="nil"/>
            </w:tcBorders>
            <w:vAlign w:val="center"/>
          </w:tcPr>
          <w:p w14:paraId="558567CD"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7.4 </w:t>
            </w:r>
          </w:p>
        </w:tc>
      </w:tr>
      <w:tr w:rsidR="00F1465E" w:rsidRPr="00B830F3" w14:paraId="238D6D1F" w14:textId="77777777" w:rsidTr="00231073">
        <w:trPr>
          <w:trHeight w:val="256"/>
          <w:jc w:val="center"/>
        </w:trPr>
        <w:tc>
          <w:tcPr>
            <w:tcW w:w="2783" w:type="dxa"/>
            <w:tcBorders>
              <w:left w:val="nil"/>
              <w:bottom w:val="single" w:sz="12" w:space="0" w:color="auto"/>
              <w:right w:val="nil"/>
            </w:tcBorders>
            <w:vAlign w:val="center"/>
          </w:tcPr>
          <w:p w14:paraId="6E2AEEAE" w14:textId="77777777" w:rsidR="00F1465E" w:rsidRPr="00B830F3" w:rsidRDefault="00F1465E" w:rsidP="00231073">
            <w:pPr>
              <w:spacing w:before="0" w:after="0" w:line="240" w:lineRule="auto"/>
              <w:ind w:left="297" w:hanging="14"/>
              <w:rPr>
                <w:rFonts w:cs="Times Unicode"/>
                <w:sz w:val="20"/>
                <w:szCs w:val="20"/>
                <w:lang w:val="hy-AM"/>
              </w:rPr>
            </w:pPr>
            <w:r w:rsidRPr="00B830F3">
              <w:rPr>
                <w:sz w:val="20"/>
                <w:szCs w:val="20"/>
                <w:lang w:val="hy-AM"/>
              </w:rPr>
              <w:t>ներքին երաշխիքներ</w:t>
            </w:r>
          </w:p>
        </w:tc>
        <w:tc>
          <w:tcPr>
            <w:tcW w:w="1095" w:type="dxa"/>
            <w:tcBorders>
              <w:left w:val="nil"/>
              <w:bottom w:val="single" w:sz="12" w:space="0" w:color="auto"/>
              <w:right w:val="nil"/>
            </w:tcBorders>
            <w:vAlign w:val="center"/>
          </w:tcPr>
          <w:p w14:paraId="00137509"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4.4 </w:t>
            </w:r>
          </w:p>
        </w:tc>
        <w:tc>
          <w:tcPr>
            <w:tcW w:w="963" w:type="dxa"/>
            <w:tcBorders>
              <w:left w:val="nil"/>
              <w:bottom w:val="single" w:sz="12" w:space="0" w:color="auto"/>
              <w:right w:val="nil"/>
            </w:tcBorders>
            <w:vAlign w:val="center"/>
          </w:tcPr>
          <w:p w14:paraId="057D9C6F"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   </w:t>
            </w:r>
          </w:p>
        </w:tc>
        <w:tc>
          <w:tcPr>
            <w:tcW w:w="1351" w:type="dxa"/>
            <w:tcBorders>
              <w:left w:val="nil"/>
              <w:bottom w:val="single" w:sz="12" w:space="0" w:color="auto"/>
              <w:right w:val="double" w:sz="4" w:space="0" w:color="auto"/>
            </w:tcBorders>
            <w:vAlign w:val="center"/>
          </w:tcPr>
          <w:p w14:paraId="3EE710B6"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   </w:t>
            </w:r>
          </w:p>
        </w:tc>
        <w:tc>
          <w:tcPr>
            <w:tcW w:w="1071" w:type="dxa"/>
            <w:tcBorders>
              <w:left w:val="double" w:sz="4" w:space="0" w:color="auto"/>
              <w:bottom w:val="single" w:sz="12" w:space="0" w:color="auto"/>
              <w:right w:val="nil"/>
            </w:tcBorders>
            <w:vAlign w:val="center"/>
          </w:tcPr>
          <w:p w14:paraId="4178FB11"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   </w:t>
            </w:r>
          </w:p>
        </w:tc>
        <w:tc>
          <w:tcPr>
            <w:tcW w:w="1093" w:type="dxa"/>
            <w:tcBorders>
              <w:left w:val="nil"/>
              <w:bottom w:val="single" w:sz="12" w:space="0" w:color="auto"/>
              <w:right w:val="nil"/>
            </w:tcBorders>
            <w:vAlign w:val="center"/>
          </w:tcPr>
          <w:p w14:paraId="5944807C"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   </w:t>
            </w:r>
          </w:p>
        </w:tc>
        <w:tc>
          <w:tcPr>
            <w:tcW w:w="933" w:type="dxa"/>
            <w:tcBorders>
              <w:left w:val="nil"/>
              <w:bottom w:val="single" w:sz="12" w:space="0" w:color="auto"/>
              <w:right w:val="nil"/>
            </w:tcBorders>
            <w:vAlign w:val="center"/>
          </w:tcPr>
          <w:p w14:paraId="3401EF90"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   </w:t>
            </w:r>
          </w:p>
        </w:tc>
        <w:tc>
          <w:tcPr>
            <w:tcW w:w="982" w:type="dxa"/>
            <w:tcBorders>
              <w:left w:val="nil"/>
              <w:bottom w:val="single" w:sz="12" w:space="0" w:color="auto"/>
              <w:right w:val="nil"/>
            </w:tcBorders>
            <w:vAlign w:val="center"/>
          </w:tcPr>
          <w:p w14:paraId="49502AF9"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   </w:t>
            </w:r>
          </w:p>
        </w:tc>
      </w:tr>
      <w:tr w:rsidR="00F1465E" w:rsidRPr="00B830F3" w14:paraId="6670CDC0" w14:textId="77777777" w:rsidTr="00231073">
        <w:trPr>
          <w:trHeight w:val="511"/>
          <w:jc w:val="center"/>
        </w:trPr>
        <w:tc>
          <w:tcPr>
            <w:tcW w:w="2783" w:type="dxa"/>
            <w:tcBorders>
              <w:top w:val="single" w:sz="12" w:space="0" w:color="auto"/>
              <w:left w:val="nil"/>
              <w:right w:val="nil"/>
            </w:tcBorders>
          </w:tcPr>
          <w:p w14:paraId="03A00FDD" w14:textId="77777777" w:rsidR="00F1465E" w:rsidRPr="00B830F3" w:rsidRDefault="00F1465E" w:rsidP="00231073">
            <w:pPr>
              <w:spacing w:before="0" w:after="0" w:line="240" w:lineRule="auto"/>
              <w:ind w:hanging="14"/>
              <w:jc w:val="left"/>
              <w:rPr>
                <w:rFonts w:cs="Times Unicode"/>
                <w:sz w:val="20"/>
                <w:szCs w:val="20"/>
                <w:lang w:val="hy-AM"/>
              </w:rPr>
            </w:pPr>
            <w:r w:rsidRPr="00B830F3">
              <w:rPr>
                <w:rFonts w:cs="Times Unicode"/>
                <w:sz w:val="20"/>
                <w:szCs w:val="20"/>
                <w:lang w:val="hy-AM"/>
              </w:rPr>
              <w:t>Կառավարության</w:t>
            </w:r>
            <w:r w:rsidRPr="00B830F3">
              <w:rPr>
                <w:sz w:val="20"/>
                <w:szCs w:val="20"/>
                <w:lang w:val="hy-AM"/>
              </w:rPr>
              <w:t xml:space="preserve"> </w:t>
            </w:r>
            <w:r w:rsidRPr="00B830F3">
              <w:rPr>
                <w:rFonts w:cs="Times Unicode"/>
                <w:sz w:val="20"/>
                <w:szCs w:val="20"/>
                <w:lang w:val="hy-AM"/>
              </w:rPr>
              <w:t>պարտքի</w:t>
            </w:r>
            <w:r w:rsidRPr="00B830F3">
              <w:rPr>
                <w:sz w:val="20"/>
                <w:szCs w:val="20"/>
                <w:lang w:val="hy-AM"/>
              </w:rPr>
              <w:t xml:space="preserve"> </w:t>
            </w:r>
            <w:r w:rsidRPr="00B830F3">
              <w:rPr>
                <w:rFonts w:cs="Times Unicode"/>
                <w:sz w:val="20"/>
                <w:szCs w:val="20"/>
                <w:lang w:val="hy-AM"/>
              </w:rPr>
              <w:t>տոկոսավճար</w:t>
            </w:r>
          </w:p>
        </w:tc>
        <w:tc>
          <w:tcPr>
            <w:tcW w:w="1095" w:type="dxa"/>
            <w:tcBorders>
              <w:top w:val="single" w:sz="12" w:space="0" w:color="auto"/>
              <w:left w:val="nil"/>
              <w:right w:val="nil"/>
            </w:tcBorders>
            <w:vAlign w:val="center"/>
          </w:tcPr>
          <w:p w14:paraId="2E8D3D58"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139.0 </w:t>
            </w:r>
          </w:p>
        </w:tc>
        <w:tc>
          <w:tcPr>
            <w:tcW w:w="963" w:type="dxa"/>
            <w:tcBorders>
              <w:top w:val="single" w:sz="12" w:space="0" w:color="auto"/>
              <w:left w:val="nil"/>
              <w:right w:val="nil"/>
            </w:tcBorders>
            <w:vAlign w:val="center"/>
          </w:tcPr>
          <w:p w14:paraId="7B772B50"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157.5 </w:t>
            </w:r>
          </w:p>
        </w:tc>
        <w:tc>
          <w:tcPr>
            <w:tcW w:w="1351" w:type="dxa"/>
            <w:tcBorders>
              <w:top w:val="single" w:sz="12" w:space="0" w:color="auto"/>
              <w:left w:val="nil"/>
              <w:right w:val="double" w:sz="4" w:space="0" w:color="auto"/>
            </w:tcBorders>
            <w:vAlign w:val="center"/>
          </w:tcPr>
          <w:p w14:paraId="25C58DCE"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168.1 </w:t>
            </w:r>
          </w:p>
        </w:tc>
        <w:tc>
          <w:tcPr>
            <w:tcW w:w="1071" w:type="dxa"/>
            <w:tcBorders>
              <w:top w:val="single" w:sz="12" w:space="0" w:color="auto"/>
              <w:left w:val="double" w:sz="4" w:space="0" w:color="auto"/>
              <w:right w:val="nil"/>
            </w:tcBorders>
            <w:vAlign w:val="center"/>
          </w:tcPr>
          <w:p w14:paraId="26DDE77D"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166.7 </w:t>
            </w:r>
          </w:p>
        </w:tc>
        <w:tc>
          <w:tcPr>
            <w:tcW w:w="1093" w:type="dxa"/>
            <w:tcBorders>
              <w:top w:val="single" w:sz="12" w:space="0" w:color="auto"/>
              <w:left w:val="nil"/>
              <w:right w:val="nil"/>
            </w:tcBorders>
            <w:vAlign w:val="center"/>
          </w:tcPr>
          <w:p w14:paraId="2A065D1C"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185.5 </w:t>
            </w:r>
          </w:p>
        </w:tc>
        <w:tc>
          <w:tcPr>
            <w:tcW w:w="933" w:type="dxa"/>
            <w:tcBorders>
              <w:top w:val="single" w:sz="12" w:space="0" w:color="auto"/>
              <w:left w:val="nil"/>
              <w:right w:val="nil"/>
            </w:tcBorders>
            <w:vAlign w:val="center"/>
          </w:tcPr>
          <w:p w14:paraId="512EC593"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211.2 </w:t>
            </w:r>
          </w:p>
        </w:tc>
        <w:tc>
          <w:tcPr>
            <w:tcW w:w="982" w:type="dxa"/>
            <w:tcBorders>
              <w:top w:val="single" w:sz="12" w:space="0" w:color="auto"/>
              <w:left w:val="nil"/>
              <w:right w:val="nil"/>
            </w:tcBorders>
            <w:vAlign w:val="center"/>
          </w:tcPr>
          <w:p w14:paraId="0A5E8068"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236.6 </w:t>
            </w:r>
          </w:p>
        </w:tc>
      </w:tr>
      <w:tr w:rsidR="00F1465E" w:rsidRPr="00B830F3" w14:paraId="5B89B66D" w14:textId="77777777" w:rsidTr="00231073">
        <w:trPr>
          <w:trHeight w:val="511"/>
          <w:jc w:val="center"/>
        </w:trPr>
        <w:tc>
          <w:tcPr>
            <w:tcW w:w="2783" w:type="dxa"/>
            <w:tcBorders>
              <w:left w:val="nil"/>
              <w:right w:val="nil"/>
            </w:tcBorders>
          </w:tcPr>
          <w:p w14:paraId="109232E4" w14:textId="77777777" w:rsidR="00F1465E" w:rsidRPr="00B830F3" w:rsidRDefault="00F1465E" w:rsidP="00231073">
            <w:pPr>
              <w:spacing w:before="0" w:after="0" w:line="240" w:lineRule="auto"/>
              <w:ind w:hanging="14"/>
              <w:jc w:val="left"/>
              <w:rPr>
                <w:sz w:val="20"/>
                <w:szCs w:val="20"/>
                <w:lang w:val="hy-AM"/>
              </w:rPr>
            </w:pPr>
            <w:r w:rsidRPr="00B830F3">
              <w:rPr>
                <w:rFonts w:cs="Times Unicode"/>
                <w:sz w:val="20"/>
                <w:szCs w:val="20"/>
                <w:lang w:val="hy-AM"/>
              </w:rPr>
              <w:t>Տոկոսավճար</w:t>
            </w:r>
            <w:r w:rsidRPr="00B830F3">
              <w:rPr>
                <w:sz w:val="20"/>
                <w:szCs w:val="20"/>
                <w:lang w:val="hy-AM"/>
              </w:rPr>
              <w:t>/</w:t>
            </w:r>
            <w:r w:rsidRPr="00B830F3">
              <w:rPr>
                <w:rFonts w:cs="Times Unicode"/>
                <w:sz w:val="20"/>
                <w:szCs w:val="20"/>
                <w:lang w:val="hy-AM"/>
              </w:rPr>
              <w:t>պետական</w:t>
            </w:r>
            <w:r w:rsidRPr="00B830F3">
              <w:rPr>
                <w:sz w:val="20"/>
                <w:szCs w:val="20"/>
                <w:lang w:val="hy-AM"/>
              </w:rPr>
              <w:t xml:space="preserve"> </w:t>
            </w:r>
            <w:r w:rsidRPr="00B830F3">
              <w:rPr>
                <w:rFonts w:cs="Times Unicode"/>
                <w:sz w:val="20"/>
                <w:szCs w:val="20"/>
                <w:lang w:val="hy-AM"/>
              </w:rPr>
              <w:t>բյուջեի</w:t>
            </w:r>
            <w:r w:rsidRPr="00B830F3">
              <w:rPr>
                <w:sz w:val="20"/>
                <w:szCs w:val="20"/>
                <w:lang w:val="hy-AM"/>
              </w:rPr>
              <w:t xml:space="preserve"> </w:t>
            </w:r>
            <w:r w:rsidRPr="00B830F3">
              <w:rPr>
                <w:rFonts w:cs="Times Unicode"/>
                <w:sz w:val="20"/>
                <w:szCs w:val="20"/>
                <w:lang w:val="hy-AM"/>
              </w:rPr>
              <w:t>ծախսեր</w:t>
            </w:r>
            <w:r w:rsidRPr="00B830F3">
              <w:rPr>
                <w:sz w:val="20"/>
                <w:szCs w:val="20"/>
                <w:lang w:val="hy-AM"/>
              </w:rPr>
              <w:t xml:space="preserve"> (%)</w:t>
            </w:r>
          </w:p>
        </w:tc>
        <w:tc>
          <w:tcPr>
            <w:tcW w:w="1095" w:type="dxa"/>
            <w:tcBorders>
              <w:left w:val="nil"/>
              <w:right w:val="nil"/>
            </w:tcBorders>
            <w:vAlign w:val="center"/>
          </w:tcPr>
          <w:p w14:paraId="53B71D22"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9.6 </w:t>
            </w:r>
          </w:p>
        </w:tc>
        <w:tc>
          <w:tcPr>
            <w:tcW w:w="963" w:type="dxa"/>
            <w:tcBorders>
              <w:left w:val="nil"/>
              <w:right w:val="nil"/>
            </w:tcBorders>
            <w:vAlign w:val="center"/>
          </w:tcPr>
          <w:p w14:paraId="32E5860E"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9.7 </w:t>
            </w:r>
          </w:p>
        </w:tc>
        <w:tc>
          <w:tcPr>
            <w:tcW w:w="1351" w:type="dxa"/>
            <w:tcBorders>
              <w:left w:val="nil"/>
              <w:right w:val="double" w:sz="4" w:space="0" w:color="auto"/>
            </w:tcBorders>
            <w:vAlign w:val="center"/>
          </w:tcPr>
          <w:p w14:paraId="2A54A5B9"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9.1 </w:t>
            </w:r>
          </w:p>
        </w:tc>
        <w:tc>
          <w:tcPr>
            <w:tcW w:w="1071" w:type="dxa"/>
            <w:tcBorders>
              <w:left w:val="double" w:sz="4" w:space="0" w:color="auto"/>
              <w:right w:val="nil"/>
            </w:tcBorders>
            <w:vAlign w:val="center"/>
          </w:tcPr>
          <w:p w14:paraId="0C666D7F"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9.0 </w:t>
            </w:r>
          </w:p>
        </w:tc>
        <w:tc>
          <w:tcPr>
            <w:tcW w:w="1093" w:type="dxa"/>
            <w:tcBorders>
              <w:left w:val="nil"/>
              <w:right w:val="nil"/>
            </w:tcBorders>
            <w:vAlign w:val="center"/>
          </w:tcPr>
          <w:p w14:paraId="508358F5"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9.9 </w:t>
            </w:r>
          </w:p>
        </w:tc>
        <w:tc>
          <w:tcPr>
            <w:tcW w:w="933" w:type="dxa"/>
            <w:tcBorders>
              <w:left w:val="nil"/>
              <w:right w:val="nil"/>
            </w:tcBorders>
            <w:vAlign w:val="center"/>
          </w:tcPr>
          <w:p w14:paraId="59F89534"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10.4 </w:t>
            </w:r>
          </w:p>
        </w:tc>
        <w:tc>
          <w:tcPr>
            <w:tcW w:w="982" w:type="dxa"/>
            <w:tcBorders>
              <w:left w:val="nil"/>
              <w:right w:val="nil"/>
            </w:tcBorders>
            <w:vAlign w:val="center"/>
          </w:tcPr>
          <w:p w14:paraId="3080E2CE"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10.6 </w:t>
            </w:r>
          </w:p>
        </w:tc>
      </w:tr>
      <w:tr w:rsidR="00F1465E" w:rsidRPr="00B830F3" w14:paraId="7E4C1C1E" w14:textId="77777777" w:rsidTr="00231073">
        <w:trPr>
          <w:trHeight w:val="766"/>
          <w:jc w:val="center"/>
        </w:trPr>
        <w:tc>
          <w:tcPr>
            <w:tcW w:w="2783" w:type="dxa"/>
            <w:tcBorders>
              <w:left w:val="nil"/>
              <w:right w:val="nil"/>
            </w:tcBorders>
          </w:tcPr>
          <w:p w14:paraId="4D285946" w14:textId="77777777" w:rsidR="00F1465E" w:rsidRPr="00B830F3" w:rsidRDefault="00F1465E" w:rsidP="00231073">
            <w:pPr>
              <w:spacing w:before="0" w:after="0" w:line="240" w:lineRule="auto"/>
              <w:ind w:hanging="14"/>
              <w:jc w:val="left"/>
              <w:rPr>
                <w:sz w:val="20"/>
                <w:szCs w:val="20"/>
                <w:lang w:val="hy-AM"/>
              </w:rPr>
            </w:pPr>
            <w:r w:rsidRPr="00B830F3">
              <w:rPr>
                <w:rFonts w:cs="Times Unicode"/>
                <w:sz w:val="20"/>
                <w:szCs w:val="20"/>
                <w:lang w:val="hy-AM"/>
              </w:rPr>
              <w:t>Տոկոսավճար</w:t>
            </w:r>
            <w:r w:rsidRPr="00B830F3">
              <w:rPr>
                <w:sz w:val="20"/>
                <w:szCs w:val="20"/>
                <w:lang w:val="hy-AM"/>
              </w:rPr>
              <w:t>/պետական բյուջեի սեփական (առանց դրամաշնորհներ) եկամուտներ (%)</w:t>
            </w:r>
          </w:p>
        </w:tc>
        <w:tc>
          <w:tcPr>
            <w:tcW w:w="1095" w:type="dxa"/>
            <w:tcBorders>
              <w:left w:val="nil"/>
              <w:right w:val="nil"/>
            </w:tcBorders>
            <w:vAlign w:val="center"/>
          </w:tcPr>
          <w:p w14:paraId="1FF5BEEE"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10.4 </w:t>
            </w:r>
          </w:p>
        </w:tc>
        <w:tc>
          <w:tcPr>
            <w:tcW w:w="963" w:type="dxa"/>
            <w:tcBorders>
              <w:left w:val="nil"/>
              <w:right w:val="nil"/>
            </w:tcBorders>
            <w:vAlign w:val="center"/>
          </w:tcPr>
          <w:p w14:paraId="31AA648A"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10.1 </w:t>
            </w:r>
          </w:p>
        </w:tc>
        <w:tc>
          <w:tcPr>
            <w:tcW w:w="1351" w:type="dxa"/>
            <w:tcBorders>
              <w:left w:val="nil"/>
              <w:right w:val="double" w:sz="4" w:space="0" w:color="auto"/>
            </w:tcBorders>
            <w:vAlign w:val="center"/>
          </w:tcPr>
          <w:p w14:paraId="70DFBED2"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10.1 </w:t>
            </w:r>
          </w:p>
        </w:tc>
        <w:tc>
          <w:tcPr>
            <w:tcW w:w="1071" w:type="dxa"/>
            <w:tcBorders>
              <w:left w:val="double" w:sz="4" w:space="0" w:color="auto"/>
              <w:right w:val="nil"/>
            </w:tcBorders>
            <w:vAlign w:val="center"/>
          </w:tcPr>
          <w:p w14:paraId="52A88370"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11.5 </w:t>
            </w:r>
          </w:p>
        </w:tc>
        <w:tc>
          <w:tcPr>
            <w:tcW w:w="1093" w:type="dxa"/>
            <w:tcBorders>
              <w:left w:val="nil"/>
              <w:right w:val="nil"/>
            </w:tcBorders>
            <w:vAlign w:val="center"/>
          </w:tcPr>
          <w:p w14:paraId="25C730FD"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11.2 </w:t>
            </w:r>
          </w:p>
        </w:tc>
        <w:tc>
          <w:tcPr>
            <w:tcW w:w="933" w:type="dxa"/>
            <w:tcBorders>
              <w:left w:val="nil"/>
              <w:right w:val="nil"/>
            </w:tcBorders>
            <w:vAlign w:val="center"/>
          </w:tcPr>
          <w:p w14:paraId="65AF1075"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11.3 </w:t>
            </w:r>
          </w:p>
        </w:tc>
        <w:tc>
          <w:tcPr>
            <w:tcW w:w="982" w:type="dxa"/>
            <w:tcBorders>
              <w:left w:val="nil"/>
              <w:right w:val="nil"/>
            </w:tcBorders>
            <w:vAlign w:val="center"/>
          </w:tcPr>
          <w:p w14:paraId="08173B57"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11.4 </w:t>
            </w:r>
          </w:p>
        </w:tc>
      </w:tr>
      <w:tr w:rsidR="00F1465E" w:rsidRPr="00B830F3" w14:paraId="2A51DEAB" w14:textId="77777777" w:rsidTr="00231073">
        <w:trPr>
          <w:trHeight w:val="431"/>
          <w:jc w:val="center"/>
        </w:trPr>
        <w:tc>
          <w:tcPr>
            <w:tcW w:w="2783" w:type="dxa"/>
            <w:tcBorders>
              <w:left w:val="nil"/>
              <w:bottom w:val="thickThinSmallGap" w:sz="24" w:space="0" w:color="auto"/>
              <w:right w:val="nil"/>
            </w:tcBorders>
            <w:vAlign w:val="center"/>
          </w:tcPr>
          <w:p w14:paraId="48DFAED9" w14:textId="77777777" w:rsidR="00F1465E" w:rsidRPr="00B830F3" w:rsidRDefault="00F1465E" w:rsidP="00231073">
            <w:pPr>
              <w:spacing w:before="0" w:after="0" w:line="240" w:lineRule="auto"/>
              <w:ind w:hanging="14"/>
              <w:jc w:val="left"/>
              <w:rPr>
                <w:rFonts w:cs="Times Unicode"/>
                <w:sz w:val="20"/>
                <w:szCs w:val="20"/>
                <w:lang w:val="hy-AM"/>
              </w:rPr>
            </w:pPr>
            <w:r w:rsidRPr="00B830F3">
              <w:rPr>
                <w:rFonts w:cs="Times Unicode"/>
                <w:sz w:val="20"/>
                <w:szCs w:val="20"/>
                <w:lang w:val="hy-AM"/>
              </w:rPr>
              <w:t>Տոկոսավճար</w:t>
            </w:r>
            <w:r w:rsidRPr="00B830F3">
              <w:rPr>
                <w:sz w:val="20"/>
                <w:szCs w:val="20"/>
                <w:lang w:val="hy-AM"/>
              </w:rPr>
              <w:t>/ՀՆԱ (%)</w:t>
            </w:r>
          </w:p>
        </w:tc>
        <w:tc>
          <w:tcPr>
            <w:tcW w:w="1095" w:type="dxa"/>
            <w:tcBorders>
              <w:left w:val="nil"/>
              <w:bottom w:val="thickThinSmallGap" w:sz="24" w:space="0" w:color="auto"/>
              <w:right w:val="nil"/>
            </w:tcBorders>
            <w:vAlign w:val="center"/>
          </w:tcPr>
          <w:p w14:paraId="48438FBA"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2.31 </w:t>
            </w:r>
          </w:p>
        </w:tc>
        <w:tc>
          <w:tcPr>
            <w:tcW w:w="963" w:type="dxa"/>
            <w:tcBorders>
              <w:left w:val="nil"/>
              <w:bottom w:val="thickThinSmallGap" w:sz="24" w:space="0" w:color="auto"/>
              <w:right w:val="nil"/>
            </w:tcBorders>
            <w:vAlign w:val="center"/>
          </w:tcPr>
          <w:p w14:paraId="62EDA4B1"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2.40 </w:t>
            </w:r>
          </w:p>
        </w:tc>
        <w:tc>
          <w:tcPr>
            <w:tcW w:w="1351" w:type="dxa"/>
            <w:tcBorders>
              <w:left w:val="nil"/>
              <w:bottom w:val="thickThinSmallGap" w:sz="24" w:space="0" w:color="auto"/>
              <w:right w:val="double" w:sz="4" w:space="0" w:color="auto"/>
            </w:tcBorders>
            <w:vAlign w:val="center"/>
          </w:tcPr>
          <w:p w14:paraId="51D3F723"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2.4 </w:t>
            </w:r>
          </w:p>
        </w:tc>
        <w:tc>
          <w:tcPr>
            <w:tcW w:w="1071" w:type="dxa"/>
            <w:tcBorders>
              <w:left w:val="double" w:sz="4" w:space="0" w:color="auto"/>
              <w:bottom w:val="thickThinSmallGap" w:sz="24" w:space="0" w:color="auto"/>
              <w:right w:val="nil"/>
            </w:tcBorders>
            <w:vAlign w:val="center"/>
          </w:tcPr>
          <w:p w14:paraId="4BBCD594"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2.6 </w:t>
            </w:r>
          </w:p>
        </w:tc>
        <w:tc>
          <w:tcPr>
            <w:tcW w:w="1093" w:type="dxa"/>
            <w:tcBorders>
              <w:left w:val="nil"/>
              <w:bottom w:val="thickThinSmallGap" w:sz="24" w:space="0" w:color="auto"/>
              <w:right w:val="nil"/>
            </w:tcBorders>
            <w:vAlign w:val="center"/>
          </w:tcPr>
          <w:p w14:paraId="265A5CC5"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2.6 </w:t>
            </w:r>
          </w:p>
        </w:tc>
        <w:tc>
          <w:tcPr>
            <w:tcW w:w="933" w:type="dxa"/>
            <w:tcBorders>
              <w:left w:val="nil"/>
              <w:bottom w:val="thickThinSmallGap" w:sz="24" w:space="0" w:color="auto"/>
              <w:right w:val="nil"/>
            </w:tcBorders>
            <w:vAlign w:val="center"/>
          </w:tcPr>
          <w:p w14:paraId="73A5A869"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2.7 </w:t>
            </w:r>
          </w:p>
        </w:tc>
        <w:tc>
          <w:tcPr>
            <w:tcW w:w="982" w:type="dxa"/>
            <w:tcBorders>
              <w:left w:val="nil"/>
              <w:bottom w:val="thickThinSmallGap" w:sz="24" w:space="0" w:color="auto"/>
              <w:right w:val="nil"/>
            </w:tcBorders>
            <w:vAlign w:val="center"/>
          </w:tcPr>
          <w:p w14:paraId="353AC2D9" w14:textId="77777777" w:rsidR="00F1465E" w:rsidRPr="00B830F3" w:rsidRDefault="00F1465E" w:rsidP="00231073">
            <w:pPr>
              <w:spacing w:before="0" w:after="0" w:line="240" w:lineRule="auto"/>
              <w:ind w:hanging="14"/>
              <w:jc w:val="center"/>
              <w:rPr>
                <w:sz w:val="20"/>
                <w:szCs w:val="20"/>
                <w:lang w:val="hy-AM"/>
              </w:rPr>
            </w:pPr>
            <w:r w:rsidRPr="00B830F3">
              <w:rPr>
                <w:sz w:val="20"/>
                <w:szCs w:val="20"/>
              </w:rPr>
              <w:t xml:space="preserve">2.8 </w:t>
            </w:r>
          </w:p>
        </w:tc>
      </w:tr>
    </w:tbl>
    <w:p w14:paraId="21D805D0" w14:textId="77777777" w:rsidR="00F1465E" w:rsidRPr="00B830F3" w:rsidRDefault="00F1465E" w:rsidP="00F1465E">
      <w:pPr>
        <w:spacing w:before="0" w:after="0"/>
        <w:rPr>
          <w:sz w:val="20"/>
          <w:szCs w:val="20"/>
          <w:lang w:val="hy-AM"/>
        </w:rPr>
      </w:pPr>
    </w:p>
    <w:p w14:paraId="7763BF2C" w14:textId="77777777" w:rsidR="00F1465E" w:rsidRDefault="00F1465E" w:rsidP="00F1465E">
      <w:pPr>
        <w:rPr>
          <w:rFonts w:cs="Times Unicode"/>
          <w:b/>
        </w:rPr>
      </w:pPr>
    </w:p>
    <w:p w14:paraId="48A9E72E" w14:textId="77777777" w:rsidR="00F1465E" w:rsidRDefault="00F1465E" w:rsidP="00F1465E">
      <w:pPr>
        <w:rPr>
          <w:rFonts w:cs="Times Unicode"/>
          <w:b/>
        </w:rPr>
      </w:pPr>
    </w:p>
    <w:p w14:paraId="3916B4A4" w14:textId="77777777" w:rsidR="00F1465E" w:rsidRDefault="00F1465E" w:rsidP="00F1465E">
      <w:pPr>
        <w:rPr>
          <w:rFonts w:cs="Times Unicode"/>
          <w:b/>
        </w:rPr>
      </w:pPr>
    </w:p>
    <w:p w14:paraId="371CC4C1" w14:textId="77777777" w:rsidR="00FE76C6" w:rsidRDefault="00FE76C6" w:rsidP="00F1465E">
      <w:pPr>
        <w:rPr>
          <w:rFonts w:cs="Times Unicode"/>
          <w:b/>
          <w:lang w:val="hy-AM"/>
        </w:rPr>
      </w:pPr>
    </w:p>
    <w:p w14:paraId="65B4FD66" w14:textId="77777777" w:rsidR="00F1465E" w:rsidRPr="00BE7F99" w:rsidRDefault="00F1465E" w:rsidP="00F1465E">
      <w:pPr>
        <w:rPr>
          <w:i/>
          <w:sz w:val="20"/>
          <w:szCs w:val="20"/>
          <w:lang w:val="hy-AM"/>
        </w:rPr>
      </w:pPr>
      <w:r w:rsidRPr="00FE76C6">
        <w:rPr>
          <w:rFonts w:cs="Times Unicode"/>
          <w:b/>
          <w:sz w:val="20"/>
          <w:szCs w:val="20"/>
          <w:lang w:val="hy-AM"/>
        </w:rPr>
        <w:t xml:space="preserve">Աղյուսակ </w:t>
      </w:r>
      <w:r w:rsidR="00FE76C6" w:rsidRPr="00BE7F99">
        <w:rPr>
          <w:rFonts w:cs="Times Unicode"/>
          <w:b/>
          <w:sz w:val="20"/>
          <w:szCs w:val="20"/>
          <w:lang w:val="hy-AM"/>
        </w:rPr>
        <w:t>1.</w:t>
      </w:r>
      <w:r w:rsidRPr="00FE76C6">
        <w:rPr>
          <w:rFonts w:cs="Times Unicode"/>
          <w:b/>
          <w:sz w:val="20"/>
          <w:szCs w:val="20"/>
          <w:lang w:val="hy-AM"/>
        </w:rPr>
        <w:t>17</w:t>
      </w:r>
      <w:r w:rsidRPr="00FE76C6">
        <w:rPr>
          <w:b/>
          <w:sz w:val="20"/>
          <w:szCs w:val="20"/>
          <w:lang w:val="hy-AM"/>
        </w:rPr>
        <w:t xml:space="preserve"> </w:t>
      </w:r>
      <w:r w:rsidRPr="00FE76C6">
        <w:rPr>
          <w:rFonts w:cs="Times Unicode"/>
          <w:i/>
          <w:sz w:val="20"/>
          <w:szCs w:val="20"/>
          <w:lang w:val="hy-AM"/>
        </w:rPr>
        <w:t>Պետական պարտատոմսերի ցուցանիշները</w:t>
      </w:r>
      <w:r w:rsidRPr="00FE76C6">
        <w:rPr>
          <w:i/>
          <w:sz w:val="20"/>
          <w:szCs w:val="20"/>
          <w:lang w:val="hy-AM"/>
        </w:rPr>
        <w:t xml:space="preserve"> 2018-2023</w:t>
      </w:r>
      <w:r w:rsidRPr="00FE76C6">
        <w:rPr>
          <w:rFonts w:cs="Times Unicode"/>
          <w:i/>
          <w:sz w:val="20"/>
          <w:szCs w:val="20"/>
          <w:lang w:val="hy-AM"/>
        </w:rPr>
        <w:t>թթ</w:t>
      </w:r>
      <w:r w:rsidRPr="00FE76C6">
        <w:rPr>
          <w:i/>
          <w:sz w:val="20"/>
          <w:szCs w:val="20"/>
          <w:lang w:val="hy-AM"/>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1296"/>
        <w:gridCol w:w="958"/>
        <w:gridCol w:w="1307"/>
        <w:gridCol w:w="1113"/>
        <w:gridCol w:w="947"/>
        <w:gridCol w:w="1068"/>
        <w:gridCol w:w="965"/>
      </w:tblGrid>
      <w:tr w:rsidR="00F1465E" w:rsidRPr="00BB7FB8" w14:paraId="40F4BED7" w14:textId="77777777" w:rsidTr="00231073">
        <w:trPr>
          <w:trHeight w:val="794"/>
          <w:tblHeader/>
          <w:jc w:val="center"/>
        </w:trPr>
        <w:tc>
          <w:tcPr>
            <w:tcW w:w="2780" w:type="dxa"/>
            <w:tcBorders>
              <w:top w:val="thinThickThinSmallGap" w:sz="24" w:space="0" w:color="auto"/>
              <w:left w:val="nil"/>
              <w:bottom w:val="thinThickSmallGap" w:sz="24" w:space="0" w:color="auto"/>
              <w:right w:val="nil"/>
            </w:tcBorders>
            <w:shd w:val="clear" w:color="auto" w:fill="0B70B5"/>
          </w:tcPr>
          <w:p w14:paraId="6B6A115C" w14:textId="77777777" w:rsidR="00F1465E" w:rsidRPr="00C35116" w:rsidRDefault="00F1465E" w:rsidP="00231073">
            <w:pPr>
              <w:spacing w:before="0" w:after="0" w:line="240" w:lineRule="auto"/>
              <w:ind w:firstLine="0"/>
              <w:rPr>
                <w:color w:val="FFFFFF" w:themeColor="background1"/>
                <w:sz w:val="20"/>
                <w:szCs w:val="20"/>
                <w:lang w:val="hy-AM"/>
              </w:rPr>
            </w:pPr>
          </w:p>
        </w:tc>
        <w:tc>
          <w:tcPr>
            <w:tcW w:w="1331" w:type="dxa"/>
            <w:tcBorders>
              <w:top w:val="thinThickThinSmallGap" w:sz="24" w:space="0" w:color="auto"/>
              <w:left w:val="nil"/>
              <w:bottom w:val="thinThickSmallGap" w:sz="24" w:space="0" w:color="auto"/>
              <w:right w:val="nil"/>
            </w:tcBorders>
            <w:shd w:val="clear" w:color="auto" w:fill="0B70B5"/>
            <w:vAlign w:val="center"/>
          </w:tcPr>
          <w:p w14:paraId="5F28F86C"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201</w:t>
            </w:r>
            <w:r w:rsidRPr="00C35116">
              <w:rPr>
                <w:color w:val="FFFFFF" w:themeColor="background1"/>
                <w:sz w:val="20"/>
                <w:szCs w:val="20"/>
              </w:rPr>
              <w:t>8</w:t>
            </w:r>
            <w:r w:rsidRPr="00C35116">
              <w:rPr>
                <w:rFonts w:cs="Times Unicode"/>
                <w:color w:val="FFFFFF" w:themeColor="background1"/>
                <w:sz w:val="20"/>
                <w:szCs w:val="20"/>
                <w:lang w:val="hy-AM"/>
              </w:rPr>
              <w:t>թ</w:t>
            </w:r>
            <w:r w:rsidRPr="00C35116">
              <w:rPr>
                <w:color w:val="FFFFFF" w:themeColor="background1"/>
                <w:sz w:val="20"/>
                <w:szCs w:val="20"/>
                <w:lang w:val="hy-AM"/>
              </w:rPr>
              <w:t xml:space="preserve">. </w:t>
            </w:r>
            <w:r w:rsidRPr="00C35116">
              <w:rPr>
                <w:rFonts w:cs="Times Unicode"/>
                <w:color w:val="FFFFFF" w:themeColor="background1"/>
                <w:sz w:val="20"/>
                <w:szCs w:val="20"/>
                <w:lang w:val="hy-AM"/>
              </w:rPr>
              <w:t>փաստ</w:t>
            </w:r>
            <w:r w:rsidRPr="00C35116">
              <w:rPr>
                <w:color w:val="FFFFFF" w:themeColor="background1"/>
                <w:sz w:val="20"/>
                <w:szCs w:val="20"/>
                <w:lang w:val="hy-AM"/>
              </w:rPr>
              <w:t>.</w:t>
            </w:r>
          </w:p>
        </w:tc>
        <w:tc>
          <w:tcPr>
            <w:tcW w:w="964" w:type="dxa"/>
            <w:tcBorders>
              <w:top w:val="thinThickThinSmallGap" w:sz="24" w:space="0" w:color="auto"/>
              <w:left w:val="nil"/>
              <w:bottom w:val="thinThickSmallGap" w:sz="24" w:space="0" w:color="auto"/>
              <w:right w:val="nil"/>
            </w:tcBorders>
            <w:shd w:val="clear" w:color="auto" w:fill="0B70B5"/>
            <w:vAlign w:val="center"/>
          </w:tcPr>
          <w:p w14:paraId="41CF26C5"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201</w:t>
            </w:r>
            <w:r w:rsidRPr="00C35116">
              <w:rPr>
                <w:color w:val="FFFFFF" w:themeColor="background1"/>
                <w:sz w:val="20"/>
                <w:szCs w:val="20"/>
              </w:rPr>
              <w:t>9</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փաստ</w:t>
            </w:r>
            <w:r w:rsidRPr="00C35116">
              <w:rPr>
                <w:color w:val="FFFFFF" w:themeColor="background1"/>
                <w:sz w:val="20"/>
                <w:szCs w:val="20"/>
                <w:lang w:val="hy-AM"/>
              </w:rPr>
              <w:t>.</w:t>
            </w:r>
          </w:p>
        </w:tc>
        <w:tc>
          <w:tcPr>
            <w:tcW w:w="1307" w:type="dxa"/>
            <w:tcBorders>
              <w:top w:val="thinThickThinSmallGap" w:sz="24" w:space="0" w:color="auto"/>
              <w:left w:val="nil"/>
              <w:bottom w:val="thinThickSmallGap" w:sz="24" w:space="0" w:color="auto"/>
              <w:right w:val="double" w:sz="4" w:space="0" w:color="auto"/>
            </w:tcBorders>
            <w:shd w:val="clear" w:color="auto" w:fill="0B70B5"/>
            <w:vAlign w:val="center"/>
          </w:tcPr>
          <w:p w14:paraId="430F1DBF"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պետբյուջեի ծրագիր</w:t>
            </w:r>
          </w:p>
        </w:tc>
        <w:tc>
          <w:tcPr>
            <w:tcW w:w="1130" w:type="dxa"/>
            <w:tcBorders>
              <w:top w:val="thinThickThinSmallGap" w:sz="24" w:space="0" w:color="auto"/>
              <w:left w:val="double" w:sz="4" w:space="0" w:color="auto"/>
              <w:bottom w:val="thinThickSmallGap" w:sz="24" w:space="0" w:color="auto"/>
              <w:right w:val="nil"/>
            </w:tcBorders>
            <w:shd w:val="clear" w:color="auto" w:fill="0B70B5"/>
            <w:vAlign w:val="center"/>
          </w:tcPr>
          <w:p w14:paraId="35F4FB7C"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50" w:type="dxa"/>
            <w:tcBorders>
              <w:top w:val="thinThickThinSmallGap" w:sz="24" w:space="0" w:color="auto"/>
              <w:left w:val="nil"/>
              <w:bottom w:val="thinThickSmallGap" w:sz="24" w:space="0" w:color="auto"/>
              <w:right w:val="nil"/>
            </w:tcBorders>
            <w:shd w:val="clear" w:color="auto" w:fill="0B70B5"/>
            <w:vAlign w:val="center"/>
          </w:tcPr>
          <w:p w14:paraId="12608862"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81" w:type="dxa"/>
            <w:tcBorders>
              <w:top w:val="thinThickThinSmallGap" w:sz="24" w:space="0" w:color="auto"/>
              <w:left w:val="nil"/>
              <w:bottom w:val="thinThickSmallGap" w:sz="24" w:space="0" w:color="auto"/>
              <w:right w:val="nil"/>
            </w:tcBorders>
            <w:shd w:val="clear" w:color="auto" w:fill="0B70B5"/>
            <w:vAlign w:val="center"/>
          </w:tcPr>
          <w:p w14:paraId="1C5CE441"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969" w:type="dxa"/>
            <w:tcBorders>
              <w:top w:val="thinThickThinSmallGap" w:sz="24" w:space="0" w:color="auto"/>
              <w:left w:val="nil"/>
              <w:bottom w:val="thinThickSmallGap" w:sz="24" w:space="0" w:color="auto"/>
              <w:right w:val="nil"/>
            </w:tcBorders>
            <w:shd w:val="clear" w:color="auto" w:fill="0B70B5"/>
            <w:vAlign w:val="center"/>
          </w:tcPr>
          <w:p w14:paraId="32AD647C"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B830F3" w14:paraId="3DFC23D8" w14:textId="77777777" w:rsidTr="00231073">
        <w:trPr>
          <w:trHeight w:val="524"/>
          <w:jc w:val="center"/>
        </w:trPr>
        <w:tc>
          <w:tcPr>
            <w:tcW w:w="2780" w:type="dxa"/>
            <w:tcBorders>
              <w:left w:val="nil"/>
              <w:bottom w:val="single" w:sz="4" w:space="0" w:color="auto"/>
              <w:right w:val="nil"/>
            </w:tcBorders>
            <w:vAlign w:val="center"/>
          </w:tcPr>
          <w:p w14:paraId="084A1720" w14:textId="77777777" w:rsidR="00F1465E" w:rsidRPr="00B830F3" w:rsidRDefault="00F1465E" w:rsidP="00231073">
            <w:pPr>
              <w:spacing w:before="0" w:after="0" w:line="240" w:lineRule="auto"/>
              <w:ind w:firstLine="0"/>
              <w:jc w:val="left"/>
              <w:rPr>
                <w:sz w:val="20"/>
                <w:szCs w:val="20"/>
                <w:lang w:val="hy-AM"/>
              </w:rPr>
            </w:pPr>
            <w:r w:rsidRPr="00B830F3">
              <w:rPr>
                <w:bCs/>
                <w:sz w:val="20"/>
                <w:szCs w:val="20"/>
                <w:lang w:val="hy-AM"/>
              </w:rPr>
              <w:t>Պետական գանձապետական պարտատոմսեր, մլրդ դրամ</w:t>
            </w:r>
          </w:p>
        </w:tc>
        <w:tc>
          <w:tcPr>
            <w:tcW w:w="1331" w:type="dxa"/>
            <w:tcBorders>
              <w:left w:val="nil"/>
              <w:bottom w:val="single" w:sz="4" w:space="0" w:color="auto"/>
              <w:right w:val="nil"/>
            </w:tcBorders>
            <w:vAlign w:val="center"/>
          </w:tcPr>
          <w:p w14:paraId="1D65D203"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588.1 </w:t>
            </w:r>
          </w:p>
        </w:tc>
        <w:tc>
          <w:tcPr>
            <w:tcW w:w="964" w:type="dxa"/>
            <w:tcBorders>
              <w:left w:val="nil"/>
              <w:bottom w:val="single" w:sz="4" w:space="0" w:color="auto"/>
              <w:right w:val="nil"/>
            </w:tcBorders>
            <w:vAlign w:val="center"/>
          </w:tcPr>
          <w:p w14:paraId="66367715"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681.0 </w:t>
            </w:r>
          </w:p>
        </w:tc>
        <w:tc>
          <w:tcPr>
            <w:tcW w:w="1307" w:type="dxa"/>
            <w:tcBorders>
              <w:left w:val="nil"/>
              <w:bottom w:val="single" w:sz="4" w:space="0" w:color="auto"/>
              <w:right w:val="double" w:sz="4" w:space="0" w:color="auto"/>
            </w:tcBorders>
            <w:vAlign w:val="center"/>
          </w:tcPr>
          <w:p w14:paraId="52835118"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826.3 </w:t>
            </w:r>
          </w:p>
        </w:tc>
        <w:tc>
          <w:tcPr>
            <w:tcW w:w="1130" w:type="dxa"/>
            <w:tcBorders>
              <w:left w:val="double" w:sz="4" w:space="0" w:color="auto"/>
              <w:bottom w:val="single" w:sz="4" w:space="0" w:color="auto"/>
              <w:right w:val="nil"/>
            </w:tcBorders>
            <w:vAlign w:val="center"/>
          </w:tcPr>
          <w:p w14:paraId="12CAF836"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889.1 </w:t>
            </w:r>
          </w:p>
        </w:tc>
        <w:tc>
          <w:tcPr>
            <w:tcW w:w="950" w:type="dxa"/>
            <w:tcBorders>
              <w:left w:val="nil"/>
              <w:bottom w:val="single" w:sz="4" w:space="0" w:color="auto"/>
              <w:right w:val="nil"/>
            </w:tcBorders>
            <w:vAlign w:val="center"/>
          </w:tcPr>
          <w:p w14:paraId="0FA0F813"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1,184.1 </w:t>
            </w:r>
          </w:p>
        </w:tc>
        <w:tc>
          <w:tcPr>
            <w:tcW w:w="1081" w:type="dxa"/>
            <w:tcBorders>
              <w:left w:val="nil"/>
              <w:bottom w:val="single" w:sz="4" w:space="0" w:color="auto"/>
              <w:right w:val="nil"/>
            </w:tcBorders>
            <w:vAlign w:val="center"/>
          </w:tcPr>
          <w:p w14:paraId="2D59BD2E"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1,374.2 </w:t>
            </w:r>
          </w:p>
        </w:tc>
        <w:tc>
          <w:tcPr>
            <w:tcW w:w="969" w:type="dxa"/>
            <w:tcBorders>
              <w:left w:val="nil"/>
              <w:bottom w:val="single" w:sz="4" w:space="0" w:color="auto"/>
              <w:right w:val="nil"/>
            </w:tcBorders>
            <w:vAlign w:val="center"/>
          </w:tcPr>
          <w:p w14:paraId="66BB641A"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1,702.3 </w:t>
            </w:r>
          </w:p>
        </w:tc>
      </w:tr>
      <w:tr w:rsidR="00F1465E" w:rsidRPr="00B830F3" w14:paraId="21BC14AF" w14:textId="77777777" w:rsidTr="00231073">
        <w:trPr>
          <w:trHeight w:val="263"/>
          <w:jc w:val="center"/>
        </w:trPr>
        <w:tc>
          <w:tcPr>
            <w:tcW w:w="2780" w:type="dxa"/>
            <w:tcBorders>
              <w:left w:val="nil"/>
              <w:bottom w:val="single" w:sz="12" w:space="0" w:color="auto"/>
              <w:right w:val="nil"/>
            </w:tcBorders>
            <w:vAlign w:val="center"/>
          </w:tcPr>
          <w:p w14:paraId="0CF7EC9D" w14:textId="77777777" w:rsidR="00F1465E" w:rsidRPr="00B830F3" w:rsidRDefault="00F1465E" w:rsidP="00231073">
            <w:pPr>
              <w:spacing w:before="0" w:after="0" w:line="240" w:lineRule="auto"/>
              <w:ind w:left="356" w:firstLine="0"/>
              <w:jc w:val="left"/>
              <w:rPr>
                <w:sz w:val="20"/>
                <w:szCs w:val="20"/>
                <w:lang w:val="hy-AM"/>
              </w:rPr>
            </w:pPr>
            <w:r w:rsidRPr="00B830F3">
              <w:rPr>
                <w:sz w:val="20"/>
                <w:szCs w:val="20"/>
                <w:lang w:val="hy-AM"/>
              </w:rPr>
              <w:t>% ՀՆԱ-ի նկատմամբ</w:t>
            </w:r>
          </w:p>
        </w:tc>
        <w:tc>
          <w:tcPr>
            <w:tcW w:w="1331" w:type="dxa"/>
            <w:tcBorders>
              <w:left w:val="nil"/>
              <w:bottom w:val="single" w:sz="12" w:space="0" w:color="auto"/>
              <w:right w:val="nil"/>
            </w:tcBorders>
            <w:vAlign w:val="center"/>
          </w:tcPr>
          <w:p w14:paraId="1E3D000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9.8 </w:t>
            </w:r>
          </w:p>
        </w:tc>
        <w:tc>
          <w:tcPr>
            <w:tcW w:w="964" w:type="dxa"/>
            <w:tcBorders>
              <w:left w:val="nil"/>
              <w:bottom w:val="single" w:sz="12" w:space="0" w:color="auto"/>
              <w:right w:val="nil"/>
            </w:tcBorders>
            <w:vAlign w:val="center"/>
          </w:tcPr>
          <w:p w14:paraId="2536E0D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10.4 </w:t>
            </w:r>
          </w:p>
        </w:tc>
        <w:tc>
          <w:tcPr>
            <w:tcW w:w="1307" w:type="dxa"/>
            <w:tcBorders>
              <w:left w:val="nil"/>
              <w:bottom w:val="single" w:sz="12" w:space="0" w:color="auto"/>
              <w:right w:val="double" w:sz="4" w:space="0" w:color="auto"/>
            </w:tcBorders>
            <w:vAlign w:val="center"/>
          </w:tcPr>
          <w:p w14:paraId="455C58D8"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11.6 </w:t>
            </w:r>
          </w:p>
        </w:tc>
        <w:tc>
          <w:tcPr>
            <w:tcW w:w="1130" w:type="dxa"/>
            <w:tcBorders>
              <w:left w:val="double" w:sz="4" w:space="0" w:color="auto"/>
              <w:bottom w:val="single" w:sz="12" w:space="0" w:color="auto"/>
              <w:right w:val="nil"/>
            </w:tcBorders>
            <w:vAlign w:val="center"/>
          </w:tcPr>
          <w:p w14:paraId="02C92DEA"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13.7 </w:t>
            </w:r>
          </w:p>
        </w:tc>
        <w:tc>
          <w:tcPr>
            <w:tcW w:w="950" w:type="dxa"/>
            <w:tcBorders>
              <w:left w:val="nil"/>
              <w:bottom w:val="single" w:sz="12" w:space="0" w:color="auto"/>
              <w:right w:val="nil"/>
            </w:tcBorders>
            <w:vAlign w:val="center"/>
          </w:tcPr>
          <w:p w14:paraId="7AF31C82"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16.6 </w:t>
            </w:r>
          </w:p>
        </w:tc>
        <w:tc>
          <w:tcPr>
            <w:tcW w:w="1081" w:type="dxa"/>
            <w:tcBorders>
              <w:left w:val="nil"/>
              <w:bottom w:val="single" w:sz="12" w:space="0" w:color="auto"/>
              <w:right w:val="nil"/>
            </w:tcBorders>
            <w:vAlign w:val="center"/>
          </w:tcPr>
          <w:p w14:paraId="5B99916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17.5 </w:t>
            </w:r>
          </w:p>
        </w:tc>
        <w:tc>
          <w:tcPr>
            <w:tcW w:w="969" w:type="dxa"/>
            <w:tcBorders>
              <w:left w:val="nil"/>
              <w:bottom w:val="single" w:sz="12" w:space="0" w:color="auto"/>
              <w:right w:val="nil"/>
            </w:tcBorders>
            <w:vAlign w:val="center"/>
          </w:tcPr>
          <w:p w14:paraId="2D6BF5A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19.8 </w:t>
            </w:r>
          </w:p>
        </w:tc>
      </w:tr>
      <w:tr w:rsidR="00F1465E" w:rsidRPr="00B830F3" w14:paraId="27B3A23B" w14:textId="77777777" w:rsidTr="00231073">
        <w:trPr>
          <w:trHeight w:val="524"/>
          <w:jc w:val="center"/>
        </w:trPr>
        <w:tc>
          <w:tcPr>
            <w:tcW w:w="2780" w:type="dxa"/>
            <w:tcBorders>
              <w:top w:val="single" w:sz="12" w:space="0" w:color="auto"/>
              <w:left w:val="nil"/>
              <w:right w:val="nil"/>
            </w:tcBorders>
            <w:vAlign w:val="center"/>
          </w:tcPr>
          <w:p w14:paraId="47725192" w14:textId="77777777" w:rsidR="00F1465E" w:rsidRPr="00B830F3" w:rsidRDefault="00F1465E" w:rsidP="00231073">
            <w:pPr>
              <w:spacing w:before="0" w:after="0" w:line="240" w:lineRule="auto"/>
              <w:ind w:firstLine="0"/>
              <w:jc w:val="left"/>
              <w:rPr>
                <w:sz w:val="20"/>
                <w:szCs w:val="20"/>
                <w:lang w:val="hy-AM"/>
              </w:rPr>
            </w:pPr>
            <w:r w:rsidRPr="00B830F3">
              <w:rPr>
                <w:sz w:val="20"/>
                <w:szCs w:val="20"/>
                <w:lang w:val="hy-AM"/>
              </w:rPr>
              <w:t>ըստ մարման մնացած օրերի</w:t>
            </w:r>
            <w:r w:rsidRPr="00B830F3">
              <w:rPr>
                <w:bCs/>
                <w:sz w:val="20"/>
                <w:szCs w:val="20"/>
                <w:lang w:val="hy-AM"/>
              </w:rPr>
              <w:t>, մլրդ դրամ</w:t>
            </w:r>
          </w:p>
        </w:tc>
        <w:tc>
          <w:tcPr>
            <w:tcW w:w="1331" w:type="dxa"/>
            <w:tcBorders>
              <w:top w:val="single" w:sz="12" w:space="0" w:color="auto"/>
              <w:left w:val="nil"/>
              <w:right w:val="nil"/>
            </w:tcBorders>
            <w:vAlign w:val="center"/>
          </w:tcPr>
          <w:p w14:paraId="07B01945" w14:textId="77777777" w:rsidR="00F1465E" w:rsidRPr="00B830F3" w:rsidRDefault="00F1465E" w:rsidP="00231073">
            <w:pPr>
              <w:spacing w:before="0" w:after="0" w:line="240" w:lineRule="auto"/>
              <w:ind w:firstLine="0"/>
              <w:jc w:val="center"/>
              <w:rPr>
                <w:sz w:val="20"/>
                <w:szCs w:val="20"/>
                <w:lang w:val="hy-AM"/>
              </w:rPr>
            </w:pPr>
          </w:p>
        </w:tc>
        <w:tc>
          <w:tcPr>
            <w:tcW w:w="964" w:type="dxa"/>
            <w:tcBorders>
              <w:top w:val="single" w:sz="12" w:space="0" w:color="auto"/>
              <w:left w:val="nil"/>
              <w:right w:val="nil"/>
            </w:tcBorders>
            <w:vAlign w:val="center"/>
          </w:tcPr>
          <w:p w14:paraId="09C62DA2" w14:textId="77777777" w:rsidR="00F1465E" w:rsidRPr="00B830F3" w:rsidRDefault="00F1465E" w:rsidP="00231073">
            <w:pPr>
              <w:spacing w:before="0" w:after="0" w:line="240" w:lineRule="auto"/>
              <w:ind w:firstLine="0"/>
              <w:jc w:val="center"/>
              <w:rPr>
                <w:sz w:val="20"/>
                <w:szCs w:val="20"/>
                <w:lang w:val="hy-AM"/>
              </w:rPr>
            </w:pPr>
          </w:p>
        </w:tc>
        <w:tc>
          <w:tcPr>
            <w:tcW w:w="1307" w:type="dxa"/>
            <w:tcBorders>
              <w:top w:val="single" w:sz="12" w:space="0" w:color="auto"/>
              <w:left w:val="nil"/>
              <w:right w:val="double" w:sz="4" w:space="0" w:color="auto"/>
            </w:tcBorders>
            <w:vAlign w:val="center"/>
          </w:tcPr>
          <w:p w14:paraId="12D150DC" w14:textId="77777777" w:rsidR="00F1465E" w:rsidRPr="00B830F3" w:rsidRDefault="00F1465E" w:rsidP="00231073">
            <w:pPr>
              <w:spacing w:before="0" w:after="0" w:line="240" w:lineRule="auto"/>
              <w:ind w:firstLine="0"/>
              <w:jc w:val="center"/>
              <w:rPr>
                <w:sz w:val="20"/>
                <w:szCs w:val="20"/>
                <w:lang w:val="hy-AM"/>
              </w:rPr>
            </w:pPr>
          </w:p>
        </w:tc>
        <w:tc>
          <w:tcPr>
            <w:tcW w:w="1130" w:type="dxa"/>
            <w:tcBorders>
              <w:top w:val="single" w:sz="12" w:space="0" w:color="auto"/>
              <w:left w:val="double" w:sz="4" w:space="0" w:color="auto"/>
              <w:right w:val="nil"/>
            </w:tcBorders>
            <w:vAlign w:val="center"/>
          </w:tcPr>
          <w:p w14:paraId="0317B376" w14:textId="77777777" w:rsidR="00F1465E" w:rsidRPr="00B830F3" w:rsidRDefault="00F1465E" w:rsidP="00231073">
            <w:pPr>
              <w:spacing w:before="0" w:after="0" w:line="240" w:lineRule="auto"/>
              <w:ind w:firstLine="0"/>
              <w:jc w:val="center"/>
              <w:rPr>
                <w:sz w:val="20"/>
                <w:szCs w:val="20"/>
                <w:lang w:val="hy-AM"/>
              </w:rPr>
            </w:pPr>
          </w:p>
        </w:tc>
        <w:tc>
          <w:tcPr>
            <w:tcW w:w="950" w:type="dxa"/>
            <w:tcBorders>
              <w:top w:val="single" w:sz="12" w:space="0" w:color="auto"/>
              <w:left w:val="nil"/>
              <w:right w:val="nil"/>
            </w:tcBorders>
            <w:vAlign w:val="center"/>
          </w:tcPr>
          <w:p w14:paraId="3F4C576F" w14:textId="77777777" w:rsidR="00F1465E" w:rsidRPr="00B830F3" w:rsidRDefault="00F1465E" w:rsidP="00231073">
            <w:pPr>
              <w:spacing w:before="0" w:after="0" w:line="240" w:lineRule="auto"/>
              <w:ind w:firstLine="0"/>
              <w:jc w:val="center"/>
              <w:rPr>
                <w:sz w:val="20"/>
                <w:szCs w:val="20"/>
                <w:lang w:val="hy-AM"/>
              </w:rPr>
            </w:pPr>
          </w:p>
        </w:tc>
        <w:tc>
          <w:tcPr>
            <w:tcW w:w="1081" w:type="dxa"/>
            <w:tcBorders>
              <w:top w:val="single" w:sz="12" w:space="0" w:color="auto"/>
              <w:left w:val="nil"/>
              <w:right w:val="nil"/>
            </w:tcBorders>
            <w:vAlign w:val="center"/>
          </w:tcPr>
          <w:p w14:paraId="6EC3258D" w14:textId="77777777" w:rsidR="00F1465E" w:rsidRPr="00B830F3" w:rsidRDefault="00F1465E" w:rsidP="00231073">
            <w:pPr>
              <w:spacing w:before="0" w:after="0" w:line="240" w:lineRule="auto"/>
              <w:ind w:firstLine="0"/>
              <w:jc w:val="center"/>
              <w:rPr>
                <w:sz w:val="20"/>
                <w:szCs w:val="20"/>
                <w:lang w:val="hy-AM"/>
              </w:rPr>
            </w:pPr>
          </w:p>
        </w:tc>
        <w:tc>
          <w:tcPr>
            <w:tcW w:w="969" w:type="dxa"/>
            <w:tcBorders>
              <w:top w:val="single" w:sz="12" w:space="0" w:color="auto"/>
              <w:left w:val="nil"/>
              <w:right w:val="nil"/>
            </w:tcBorders>
            <w:vAlign w:val="center"/>
          </w:tcPr>
          <w:p w14:paraId="4F84761A" w14:textId="77777777" w:rsidR="00F1465E" w:rsidRPr="00B830F3" w:rsidRDefault="00F1465E" w:rsidP="00231073">
            <w:pPr>
              <w:spacing w:before="0" w:after="0" w:line="240" w:lineRule="auto"/>
              <w:ind w:firstLine="0"/>
              <w:jc w:val="center"/>
              <w:rPr>
                <w:sz w:val="20"/>
                <w:szCs w:val="20"/>
                <w:lang w:val="hy-AM"/>
              </w:rPr>
            </w:pPr>
          </w:p>
        </w:tc>
      </w:tr>
      <w:tr w:rsidR="00F1465E" w:rsidRPr="00B830F3" w14:paraId="6EC330B2" w14:textId="77777777" w:rsidTr="00231073">
        <w:trPr>
          <w:trHeight w:val="263"/>
          <w:jc w:val="center"/>
        </w:trPr>
        <w:tc>
          <w:tcPr>
            <w:tcW w:w="2780" w:type="dxa"/>
            <w:tcBorders>
              <w:left w:val="nil"/>
              <w:right w:val="nil"/>
            </w:tcBorders>
            <w:vAlign w:val="center"/>
          </w:tcPr>
          <w:p w14:paraId="316382A8" w14:textId="77777777" w:rsidR="00F1465E" w:rsidRPr="00B830F3" w:rsidRDefault="00F1465E" w:rsidP="00231073">
            <w:pPr>
              <w:spacing w:before="0" w:after="0" w:line="240" w:lineRule="auto"/>
              <w:ind w:left="436" w:firstLine="0"/>
              <w:jc w:val="left"/>
              <w:rPr>
                <w:bCs/>
                <w:sz w:val="20"/>
                <w:szCs w:val="20"/>
                <w:lang w:val="hy-AM"/>
              </w:rPr>
            </w:pPr>
            <w:r w:rsidRPr="00B830F3">
              <w:rPr>
                <w:sz w:val="20"/>
                <w:szCs w:val="20"/>
                <w:lang w:val="hy-AM"/>
              </w:rPr>
              <w:t>Մինչև 1 տարի</w:t>
            </w:r>
          </w:p>
        </w:tc>
        <w:tc>
          <w:tcPr>
            <w:tcW w:w="1331" w:type="dxa"/>
            <w:tcBorders>
              <w:left w:val="nil"/>
              <w:right w:val="nil"/>
            </w:tcBorders>
            <w:vAlign w:val="center"/>
          </w:tcPr>
          <w:p w14:paraId="51983CF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76.1 </w:t>
            </w:r>
          </w:p>
        </w:tc>
        <w:tc>
          <w:tcPr>
            <w:tcW w:w="964" w:type="dxa"/>
            <w:tcBorders>
              <w:left w:val="nil"/>
              <w:right w:val="nil"/>
            </w:tcBorders>
            <w:vAlign w:val="center"/>
          </w:tcPr>
          <w:p w14:paraId="58680368"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86.2 </w:t>
            </w:r>
          </w:p>
        </w:tc>
        <w:tc>
          <w:tcPr>
            <w:tcW w:w="1307" w:type="dxa"/>
            <w:tcBorders>
              <w:left w:val="nil"/>
              <w:right w:val="double" w:sz="4" w:space="0" w:color="auto"/>
            </w:tcBorders>
            <w:vAlign w:val="center"/>
          </w:tcPr>
          <w:p w14:paraId="29579CA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94.6 </w:t>
            </w:r>
          </w:p>
        </w:tc>
        <w:tc>
          <w:tcPr>
            <w:tcW w:w="1130" w:type="dxa"/>
            <w:tcBorders>
              <w:left w:val="double" w:sz="4" w:space="0" w:color="auto"/>
              <w:right w:val="nil"/>
            </w:tcBorders>
            <w:vAlign w:val="center"/>
          </w:tcPr>
          <w:p w14:paraId="21216D6A"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105.7 </w:t>
            </w:r>
          </w:p>
        </w:tc>
        <w:tc>
          <w:tcPr>
            <w:tcW w:w="950" w:type="dxa"/>
            <w:tcBorders>
              <w:left w:val="nil"/>
              <w:right w:val="nil"/>
            </w:tcBorders>
            <w:vAlign w:val="center"/>
          </w:tcPr>
          <w:p w14:paraId="1A6F3E92"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110.3 </w:t>
            </w:r>
          </w:p>
        </w:tc>
        <w:tc>
          <w:tcPr>
            <w:tcW w:w="1081" w:type="dxa"/>
            <w:tcBorders>
              <w:left w:val="nil"/>
              <w:right w:val="nil"/>
            </w:tcBorders>
            <w:vAlign w:val="center"/>
          </w:tcPr>
          <w:p w14:paraId="38C03052"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118.4 </w:t>
            </w:r>
          </w:p>
        </w:tc>
        <w:tc>
          <w:tcPr>
            <w:tcW w:w="969" w:type="dxa"/>
            <w:tcBorders>
              <w:left w:val="nil"/>
              <w:right w:val="nil"/>
            </w:tcBorders>
            <w:vAlign w:val="center"/>
          </w:tcPr>
          <w:p w14:paraId="400A85FE"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166.9 </w:t>
            </w:r>
          </w:p>
        </w:tc>
      </w:tr>
      <w:tr w:rsidR="00F1465E" w:rsidRPr="00B830F3" w14:paraId="564210AD" w14:textId="77777777" w:rsidTr="00231073">
        <w:trPr>
          <w:trHeight w:val="256"/>
          <w:jc w:val="center"/>
        </w:trPr>
        <w:tc>
          <w:tcPr>
            <w:tcW w:w="2780" w:type="dxa"/>
            <w:tcBorders>
              <w:left w:val="nil"/>
              <w:bottom w:val="single" w:sz="4" w:space="0" w:color="auto"/>
              <w:right w:val="nil"/>
            </w:tcBorders>
            <w:vAlign w:val="center"/>
          </w:tcPr>
          <w:p w14:paraId="51300B2F" w14:textId="77777777" w:rsidR="00F1465E" w:rsidRPr="00B830F3" w:rsidRDefault="00F1465E" w:rsidP="00231073">
            <w:pPr>
              <w:spacing w:before="0" w:after="0" w:line="240" w:lineRule="auto"/>
              <w:ind w:left="436" w:firstLine="0"/>
              <w:jc w:val="left"/>
              <w:rPr>
                <w:bCs/>
                <w:sz w:val="20"/>
                <w:szCs w:val="20"/>
                <w:lang w:val="hy-AM"/>
              </w:rPr>
            </w:pPr>
            <w:r w:rsidRPr="00B830F3">
              <w:rPr>
                <w:sz w:val="20"/>
                <w:szCs w:val="20"/>
                <w:lang w:val="hy-AM"/>
              </w:rPr>
              <w:t>1-5 տարի</w:t>
            </w:r>
          </w:p>
        </w:tc>
        <w:tc>
          <w:tcPr>
            <w:tcW w:w="1331" w:type="dxa"/>
            <w:tcBorders>
              <w:left w:val="nil"/>
              <w:bottom w:val="single" w:sz="4" w:space="0" w:color="auto"/>
              <w:right w:val="nil"/>
            </w:tcBorders>
            <w:vAlign w:val="center"/>
          </w:tcPr>
          <w:p w14:paraId="3B29E0E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224.5 </w:t>
            </w:r>
          </w:p>
        </w:tc>
        <w:tc>
          <w:tcPr>
            <w:tcW w:w="964" w:type="dxa"/>
            <w:tcBorders>
              <w:left w:val="nil"/>
              <w:bottom w:val="single" w:sz="4" w:space="0" w:color="auto"/>
              <w:right w:val="nil"/>
            </w:tcBorders>
            <w:vAlign w:val="center"/>
          </w:tcPr>
          <w:p w14:paraId="50A65EDA"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196.1 </w:t>
            </w:r>
          </w:p>
        </w:tc>
        <w:tc>
          <w:tcPr>
            <w:tcW w:w="1307" w:type="dxa"/>
            <w:tcBorders>
              <w:left w:val="nil"/>
              <w:bottom w:val="single" w:sz="4" w:space="0" w:color="auto"/>
              <w:right w:val="double" w:sz="4" w:space="0" w:color="auto"/>
            </w:tcBorders>
            <w:vAlign w:val="center"/>
          </w:tcPr>
          <w:p w14:paraId="1991B5FA"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207.4 </w:t>
            </w:r>
          </w:p>
        </w:tc>
        <w:tc>
          <w:tcPr>
            <w:tcW w:w="1130" w:type="dxa"/>
            <w:tcBorders>
              <w:left w:val="double" w:sz="4" w:space="0" w:color="auto"/>
              <w:bottom w:val="single" w:sz="4" w:space="0" w:color="auto"/>
              <w:right w:val="nil"/>
            </w:tcBorders>
            <w:vAlign w:val="center"/>
          </w:tcPr>
          <w:p w14:paraId="05FEF710"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270.3 </w:t>
            </w:r>
          </w:p>
        </w:tc>
        <w:tc>
          <w:tcPr>
            <w:tcW w:w="950" w:type="dxa"/>
            <w:tcBorders>
              <w:left w:val="nil"/>
              <w:bottom w:val="single" w:sz="4" w:space="0" w:color="auto"/>
              <w:right w:val="nil"/>
            </w:tcBorders>
            <w:vAlign w:val="center"/>
          </w:tcPr>
          <w:p w14:paraId="2158DFF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373.4 </w:t>
            </w:r>
          </w:p>
        </w:tc>
        <w:tc>
          <w:tcPr>
            <w:tcW w:w="1081" w:type="dxa"/>
            <w:tcBorders>
              <w:left w:val="nil"/>
              <w:bottom w:val="single" w:sz="4" w:space="0" w:color="auto"/>
              <w:right w:val="nil"/>
            </w:tcBorders>
            <w:vAlign w:val="center"/>
          </w:tcPr>
          <w:p w14:paraId="6995586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460.7 </w:t>
            </w:r>
          </w:p>
        </w:tc>
        <w:tc>
          <w:tcPr>
            <w:tcW w:w="969" w:type="dxa"/>
            <w:tcBorders>
              <w:left w:val="nil"/>
              <w:bottom w:val="single" w:sz="4" w:space="0" w:color="auto"/>
              <w:right w:val="nil"/>
            </w:tcBorders>
            <w:vAlign w:val="center"/>
          </w:tcPr>
          <w:p w14:paraId="216C63E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567.9 </w:t>
            </w:r>
          </w:p>
        </w:tc>
      </w:tr>
      <w:tr w:rsidR="00F1465E" w:rsidRPr="00B830F3" w14:paraId="3AA07C8C" w14:textId="77777777" w:rsidTr="00231073">
        <w:trPr>
          <w:trHeight w:val="263"/>
          <w:jc w:val="center"/>
        </w:trPr>
        <w:tc>
          <w:tcPr>
            <w:tcW w:w="2780" w:type="dxa"/>
            <w:tcBorders>
              <w:left w:val="nil"/>
              <w:bottom w:val="single" w:sz="12" w:space="0" w:color="auto"/>
              <w:right w:val="nil"/>
            </w:tcBorders>
            <w:vAlign w:val="center"/>
          </w:tcPr>
          <w:p w14:paraId="3F86A2AD" w14:textId="77777777" w:rsidR="00F1465E" w:rsidRPr="00B830F3" w:rsidRDefault="00F1465E" w:rsidP="00231073">
            <w:pPr>
              <w:spacing w:before="0" w:after="0" w:line="240" w:lineRule="auto"/>
              <w:ind w:left="436" w:firstLine="0"/>
              <w:jc w:val="left"/>
              <w:rPr>
                <w:bCs/>
                <w:sz w:val="20"/>
                <w:szCs w:val="20"/>
                <w:lang w:val="hy-AM"/>
              </w:rPr>
            </w:pPr>
            <w:r w:rsidRPr="00B830F3">
              <w:rPr>
                <w:sz w:val="20"/>
                <w:szCs w:val="20"/>
                <w:lang w:val="hy-AM"/>
              </w:rPr>
              <w:t>5-ից ավելի տարի</w:t>
            </w:r>
          </w:p>
        </w:tc>
        <w:tc>
          <w:tcPr>
            <w:tcW w:w="1331" w:type="dxa"/>
            <w:tcBorders>
              <w:left w:val="nil"/>
              <w:bottom w:val="single" w:sz="12" w:space="0" w:color="auto"/>
              <w:right w:val="nil"/>
            </w:tcBorders>
            <w:vAlign w:val="center"/>
          </w:tcPr>
          <w:p w14:paraId="2B1B9AE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287.5 </w:t>
            </w:r>
          </w:p>
        </w:tc>
        <w:tc>
          <w:tcPr>
            <w:tcW w:w="964" w:type="dxa"/>
            <w:tcBorders>
              <w:left w:val="nil"/>
              <w:bottom w:val="single" w:sz="12" w:space="0" w:color="auto"/>
              <w:right w:val="nil"/>
            </w:tcBorders>
            <w:vAlign w:val="center"/>
          </w:tcPr>
          <w:p w14:paraId="5D12FB9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398.7 </w:t>
            </w:r>
          </w:p>
        </w:tc>
        <w:tc>
          <w:tcPr>
            <w:tcW w:w="1307" w:type="dxa"/>
            <w:tcBorders>
              <w:left w:val="nil"/>
              <w:bottom w:val="single" w:sz="12" w:space="0" w:color="auto"/>
              <w:right w:val="double" w:sz="4" w:space="0" w:color="auto"/>
            </w:tcBorders>
            <w:vAlign w:val="center"/>
          </w:tcPr>
          <w:p w14:paraId="3C49CD7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524.3 </w:t>
            </w:r>
          </w:p>
        </w:tc>
        <w:tc>
          <w:tcPr>
            <w:tcW w:w="1130" w:type="dxa"/>
            <w:tcBorders>
              <w:left w:val="double" w:sz="4" w:space="0" w:color="auto"/>
              <w:bottom w:val="single" w:sz="12" w:space="0" w:color="auto"/>
              <w:right w:val="nil"/>
            </w:tcBorders>
            <w:vAlign w:val="center"/>
          </w:tcPr>
          <w:p w14:paraId="765CBF6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513.1 </w:t>
            </w:r>
          </w:p>
        </w:tc>
        <w:tc>
          <w:tcPr>
            <w:tcW w:w="950" w:type="dxa"/>
            <w:tcBorders>
              <w:left w:val="nil"/>
              <w:bottom w:val="single" w:sz="12" w:space="0" w:color="auto"/>
              <w:right w:val="nil"/>
            </w:tcBorders>
            <w:vAlign w:val="center"/>
          </w:tcPr>
          <w:p w14:paraId="5F2886F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700.5 </w:t>
            </w:r>
          </w:p>
        </w:tc>
        <w:tc>
          <w:tcPr>
            <w:tcW w:w="1081" w:type="dxa"/>
            <w:tcBorders>
              <w:left w:val="nil"/>
              <w:bottom w:val="single" w:sz="12" w:space="0" w:color="auto"/>
              <w:right w:val="nil"/>
            </w:tcBorders>
            <w:vAlign w:val="center"/>
          </w:tcPr>
          <w:p w14:paraId="30CED84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795.0 </w:t>
            </w:r>
          </w:p>
        </w:tc>
        <w:tc>
          <w:tcPr>
            <w:tcW w:w="969" w:type="dxa"/>
            <w:tcBorders>
              <w:left w:val="nil"/>
              <w:bottom w:val="single" w:sz="12" w:space="0" w:color="auto"/>
              <w:right w:val="nil"/>
            </w:tcBorders>
            <w:vAlign w:val="center"/>
          </w:tcPr>
          <w:p w14:paraId="0A4CAD4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967.5 </w:t>
            </w:r>
          </w:p>
        </w:tc>
      </w:tr>
      <w:tr w:rsidR="00F1465E" w:rsidRPr="00B830F3" w14:paraId="1EA8CCF9" w14:textId="77777777" w:rsidTr="00231073">
        <w:trPr>
          <w:trHeight w:val="263"/>
          <w:jc w:val="center"/>
        </w:trPr>
        <w:tc>
          <w:tcPr>
            <w:tcW w:w="2780" w:type="dxa"/>
            <w:tcBorders>
              <w:top w:val="single" w:sz="12" w:space="0" w:color="auto"/>
              <w:left w:val="nil"/>
              <w:right w:val="nil"/>
            </w:tcBorders>
            <w:vAlign w:val="center"/>
          </w:tcPr>
          <w:p w14:paraId="39D6D516" w14:textId="77777777" w:rsidR="00F1465E" w:rsidRPr="00B830F3" w:rsidRDefault="00F1465E" w:rsidP="00231073">
            <w:pPr>
              <w:spacing w:before="0" w:after="0" w:line="240" w:lineRule="auto"/>
              <w:ind w:firstLine="0"/>
              <w:jc w:val="left"/>
              <w:rPr>
                <w:bCs/>
                <w:sz w:val="20"/>
                <w:szCs w:val="20"/>
                <w:lang w:val="hy-AM"/>
              </w:rPr>
            </w:pPr>
            <w:r w:rsidRPr="00B830F3">
              <w:rPr>
                <w:sz w:val="20"/>
                <w:szCs w:val="20"/>
                <w:lang w:val="hy-AM"/>
              </w:rPr>
              <w:t>ըստ մարման մնացած օրերի</w:t>
            </w:r>
            <w:r w:rsidRPr="00B830F3">
              <w:rPr>
                <w:bCs/>
                <w:sz w:val="20"/>
                <w:szCs w:val="20"/>
                <w:lang w:val="hy-AM"/>
              </w:rPr>
              <w:t xml:space="preserve"> կշիռը (%)</w:t>
            </w:r>
          </w:p>
        </w:tc>
        <w:tc>
          <w:tcPr>
            <w:tcW w:w="1331" w:type="dxa"/>
            <w:tcBorders>
              <w:top w:val="single" w:sz="12" w:space="0" w:color="auto"/>
              <w:left w:val="nil"/>
              <w:right w:val="nil"/>
            </w:tcBorders>
            <w:vAlign w:val="center"/>
          </w:tcPr>
          <w:p w14:paraId="01B978C0"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100</w:t>
            </w:r>
          </w:p>
        </w:tc>
        <w:tc>
          <w:tcPr>
            <w:tcW w:w="964" w:type="dxa"/>
            <w:tcBorders>
              <w:top w:val="single" w:sz="12" w:space="0" w:color="auto"/>
              <w:left w:val="nil"/>
              <w:right w:val="nil"/>
            </w:tcBorders>
            <w:vAlign w:val="center"/>
          </w:tcPr>
          <w:p w14:paraId="435A035D"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100</w:t>
            </w:r>
          </w:p>
        </w:tc>
        <w:tc>
          <w:tcPr>
            <w:tcW w:w="1307" w:type="dxa"/>
            <w:tcBorders>
              <w:top w:val="single" w:sz="12" w:space="0" w:color="auto"/>
              <w:left w:val="nil"/>
              <w:right w:val="double" w:sz="4" w:space="0" w:color="auto"/>
            </w:tcBorders>
            <w:vAlign w:val="center"/>
          </w:tcPr>
          <w:p w14:paraId="6F3FE7AB"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100</w:t>
            </w:r>
          </w:p>
        </w:tc>
        <w:tc>
          <w:tcPr>
            <w:tcW w:w="1130" w:type="dxa"/>
            <w:tcBorders>
              <w:top w:val="single" w:sz="12" w:space="0" w:color="auto"/>
              <w:left w:val="double" w:sz="4" w:space="0" w:color="auto"/>
              <w:right w:val="nil"/>
            </w:tcBorders>
            <w:vAlign w:val="center"/>
          </w:tcPr>
          <w:p w14:paraId="01A776A6"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100</w:t>
            </w:r>
          </w:p>
        </w:tc>
        <w:tc>
          <w:tcPr>
            <w:tcW w:w="950" w:type="dxa"/>
            <w:tcBorders>
              <w:top w:val="single" w:sz="12" w:space="0" w:color="auto"/>
              <w:left w:val="nil"/>
              <w:right w:val="nil"/>
            </w:tcBorders>
            <w:vAlign w:val="center"/>
          </w:tcPr>
          <w:p w14:paraId="107F6499"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100</w:t>
            </w:r>
          </w:p>
        </w:tc>
        <w:tc>
          <w:tcPr>
            <w:tcW w:w="1081" w:type="dxa"/>
            <w:tcBorders>
              <w:top w:val="single" w:sz="12" w:space="0" w:color="auto"/>
              <w:left w:val="nil"/>
              <w:right w:val="nil"/>
            </w:tcBorders>
            <w:vAlign w:val="center"/>
          </w:tcPr>
          <w:p w14:paraId="0242EE18"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100</w:t>
            </w:r>
          </w:p>
        </w:tc>
        <w:tc>
          <w:tcPr>
            <w:tcW w:w="969" w:type="dxa"/>
            <w:tcBorders>
              <w:top w:val="single" w:sz="12" w:space="0" w:color="auto"/>
              <w:left w:val="nil"/>
              <w:right w:val="nil"/>
            </w:tcBorders>
            <w:vAlign w:val="center"/>
          </w:tcPr>
          <w:p w14:paraId="5CB4C9A6"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100</w:t>
            </w:r>
          </w:p>
        </w:tc>
      </w:tr>
      <w:tr w:rsidR="00F1465E" w:rsidRPr="00B830F3" w14:paraId="6DCCB06E" w14:textId="77777777" w:rsidTr="00231073">
        <w:trPr>
          <w:trHeight w:val="263"/>
          <w:jc w:val="center"/>
        </w:trPr>
        <w:tc>
          <w:tcPr>
            <w:tcW w:w="2780" w:type="dxa"/>
            <w:tcBorders>
              <w:left w:val="nil"/>
              <w:right w:val="nil"/>
            </w:tcBorders>
            <w:vAlign w:val="center"/>
          </w:tcPr>
          <w:p w14:paraId="4CCC2F38" w14:textId="77777777" w:rsidR="00F1465E" w:rsidRPr="00B830F3" w:rsidRDefault="00F1465E" w:rsidP="00231073">
            <w:pPr>
              <w:spacing w:before="0" w:after="0" w:line="240" w:lineRule="auto"/>
              <w:ind w:left="436" w:firstLine="0"/>
              <w:jc w:val="left"/>
              <w:rPr>
                <w:bCs/>
                <w:sz w:val="20"/>
                <w:szCs w:val="20"/>
                <w:lang w:val="hy-AM"/>
              </w:rPr>
            </w:pPr>
            <w:r w:rsidRPr="00B830F3">
              <w:rPr>
                <w:sz w:val="20"/>
                <w:szCs w:val="20"/>
                <w:lang w:val="hy-AM"/>
              </w:rPr>
              <w:t>Մինչև 1 տարի</w:t>
            </w:r>
          </w:p>
        </w:tc>
        <w:tc>
          <w:tcPr>
            <w:tcW w:w="1331" w:type="dxa"/>
            <w:tcBorders>
              <w:left w:val="nil"/>
              <w:right w:val="nil"/>
            </w:tcBorders>
            <w:vAlign w:val="center"/>
          </w:tcPr>
          <w:p w14:paraId="503C4B1D"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12.9 </w:t>
            </w:r>
          </w:p>
        </w:tc>
        <w:tc>
          <w:tcPr>
            <w:tcW w:w="964" w:type="dxa"/>
            <w:tcBorders>
              <w:left w:val="nil"/>
              <w:right w:val="nil"/>
            </w:tcBorders>
            <w:vAlign w:val="center"/>
          </w:tcPr>
          <w:p w14:paraId="341A743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12.7 </w:t>
            </w:r>
          </w:p>
        </w:tc>
        <w:tc>
          <w:tcPr>
            <w:tcW w:w="1307" w:type="dxa"/>
            <w:tcBorders>
              <w:left w:val="nil"/>
              <w:right w:val="double" w:sz="4" w:space="0" w:color="auto"/>
            </w:tcBorders>
            <w:vAlign w:val="center"/>
          </w:tcPr>
          <w:p w14:paraId="75E97CA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11.4 </w:t>
            </w:r>
          </w:p>
        </w:tc>
        <w:tc>
          <w:tcPr>
            <w:tcW w:w="1130" w:type="dxa"/>
            <w:tcBorders>
              <w:left w:val="double" w:sz="4" w:space="0" w:color="auto"/>
              <w:right w:val="nil"/>
            </w:tcBorders>
            <w:vAlign w:val="center"/>
          </w:tcPr>
          <w:p w14:paraId="195F291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11.9 </w:t>
            </w:r>
          </w:p>
        </w:tc>
        <w:tc>
          <w:tcPr>
            <w:tcW w:w="950" w:type="dxa"/>
            <w:tcBorders>
              <w:left w:val="nil"/>
              <w:right w:val="nil"/>
            </w:tcBorders>
            <w:vAlign w:val="center"/>
          </w:tcPr>
          <w:p w14:paraId="72B85A4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9.3 </w:t>
            </w:r>
          </w:p>
        </w:tc>
        <w:tc>
          <w:tcPr>
            <w:tcW w:w="1081" w:type="dxa"/>
            <w:tcBorders>
              <w:left w:val="nil"/>
              <w:right w:val="nil"/>
            </w:tcBorders>
            <w:vAlign w:val="center"/>
          </w:tcPr>
          <w:p w14:paraId="256B55F8"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8.6 </w:t>
            </w:r>
          </w:p>
        </w:tc>
        <w:tc>
          <w:tcPr>
            <w:tcW w:w="969" w:type="dxa"/>
            <w:tcBorders>
              <w:left w:val="nil"/>
              <w:right w:val="nil"/>
            </w:tcBorders>
            <w:vAlign w:val="center"/>
          </w:tcPr>
          <w:p w14:paraId="21CDC35E"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9.8 </w:t>
            </w:r>
          </w:p>
        </w:tc>
      </w:tr>
      <w:tr w:rsidR="00F1465E" w:rsidRPr="00B830F3" w14:paraId="2921CF68" w14:textId="77777777" w:rsidTr="00231073">
        <w:trPr>
          <w:trHeight w:val="263"/>
          <w:jc w:val="center"/>
        </w:trPr>
        <w:tc>
          <w:tcPr>
            <w:tcW w:w="2780" w:type="dxa"/>
            <w:tcBorders>
              <w:left w:val="nil"/>
              <w:bottom w:val="single" w:sz="4" w:space="0" w:color="auto"/>
              <w:right w:val="nil"/>
            </w:tcBorders>
            <w:vAlign w:val="center"/>
          </w:tcPr>
          <w:p w14:paraId="60997082" w14:textId="77777777" w:rsidR="00F1465E" w:rsidRPr="00B830F3" w:rsidRDefault="00F1465E" w:rsidP="00231073">
            <w:pPr>
              <w:spacing w:before="0" w:after="0" w:line="240" w:lineRule="auto"/>
              <w:ind w:left="436" w:firstLine="0"/>
              <w:jc w:val="left"/>
              <w:rPr>
                <w:bCs/>
                <w:sz w:val="20"/>
                <w:szCs w:val="20"/>
                <w:lang w:val="hy-AM"/>
              </w:rPr>
            </w:pPr>
            <w:r w:rsidRPr="00B830F3">
              <w:rPr>
                <w:sz w:val="20"/>
                <w:szCs w:val="20"/>
                <w:lang w:val="hy-AM"/>
              </w:rPr>
              <w:t>1-5 տարի</w:t>
            </w:r>
          </w:p>
        </w:tc>
        <w:tc>
          <w:tcPr>
            <w:tcW w:w="1331" w:type="dxa"/>
            <w:tcBorders>
              <w:left w:val="nil"/>
              <w:bottom w:val="single" w:sz="4" w:space="0" w:color="auto"/>
              <w:right w:val="nil"/>
            </w:tcBorders>
            <w:vAlign w:val="center"/>
          </w:tcPr>
          <w:p w14:paraId="797E1180"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38.2 </w:t>
            </w:r>
          </w:p>
        </w:tc>
        <w:tc>
          <w:tcPr>
            <w:tcW w:w="964" w:type="dxa"/>
            <w:tcBorders>
              <w:left w:val="nil"/>
              <w:bottom w:val="single" w:sz="4" w:space="0" w:color="auto"/>
              <w:right w:val="nil"/>
            </w:tcBorders>
            <w:vAlign w:val="center"/>
          </w:tcPr>
          <w:p w14:paraId="74725960"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28.8 </w:t>
            </w:r>
          </w:p>
        </w:tc>
        <w:tc>
          <w:tcPr>
            <w:tcW w:w="1307" w:type="dxa"/>
            <w:tcBorders>
              <w:left w:val="nil"/>
              <w:bottom w:val="single" w:sz="4" w:space="0" w:color="auto"/>
              <w:right w:val="double" w:sz="4" w:space="0" w:color="auto"/>
            </w:tcBorders>
            <w:vAlign w:val="center"/>
          </w:tcPr>
          <w:p w14:paraId="61DBBE12"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25.1 </w:t>
            </w:r>
          </w:p>
        </w:tc>
        <w:tc>
          <w:tcPr>
            <w:tcW w:w="1130" w:type="dxa"/>
            <w:tcBorders>
              <w:left w:val="double" w:sz="4" w:space="0" w:color="auto"/>
              <w:bottom w:val="single" w:sz="4" w:space="0" w:color="auto"/>
              <w:right w:val="nil"/>
            </w:tcBorders>
            <w:vAlign w:val="center"/>
          </w:tcPr>
          <w:p w14:paraId="46179EA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30.4 </w:t>
            </w:r>
          </w:p>
        </w:tc>
        <w:tc>
          <w:tcPr>
            <w:tcW w:w="950" w:type="dxa"/>
            <w:tcBorders>
              <w:left w:val="nil"/>
              <w:bottom w:val="single" w:sz="4" w:space="0" w:color="auto"/>
              <w:right w:val="nil"/>
            </w:tcBorders>
            <w:vAlign w:val="center"/>
          </w:tcPr>
          <w:p w14:paraId="132ECFB4"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31.5 </w:t>
            </w:r>
          </w:p>
        </w:tc>
        <w:tc>
          <w:tcPr>
            <w:tcW w:w="1081" w:type="dxa"/>
            <w:tcBorders>
              <w:left w:val="nil"/>
              <w:bottom w:val="single" w:sz="4" w:space="0" w:color="auto"/>
              <w:right w:val="nil"/>
            </w:tcBorders>
            <w:vAlign w:val="center"/>
          </w:tcPr>
          <w:p w14:paraId="05E2EE1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33.5 </w:t>
            </w:r>
          </w:p>
        </w:tc>
        <w:tc>
          <w:tcPr>
            <w:tcW w:w="969" w:type="dxa"/>
            <w:tcBorders>
              <w:left w:val="nil"/>
              <w:bottom w:val="single" w:sz="4" w:space="0" w:color="auto"/>
              <w:right w:val="nil"/>
            </w:tcBorders>
            <w:vAlign w:val="center"/>
          </w:tcPr>
          <w:p w14:paraId="6DD540BF"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33.4 </w:t>
            </w:r>
          </w:p>
        </w:tc>
      </w:tr>
      <w:tr w:rsidR="00F1465E" w:rsidRPr="00B830F3" w14:paraId="230F8884" w14:textId="77777777" w:rsidTr="00231073">
        <w:trPr>
          <w:trHeight w:val="256"/>
          <w:jc w:val="center"/>
        </w:trPr>
        <w:tc>
          <w:tcPr>
            <w:tcW w:w="2780" w:type="dxa"/>
            <w:tcBorders>
              <w:left w:val="nil"/>
              <w:bottom w:val="single" w:sz="12" w:space="0" w:color="auto"/>
              <w:right w:val="nil"/>
            </w:tcBorders>
            <w:vAlign w:val="center"/>
          </w:tcPr>
          <w:p w14:paraId="111E918A" w14:textId="77777777" w:rsidR="00F1465E" w:rsidRPr="00B830F3" w:rsidRDefault="00F1465E" w:rsidP="00231073">
            <w:pPr>
              <w:spacing w:before="0" w:after="0" w:line="240" w:lineRule="auto"/>
              <w:ind w:left="436" w:firstLine="0"/>
              <w:jc w:val="left"/>
              <w:rPr>
                <w:bCs/>
                <w:sz w:val="20"/>
                <w:szCs w:val="20"/>
                <w:lang w:val="hy-AM"/>
              </w:rPr>
            </w:pPr>
            <w:r w:rsidRPr="00B830F3">
              <w:rPr>
                <w:sz w:val="20"/>
                <w:szCs w:val="20"/>
                <w:lang w:val="hy-AM"/>
              </w:rPr>
              <w:t>5-ից ավելի տարի</w:t>
            </w:r>
          </w:p>
        </w:tc>
        <w:tc>
          <w:tcPr>
            <w:tcW w:w="1331" w:type="dxa"/>
            <w:tcBorders>
              <w:left w:val="nil"/>
              <w:bottom w:val="single" w:sz="12" w:space="0" w:color="auto"/>
              <w:right w:val="nil"/>
            </w:tcBorders>
            <w:vAlign w:val="center"/>
          </w:tcPr>
          <w:p w14:paraId="5CC21CE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48.9 </w:t>
            </w:r>
          </w:p>
        </w:tc>
        <w:tc>
          <w:tcPr>
            <w:tcW w:w="964" w:type="dxa"/>
            <w:tcBorders>
              <w:left w:val="nil"/>
              <w:bottom w:val="single" w:sz="12" w:space="0" w:color="auto"/>
              <w:right w:val="nil"/>
            </w:tcBorders>
            <w:vAlign w:val="center"/>
          </w:tcPr>
          <w:p w14:paraId="1DDC4FA5"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58.5 </w:t>
            </w:r>
          </w:p>
        </w:tc>
        <w:tc>
          <w:tcPr>
            <w:tcW w:w="1307" w:type="dxa"/>
            <w:tcBorders>
              <w:left w:val="nil"/>
              <w:bottom w:val="single" w:sz="12" w:space="0" w:color="auto"/>
              <w:right w:val="double" w:sz="4" w:space="0" w:color="auto"/>
            </w:tcBorders>
            <w:vAlign w:val="center"/>
          </w:tcPr>
          <w:p w14:paraId="27E8327A"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63.5 </w:t>
            </w:r>
          </w:p>
        </w:tc>
        <w:tc>
          <w:tcPr>
            <w:tcW w:w="1130" w:type="dxa"/>
            <w:tcBorders>
              <w:left w:val="double" w:sz="4" w:space="0" w:color="auto"/>
              <w:bottom w:val="single" w:sz="12" w:space="0" w:color="auto"/>
              <w:right w:val="nil"/>
            </w:tcBorders>
            <w:vAlign w:val="center"/>
          </w:tcPr>
          <w:p w14:paraId="11E53B6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57.7 </w:t>
            </w:r>
          </w:p>
        </w:tc>
        <w:tc>
          <w:tcPr>
            <w:tcW w:w="950" w:type="dxa"/>
            <w:tcBorders>
              <w:left w:val="nil"/>
              <w:bottom w:val="single" w:sz="12" w:space="0" w:color="auto"/>
              <w:right w:val="nil"/>
            </w:tcBorders>
            <w:vAlign w:val="center"/>
          </w:tcPr>
          <w:p w14:paraId="2223AF8A"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59.2 </w:t>
            </w:r>
          </w:p>
        </w:tc>
        <w:tc>
          <w:tcPr>
            <w:tcW w:w="1081" w:type="dxa"/>
            <w:tcBorders>
              <w:left w:val="nil"/>
              <w:bottom w:val="single" w:sz="12" w:space="0" w:color="auto"/>
              <w:right w:val="nil"/>
            </w:tcBorders>
            <w:vAlign w:val="center"/>
          </w:tcPr>
          <w:p w14:paraId="4E11F68E"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57.9 </w:t>
            </w:r>
          </w:p>
        </w:tc>
        <w:tc>
          <w:tcPr>
            <w:tcW w:w="969" w:type="dxa"/>
            <w:tcBorders>
              <w:left w:val="nil"/>
              <w:bottom w:val="single" w:sz="12" w:space="0" w:color="auto"/>
              <w:right w:val="nil"/>
            </w:tcBorders>
            <w:vAlign w:val="center"/>
          </w:tcPr>
          <w:p w14:paraId="222C92F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56.8 </w:t>
            </w:r>
          </w:p>
        </w:tc>
      </w:tr>
      <w:tr w:rsidR="00F1465E" w:rsidRPr="00B830F3" w14:paraId="28E9C426" w14:textId="77777777" w:rsidTr="00231073">
        <w:trPr>
          <w:trHeight w:val="263"/>
          <w:jc w:val="center"/>
        </w:trPr>
        <w:tc>
          <w:tcPr>
            <w:tcW w:w="2780" w:type="dxa"/>
            <w:tcBorders>
              <w:top w:val="single" w:sz="12" w:space="0" w:color="auto"/>
              <w:left w:val="nil"/>
              <w:bottom w:val="single" w:sz="4" w:space="0" w:color="auto"/>
              <w:right w:val="nil"/>
            </w:tcBorders>
            <w:vAlign w:val="center"/>
          </w:tcPr>
          <w:p w14:paraId="25F507EC" w14:textId="77777777" w:rsidR="00F1465E" w:rsidRPr="00B830F3" w:rsidRDefault="00F1465E" w:rsidP="00231073">
            <w:pPr>
              <w:spacing w:before="0" w:after="0" w:line="240" w:lineRule="auto"/>
              <w:ind w:firstLine="0"/>
              <w:jc w:val="left"/>
              <w:rPr>
                <w:rFonts w:cs="Times Unicode"/>
                <w:sz w:val="20"/>
                <w:szCs w:val="20"/>
                <w:lang w:val="hy-AM"/>
              </w:rPr>
            </w:pPr>
            <w:r w:rsidRPr="00B830F3">
              <w:rPr>
                <w:bCs/>
                <w:sz w:val="20"/>
                <w:szCs w:val="20"/>
                <w:lang w:val="hy-AM"/>
              </w:rPr>
              <w:t>Միջին տոկոսադրույք (%)</w:t>
            </w:r>
          </w:p>
        </w:tc>
        <w:tc>
          <w:tcPr>
            <w:tcW w:w="1331" w:type="dxa"/>
            <w:tcBorders>
              <w:top w:val="single" w:sz="12" w:space="0" w:color="auto"/>
              <w:left w:val="nil"/>
              <w:bottom w:val="single" w:sz="4" w:space="0" w:color="auto"/>
              <w:right w:val="nil"/>
            </w:tcBorders>
            <w:vAlign w:val="center"/>
          </w:tcPr>
          <w:p w14:paraId="443DA5A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12.3 </w:t>
            </w:r>
          </w:p>
        </w:tc>
        <w:tc>
          <w:tcPr>
            <w:tcW w:w="964" w:type="dxa"/>
            <w:tcBorders>
              <w:top w:val="single" w:sz="12" w:space="0" w:color="auto"/>
              <w:left w:val="nil"/>
              <w:bottom w:val="single" w:sz="4" w:space="0" w:color="auto"/>
              <w:right w:val="nil"/>
            </w:tcBorders>
            <w:vAlign w:val="center"/>
          </w:tcPr>
          <w:p w14:paraId="0C08C4FF"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11.8 </w:t>
            </w:r>
          </w:p>
        </w:tc>
        <w:tc>
          <w:tcPr>
            <w:tcW w:w="1307" w:type="dxa"/>
            <w:tcBorders>
              <w:top w:val="single" w:sz="12" w:space="0" w:color="auto"/>
              <w:left w:val="nil"/>
              <w:bottom w:val="single" w:sz="4" w:space="0" w:color="auto"/>
              <w:right w:val="double" w:sz="4" w:space="0" w:color="auto"/>
            </w:tcBorders>
            <w:vAlign w:val="center"/>
          </w:tcPr>
          <w:p w14:paraId="477A2F7F"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11.3 </w:t>
            </w:r>
          </w:p>
        </w:tc>
        <w:tc>
          <w:tcPr>
            <w:tcW w:w="1130" w:type="dxa"/>
            <w:tcBorders>
              <w:top w:val="single" w:sz="12" w:space="0" w:color="auto"/>
              <w:left w:val="double" w:sz="4" w:space="0" w:color="auto"/>
              <w:bottom w:val="single" w:sz="4" w:space="0" w:color="auto"/>
              <w:right w:val="nil"/>
            </w:tcBorders>
            <w:vAlign w:val="center"/>
          </w:tcPr>
          <w:p w14:paraId="357CF234"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10.7 </w:t>
            </w:r>
          </w:p>
        </w:tc>
        <w:tc>
          <w:tcPr>
            <w:tcW w:w="950" w:type="dxa"/>
            <w:tcBorders>
              <w:top w:val="single" w:sz="12" w:space="0" w:color="auto"/>
              <w:left w:val="nil"/>
              <w:bottom w:val="single" w:sz="4" w:space="0" w:color="auto"/>
              <w:right w:val="nil"/>
            </w:tcBorders>
            <w:vAlign w:val="center"/>
          </w:tcPr>
          <w:p w14:paraId="15649148"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10.2 </w:t>
            </w:r>
          </w:p>
        </w:tc>
        <w:tc>
          <w:tcPr>
            <w:tcW w:w="1081" w:type="dxa"/>
            <w:tcBorders>
              <w:top w:val="single" w:sz="12" w:space="0" w:color="auto"/>
              <w:left w:val="nil"/>
              <w:bottom w:val="single" w:sz="4" w:space="0" w:color="auto"/>
              <w:right w:val="nil"/>
            </w:tcBorders>
            <w:vAlign w:val="center"/>
          </w:tcPr>
          <w:p w14:paraId="4E262935"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10.0 </w:t>
            </w:r>
          </w:p>
        </w:tc>
        <w:tc>
          <w:tcPr>
            <w:tcW w:w="969" w:type="dxa"/>
            <w:tcBorders>
              <w:top w:val="single" w:sz="12" w:space="0" w:color="auto"/>
              <w:left w:val="nil"/>
              <w:bottom w:val="single" w:sz="4" w:space="0" w:color="auto"/>
              <w:right w:val="nil"/>
            </w:tcBorders>
            <w:vAlign w:val="center"/>
          </w:tcPr>
          <w:p w14:paraId="2907BCF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9.9 </w:t>
            </w:r>
          </w:p>
        </w:tc>
      </w:tr>
      <w:tr w:rsidR="00F1465E" w:rsidRPr="00B830F3" w14:paraId="1A3F18AE" w14:textId="77777777" w:rsidTr="00231073">
        <w:trPr>
          <w:trHeight w:val="263"/>
          <w:jc w:val="center"/>
        </w:trPr>
        <w:tc>
          <w:tcPr>
            <w:tcW w:w="2780" w:type="dxa"/>
            <w:tcBorders>
              <w:left w:val="nil"/>
              <w:bottom w:val="single" w:sz="36" w:space="0" w:color="auto"/>
              <w:right w:val="nil"/>
            </w:tcBorders>
            <w:vAlign w:val="center"/>
          </w:tcPr>
          <w:p w14:paraId="2B16ACEA" w14:textId="77777777" w:rsidR="00F1465E" w:rsidRPr="00B830F3" w:rsidRDefault="00F1465E" w:rsidP="00231073">
            <w:pPr>
              <w:spacing w:before="0" w:after="0" w:line="240" w:lineRule="auto"/>
              <w:ind w:firstLine="0"/>
              <w:jc w:val="left"/>
              <w:rPr>
                <w:rFonts w:cs="Times Unicode"/>
                <w:sz w:val="20"/>
                <w:szCs w:val="20"/>
                <w:lang w:val="hy-AM"/>
              </w:rPr>
            </w:pPr>
            <w:r w:rsidRPr="00B830F3">
              <w:rPr>
                <w:bCs/>
                <w:sz w:val="20"/>
                <w:szCs w:val="20"/>
                <w:lang w:val="hy-AM"/>
              </w:rPr>
              <w:t>Միջին ժամկետայնություն (տարի)</w:t>
            </w:r>
          </w:p>
        </w:tc>
        <w:tc>
          <w:tcPr>
            <w:tcW w:w="1331" w:type="dxa"/>
            <w:tcBorders>
              <w:left w:val="nil"/>
              <w:bottom w:val="single" w:sz="36" w:space="0" w:color="auto"/>
              <w:right w:val="nil"/>
            </w:tcBorders>
            <w:vAlign w:val="center"/>
          </w:tcPr>
          <w:p w14:paraId="1FF44EF2"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9.1 </w:t>
            </w:r>
          </w:p>
        </w:tc>
        <w:tc>
          <w:tcPr>
            <w:tcW w:w="964" w:type="dxa"/>
            <w:tcBorders>
              <w:left w:val="nil"/>
              <w:bottom w:val="single" w:sz="36" w:space="0" w:color="auto"/>
              <w:right w:val="nil"/>
            </w:tcBorders>
            <w:vAlign w:val="center"/>
          </w:tcPr>
          <w:p w14:paraId="7A856DC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10.2 </w:t>
            </w:r>
          </w:p>
        </w:tc>
        <w:tc>
          <w:tcPr>
            <w:tcW w:w="1307" w:type="dxa"/>
            <w:tcBorders>
              <w:left w:val="nil"/>
              <w:bottom w:val="single" w:sz="36" w:space="0" w:color="auto"/>
              <w:right w:val="double" w:sz="4" w:space="0" w:color="auto"/>
            </w:tcBorders>
            <w:vAlign w:val="center"/>
          </w:tcPr>
          <w:p w14:paraId="6BD08F2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10.6 </w:t>
            </w:r>
          </w:p>
        </w:tc>
        <w:tc>
          <w:tcPr>
            <w:tcW w:w="1130" w:type="dxa"/>
            <w:tcBorders>
              <w:left w:val="double" w:sz="4" w:space="0" w:color="auto"/>
              <w:bottom w:val="single" w:sz="36" w:space="0" w:color="auto"/>
              <w:right w:val="nil"/>
            </w:tcBorders>
            <w:vAlign w:val="center"/>
          </w:tcPr>
          <w:p w14:paraId="3B0FD54E"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10.7 </w:t>
            </w:r>
          </w:p>
        </w:tc>
        <w:tc>
          <w:tcPr>
            <w:tcW w:w="950" w:type="dxa"/>
            <w:tcBorders>
              <w:left w:val="nil"/>
              <w:bottom w:val="single" w:sz="36" w:space="0" w:color="auto"/>
              <w:right w:val="nil"/>
            </w:tcBorders>
            <w:vAlign w:val="center"/>
          </w:tcPr>
          <w:p w14:paraId="6976F5F6"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10.9 </w:t>
            </w:r>
          </w:p>
        </w:tc>
        <w:tc>
          <w:tcPr>
            <w:tcW w:w="1081" w:type="dxa"/>
            <w:tcBorders>
              <w:left w:val="nil"/>
              <w:bottom w:val="single" w:sz="36" w:space="0" w:color="auto"/>
              <w:right w:val="nil"/>
            </w:tcBorders>
            <w:vAlign w:val="center"/>
          </w:tcPr>
          <w:p w14:paraId="13C6DC66"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10.4 </w:t>
            </w:r>
          </w:p>
        </w:tc>
        <w:tc>
          <w:tcPr>
            <w:tcW w:w="969" w:type="dxa"/>
            <w:tcBorders>
              <w:left w:val="nil"/>
              <w:bottom w:val="single" w:sz="36" w:space="0" w:color="auto"/>
              <w:right w:val="nil"/>
            </w:tcBorders>
            <w:vAlign w:val="center"/>
          </w:tcPr>
          <w:p w14:paraId="4F01FC76"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10.0 </w:t>
            </w:r>
          </w:p>
        </w:tc>
      </w:tr>
      <w:tr w:rsidR="00F1465E" w:rsidRPr="00B830F3" w14:paraId="5D5D3AEF" w14:textId="77777777" w:rsidTr="00231073">
        <w:trPr>
          <w:trHeight w:val="268"/>
          <w:jc w:val="center"/>
        </w:trPr>
        <w:tc>
          <w:tcPr>
            <w:tcW w:w="2780" w:type="dxa"/>
            <w:tcBorders>
              <w:top w:val="single" w:sz="36" w:space="0" w:color="auto"/>
              <w:left w:val="nil"/>
              <w:bottom w:val="single" w:sz="4" w:space="0" w:color="auto"/>
              <w:right w:val="nil"/>
            </w:tcBorders>
            <w:vAlign w:val="center"/>
          </w:tcPr>
          <w:p w14:paraId="01A28E93" w14:textId="77777777" w:rsidR="00F1465E" w:rsidRPr="00B830F3" w:rsidRDefault="00F1465E" w:rsidP="00231073">
            <w:pPr>
              <w:spacing w:before="0" w:after="0" w:line="240" w:lineRule="auto"/>
              <w:ind w:firstLine="0"/>
              <w:jc w:val="left"/>
              <w:rPr>
                <w:rFonts w:cs="Times Unicode"/>
                <w:sz w:val="20"/>
                <w:szCs w:val="20"/>
                <w:lang w:val="hy-AM"/>
              </w:rPr>
            </w:pPr>
            <w:r w:rsidRPr="00B830F3">
              <w:rPr>
                <w:bCs/>
                <w:sz w:val="20"/>
                <w:szCs w:val="20"/>
                <w:lang w:val="hy-AM"/>
              </w:rPr>
              <w:t>Արտարժութային պետական պարտատոմսեր, մլն ԱՄՆ դոլար</w:t>
            </w:r>
          </w:p>
        </w:tc>
        <w:tc>
          <w:tcPr>
            <w:tcW w:w="1331" w:type="dxa"/>
            <w:tcBorders>
              <w:top w:val="single" w:sz="36" w:space="0" w:color="auto"/>
              <w:left w:val="nil"/>
              <w:bottom w:val="single" w:sz="4" w:space="0" w:color="auto"/>
              <w:right w:val="nil"/>
            </w:tcBorders>
            <w:vAlign w:val="center"/>
          </w:tcPr>
          <w:p w14:paraId="54445C3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1,000.1 </w:t>
            </w:r>
          </w:p>
        </w:tc>
        <w:tc>
          <w:tcPr>
            <w:tcW w:w="964" w:type="dxa"/>
            <w:tcBorders>
              <w:top w:val="single" w:sz="36" w:space="0" w:color="auto"/>
              <w:left w:val="nil"/>
              <w:bottom w:val="single" w:sz="4" w:space="0" w:color="auto"/>
              <w:right w:val="nil"/>
            </w:tcBorders>
            <w:vAlign w:val="center"/>
          </w:tcPr>
          <w:p w14:paraId="5D91A5E2"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1,097.7 </w:t>
            </w:r>
          </w:p>
        </w:tc>
        <w:tc>
          <w:tcPr>
            <w:tcW w:w="1307" w:type="dxa"/>
            <w:tcBorders>
              <w:top w:val="single" w:sz="36" w:space="0" w:color="auto"/>
              <w:left w:val="nil"/>
              <w:bottom w:val="single" w:sz="4" w:space="0" w:color="auto"/>
              <w:right w:val="double" w:sz="4" w:space="0" w:color="auto"/>
            </w:tcBorders>
            <w:vAlign w:val="center"/>
          </w:tcPr>
          <w:p w14:paraId="3795AB7D"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1,000.0 </w:t>
            </w:r>
          </w:p>
        </w:tc>
        <w:tc>
          <w:tcPr>
            <w:tcW w:w="1130" w:type="dxa"/>
            <w:tcBorders>
              <w:top w:val="single" w:sz="36" w:space="0" w:color="auto"/>
              <w:left w:val="double" w:sz="4" w:space="0" w:color="auto"/>
              <w:bottom w:val="single" w:sz="4" w:space="0" w:color="auto"/>
              <w:right w:val="nil"/>
            </w:tcBorders>
            <w:vAlign w:val="center"/>
          </w:tcPr>
          <w:p w14:paraId="03E0B2D4"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1,000.0 </w:t>
            </w:r>
          </w:p>
        </w:tc>
        <w:tc>
          <w:tcPr>
            <w:tcW w:w="950" w:type="dxa"/>
            <w:tcBorders>
              <w:top w:val="single" w:sz="36" w:space="0" w:color="auto"/>
              <w:left w:val="nil"/>
              <w:bottom w:val="single" w:sz="4" w:space="0" w:color="auto"/>
              <w:right w:val="nil"/>
            </w:tcBorders>
            <w:vAlign w:val="center"/>
          </w:tcPr>
          <w:p w14:paraId="5E392F6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1,000.0 </w:t>
            </w:r>
          </w:p>
        </w:tc>
        <w:tc>
          <w:tcPr>
            <w:tcW w:w="1081" w:type="dxa"/>
            <w:tcBorders>
              <w:top w:val="single" w:sz="36" w:space="0" w:color="auto"/>
              <w:left w:val="nil"/>
              <w:bottom w:val="single" w:sz="4" w:space="0" w:color="auto"/>
              <w:right w:val="nil"/>
            </w:tcBorders>
            <w:vAlign w:val="center"/>
          </w:tcPr>
          <w:p w14:paraId="52DB7733"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1,000.0 </w:t>
            </w:r>
          </w:p>
        </w:tc>
        <w:tc>
          <w:tcPr>
            <w:tcW w:w="969" w:type="dxa"/>
            <w:tcBorders>
              <w:top w:val="single" w:sz="36" w:space="0" w:color="auto"/>
              <w:left w:val="nil"/>
              <w:bottom w:val="single" w:sz="4" w:space="0" w:color="auto"/>
              <w:right w:val="nil"/>
            </w:tcBorders>
            <w:vAlign w:val="center"/>
          </w:tcPr>
          <w:p w14:paraId="4878CCFF"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1,000.0 </w:t>
            </w:r>
          </w:p>
        </w:tc>
      </w:tr>
      <w:tr w:rsidR="00F1465E" w:rsidRPr="00B830F3" w14:paraId="11EB1C4D" w14:textId="77777777" w:rsidTr="00231073">
        <w:trPr>
          <w:trHeight w:val="142"/>
          <w:jc w:val="center"/>
        </w:trPr>
        <w:tc>
          <w:tcPr>
            <w:tcW w:w="2780" w:type="dxa"/>
            <w:tcBorders>
              <w:left w:val="nil"/>
              <w:bottom w:val="single" w:sz="12" w:space="0" w:color="auto"/>
              <w:right w:val="nil"/>
            </w:tcBorders>
            <w:vAlign w:val="center"/>
          </w:tcPr>
          <w:p w14:paraId="5CAADD08" w14:textId="77777777" w:rsidR="00F1465E" w:rsidRPr="00B830F3" w:rsidRDefault="00F1465E" w:rsidP="00231073">
            <w:pPr>
              <w:spacing w:before="0" w:after="0" w:line="240" w:lineRule="auto"/>
              <w:ind w:left="297" w:firstLine="0"/>
              <w:jc w:val="left"/>
              <w:rPr>
                <w:rFonts w:cs="Times Unicode"/>
                <w:sz w:val="20"/>
                <w:szCs w:val="20"/>
                <w:lang w:val="hy-AM"/>
              </w:rPr>
            </w:pPr>
            <w:r w:rsidRPr="00B830F3">
              <w:rPr>
                <w:sz w:val="20"/>
                <w:szCs w:val="20"/>
                <w:lang w:val="hy-AM"/>
              </w:rPr>
              <w:t>% ՀՆԱ-ի նկատմամբ</w:t>
            </w:r>
          </w:p>
        </w:tc>
        <w:tc>
          <w:tcPr>
            <w:tcW w:w="1331" w:type="dxa"/>
            <w:tcBorders>
              <w:left w:val="nil"/>
              <w:bottom w:val="single" w:sz="12" w:space="0" w:color="auto"/>
              <w:right w:val="nil"/>
            </w:tcBorders>
            <w:vAlign w:val="center"/>
          </w:tcPr>
          <w:p w14:paraId="21EE5F90"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8.0 </w:t>
            </w:r>
          </w:p>
        </w:tc>
        <w:tc>
          <w:tcPr>
            <w:tcW w:w="964" w:type="dxa"/>
            <w:tcBorders>
              <w:left w:val="nil"/>
              <w:bottom w:val="single" w:sz="12" w:space="0" w:color="auto"/>
              <w:right w:val="nil"/>
            </w:tcBorders>
            <w:vAlign w:val="center"/>
          </w:tcPr>
          <w:p w14:paraId="50D4E11E"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8.0 </w:t>
            </w:r>
          </w:p>
        </w:tc>
        <w:tc>
          <w:tcPr>
            <w:tcW w:w="1307" w:type="dxa"/>
            <w:tcBorders>
              <w:left w:val="nil"/>
              <w:bottom w:val="single" w:sz="12" w:space="0" w:color="auto"/>
              <w:right w:val="double" w:sz="4" w:space="0" w:color="auto"/>
            </w:tcBorders>
            <w:vAlign w:val="center"/>
          </w:tcPr>
          <w:p w14:paraId="11CD1285"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7.2 </w:t>
            </w:r>
          </w:p>
        </w:tc>
        <w:tc>
          <w:tcPr>
            <w:tcW w:w="1130" w:type="dxa"/>
            <w:tcBorders>
              <w:left w:val="double" w:sz="4" w:space="0" w:color="auto"/>
              <w:bottom w:val="single" w:sz="12" w:space="0" w:color="auto"/>
              <w:right w:val="nil"/>
            </w:tcBorders>
            <w:vAlign w:val="center"/>
          </w:tcPr>
          <w:p w14:paraId="034C2AE6"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7.8 </w:t>
            </w:r>
          </w:p>
        </w:tc>
        <w:tc>
          <w:tcPr>
            <w:tcW w:w="950" w:type="dxa"/>
            <w:tcBorders>
              <w:left w:val="nil"/>
              <w:bottom w:val="single" w:sz="12" w:space="0" w:color="auto"/>
              <w:right w:val="nil"/>
            </w:tcBorders>
            <w:vAlign w:val="center"/>
          </w:tcPr>
          <w:p w14:paraId="1C165DF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7.2 </w:t>
            </w:r>
          </w:p>
        </w:tc>
        <w:tc>
          <w:tcPr>
            <w:tcW w:w="1081" w:type="dxa"/>
            <w:tcBorders>
              <w:left w:val="nil"/>
              <w:bottom w:val="single" w:sz="12" w:space="0" w:color="auto"/>
              <w:right w:val="nil"/>
            </w:tcBorders>
            <w:vAlign w:val="center"/>
          </w:tcPr>
          <w:p w14:paraId="211FD794"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6.6 </w:t>
            </w:r>
          </w:p>
        </w:tc>
        <w:tc>
          <w:tcPr>
            <w:tcW w:w="969" w:type="dxa"/>
            <w:tcBorders>
              <w:left w:val="nil"/>
              <w:bottom w:val="single" w:sz="12" w:space="0" w:color="auto"/>
              <w:right w:val="nil"/>
            </w:tcBorders>
            <w:vAlign w:val="center"/>
          </w:tcPr>
          <w:p w14:paraId="5D9E0322"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6.2 </w:t>
            </w:r>
          </w:p>
        </w:tc>
      </w:tr>
      <w:tr w:rsidR="00F1465E" w:rsidRPr="00B830F3" w14:paraId="73644591" w14:textId="77777777" w:rsidTr="00231073">
        <w:trPr>
          <w:trHeight w:val="142"/>
          <w:jc w:val="center"/>
        </w:trPr>
        <w:tc>
          <w:tcPr>
            <w:tcW w:w="2780" w:type="dxa"/>
            <w:tcBorders>
              <w:top w:val="single" w:sz="12" w:space="0" w:color="auto"/>
              <w:left w:val="nil"/>
              <w:right w:val="nil"/>
            </w:tcBorders>
            <w:vAlign w:val="center"/>
          </w:tcPr>
          <w:p w14:paraId="03A96D80" w14:textId="77777777" w:rsidR="00F1465E" w:rsidRPr="00B830F3" w:rsidRDefault="00F1465E" w:rsidP="00231073">
            <w:pPr>
              <w:spacing w:before="0" w:after="0" w:line="240" w:lineRule="auto"/>
              <w:ind w:firstLine="0"/>
              <w:jc w:val="left"/>
              <w:rPr>
                <w:rFonts w:cs="Times Unicode"/>
                <w:sz w:val="20"/>
                <w:szCs w:val="20"/>
                <w:lang w:val="hy-AM"/>
              </w:rPr>
            </w:pPr>
            <w:r w:rsidRPr="00B830F3">
              <w:rPr>
                <w:bCs/>
                <w:sz w:val="20"/>
                <w:szCs w:val="20"/>
                <w:lang w:val="hy-AM"/>
              </w:rPr>
              <w:t>Միջին տոկոսադրույք (%)</w:t>
            </w:r>
          </w:p>
        </w:tc>
        <w:tc>
          <w:tcPr>
            <w:tcW w:w="1331" w:type="dxa"/>
            <w:tcBorders>
              <w:top w:val="single" w:sz="12" w:space="0" w:color="auto"/>
              <w:left w:val="nil"/>
              <w:right w:val="nil"/>
            </w:tcBorders>
            <w:vAlign w:val="center"/>
          </w:tcPr>
          <w:p w14:paraId="15DA6B78"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6.9 </w:t>
            </w:r>
          </w:p>
        </w:tc>
        <w:tc>
          <w:tcPr>
            <w:tcW w:w="964" w:type="dxa"/>
            <w:tcBorders>
              <w:top w:val="single" w:sz="12" w:space="0" w:color="auto"/>
              <w:left w:val="nil"/>
              <w:right w:val="nil"/>
            </w:tcBorders>
            <w:vAlign w:val="center"/>
          </w:tcPr>
          <w:p w14:paraId="77599542"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5.9 </w:t>
            </w:r>
          </w:p>
        </w:tc>
        <w:tc>
          <w:tcPr>
            <w:tcW w:w="1307" w:type="dxa"/>
            <w:tcBorders>
              <w:top w:val="single" w:sz="12" w:space="0" w:color="auto"/>
              <w:left w:val="nil"/>
              <w:right w:val="double" w:sz="4" w:space="0" w:color="auto"/>
            </w:tcBorders>
            <w:vAlign w:val="center"/>
          </w:tcPr>
          <w:p w14:paraId="42C00DC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5.6 </w:t>
            </w:r>
          </w:p>
        </w:tc>
        <w:tc>
          <w:tcPr>
            <w:tcW w:w="1130" w:type="dxa"/>
            <w:tcBorders>
              <w:top w:val="single" w:sz="12" w:space="0" w:color="auto"/>
              <w:left w:val="double" w:sz="4" w:space="0" w:color="auto"/>
              <w:right w:val="nil"/>
            </w:tcBorders>
            <w:vAlign w:val="center"/>
          </w:tcPr>
          <w:p w14:paraId="5CDE18A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5.6 </w:t>
            </w:r>
          </w:p>
        </w:tc>
        <w:tc>
          <w:tcPr>
            <w:tcW w:w="950" w:type="dxa"/>
            <w:tcBorders>
              <w:top w:val="single" w:sz="12" w:space="0" w:color="auto"/>
              <w:left w:val="nil"/>
              <w:right w:val="nil"/>
            </w:tcBorders>
            <w:vAlign w:val="center"/>
          </w:tcPr>
          <w:p w14:paraId="4F64E528"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5.6 </w:t>
            </w:r>
          </w:p>
        </w:tc>
        <w:tc>
          <w:tcPr>
            <w:tcW w:w="1081" w:type="dxa"/>
            <w:tcBorders>
              <w:top w:val="single" w:sz="12" w:space="0" w:color="auto"/>
              <w:left w:val="nil"/>
              <w:right w:val="nil"/>
            </w:tcBorders>
            <w:vAlign w:val="center"/>
          </w:tcPr>
          <w:p w14:paraId="6CB82098"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5.6 </w:t>
            </w:r>
          </w:p>
        </w:tc>
        <w:tc>
          <w:tcPr>
            <w:tcW w:w="969" w:type="dxa"/>
            <w:tcBorders>
              <w:top w:val="single" w:sz="12" w:space="0" w:color="auto"/>
              <w:left w:val="nil"/>
              <w:right w:val="nil"/>
            </w:tcBorders>
            <w:vAlign w:val="center"/>
          </w:tcPr>
          <w:p w14:paraId="6EC76B1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5.6 </w:t>
            </w:r>
          </w:p>
        </w:tc>
      </w:tr>
      <w:tr w:rsidR="00F1465E" w:rsidRPr="00B830F3" w14:paraId="13F8D629" w14:textId="77777777" w:rsidTr="00231073">
        <w:trPr>
          <w:trHeight w:val="36"/>
          <w:jc w:val="center"/>
        </w:trPr>
        <w:tc>
          <w:tcPr>
            <w:tcW w:w="2780" w:type="dxa"/>
            <w:tcBorders>
              <w:left w:val="nil"/>
              <w:bottom w:val="thickThinSmallGap" w:sz="24" w:space="0" w:color="auto"/>
              <w:right w:val="nil"/>
            </w:tcBorders>
            <w:vAlign w:val="center"/>
          </w:tcPr>
          <w:p w14:paraId="68CDC163" w14:textId="77777777" w:rsidR="00F1465E" w:rsidRPr="00B830F3" w:rsidRDefault="00F1465E" w:rsidP="00231073">
            <w:pPr>
              <w:spacing w:before="0" w:after="0" w:line="240" w:lineRule="auto"/>
              <w:ind w:firstLine="0"/>
              <w:jc w:val="left"/>
              <w:rPr>
                <w:sz w:val="20"/>
                <w:szCs w:val="20"/>
                <w:lang w:val="hy-AM"/>
              </w:rPr>
            </w:pPr>
            <w:r w:rsidRPr="00B830F3">
              <w:rPr>
                <w:bCs/>
                <w:sz w:val="20"/>
                <w:szCs w:val="20"/>
                <w:lang w:val="hy-AM"/>
              </w:rPr>
              <w:t>Միջին ժամկետայնություն (տարի)</w:t>
            </w:r>
          </w:p>
        </w:tc>
        <w:tc>
          <w:tcPr>
            <w:tcW w:w="1331" w:type="dxa"/>
            <w:tcBorders>
              <w:left w:val="nil"/>
              <w:bottom w:val="thickThinSmallGap" w:sz="24" w:space="0" w:color="auto"/>
              <w:right w:val="nil"/>
            </w:tcBorders>
            <w:vAlign w:val="center"/>
          </w:tcPr>
          <w:p w14:paraId="3880DA9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4.0 </w:t>
            </w:r>
          </w:p>
        </w:tc>
        <w:tc>
          <w:tcPr>
            <w:tcW w:w="964" w:type="dxa"/>
            <w:tcBorders>
              <w:left w:val="nil"/>
              <w:bottom w:val="thickThinSmallGap" w:sz="24" w:space="0" w:color="auto"/>
              <w:right w:val="nil"/>
            </w:tcBorders>
            <w:vAlign w:val="center"/>
          </w:tcPr>
          <w:p w14:paraId="424EB4B6"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6.9 </w:t>
            </w:r>
          </w:p>
        </w:tc>
        <w:tc>
          <w:tcPr>
            <w:tcW w:w="1307" w:type="dxa"/>
            <w:tcBorders>
              <w:left w:val="nil"/>
              <w:bottom w:val="thickThinSmallGap" w:sz="24" w:space="0" w:color="auto"/>
              <w:right w:val="double" w:sz="4" w:space="0" w:color="auto"/>
            </w:tcBorders>
            <w:vAlign w:val="center"/>
          </w:tcPr>
          <w:p w14:paraId="60778C7F"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6.5 </w:t>
            </w:r>
          </w:p>
        </w:tc>
        <w:tc>
          <w:tcPr>
            <w:tcW w:w="1130" w:type="dxa"/>
            <w:tcBorders>
              <w:left w:val="double" w:sz="4" w:space="0" w:color="auto"/>
              <w:bottom w:val="thickThinSmallGap" w:sz="24" w:space="0" w:color="auto"/>
              <w:right w:val="nil"/>
            </w:tcBorders>
            <w:vAlign w:val="center"/>
          </w:tcPr>
          <w:p w14:paraId="6555D0EE"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6.5 </w:t>
            </w:r>
          </w:p>
        </w:tc>
        <w:tc>
          <w:tcPr>
            <w:tcW w:w="950" w:type="dxa"/>
            <w:tcBorders>
              <w:left w:val="nil"/>
              <w:bottom w:val="thickThinSmallGap" w:sz="24" w:space="0" w:color="auto"/>
              <w:right w:val="nil"/>
            </w:tcBorders>
            <w:vAlign w:val="center"/>
          </w:tcPr>
          <w:p w14:paraId="283D30C6"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5.5 </w:t>
            </w:r>
          </w:p>
        </w:tc>
        <w:tc>
          <w:tcPr>
            <w:tcW w:w="1081" w:type="dxa"/>
            <w:tcBorders>
              <w:left w:val="nil"/>
              <w:bottom w:val="thickThinSmallGap" w:sz="24" w:space="0" w:color="auto"/>
              <w:right w:val="nil"/>
            </w:tcBorders>
            <w:vAlign w:val="center"/>
          </w:tcPr>
          <w:p w14:paraId="4E84EE80"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4.5 </w:t>
            </w:r>
          </w:p>
        </w:tc>
        <w:tc>
          <w:tcPr>
            <w:tcW w:w="969" w:type="dxa"/>
            <w:tcBorders>
              <w:left w:val="nil"/>
              <w:bottom w:val="thickThinSmallGap" w:sz="24" w:space="0" w:color="auto"/>
              <w:right w:val="nil"/>
            </w:tcBorders>
            <w:vAlign w:val="center"/>
          </w:tcPr>
          <w:p w14:paraId="5CBE84C8"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3.5 </w:t>
            </w:r>
          </w:p>
        </w:tc>
      </w:tr>
    </w:tbl>
    <w:p w14:paraId="4C3C8CC7" w14:textId="77777777" w:rsidR="00F1465E" w:rsidRDefault="00F1465E" w:rsidP="00F1465E">
      <w:pPr>
        <w:spacing w:before="0" w:after="0"/>
        <w:rPr>
          <w:rFonts w:cs="Times Unicode"/>
          <w:b/>
        </w:rPr>
      </w:pPr>
    </w:p>
    <w:p w14:paraId="49F19CBD" w14:textId="77777777" w:rsidR="00F1465E" w:rsidRPr="00FE76C6" w:rsidRDefault="00F1465E" w:rsidP="00F1465E">
      <w:pPr>
        <w:rPr>
          <w:i/>
          <w:sz w:val="20"/>
          <w:szCs w:val="20"/>
          <w:lang w:val="hy-AM"/>
        </w:rPr>
      </w:pPr>
      <w:r w:rsidRPr="00FE76C6">
        <w:rPr>
          <w:rFonts w:cs="Times Unicode"/>
          <w:b/>
          <w:sz w:val="20"/>
          <w:szCs w:val="20"/>
          <w:lang w:val="hy-AM"/>
        </w:rPr>
        <w:t xml:space="preserve">Աղյուսակ </w:t>
      </w:r>
      <w:r w:rsidR="00FE76C6" w:rsidRPr="00FE76C6">
        <w:rPr>
          <w:rFonts w:cs="Times Unicode"/>
          <w:b/>
          <w:sz w:val="20"/>
          <w:szCs w:val="20"/>
        </w:rPr>
        <w:t>1.</w:t>
      </w:r>
      <w:r w:rsidRPr="00FE76C6">
        <w:rPr>
          <w:rFonts w:cs="Times Unicode"/>
          <w:b/>
          <w:sz w:val="20"/>
          <w:szCs w:val="20"/>
          <w:lang w:val="hy-AM"/>
        </w:rPr>
        <w:t>18</w:t>
      </w:r>
      <w:r w:rsidRPr="00FE76C6">
        <w:rPr>
          <w:b/>
          <w:sz w:val="20"/>
          <w:szCs w:val="20"/>
          <w:lang w:val="hy-AM"/>
        </w:rPr>
        <w:t xml:space="preserve"> </w:t>
      </w:r>
      <w:r w:rsidRPr="00FE76C6">
        <w:rPr>
          <w:i/>
          <w:sz w:val="20"/>
          <w:szCs w:val="20"/>
          <w:lang w:val="hy-AM"/>
        </w:rPr>
        <w:t xml:space="preserve">ՀՀ </w:t>
      </w:r>
      <w:r w:rsidRPr="00FE76C6">
        <w:rPr>
          <w:rFonts w:cs="Times Unicode"/>
          <w:i/>
          <w:sz w:val="20"/>
          <w:szCs w:val="20"/>
          <w:lang w:val="hy-AM"/>
        </w:rPr>
        <w:t>կառավարության վարկերի և փոխառությունների ցուցանիշները</w:t>
      </w:r>
      <w:r w:rsidRPr="00FE76C6">
        <w:rPr>
          <w:i/>
          <w:sz w:val="20"/>
          <w:szCs w:val="20"/>
          <w:lang w:val="hy-AM"/>
        </w:rPr>
        <w:t xml:space="preserve"> 2018-2023</w:t>
      </w:r>
      <w:r w:rsidRPr="00FE76C6">
        <w:rPr>
          <w:rFonts w:cs="Times Unicode"/>
          <w:i/>
          <w:sz w:val="20"/>
          <w:szCs w:val="20"/>
          <w:lang w:val="hy-AM"/>
        </w:rPr>
        <w:t>թթ</w:t>
      </w:r>
      <w:r w:rsidRPr="00FE76C6">
        <w:rPr>
          <w:i/>
          <w:sz w:val="20"/>
          <w:szCs w:val="20"/>
          <w:lang w:val="hy-AM"/>
        </w:rPr>
        <w:t>.</w:t>
      </w:r>
    </w:p>
    <w:p w14:paraId="5516CE75" w14:textId="77777777" w:rsidR="00F1465E" w:rsidRPr="00141041" w:rsidRDefault="00F1465E" w:rsidP="00F1465E">
      <w:pPr>
        <w:jc w:val="right"/>
        <w:rPr>
          <w:sz w:val="20"/>
          <w:szCs w:val="20"/>
          <w:lang w:val="hy-AM"/>
        </w:rPr>
      </w:pPr>
      <w:r w:rsidRPr="00141041">
        <w:rPr>
          <w:sz w:val="20"/>
          <w:szCs w:val="20"/>
          <w:lang w:val="hy-AM"/>
        </w:rPr>
        <w:t>(մլն ԱՄՆ դոլար)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1206"/>
        <w:gridCol w:w="961"/>
        <w:gridCol w:w="1307"/>
        <w:gridCol w:w="1136"/>
        <w:gridCol w:w="1019"/>
        <w:gridCol w:w="1005"/>
        <w:gridCol w:w="1099"/>
      </w:tblGrid>
      <w:tr w:rsidR="00F1465E" w:rsidRPr="00BB7FB8" w14:paraId="33450379" w14:textId="77777777" w:rsidTr="00231073">
        <w:trPr>
          <w:trHeight w:val="765"/>
          <w:tblHeader/>
          <w:jc w:val="center"/>
        </w:trPr>
        <w:tc>
          <w:tcPr>
            <w:tcW w:w="2660" w:type="dxa"/>
            <w:tcBorders>
              <w:top w:val="thinThickThinSmallGap" w:sz="24" w:space="0" w:color="auto"/>
              <w:left w:val="nil"/>
              <w:bottom w:val="thinThickSmallGap" w:sz="24" w:space="0" w:color="auto"/>
              <w:right w:val="nil"/>
            </w:tcBorders>
            <w:shd w:val="clear" w:color="auto" w:fill="0B70B5"/>
          </w:tcPr>
          <w:p w14:paraId="66FB4980" w14:textId="77777777" w:rsidR="00F1465E" w:rsidRPr="00C35116" w:rsidRDefault="00F1465E" w:rsidP="00231073">
            <w:pPr>
              <w:spacing w:before="0" w:after="0" w:line="240" w:lineRule="auto"/>
              <w:ind w:firstLine="0"/>
              <w:rPr>
                <w:color w:val="FFFFFF" w:themeColor="background1"/>
                <w:sz w:val="20"/>
                <w:szCs w:val="20"/>
                <w:lang w:val="hy-AM"/>
              </w:rPr>
            </w:pPr>
          </w:p>
        </w:tc>
        <w:tc>
          <w:tcPr>
            <w:tcW w:w="1225" w:type="dxa"/>
            <w:tcBorders>
              <w:top w:val="thinThickThinSmallGap" w:sz="24" w:space="0" w:color="auto"/>
              <w:left w:val="nil"/>
              <w:bottom w:val="thinThickSmallGap" w:sz="24" w:space="0" w:color="auto"/>
              <w:right w:val="nil"/>
            </w:tcBorders>
            <w:shd w:val="clear" w:color="auto" w:fill="0B70B5"/>
            <w:vAlign w:val="center"/>
          </w:tcPr>
          <w:p w14:paraId="513F9C06"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201</w:t>
            </w:r>
            <w:r w:rsidRPr="00C35116">
              <w:rPr>
                <w:color w:val="FFFFFF" w:themeColor="background1"/>
                <w:sz w:val="20"/>
                <w:szCs w:val="20"/>
              </w:rPr>
              <w:t>8</w:t>
            </w:r>
            <w:r w:rsidRPr="00C35116">
              <w:rPr>
                <w:rFonts w:cs="Times Unicode"/>
                <w:color w:val="FFFFFF" w:themeColor="background1"/>
                <w:sz w:val="20"/>
                <w:szCs w:val="20"/>
                <w:lang w:val="hy-AM"/>
              </w:rPr>
              <w:t>թ</w:t>
            </w:r>
            <w:r w:rsidRPr="00C35116">
              <w:rPr>
                <w:color w:val="FFFFFF" w:themeColor="background1"/>
                <w:sz w:val="20"/>
                <w:szCs w:val="20"/>
                <w:lang w:val="hy-AM"/>
              </w:rPr>
              <w:t xml:space="preserve">. </w:t>
            </w:r>
            <w:r w:rsidRPr="00C35116">
              <w:rPr>
                <w:rFonts w:cs="Times Unicode"/>
                <w:color w:val="FFFFFF" w:themeColor="background1"/>
                <w:sz w:val="20"/>
                <w:szCs w:val="20"/>
                <w:lang w:val="hy-AM"/>
              </w:rPr>
              <w:t>փաստ</w:t>
            </w:r>
            <w:r w:rsidRPr="00C35116">
              <w:rPr>
                <w:color w:val="FFFFFF" w:themeColor="background1"/>
                <w:sz w:val="20"/>
                <w:szCs w:val="20"/>
                <w:lang w:val="hy-AM"/>
              </w:rPr>
              <w:t>.</w:t>
            </w:r>
          </w:p>
        </w:tc>
        <w:tc>
          <w:tcPr>
            <w:tcW w:w="963" w:type="dxa"/>
            <w:tcBorders>
              <w:top w:val="thinThickThinSmallGap" w:sz="24" w:space="0" w:color="auto"/>
              <w:left w:val="nil"/>
              <w:bottom w:val="thinThickSmallGap" w:sz="24" w:space="0" w:color="auto"/>
              <w:right w:val="nil"/>
            </w:tcBorders>
            <w:shd w:val="clear" w:color="auto" w:fill="0B70B5"/>
            <w:vAlign w:val="center"/>
          </w:tcPr>
          <w:p w14:paraId="10517AEF"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201</w:t>
            </w:r>
            <w:r w:rsidRPr="00C35116">
              <w:rPr>
                <w:color w:val="FFFFFF" w:themeColor="background1"/>
                <w:sz w:val="20"/>
                <w:szCs w:val="20"/>
              </w:rPr>
              <w:t>9</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փաստ</w:t>
            </w:r>
            <w:r w:rsidRPr="00C35116">
              <w:rPr>
                <w:color w:val="FFFFFF" w:themeColor="background1"/>
                <w:sz w:val="20"/>
                <w:szCs w:val="20"/>
                <w:lang w:val="hy-AM"/>
              </w:rPr>
              <w:t>.</w:t>
            </w:r>
          </w:p>
        </w:tc>
        <w:tc>
          <w:tcPr>
            <w:tcW w:w="1307" w:type="dxa"/>
            <w:tcBorders>
              <w:top w:val="thinThickThinSmallGap" w:sz="24" w:space="0" w:color="auto"/>
              <w:left w:val="nil"/>
              <w:bottom w:val="thinThickSmallGap" w:sz="24" w:space="0" w:color="auto"/>
              <w:right w:val="double" w:sz="4" w:space="0" w:color="auto"/>
            </w:tcBorders>
            <w:shd w:val="clear" w:color="auto" w:fill="0B70B5"/>
            <w:vAlign w:val="center"/>
          </w:tcPr>
          <w:p w14:paraId="20E5D3C1"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պետբյուջեի ծրագիր</w:t>
            </w:r>
          </w:p>
        </w:tc>
        <w:tc>
          <w:tcPr>
            <w:tcW w:w="1149" w:type="dxa"/>
            <w:tcBorders>
              <w:top w:val="thinThickThinSmallGap" w:sz="24" w:space="0" w:color="auto"/>
              <w:left w:val="double" w:sz="4" w:space="0" w:color="auto"/>
              <w:bottom w:val="thinThickSmallGap" w:sz="24" w:space="0" w:color="auto"/>
              <w:right w:val="nil"/>
            </w:tcBorders>
            <w:shd w:val="clear" w:color="auto" w:fill="0B70B5"/>
            <w:vAlign w:val="center"/>
          </w:tcPr>
          <w:p w14:paraId="2BF95E0B"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w:t>
            </w:r>
            <w:r w:rsidRPr="00C35116">
              <w:rPr>
                <w:color w:val="FFFFFF" w:themeColor="background1"/>
                <w:sz w:val="20"/>
                <w:szCs w:val="20"/>
              </w:rPr>
              <w:t>20</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26" w:type="dxa"/>
            <w:tcBorders>
              <w:top w:val="thinThickThinSmallGap" w:sz="24" w:space="0" w:color="auto"/>
              <w:left w:val="nil"/>
              <w:bottom w:val="thinThickSmallGap" w:sz="24" w:space="0" w:color="auto"/>
              <w:right w:val="nil"/>
            </w:tcBorders>
            <w:shd w:val="clear" w:color="auto" w:fill="0B70B5"/>
            <w:vAlign w:val="center"/>
          </w:tcPr>
          <w:p w14:paraId="1899980D"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1</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010" w:type="dxa"/>
            <w:tcBorders>
              <w:top w:val="thinThickThinSmallGap" w:sz="24" w:space="0" w:color="auto"/>
              <w:left w:val="nil"/>
              <w:bottom w:val="thinThickSmallGap" w:sz="24" w:space="0" w:color="auto"/>
              <w:right w:val="nil"/>
            </w:tcBorders>
            <w:shd w:val="clear" w:color="auto" w:fill="0B70B5"/>
            <w:vAlign w:val="center"/>
          </w:tcPr>
          <w:p w14:paraId="576AEC35"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2</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c>
          <w:tcPr>
            <w:tcW w:w="1110" w:type="dxa"/>
            <w:tcBorders>
              <w:top w:val="thinThickThinSmallGap" w:sz="24" w:space="0" w:color="auto"/>
              <w:left w:val="nil"/>
              <w:bottom w:val="thinThickSmallGap" w:sz="24" w:space="0" w:color="auto"/>
              <w:right w:val="nil"/>
            </w:tcBorders>
            <w:shd w:val="clear" w:color="auto" w:fill="0B70B5"/>
            <w:vAlign w:val="center"/>
          </w:tcPr>
          <w:p w14:paraId="3BF4A404" w14:textId="77777777" w:rsidR="00F1465E" w:rsidRPr="00C35116" w:rsidRDefault="00F1465E" w:rsidP="00231073">
            <w:pPr>
              <w:spacing w:before="0" w:after="0" w:line="240" w:lineRule="auto"/>
              <w:ind w:firstLine="0"/>
              <w:jc w:val="center"/>
              <w:rPr>
                <w:color w:val="FFFFFF" w:themeColor="background1"/>
                <w:sz w:val="20"/>
                <w:szCs w:val="20"/>
                <w:lang w:val="hy-AM"/>
              </w:rPr>
            </w:pPr>
            <w:r w:rsidRPr="00C35116">
              <w:rPr>
                <w:color w:val="FFFFFF" w:themeColor="background1"/>
                <w:sz w:val="20"/>
                <w:szCs w:val="20"/>
                <w:lang w:val="hy-AM"/>
              </w:rPr>
              <w:t>202</w:t>
            </w:r>
            <w:r w:rsidRPr="00C35116">
              <w:rPr>
                <w:color w:val="FFFFFF" w:themeColor="background1"/>
                <w:sz w:val="20"/>
                <w:szCs w:val="20"/>
              </w:rPr>
              <w:t>3</w:t>
            </w:r>
            <w:r w:rsidRPr="00C35116">
              <w:rPr>
                <w:rFonts w:cs="Times Unicode"/>
                <w:color w:val="FFFFFF" w:themeColor="background1"/>
                <w:sz w:val="20"/>
                <w:szCs w:val="20"/>
                <w:lang w:val="hy-AM"/>
              </w:rPr>
              <w:t>թ</w:t>
            </w:r>
            <w:r w:rsidRPr="00C35116">
              <w:rPr>
                <w:color w:val="FFFFFF" w:themeColor="background1"/>
                <w:sz w:val="20"/>
                <w:szCs w:val="20"/>
                <w:lang w:val="hy-AM"/>
              </w:rPr>
              <w:t>.</w:t>
            </w:r>
            <w:r w:rsidRPr="00C35116">
              <w:rPr>
                <w:rFonts w:cs="Times Unicode"/>
                <w:color w:val="FFFFFF" w:themeColor="background1"/>
                <w:sz w:val="20"/>
                <w:szCs w:val="20"/>
                <w:lang w:val="hy-AM"/>
              </w:rPr>
              <w:t xml:space="preserve"> կանխ</w:t>
            </w:r>
            <w:r w:rsidRPr="00C35116">
              <w:rPr>
                <w:color w:val="FFFFFF" w:themeColor="background1"/>
                <w:sz w:val="20"/>
                <w:szCs w:val="20"/>
                <w:lang w:val="hy-AM"/>
              </w:rPr>
              <w:t>.</w:t>
            </w:r>
          </w:p>
        </w:tc>
      </w:tr>
      <w:tr w:rsidR="00F1465E" w:rsidRPr="00B830F3" w14:paraId="36ACDD28" w14:textId="77777777" w:rsidTr="00231073">
        <w:trPr>
          <w:trHeight w:val="510"/>
          <w:jc w:val="center"/>
        </w:trPr>
        <w:tc>
          <w:tcPr>
            <w:tcW w:w="2660" w:type="dxa"/>
            <w:tcBorders>
              <w:left w:val="nil"/>
              <w:bottom w:val="single" w:sz="4" w:space="0" w:color="auto"/>
              <w:right w:val="nil"/>
            </w:tcBorders>
            <w:vAlign w:val="center"/>
          </w:tcPr>
          <w:p w14:paraId="79A30083" w14:textId="77777777" w:rsidR="00F1465E" w:rsidRPr="00B830F3" w:rsidRDefault="00F1465E" w:rsidP="00231073">
            <w:pPr>
              <w:spacing w:before="0" w:after="0" w:line="240" w:lineRule="auto"/>
              <w:ind w:firstLine="0"/>
              <w:rPr>
                <w:sz w:val="20"/>
                <w:szCs w:val="20"/>
                <w:lang w:val="hy-AM"/>
              </w:rPr>
            </w:pPr>
            <w:r w:rsidRPr="00B830F3">
              <w:rPr>
                <w:bCs/>
                <w:sz w:val="20"/>
                <w:szCs w:val="20"/>
                <w:lang w:val="hy-AM"/>
              </w:rPr>
              <w:t>Կառավարության վարկեր և փոխառություններ</w:t>
            </w:r>
          </w:p>
        </w:tc>
        <w:tc>
          <w:tcPr>
            <w:tcW w:w="1225" w:type="dxa"/>
            <w:tcBorders>
              <w:left w:val="nil"/>
              <w:bottom w:val="single" w:sz="4" w:space="0" w:color="auto"/>
              <w:right w:val="nil"/>
            </w:tcBorders>
            <w:vAlign w:val="center"/>
          </w:tcPr>
          <w:p w14:paraId="7D578D55"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4,139.6 </w:t>
            </w:r>
          </w:p>
        </w:tc>
        <w:tc>
          <w:tcPr>
            <w:tcW w:w="963" w:type="dxa"/>
            <w:tcBorders>
              <w:left w:val="nil"/>
              <w:bottom w:val="single" w:sz="4" w:space="0" w:color="auto"/>
              <w:right w:val="nil"/>
            </w:tcBorders>
            <w:vAlign w:val="center"/>
          </w:tcPr>
          <w:p w14:paraId="22D5FDE0"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4,309.6 </w:t>
            </w:r>
          </w:p>
        </w:tc>
        <w:tc>
          <w:tcPr>
            <w:tcW w:w="1307" w:type="dxa"/>
            <w:tcBorders>
              <w:left w:val="nil"/>
              <w:bottom w:val="single" w:sz="4" w:space="0" w:color="auto"/>
              <w:right w:val="double" w:sz="4" w:space="0" w:color="auto"/>
            </w:tcBorders>
            <w:vAlign w:val="center"/>
          </w:tcPr>
          <w:p w14:paraId="067947EE"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4,436.0 </w:t>
            </w:r>
          </w:p>
        </w:tc>
        <w:tc>
          <w:tcPr>
            <w:tcW w:w="1149" w:type="dxa"/>
            <w:tcBorders>
              <w:left w:val="double" w:sz="4" w:space="0" w:color="auto"/>
              <w:bottom w:val="single" w:sz="4" w:space="0" w:color="auto"/>
              <w:right w:val="nil"/>
            </w:tcBorders>
            <w:vAlign w:val="center"/>
          </w:tcPr>
          <w:p w14:paraId="75C928D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4,744.9 </w:t>
            </w:r>
          </w:p>
        </w:tc>
        <w:tc>
          <w:tcPr>
            <w:tcW w:w="1026" w:type="dxa"/>
            <w:tcBorders>
              <w:left w:val="nil"/>
              <w:bottom w:val="single" w:sz="4" w:space="0" w:color="auto"/>
              <w:right w:val="nil"/>
            </w:tcBorders>
            <w:vAlign w:val="center"/>
          </w:tcPr>
          <w:p w14:paraId="413170FD"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4,779.3 </w:t>
            </w:r>
          </w:p>
        </w:tc>
        <w:tc>
          <w:tcPr>
            <w:tcW w:w="1010" w:type="dxa"/>
            <w:tcBorders>
              <w:left w:val="nil"/>
              <w:bottom w:val="single" w:sz="4" w:space="0" w:color="auto"/>
              <w:right w:val="nil"/>
            </w:tcBorders>
            <w:vAlign w:val="center"/>
          </w:tcPr>
          <w:p w14:paraId="20C8777F"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4,857.6 </w:t>
            </w:r>
          </w:p>
        </w:tc>
        <w:tc>
          <w:tcPr>
            <w:tcW w:w="1110" w:type="dxa"/>
            <w:tcBorders>
              <w:left w:val="nil"/>
              <w:bottom w:val="single" w:sz="4" w:space="0" w:color="auto"/>
              <w:right w:val="nil"/>
            </w:tcBorders>
            <w:vAlign w:val="center"/>
          </w:tcPr>
          <w:p w14:paraId="459D17F5"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4,626.5 </w:t>
            </w:r>
          </w:p>
        </w:tc>
      </w:tr>
      <w:tr w:rsidR="00F1465E" w:rsidRPr="00B830F3" w14:paraId="3B38E734" w14:textId="77777777" w:rsidTr="00231073">
        <w:trPr>
          <w:trHeight w:val="255"/>
          <w:jc w:val="center"/>
        </w:trPr>
        <w:tc>
          <w:tcPr>
            <w:tcW w:w="2660" w:type="dxa"/>
            <w:tcBorders>
              <w:left w:val="nil"/>
              <w:bottom w:val="single" w:sz="12" w:space="0" w:color="auto"/>
              <w:right w:val="nil"/>
            </w:tcBorders>
            <w:vAlign w:val="center"/>
          </w:tcPr>
          <w:p w14:paraId="20AD287E" w14:textId="77777777" w:rsidR="00F1465E" w:rsidRPr="00B830F3" w:rsidRDefault="00F1465E" w:rsidP="00231073">
            <w:pPr>
              <w:spacing w:before="0" w:after="0" w:line="240" w:lineRule="auto"/>
              <w:ind w:left="356" w:firstLine="0"/>
              <w:rPr>
                <w:sz w:val="20"/>
                <w:szCs w:val="20"/>
                <w:lang w:val="hy-AM"/>
              </w:rPr>
            </w:pPr>
            <w:r w:rsidRPr="00B830F3">
              <w:rPr>
                <w:sz w:val="20"/>
                <w:szCs w:val="20"/>
                <w:lang w:val="hy-AM"/>
              </w:rPr>
              <w:t>% ՀՆԱ-ի նկատմամբ</w:t>
            </w:r>
          </w:p>
        </w:tc>
        <w:tc>
          <w:tcPr>
            <w:tcW w:w="1225" w:type="dxa"/>
            <w:tcBorders>
              <w:left w:val="nil"/>
              <w:bottom w:val="single" w:sz="12" w:space="0" w:color="auto"/>
              <w:right w:val="nil"/>
            </w:tcBorders>
            <w:vAlign w:val="center"/>
          </w:tcPr>
          <w:p w14:paraId="2DF71EE6"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33.3 </w:t>
            </w:r>
          </w:p>
        </w:tc>
        <w:tc>
          <w:tcPr>
            <w:tcW w:w="963" w:type="dxa"/>
            <w:tcBorders>
              <w:left w:val="nil"/>
              <w:bottom w:val="single" w:sz="12" w:space="0" w:color="auto"/>
              <w:right w:val="nil"/>
            </w:tcBorders>
            <w:vAlign w:val="center"/>
          </w:tcPr>
          <w:p w14:paraId="7C692F13"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31.5 </w:t>
            </w:r>
          </w:p>
        </w:tc>
        <w:tc>
          <w:tcPr>
            <w:tcW w:w="1307" w:type="dxa"/>
            <w:tcBorders>
              <w:left w:val="nil"/>
              <w:bottom w:val="single" w:sz="12" w:space="0" w:color="auto"/>
              <w:right w:val="double" w:sz="4" w:space="0" w:color="auto"/>
            </w:tcBorders>
            <w:vAlign w:val="center"/>
          </w:tcPr>
          <w:p w14:paraId="6A3FDDB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31.7 </w:t>
            </w:r>
          </w:p>
        </w:tc>
        <w:tc>
          <w:tcPr>
            <w:tcW w:w="1149" w:type="dxa"/>
            <w:tcBorders>
              <w:left w:val="double" w:sz="4" w:space="0" w:color="auto"/>
              <w:bottom w:val="single" w:sz="12" w:space="0" w:color="auto"/>
              <w:right w:val="nil"/>
            </w:tcBorders>
            <w:vAlign w:val="center"/>
          </w:tcPr>
          <w:p w14:paraId="2F29B263"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37.0 </w:t>
            </w:r>
          </w:p>
        </w:tc>
        <w:tc>
          <w:tcPr>
            <w:tcW w:w="1026" w:type="dxa"/>
            <w:tcBorders>
              <w:left w:val="nil"/>
              <w:bottom w:val="single" w:sz="12" w:space="0" w:color="auto"/>
              <w:right w:val="nil"/>
            </w:tcBorders>
            <w:vAlign w:val="center"/>
          </w:tcPr>
          <w:p w14:paraId="6DAD51EF"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34.4 </w:t>
            </w:r>
          </w:p>
        </w:tc>
        <w:tc>
          <w:tcPr>
            <w:tcW w:w="1010" w:type="dxa"/>
            <w:tcBorders>
              <w:left w:val="nil"/>
              <w:bottom w:val="single" w:sz="12" w:space="0" w:color="auto"/>
              <w:right w:val="nil"/>
            </w:tcBorders>
            <w:vAlign w:val="center"/>
          </w:tcPr>
          <w:p w14:paraId="2D2D331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32.3 </w:t>
            </w:r>
          </w:p>
        </w:tc>
        <w:tc>
          <w:tcPr>
            <w:tcW w:w="1110" w:type="dxa"/>
            <w:tcBorders>
              <w:left w:val="nil"/>
              <w:bottom w:val="single" w:sz="12" w:space="0" w:color="auto"/>
              <w:right w:val="nil"/>
            </w:tcBorders>
            <w:vAlign w:val="center"/>
          </w:tcPr>
          <w:p w14:paraId="3A0DB72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28.6 </w:t>
            </w:r>
          </w:p>
        </w:tc>
      </w:tr>
      <w:tr w:rsidR="00F1465E" w:rsidRPr="00B830F3" w14:paraId="2A73580D" w14:textId="77777777" w:rsidTr="00231073">
        <w:trPr>
          <w:trHeight w:val="255"/>
          <w:jc w:val="center"/>
        </w:trPr>
        <w:tc>
          <w:tcPr>
            <w:tcW w:w="2660" w:type="dxa"/>
            <w:tcBorders>
              <w:top w:val="single" w:sz="12" w:space="0" w:color="auto"/>
              <w:left w:val="nil"/>
              <w:right w:val="nil"/>
            </w:tcBorders>
            <w:vAlign w:val="center"/>
          </w:tcPr>
          <w:p w14:paraId="110A9607" w14:textId="77777777" w:rsidR="00F1465E" w:rsidRPr="00B830F3" w:rsidRDefault="00F1465E" w:rsidP="00231073">
            <w:pPr>
              <w:spacing w:before="0" w:after="0" w:line="240" w:lineRule="auto"/>
              <w:ind w:firstLine="0"/>
              <w:rPr>
                <w:rFonts w:cs="Times Unicode"/>
                <w:sz w:val="20"/>
                <w:szCs w:val="20"/>
                <w:lang w:val="hy-AM"/>
              </w:rPr>
            </w:pPr>
            <w:r w:rsidRPr="00B830F3">
              <w:rPr>
                <w:sz w:val="20"/>
                <w:szCs w:val="20"/>
                <w:lang w:val="hy-AM"/>
              </w:rPr>
              <w:t>Ըստ ռեզիդենտության</w:t>
            </w:r>
          </w:p>
        </w:tc>
        <w:tc>
          <w:tcPr>
            <w:tcW w:w="1225" w:type="dxa"/>
            <w:tcBorders>
              <w:top w:val="single" w:sz="12" w:space="0" w:color="auto"/>
              <w:left w:val="nil"/>
              <w:right w:val="nil"/>
            </w:tcBorders>
            <w:vAlign w:val="center"/>
          </w:tcPr>
          <w:p w14:paraId="5E2A3FBE" w14:textId="77777777" w:rsidR="00F1465E" w:rsidRPr="00B830F3" w:rsidRDefault="00F1465E" w:rsidP="00231073">
            <w:pPr>
              <w:spacing w:before="0" w:after="0" w:line="240" w:lineRule="auto"/>
              <w:ind w:firstLine="0"/>
              <w:jc w:val="center"/>
              <w:rPr>
                <w:sz w:val="20"/>
                <w:szCs w:val="20"/>
                <w:lang w:val="hy-AM"/>
              </w:rPr>
            </w:pPr>
          </w:p>
        </w:tc>
        <w:tc>
          <w:tcPr>
            <w:tcW w:w="963" w:type="dxa"/>
            <w:tcBorders>
              <w:top w:val="single" w:sz="12" w:space="0" w:color="auto"/>
              <w:left w:val="nil"/>
              <w:right w:val="nil"/>
            </w:tcBorders>
            <w:vAlign w:val="center"/>
          </w:tcPr>
          <w:p w14:paraId="15DC3484" w14:textId="77777777" w:rsidR="00F1465E" w:rsidRPr="00B830F3" w:rsidRDefault="00F1465E" w:rsidP="00231073">
            <w:pPr>
              <w:spacing w:before="0" w:after="0" w:line="240" w:lineRule="auto"/>
              <w:ind w:firstLine="0"/>
              <w:jc w:val="center"/>
              <w:rPr>
                <w:sz w:val="20"/>
                <w:szCs w:val="20"/>
                <w:lang w:val="hy-AM"/>
              </w:rPr>
            </w:pPr>
          </w:p>
        </w:tc>
        <w:tc>
          <w:tcPr>
            <w:tcW w:w="1307" w:type="dxa"/>
            <w:tcBorders>
              <w:top w:val="single" w:sz="12" w:space="0" w:color="auto"/>
              <w:left w:val="nil"/>
              <w:right w:val="double" w:sz="4" w:space="0" w:color="auto"/>
            </w:tcBorders>
            <w:vAlign w:val="center"/>
          </w:tcPr>
          <w:p w14:paraId="3BD77349" w14:textId="77777777" w:rsidR="00F1465E" w:rsidRPr="00B830F3" w:rsidRDefault="00F1465E" w:rsidP="00231073">
            <w:pPr>
              <w:spacing w:before="0" w:after="0" w:line="240" w:lineRule="auto"/>
              <w:ind w:firstLine="0"/>
              <w:jc w:val="center"/>
              <w:rPr>
                <w:sz w:val="20"/>
                <w:szCs w:val="20"/>
                <w:lang w:val="hy-AM"/>
              </w:rPr>
            </w:pPr>
          </w:p>
        </w:tc>
        <w:tc>
          <w:tcPr>
            <w:tcW w:w="1149" w:type="dxa"/>
            <w:tcBorders>
              <w:top w:val="single" w:sz="12" w:space="0" w:color="auto"/>
              <w:left w:val="double" w:sz="4" w:space="0" w:color="auto"/>
              <w:right w:val="nil"/>
            </w:tcBorders>
            <w:vAlign w:val="center"/>
          </w:tcPr>
          <w:p w14:paraId="536E8E5C" w14:textId="77777777" w:rsidR="00F1465E" w:rsidRPr="00B830F3" w:rsidRDefault="00F1465E" w:rsidP="00231073">
            <w:pPr>
              <w:spacing w:before="0" w:after="0" w:line="240" w:lineRule="auto"/>
              <w:ind w:firstLine="0"/>
              <w:jc w:val="center"/>
              <w:rPr>
                <w:sz w:val="20"/>
                <w:szCs w:val="20"/>
                <w:lang w:val="hy-AM"/>
              </w:rPr>
            </w:pPr>
          </w:p>
        </w:tc>
        <w:tc>
          <w:tcPr>
            <w:tcW w:w="1026" w:type="dxa"/>
            <w:tcBorders>
              <w:top w:val="single" w:sz="12" w:space="0" w:color="auto"/>
              <w:left w:val="nil"/>
              <w:right w:val="nil"/>
            </w:tcBorders>
            <w:vAlign w:val="center"/>
          </w:tcPr>
          <w:p w14:paraId="53584D44" w14:textId="77777777" w:rsidR="00F1465E" w:rsidRPr="00B830F3" w:rsidRDefault="00F1465E" w:rsidP="00231073">
            <w:pPr>
              <w:spacing w:before="0" w:after="0" w:line="240" w:lineRule="auto"/>
              <w:ind w:firstLine="0"/>
              <w:jc w:val="center"/>
              <w:rPr>
                <w:sz w:val="20"/>
                <w:szCs w:val="20"/>
                <w:lang w:val="hy-AM"/>
              </w:rPr>
            </w:pPr>
          </w:p>
        </w:tc>
        <w:tc>
          <w:tcPr>
            <w:tcW w:w="1010" w:type="dxa"/>
            <w:tcBorders>
              <w:top w:val="single" w:sz="12" w:space="0" w:color="auto"/>
              <w:left w:val="nil"/>
              <w:right w:val="nil"/>
            </w:tcBorders>
            <w:vAlign w:val="center"/>
          </w:tcPr>
          <w:p w14:paraId="7D990E7A" w14:textId="77777777" w:rsidR="00F1465E" w:rsidRPr="00B830F3" w:rsidRDefault="00F1465E" w:rsidP="00231073">
            <w:pPr>
              <w:spacing w:before="0" w:after="0" w:line="240" w:lineRule="auto"/>
              <w:ind w:firstLine="0"/>
              <w:jc w:val="center"/>
              <w:rPr>
                <w:sz w:val="20"/>
                <w:szCs w:val="20"/>
                <w:lang w:val="hy-AM"/>
              </w:rPr>
            </w:pPr>
          </w:p>
        </w:tc>
        <w:tc>
          <w:tcPr>
            <w:tcW w:w="1110" w:type="dxa"/>
            <w:tcBorders>
              <w:top w:val="single" w:sz="12" w:space="0" w:color="auto"/>
              <w:left w:val="nil"/>
              <w:right w:val="nil"/>
            </w:tcBorders>
            <w:vAlign w:val="center"/>
          </w:tcPr>
          <w:p w14:paraId="73CD6A49" w14:textId="77777777" w:rsidR="00F1465E" w:rsidRPr="00B830F3" w:rsidRDefault="00F1465E" w:rsidP="00231073">
            <w:pPr>
              <w:spacing w:before="0" w:after="0" w:line="240" w:lineRule="auto"/>
              <w:ind w:firstLine="0"/>
              <w:jc w:val="center"/>
              <w:rPr>
                <w:sz w:val="20"/>
                <w:szCs w:val="20"/>
                <w:lang w:val="hy-AM"/>
              </w:rPr>
            </w:pPr>
          </w:p>
        </w:tc>
      </w:tr>
      <w:tr w:rsidR="00F1465E" w:rsidRPr="00B830F3" w14:paraId="5902BD8F" w14:textId="77777777" w:rsidTr="00231073">
        <w:trPr>
          <w:trHeight w:val="510"/>
          <w:jc w:val="center"/>
        </w:trPr>
        <w:tc>
          <w:tcPr>
            <w:tcW w:w="2660" w:type="dxa"/>
            <w:tcBorders>
              <w:left w:val="nil"/>
              <w:bottom w:val="single" w:sz="4" w:space="0" w:color="auto"/>
              <w:right w:val="nil"/>
            </w:tcBorders>
            <w:vAlign w:val="center"/>
          </w:tcPr>
          <w:p w14:paraId="2605A2FF" w14:textId="77777777" w:rsidR="00F1465E" w:rsidRPr="00B830F3" w:rsidRDefault="00F1465E" w:rsidP="00231073">
            <w:pPr>
              <w:spacing w:before="0" w:after="0" w:line="240" w:lineRule="auto"/>
              <w:ind w:left="297" w:firstLine="0"/>
              <w:rPr>
                <w:rFonts w:cs="Times Unicode"/>
                <w:sz w:val="20"/>
                <w:szCs w:val="20"/>
                <w:lang w:val="hy-AM"/>
              </w:rPr>
            </w:pPr>
            <w:r w:rsidRPr="00B830F3">
              <w:rPr>
                <w:sz w:val="20"/>
                <w:szCs w:val="20"/>
                <w:lang w:val="hy-AM"/>
              </w:rPr>
              <w:t>արտաքին վարկեր և փոխառություններ</w:t>
            </w:r>
          </w:p>
        </w:tc>
        <w:tc>
          <w:tcPr>
            <w:tcW w:w="1225" w:type="dxa"/>
            <w:tcBorders>
              <w:left w:val="nil"/>
              <w:bottom w:val="single" w:sz="4" w:space="0" w:color="auto"/>
              <w:right w:val="nil"/>
            </w:tcBorders>
            <w:vAlign w:val="center"/>
          </w:tcPr>
          <w:p w14:paraId="414AD3E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4,139.6 </w:t>
            </w:r>
          </w:p>
        </w:tc>
        <w:tc>
          <w:tcPr>
            <w:tcW w:w="963" w:type="dxa"/>
            <w:tcBorders>
              <w:left w:val="nil"/>
              <w:bottom w:val="single" w:sz="4" w:space="0" w:color="auto"/>
              <w:right w:val="nil"/>
            </w:tcBorders>
            <w:vAlign w:val="center"/>
          </w:tcPr>
          <w:p w14:paraId="6EB0E2E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4,309.6 </w:t>
            </w:r>
          </w:p>
        </w:tc>
        <w:tc>
          <w:tcPr>
            <w:tcW w:w="1307" w:type="dxa"/>
            <w:tcBorders>
              <w:left w:val="nil"/>
              <w:bottom w:val="single" w:sz="4" w:space="0" w:color="auto"/>
              <w:right w:val="double" w:sz="4" w:space="0" w:color="auto"/>
            </w:tcBorders>
            <w:vAlign w:val="center"/>
          </w:tcPr>
          <w:p w14:paraId="12FE3794"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4,436.0 </w:t>
            </w:r>
          </w:p>
        </w:tc>
        <w:tc>
          <w:tcPr>
            <w:tcW w:w="1149" w:type="dxa"/>
            <w:tcBorders>
              <w:left w:val="double" w:sz="4" w:space="0" w:color="auto"/>
              <w:bottom w:val="single" w:sz="4" w:space="0" w:color="auto"/>
              <w:right w:val="nil"/>
            </w:tcBorders>
            <w:vAlign w:val="center"/>
          </w:tcPr>
          <w:p w14:paraId="3DA6D2F3"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4,744.9 </w:t>
            </w:r>
          </w:p>
        </w:tc>
        <w:tc>
          <w:tcPr>
            <w:tcW w:w="1026" w:type="dxa"/>
            <w:tcBorders>
              <w:left w:val="nil"/>
              <w:bottom w:val="single" w:sz="4" w:space="0" w:color="auto"/>
              <w:right w:val="nil"/>
            </w:tcBorders>
            <w:vAlign w:val="center"/>
          </w:tcPr>
          <w:p w14:paraId="43F7983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4,779.3 </w:t>
            </w:r>
          </w:p>
        </w:tc>
        <w:tc>
          <w:tcPr>
            <w:tcW w:w="1010" w:type="dxa"/>
            <w:tcBorders>
              <w:left w:val="nil"/>
              <w:bottom w:val="single" w:sz="4" w:space="0" w:color="auto"/>
              <w:right w:val="nil"/>
            </w:tcBorders>
            <w:vAlign w:val="center"/>
          </w:tcPr>
          <w:p w14:paraId="0C97F51D"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4,857.6 </w:t>
            </w:r>
          </w:p>
        </w:tc>
        <w:tc>
          <w:tcPr>
            <w:tcW w:w="1110" w:type="dxa"/>
            <w:tcBorders>
              <w:left w:val="nil"/>
              <w:bottom w:val="single" w:sz="4" w:space="0" w:color="auto"/>
              <w:right w:val="nil"/>
            </w:tcBorders>
            <w:vAlign w:val="center"/>
          </w:tcPr>
          <w:p w14:paraId="3CA31FA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4,626.5 </w:t>
            </w:r>
          </w:p>
        </w:tc>
      </w:tr>
      <w:tr w:rsidR="00F1465E" w:rsidRPr="00B830F3" w14:paraId="6EDD767C" w14:textId="77777777" w:rsidTr="00231073">
        <w:trPr>
          <w:trHeight w:val="510"/>
          <w:jc w:val="center"/>
        </w:trPr>
        <w:tc>
          <w:tcPr>
            <w:tcW w:w="2660" w:type="dxa"/>
            <w:tcBorders>
              <w:left w:val="nil"/>
              <w:bottom w:val="single" w:sz="12" w:space="0" w:color="auto"/>
              <w:right w:val="nil"/>
            </w:tcBorders>
            <w:vAlign w:val="center"/>
          </w:tcPr>
          <w:p w14:paraId="592EFA01" w14:textId="77777777" w:rsidR="00F1465E" w:rsidRPr="00B830F3" w:rsidRDefault="00F1465E" w:rsidP="00231073">
            <w:pPr>
              <w:spacing w:before="0" w:after="0" w:line="240" w:lineRule="auto"/>
              <w:ind w:left="297" w:firstLine="0"/>
              <w:rPr>
                <w:rFonts w:cs="Times Unicode"/>
                <w:sz w:val="20"/>
                <w:szCs w:val="20"/>
                <w:lang w:val="hy-AM"/>
              </w:rPr>
            </w:pPr>
            <w:r w:rsidRPr="00B830F3">
              <w:rPr>
                <w:sz w:val="20"/>
                <w:szCs w:val="20"/>
                <w:lang w:val="hy-AM"/>
              </w:rPr>
              <w:lastRenderedPageBreak/>
              <w:t>ներքին վարկեր և փոխառություններ</w:t>
            </w:r>
          </w:p>
        </w:tc>
        <w:tc>
          <w:tcPr>
            <w:tcW w:w="1225" w:type="dxa"/>
            <w:tcBorders>
              <w:left w:val="nil"/>
              <w:bottom w:val="single" w:sz="12" w:space="0" w:color="auto"/>
              <w:right w:val="nil"/>
            </w:tcBorders>
            <w:vAlign w:val="center"/>
          </w:tcPr>
          <w:p w14:paraId="7A39D725"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w:t>
            </w:r>
          </w:p>
        </w:tc>
        <w:tc>
          <w:tcPr>
            <w:tcW w:w="963" w:type="dxa"/>
            <w:tcBorders>
              <w:left w:val="nil"/>
              <w:bottom w:val="single" w:sz="12" w:space="0" w:color="auto"/>
              <w:right w:val="nil"/>
            </w:tcBorders>
            <w:vAlign w:val="center"/>
          </w:tcPr>
          <w:p w14:paraId="17FF9E08"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w:t>
            </w:r>
          </w:p>
        </w:tc>
        <w:tc>
          <w:tcPr>
            <w:tcW w:w="1307" w:type="dxa"/>
            <w:tcBorders>
              <w:left w:val="nil"/>
              <w:bottom w:val="single" w:sz="12" w:space="0" w:color="auto"/>
              <w:right w:val="double" w:sz="4" w:space="0" w:color="auto"/>
            </w:tcBorders>
            <w:vAlign w:val="center"/>
          </w:tcPr>
          <w:p w14:paraId="445E487C"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w:t>
            </w:r>
          </w:p>
        </w:tc>
        <w:tc>
          <w:tcPr>
            <w:tcW w:w="1149" w:type="dxa"/>
            <w:tcBorders>
              <w:left w:val="double" w:sz="4" w:space="0" w:color="auto"/>
              <w:bottom w:val="single" w:sz="12" w:space="0" w:color="auto"/>
              <w:right w:val="nil"/>
            </w:tcBorders>
            <w:vAlign w:val="center"/>
          </w:tcPr>
          <w:p w14:paraId="700FA3FF"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w:t>
            </w:r>
          </w:p>
        </w:tc>
        <w:tc>
          <w:tcPr>
            <w:tcW w:w="1026" w:type="dxa"/>
            <w:tcBorders>
              <w:left w:val="nil"/>
              <w:bottom w:val="single" w:sz="12" w:space="0" w:color="auto"/>
              <w:right w:val="nil"/>
            </w:tcBorders>
            <w:vAlign w:val="center"/>
          </w:tcPr>
          <w:p w14:paraId="23135D82"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w:t>
            </w:r>
          </w:p>
        </w:tc>
        <w:tc>
          <w:tcPr>
            <w:tcW w:w="1010" w:type="dxa"/>
            <w:tcBorders>
              <w:left w:val="nil"/>
              <w:bottom w:val="single" w:sz="12" w:space="0" w:color="auto"/>
              <w:right w:val="nil"/>
            </w:tcBorders>
            <w:vAlign w:val="center"/>
          </w:tcPr>
          <w:p w14:paraId="38F6FF0C"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w:t>
            </w:r>
          </w:p>
        </w:tc>
        <w:tc>
          <w:tcPr>
            <w:tcW w:w="1110" w:type="dxa"/>
            <w:tcBorders>
              <w:left w:val="nil"/>
              <w:bottom w:val="single" w:sz="12" w:space="0" w:color="auto"/>
              <w:right w:val="nil"/>
            </w:tcBorders>
            <w:vAlign w:val="center"/>
          </w:tcPr>
          <w:p w14:paraId="76A33963" w14:textId="77777777" w:rsidR="00F1465E" w:rsidRPr="00B830F3" w:rsidRDefault="00F1465E" w:rsidP="00231073">
            <w:pPr>
              <w:spacing w:before="0" w:after="0" w:line="240" w:lineRule="auto"/>
              <w:ind w:firstLine="0"/>
              <w:jc w:val="center"/>
              <w:rPr>
                <w:sz w:val="20"/>
                <w:szCs w:val="20"/>
                <w:lang w:val="hy-AM"/>
              </w:rPr>
            </w:pPr>
            <w:r w:rsidRPr="00B830F3">
              <w:rPr>
                <w:sz w:val="20"/>
                <w:szCs w:val="20"/>
                <w:lang w:val="hy-AM"/>
              </w:rPr>
              <w:t>-</w:t>
            </w:r>
          </w:p>
        </w:tc>
      </w:tr>
      <w:tr w:rsidR="00F1465E" w:rsidRPr="00B830F3" w14:paraId="0379F02F" w14:textId="77777777" w:rsidTr="00231073">
        <w:trPr>
          <w:trHeight w:val="255"/>
          <w:jc w:val="center"/>
        </w:trPr>
        <w:tc>
          <w:tcPr>
            <w:tcW w:w="2660" w:type="dxa"/>
            <w:tcBorders>
              <w:top w:val="single" w:sz="12" w:space="0" w:color="auto"/>
              <w:left w:val="nil"/>
              <w:right w:val="nil"/>
            </w:tcBorders>
            <w:vAlign w:val="center"/>
          </w:tcPr>
          <w:p w14:paraId="41176610" w14:textId="77777777" w:rsidR="00F1465E" w:rsidRPr="00B830F3" w:rsidRDefault="00F1465E" w:rsidP="00231073">
            <w:pPr>
              <w:spacing w:before="0" w:after="0" w:line="240" w:lineRule="auto"/>
              <w:ind w:firstLine="0"/>
              <w:rPr>
                <w:rFonts w:cs="Times Unicode"/>
                <w:sz w:val="20"/>
                <w:szCs w:val="20"/>
                <w:lang w:val="hy-AM"/>
              </w:rPr>
            </w:pPr>
            <w:r w:rsidRPr="00B830F3">
              <w:rPr>
                <w:sz w:val="20"/>
                <w:szCs w:val="20"/>
                <w:lang w:val="hy-AM"/>
              </w:rPr>
              <w:t>Ըստ վարկատուի</w:t>
            </w:r>
          </w:p>
        </w:tc>
        <w:tc>
          <w:tcPr>
            <w:tcW w:w="1225" w:type="dxa"/>
            <w:tcBorders>
              <w:top w:val="single" w:sz="12" w:space="0" w:color="auto"/>
              <w:left w:val="nil"/>
              <w:right w:val="nil"/>
            </w:tcBorders>
            <w:vAlign w:val="center"/>
          </w:tcPr>
          <w:p w14:paraId="39B346C2" w14:textId="77777777" w:rsidR="00F1465E" w:rsidRPr="00B830F3" w:rsidRDefault="00F1465E" w:rsidP="00231073">
            <w:pPr>
              <w:spacing w:before="0" w:after="0" w:line="240" w:lineRule="auto"/>
              <w:ind w:firstLine="0"/>
              <w:jc w:val="center"/>
              <w:rPr>
                <w:sz w:val="20"/>
                <w:szCs w:val="20"/>
                <w:lang w:val="hy-AM"/>
              </w:rPr>
            </w:pPr>
          </w:p>
        </w:tc>
        <w:tc>
          <w:tcPr>
            <w:tcW w:w="963" w:type="dxa"/>
            <w:tcBorders>
              <w:top w:val="single" w:sz="12" w:space="0" w:color="auto"/>
              <w:left w:val="nil"/>
              <w:right w:val="nil"/>
            </w:tcBorders>
            <w:vAlign w:val="center"/>
          </w:tcPr>
          <w:p w14:paraId="2DAE5D3D" w14:textId="77777777" w:rsidR="00F1465E" w:rsidRPr="00B830F3" w:rsidRDefault="00F1465E" w:rsidP="00231073">
            <w:pPr>
              <w:spacing w:before="0" w:after="0" w:line="240" w:lineRule="auto"/>
              <w:ind w:firstLine="0"/>
              <w:jc w:val="center"/>
              <w:rPr>
                <w:sz w:val="20"/>
                <w:szCs w:val="20"/>
                <w:lang w:val="hy-AM"/>
              </w:rPr>
            </w:pPr>
          </w:p>
        </w:tc>
        <w:tc>
          <w:tcPr>
            <w:tcW w:w="1307" w:type="dxa"/>
            <w:tcBorders>
              <w:top w:val="single" w:sz="12" w:space="0" w:color="auto"/>
              <w:left w:val="nil"/>
              <w:right w:val="double" w:sz="4" w:space="0" w:color="auto"/>
            </w:tcBorders>
            <w:vAlign w:val="center"/>
          </w:tcPr>
          <w:p w14:paraId="153BC20F" w14:textId="77777777" w:rsidR="00F1465E" w:rsidRPr="00B830F3" w:rsidRDefault="00F1465E" w:rsidP="00231073">
            <w:pPr>
              <w:spacing w:before="0" w:after="0" w:line="240" w:lineRule="auto"/>
              <w:ind w:firstLine="0"/>
              <w:jc w:val="center"/>
              <w:rPr>
                <w:sz w:val="20"/>
                <w:szCs w:val="20"/>
                <w:lang w:val="hy-AM"/>
              </w:rPr>
            </w:pPr>
          </w:p>
        </w:tc>
        <w:tc>
          <w:tcPr>
            <w:tcW w:w="1149" w:type="dxa"/>
            <w:tcBorders>
              <w:top w:val="single" w:sz="12" w:space="0" w:color="auto"/>
              <w:left w:val="double" w:sz="4" w:space="0" w:color="auto"/>
              <w:right w:val="nil"/>
            </w:tcBorders>
            <w:vAlign w:val="center"/>
          </w:tcPr>
          <w:p w14:paraId="30906535" w14:textId="77777777" w:rsidR="00F1465E" w:rsidRPr="00B830F3" w:rsidRDefault="00F1465E" w:rsidP="00231073">
            <w:pPr>
              <w:spacing w:before="0" w:after="0" w:line="240" w:lineRule="auto"/>
              <w:ind w:firstLine="0"/>
              <w:jc w:val="center"/>
              <w:rPr>
                <w:sz w:val="20"/>
                <w:szCs w:val="20"/>
                <w:lang w:val="hy-AM"/>
              </w:rPr>
            </w:pPr>
          </w:p>
        </w:tc>
        <w:tc>
          <w:tcPr>
            <w:tcW w:w="1026" w:type="dxa"/>
            <w:tcBorders>
              <w:top w:val="single" w:sz="12" w:space="0" w:color="auto"/>
              <w:left w:val="nil"/>
              <w:right w:val="nil"/>
            </w:tcBorders>
            <w:vAlign w:val="center"/>
          </w:tcPr>
          <w:p w14:paraId="2E877F17" w14:textId="77777777" w:rsidR="00F1465E" w:rsidRPr="00B830F3" w:rsidRDefault="00F1465E" w:rsidP="00231073">
            <w:pPr>
              <w:spacing w:before="0" w:after="0" w:line="240" w:lineRule="auto"/>
              <w:ind w:firstLine="0"/>
              <w:jc w:val="center"/>
              <w:rPr>
                <w:sz w:val="20"/>
                <w:szCs w:val="20"/>
                <w:lang w:val="hy-AM"/>
              </w:rPr>
            </w:pPr>
          </w:p>
        </w:tc>
        <w:tc>
          <w:tcPr>
            <w:tcW w:w="1010" w:type="dxa"/>
            <w:tcBorders>
              <w:top w:val="single" w:sz="12" w:space="0" w:color="auto"/>
              <w:left w:val="nil"/>
              <w:right w:val="nil"/>
            </w:tcBorders>
            <w:vAlign w:val="center"/>
          </w:tcPr>
          <w:p w14:paraId="1F237138" w14:textId="77777777" w:rsidR="00F1465E" w:rsidRPr="00B830F3" w:rsidRDefault="00F1465E" w:rsidP="00231073">
            <w:pPr>
              <w:spacing w:before="0" w:after="0" w:line="240" w:lineRule="auto"/>
              <w:ind w:firstLine="0"/>
              <w:jc w:val="center"/>
              <w:rPr>
                <w:sz w:val="20"/>
                <w:szCs w:val="20"/>
                <w:lang w:val="hy-AM"/>
              </w:rPr>
            </w:pPr>
          </w:p>
        </w:tc>
        <w:tc>
          <w:tcPr>
            <w:tcW w:w="1110" w:type="dxa"/>
            <w:tcBorders>
              <w:top w:val="single" w:sz="12" w:space="0" w:color="auto"/>
              <w:left w:val="nil"/>
              <w:right w:val="nil"/>
            </w:tcBorders>
            <w:vAlign w:val="center"/>
          </w:tcPr>
          <w:p w14:paraId="2DBB3F58" w14:textId="77777777" w:rsidR="00F1465E" w:rsidRPr="00B830F3" w:rsidRDefault="00F1465E" w:rsidP="00231073">
            <w:pPr>
              <w:spacing w:before="0" w:after="0" w:line="240" w:lineRule="auto"/>
              <w:ind w:firstLine="0"/>
              <w:jc w:val="center"/>
              <w:rPr>
                <w:sz w:val="20"/>
                <w:szCs w:val="20"/>
                <w:lang w:val="hy-AM"/>
              </w:rPr>
            </w:pPr>
          </w:p>
        </w:tc>
      </w:tr>
      <w:tr w:rsidR="00F1465E" w:rsidRPr="00B830F3" w14:paraId="68334F73" w14:textId="77777777" w:rsidTr="00231073">
        <w:trPr>
          <w:trHeight w:val="510"/>
          <w:jc w:val="center"/>
        </w:trPr>
        <w:tc>
          <w:tcPr>
            <w:tcW w:w="2660" w:type="dxa"/>
            <w:tcBorders>
              <w:left w:val="nil"/>
              <w:right w:val="nil"/>
            </w:tcBorders>
            <w:vAlign w:val="center"/>
          </w:tcPr>
          <w:p w14:paraId="77FFED0C" w14:textId="77777777" w:rsidR="00F1465E" w:rsidRPr="00B830F3" w:rsidRDefault="00F1465E" w:rsidP="00231073">
            <w:pPr>
              <w:spacing w:before="0" w:after="0" w:line="240" w:lineRule="auto"/>
              <w:ind w:left="324" w:firstLine="0"/>
              <w:rPr>
                <w:rFonts w:cs="Times Unicode"/>
                <w:sz w:val="20"/>
                <w:szCs w:val="20"/>
                <w:lang w:val="hy-AM"/>
              </w:rPr>
            </w:pPr>
            <w:r w:rsidRPr="00B830F3">
              <w:rPr>
                <w:sz w:val="20"/>
                <w:szCs w:val="20"/>
                <w:lang w:val="hy-AM"/>
              </w:rPr>
              <w:t>միջազգային ֆինանսական կառույցներից</w:t>
            </w:r>
          </w:p>
        </w:tc>
        <w:tc>
          <w:tcPr>
            <w:tcW w:w="1225" w:type="dxa"/>
            <w:tcBorders>
              <w:left w:val="nil"/>
              <w:right w:val="nil"/>
            </w:tcBorders>
            <w:vAlign w:val="center"/>
          </w:tcPr>
          <w:p w14:paraId="3035EB7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3,185.7 </w:t>
            </w:r>
          </w:p>
        </w:tc>
        <w:tc>
          <w:tcPr>
            <w:tcW w:w="963" w:type="dxa"/>
            <w:tcBorders>
              <w:left w:val="nil"/>
              <w:right w:val="nil"/>
            </w:tcBorders>
            <w:vAlign w:val="center"/>
          </w:tcPr>
          <w:p w14:paraId="1F97ACE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3,237.4 </w:t>
            </w:r>
          </w:p>
        </w:tc>
        <w:tc>
          <w:tcPr>
            <w:tcW w:w="1307" w:type="dxa"/>
            <w:tcBorders>
              <w:left w:val="nil"/>
              <w:right w:val="double" w:sz="4" w:space="0" w:color="auto"/>
            </w:tcBorders>
            <w:vAlign w:val="center"/>
          </w:tcPr>
          <w:p w14:paraId="18D1880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3,360.6 </w:t>
            </w:r>
          </w:p>
        </w:tc>
        <w:tc>
          <w:tcPr>
            <w:tcW w:w="1149" w:type="dxa"/>
            <w:tcBorders>
              <w:left w:val="double" w:sz="4" w:space="0" w:color="auto"/>
              <w:right w:val="nil"/>
            </w:tcBorders>
            <w:vAlign w:val="center"/>
          </w:tcPr>
          <w:p w14:paraId="395CCB3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3,646.5 </w:t>
            </w:r>
          </w:p>
        </w:tc>
        <w:tc>
          <w:tcPr>
            <w:tcW w:w="1026" w:type="dxa"/>
            <w:tcBorders>
              <w:left w:val="nil"/>
              <w:right w:val="nil"/>
            </w:tcBorders>
            <w:vAlign w:val="center"/>
          </w:tcPr>
          <w:p w14:paraId="37ECBFD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3,681.6 </w:t>
            </w:r>
          </w:p>
        </w:tc>
        <w:tc>
          <w:tcPr>
            <w:tcW w:w="1010" w:type="dxa"/>
            <w:tcBorders>
              <w:left w:val="nil"/>
              <w:right w:val="nil"/>
            </w:tcBorders>
            <w:vAlign w:val="center"/>
          </w:tcPr>
          <w:p w14:paraId="10878FAB"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3,785.6 </w:t>
            </w:r>
          </w:p>
        </w:tc>
        <w:tc>
          <w:tcPr>
            <w:tcW w:w="1110" w:type="dxa"/>
            <w:tcBorders>
              <w:left w:val="nil"/>
              <w:right w:val="nil"/>
            </w:tcBorders>
            <w:vAlign w:val="center"/>
          </w:tcPr>
          <w:p w14:paraId="3B9F4553"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3,610.7 </w:t>
            </w:r>
          </w:p>
        </w:tc>
      </w:tr>
      <w:tr w:rsidR="00F1465E" w:rsidRPr="00B830F3" w14:paraId="3069917D" w14:textId="77777777" w:rsidTr="00231073">
        <w:trPr>
          <w:trHeight w:val="248"/>
          <w:jc w:val="center"/>
        </w:trPr>
        <w:tc>
          <w:tcPr>
            <w:tcW w:w="2660" w:type="dxa"/>
            <w:tcBorders>
              <w:left w:val="nil"/>
              <w:bottom w:val="single" w:sz="4" w:space="0" w:color="auto"/>
              <w:right w:val="nil"/>
            </w:tcBorders>
            <w:vAlign w:val="center"/>
          </w:tcPr>
          <w:p w14:paraId="137BE7DD" w14:textId="77777777" w:rsidR="00F1465E" w:rsidRPr="00B830F3" w:rsidRDefault="00F1465E" w:rsidP="00231073">
            <w:pPr>
              <w:spacing w:before="0" w:after="0" w:line="240" w:lineRule="auto"/>
              <w:ind w:left="324" w:firstLine="0"/>
              <w:rPr>
                <w:rFonts w:cs="Times Unicode"/>
                <w:sz w:val="20"/>
                <w:szCs w:val="20"/>
                <w:lang w:val="hy-AM"/>
              </w:rPr>
            </w:pPr>
            <w:r w:rsidRPr="00B830F3">
              <w:rPr>
                <w:sz w:val="20"/>
                <w:szCs w:val="20"/>
                <w:lang w:val="hy-AM"/>
              </w:rPr>
              <w:t>օտարերկրյա պետություններից</w:t>
            </w:r>
          </w:p>
        </w:tc>
        <w:tc>
          <w:tcPr>
            <w:tcW w:w="1225" w:type="dxa"/>
            <w:tcBorders>
              <w:left w:val="nil"/>
              <w:bottom w:val="single" w:sz="4" w:space="0" w:color="auto"/>
              <w:right w:val="nil"/>
            </w:tcBorders>
            <w:vAlign w:val="center"/>
          </w:tcPr>
          <w:p w14:paraId="137AD125"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931.2 </w:t>
            </w:r>
          </w:p>
        </w:tc>
        <w:tc>
          <w:tcPr>
            <w:tcW w:w="963" w:type="dxa"/>
            <w:tcBorders>
              <w:left w:val="nil"/>
              <w:bottom w:val="single" w:sz="4" w:space="0" w:color="auto"/>
              <w:right w:val="nil"/>
            </w:tcBorders>
            <w:vAlign w:val="center"/>
          </w:tcPr>
          <w:p w14:paraId="69B63355"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1,051.8 </w:t>
            </w:r>
          </w:p>
        </w:tc>
        <w:tc>
          <w:tcPr>
            <w:tcW w:w="1307" w:type="dxa"/>
            <w:tcBorders>
              <w:left w:val="nil"/>
              <w:bottom w:val="single" w:sz="4" w:space="0" w:color="auto"/>
              <w:right w:val="double" w:sz="4" w:space="0" w:color="auto"/>
            </w:tcBorders>
            <w:vAlign w:val="center"/>
          </w:tcPr>
          <w:p w14:paraId="0DDC3B3E"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1,056.8 </w:t>
            </w:r>
          </w:p>
        </w:tc>
        <w:tc>
          <w:tcPr>
            <w:tcW w:w="1149" w:type="dxa"/>
            <w:tcBorders>
              <w:left w:val="double" w:sz="4" w:space="0" w:color="auto"/>
              <w:bottom w:val="single" w:sz="4" w:space="0" w:color="auto"/>
              <w:right w:val="nil"/>
            </w:tcBorders>
            <w:vAlign w:val="center"/>
          </w:tcPr>
          <w:p w14:paraId="54D97A8F"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1,079.8 </w:t>
            </w:r>
          </w:p>
        </w:tc>
        <w:tc>
          <w:tcPr>
            <w:tcW w:w="1026" w:type="dxa"/>
            <w:tcBorders>
              <w:left w:val="nil"/>
              <w:bottom w:val="single" w:sz="4" w:space="0" w:color="auto"/>
              <w:right w:val="nil"/>
            </w:tcBorders>
            <w:vAlign w:val="center"/>
          </w:tcPr>
          <w:p w14:paraId="363FB344"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1,081.4 </w:t>
            </w:r>
          </w:p>
        </w:tc>
        <w:tc>
          <w:tcPr>
            <w:tcW w:w="1010" w:type="dxa"/>
            <w:tcBorders>
              <w:left w:val="nil"/>
              <w:bottom w:val="single" w:sz="4" w:space="0" w:color="auto"/>
              <w:right w:val="nil"/>
            </w:tcBorders>
            <w:vAlign w:val="center"/>
          </w:tcPr>
          <w:p w14:paraId="44CD0015"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1,057.8 </w:t>
            </w:r>
          </w:p>
        </w:tc>
        <w:tc>
          <w:tcPr>
            <w:tcW w:w="1110" w:type="dxa"/>
            <w:tcBorders>
              <w:left w:val="nil"/>
              <w:bottom w:val="single" w:sz="4" w:space="0" w:color="auto"/>
              <w:right w:val="nil"/>
            </w:tcBorders>
            <w:vAlign w:val="center"/>
          </w:tcPr>
          <w:p w14:paraId="0789114E"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1,003.6 </w:t>
            </w:r>
          </w:p>
        </w:tc>
      </w:tr>
      <w:tr w:rsidR="00F1465E" w:rsidRPr="00B830F3" w14:paraId="43DF6E2B" w14:textId="77777777" w:rsidTr="00231073">
        <w:trPr>
          <w:trHeight w:val="255"/>
          <w:jc w:val="center"/>
        </w:trPr>
        <w:tc>
          <w:tcPr>
            <w:tcW w:w="2660" w:type="dxa"/>
            <w:tcBorders>
              <w:left w:val="nil"/>
              <w:bottom w:val="single" w:sz="12" w:space="0" w:color="auto"/>
              <w:right w:val="nil"/>
            </w:tcBorders>
            <w:vAlign w:val="center"/>
          </w:tcPr>
          <w:p w14:paraId="5CFF2C12" w14:textId="77777777" w:rsidR="00F1465E" w:rsidRPr="00B830F3" w:rsidRDefault="00F1465E" w:rsidP="00231073">
            <w:pPr>
              <w:spacing w:before="0" w:after="0" w:line="240" w:lineRule="auto"/>
              <w:ind w:left="324" w:firstLine="0"/>
              <w:rPr>
                <w:rFonts w:cs="Times Unicode"/>
                <w:sz w:val="20"/>
                <w:szCs w:val="20"/>
                <w:lang w:val="hy-AM"/>
              </w:rPr>
            </w:pPr>
            <w:r w:rsidRPr="00B830F3">
              <w:rPr>
                <w:sz w:val="20"/>
                <w:szCs w:val="20"/>
                <w:lang w:val="hy-AM"/>
              </w:rPr>
              <w:t>առևտրային բանկերից</w:t>
            </w:r>
          </w:p>
        </w:tc>
        <w:tc>
          <w:tcPr>
            <w:tcW w:w="1225" w:type="dxa"/>
            <w:tcBorders>
              <w:left w:val="nil"/>
              <w:bottom w:val="single" w:sz="12" w:space="0" w:color="auto"/>
              <w:right w:val="nil"/>
            </w:tcBorders>
            <w:vAlign w:val="center"/>
          </w:tcPr>
          <w:p w14:paraId="444A8934"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22.7 </w:t>
            </w:r>
          </w:p>
        </w:tc>
        <w:tc>
          <w:tcPr>
            <w:tcW w:w="963" w:type="dxa"/>
            <w:tcBorders>
              <w:left w:val="nil"/>
              <w:bottom w:val="single" w:sz="12" w:space="0" w:color="auto"/>
              <w:right w:val="nil"/>
            </w:tcBorders>
            <w:vAlign w:val="center"/>
          </w:tcPr>
          <w:p w14:paraId="7A7E617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20.5 </w:t>
            </w:r>
          </w:p>
        </w:tc>
        <w:tc>
          <w:tcPr>
            <w:tcW w:w="1307" w:type="dxa"/>
            <w:tcBorders>
              <w:left w:val="nil"/>
              <w:bottom w:val="single" w:sz="12" w:space="0" w:color="auto"/>
              <w:right w:val="double" w:sz="4" w:space="0" w:color="auto"/>
            </w:tcBorders>
            <w:vAlign w:val="center"/>
          </w:tcPr>
          <w:p w14:paraId="5D6ECAD4"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18.7 </w:t>
            </w:r>
          </w:p>
        </w:tc>
        <w:tc>
          <w:tcPr>
            <w:tcW w:w="1149" w:type="dxa"/>
            <w:tcBorders>
              <w:left w:val="double" w:sz="4" w:space="0" w:color="auto"/>
              <w:bottom w:val="single" w:sz="12" w:space="0" w:color="auto"/>
              <w:right w:val="nil"/>
            </w:tcBorders>
            <w:vAlign w:val="center"/>
          </w:tcPr>
          <w:p w14:paraId="7E681FB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18.5 </w:t>
            </w:r>
          </w:p>
        </w:tc>
        <w:tc>
          <w:tcPr>
            <w:tcW w:w="1026" w:type="dxa"/>
            <w:tcBorders>
              <w:left w:val="nil"/>
              <w:bottom w:val="single" w:sz="12" w:space="0" w:color="auto"/>
              <w:right w:val="nil"/>
            </w:tcBorders>
            <w:vAlign w:val="center"/>
          </w:tcPr>
          <w:p w14:paraId="7B95EDF2"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16.4 </w:t>
            </w:r>
          </w:p>
        </w:tc>
        <w:tc>
          <w:tcPr>
            <w:tcW w:w="1010" w:type="dxa"/>
            <w:tcBorders>
              <w:left w:val="nil"/>
              <w:bottom w:val="single" w:sz="12" w:space="0" w:color="auto"/>
              <w:right w:val="nil"/>
            </w:tcBorders>
            <w:vAlign w:val="center"/>
          </w:tcPr>
          <w:p w14:paraId="41D652ED"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14.3 </w:t>
            </w:r>
          </w:p>
        </w:tc>
        <w:tc>
          <w:tcPr>
            <w:tcW w:w="1110" w:type="dxa"/>
            <w:tcBorders>
              <w:left w:val="nil"/>
              <w:bottom w:val="single" w:sz="12" w:space="0" w:color="auto"/>
              <w:right w:val="nil"/>
            </w:tcBorders>
            <w:vAlign w:val="center"/>
          </w:tcPr>
          <w:p w14:paraId="56382B3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12.1 </w:t>
            </w:r>
          </w:p>
        </w:tc>
      </w:tr>
      <w:tr w:rsidR="00F1465E" w:rsidRPr="00B830F3" w14:paraId="0E3418C0" w14:textId="77777777" w:rsidTr="00231073">
        <w:trPr>
          <w:trHeight w:val="255"/>
          <w:jc w:val="center"/>
        </w:trPr>
        <w:tc>
          <w:tcPr>
            <w:tcW w:w="2660" w:type="dxa"/>
            <w:tcBorders>
              <w:top w:val="single" w:sz="12" w:space="0" w:color="auto"/>
              <w:left w:val="nil"/>
              <w:right w:val="nil"/>
            </w:tcBorders>
            <w:vAlign w:val="center"/>
          </w:tcPr>
          <w:p w14:paraId="6D924B80" w14:textId="77777777" w:rsidR="00F1465E" w:rsidRPr="00B830F3" w:rsidRDefault="00F1465E" w:rsidP="00231073">
            <w:pPr>
              <w:spacing w:before="0" w:after="0" w:line="240" w:lineRule="auto"/>
              <w:ind w:firstLine="0"/>
              <w:rPr>
                <w:rFonts w:cs="Times Unicode"/>
                <w:sz w:val="20"/>
                <w:szCs w:val="20"/>
                <w:lang w:val="hy-AM"/>
              </w:rPr>
            </w:pPr>
            <w:r w:rsidRPr="00B830F3">
              <w:rPr>
                <w:bCs/>
                <w:sz w:val="20"/>
                <w:szCs w:val="20"/>
                <w:lang w:val="hy-AM"/>
              </w:rPr>
              <w:t>Միջին տոկոսադրույք (%)</w:t>
            </w:r>
          </w:p>
        </w:tc>
        <w:tc>
          <w:tcPr>
            <w:tcW w:w="1225" w:type="dxa"/>
            <w:tcBorders>
              <w:top w:val="single" w:sz="12" w:space="0" w:color="auto"/>
              <w:left w:val="nil"/>
              <w:right w:val="nil"/>
            </w:tcBorders>
            <w:vAlign w:val="center"/>
          </w:tcPr>
          <w:p w14:paraId="20674C36"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2.4 </w:t>
            </w:r>
          </w:p>
        </w:tc>
        <w:tc>
          <w:tcPr>
            <w:tcW w:w="963" w:type="dxa"/>
            <w:tcBorders>
              <w:top w:val="single" w:sz="12" w:space="0" w:color="auto"/>
              <w:left w:val="nil"/>
              <w:right w:val="nil"/>
            </w:tcBorders>
            <w:vAlign w:val="center"/>
          </w:tcPr>
          <w:p w14:paraId="35E37DDF"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2.3 </w:t>
            </w:r>
          </w:p>
        </w:tc>
        <w:tc>
          <w:tcPr>
            <w:tcW w:w="1307" w:type="dxa"/>
            <w:tcBorders>
              <w:top w:val="single" w:sz="12" w:space="0" w:color="auto"/>
              <w:left w:val="nil"/>
              <w:right w:val="double" w:sz="4" w:space="0" w:color="auto"/>
            </w:tcBorders>
            <w:vAlign w:val="center"/>
          </w:tcPr>
          <w:p w14:paraId="7360AE13"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2.6</w:t>
            </w:r>
          </w:p>
        </w:tc>
        <w:tc>
          <w:tcPr>
            <w:tcW w:w="1149" w:type="dxa"/>
            <w:tcBorders>
              <w:top w:val="single" w:sz="12" w:space="0" w:color="auto"/>
              <w:left w:val="double" w:sz="4" w:space="0" w:color="auto"/>
              <w:right w:val="nil"/>
            </w:tcBorders>
            <w:vAlign w:val="center"/>
          </w:tcPr>
          <w:p w14:paraId="5F02F57A"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2.3</w:t>
            </w:r>
          </w:p>
        </w:tc>
        <w:tc>
          <w:tcPr>
            <w:tcW w:w="1026" w:type="dxa"/>
            <w:tcBorders>
              <w:top w:val="single" w:sz="12" w:space="0" w:color="auto"/>
              <w:left w:val="nil"/>
              <w:right w:val="nil"/>
            </w:tcBorders>
            <w:vAlign w:val="center"/>
          </w:tcPr>
          <w:p w14:paraId="0F903CCA"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2.1</w:t>
            </w:r>
          </w:p>
        </w:tc>
        <w:tc>
          <w:tcPr>
            <w:tcW w:w="1010" w:type="dxa"/>
            <w:tcBorders>
              <w:top w:val="single" w:sz="12" w:space="0" w:color="auto"/>
              <w:left w:val="nil"/>
              <w:right w:val="nil"/>
            </w:tcBorders>
            <w:vAlign w:val="center"/>
          </w:tcPr>
          <w:p w14:paraId="2B78C15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2.3</w:t>
            </w:r>
          </w:p>
        </w:tc>
        <w:tc>
          <w:tcPr>
            <w:tcW w:w="1110" w:type="dxa"/>
            <w:tcBorders>
              <w:top w:val="single" w:sz="12" w:space="0" w:color="auto"/>
              <w:left w:val="nil"/>
              <w:right w:val="nil"/>
            </w:tcBorders>
            <w:vAlign w:val="center"/>
          </w:tcPr>
          <w:p w14:paraId="529DE3AC"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2.2</w:t>
            </w:r>
          </w:p>
        </w:tc>
      </w:tr>
      <w:tr w:rsidR="00F1465E" w:rsidRPr="00B830F3" w14:paraId="2E882D3D" w14:textId="77777777" w:rsidTr="00231073">
        <w:trPr>
          <w:trHeight w:val="255"/>
          <w:jc w:val="center"/>
        </w:trPr>
        <w:tc>
          <w:tcPr>
            <w:tcW w:w="2660" w:type="dxa"/>
            <w:tcBorders>
              <w:left w:val="nil"/>
              <w:bottom w:val="thickThinSmallGap" w:sz="24" w:space="0" w:color="auto"/>
              <w:right w:val="nil"/>
            </w:tcBorders>
            <w:vAlign w:val="center"/>
          </w:tcPr>
          <w:p w14:paraId="7FA63A5D" w14:textId="77777777" w:rsidR="00F1465E" w:rsidRPr="00B830F3" w:rsidRDefault="00F1465E" w:rsidP="00231073">
            <w:pPr>
              <w:spacing w:before="0" w:after="0" w:line="240" w:lineRule="auto"/>
              <w:ind w:firstLine="0"/>
              <w:rPr>
                <w:sz w:val="20"/>
                <w:szCs w:val="20"/>
                <w:lang w:val="hy-AM"/>
              </w:rPr>
            </w:pPr>
            <w:r w:rsidRPr="00B830F3">
              <w:rPr>
                <w:bCs/>
                <w:sz w:val="20"/>
                <w:szCs w:val="20"/>
                <w:lang w:val="hy-AM"/>
              </w:rPr>
              <w:t>Միջին ժամկետայնություն (տարի)</w:t>
            </w:r>
          </w:p>
        </w:tc>
        <w:tc>
          <w:tcPr>
            <w:tcW w:w="1225" w:type="dxa"/>
            <w:tcBorders>
              <w:left w:val="nil"/>
              <w:bottom w:val="thickThinSmallGap" w:sz="24" w:space="0" w:color="auto"/>
              <w:right w:val="nil"/>
            </w:tcBorders>
            <w:vAlign w:val="center"/>
          </w:tcPr>
          <w:p w14:paraId="2719FFF7"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9.7 </w:t>
            </w:r>
          </w:p>
        </w:tc>
        <w:tc>
          <w:tcPr>
            <w:tcW w:w="963" w:type="dxa"/>
            <w:tcBorders>
              <w:left w:val="nil"/>
              <w:bottom w:val="thickThinSmallGap" w:sz="24" w:space="0" w:color="auto"/>
              <w:right w:val="nil"/>
            </w:tcBorders>
            <w:vAlign w:val="center"/>
          </w:tcPr>
          <w:p w14:paraId="2B7D7C13"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9.3 </w:t>
            </w:r>
          </w:p>
        </w:tc>
        <w:tc>
          <w:tcPr>
            <w:tcW w:w="1307" w:type="dxa"/>
            <w:tcBorders>
              <w:left w:val="nil"/>
              <w:bottom w:val="thickThinSmallGap" w:sz="24" w:space="0" w:color="auto"/>
              <w:right w:val="double" w:sz="4" w:space="0" w:color="auto"/>
            </w:tcBorders>
            <w:vAlign w:val="center"/>
          </w:tcPr>
          <w:p w14:paraId="080DBA7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8.9 </w:t>
            </w:r>
          </w:p>
        </w:tc>
        <w:tc>
          <w:tcPr>
            <w:tcW w:w="1149" w:type="dxa"/>
            <w:tcBorders>
              <w:left w:val="double" w:sz="4" w:space="0" w:color="auto"/>
              <w:bottom w:val="thickThinSmallGap" w:sz="24" w:space="0" w:color="auto"/>
              <w:right w:val="nil"/>
            </w:tcBorders>
            <w:vAlign w:val="center"/>
          </w:tcPr>
          <w:p w14:paraId="11B77812"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8.5 </w:t>
            </w:r>
          </w:p>
        </w:tc>
        <w:tc>
          <w:tcPr>
            <w:tcW w:w="1026" w:type="dxa"/>
            <w:tcBorders>
              <w:left w:val="nil"/>
              <w:bottom w:val="thickThinSmallGap" w:sz="24" w:space="0" w:color="auto"/>
              <w:right w:val="nil"/>
            </w:tcBorders>
            <w:vAlign w:val="center"/>
          </w:tcPr>
          <w:p w14:paraId="46860249"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8.0 </w:t>
            </w:r>
          </w:p>
        </w:tc>
        <w:tc>
          <w:tcPr>
            <w:tcW w:w="1010" w:type="dxa"/>
            <w:tcBorders>
              <w:left w:val="nil"/>
              <w:bottom w:val="thickThinSmallGap" w:sz="24" w:space="0" w:color="auto"/>
              <w:right w:val="nil"/>
            </w:tcBorders>
            <w:vAlign w:val="center"/>
          </w:tcPr>
          <w:p w14:paraId="1E1289C1"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7.4 </w:t>
            </w:r>
          </w:p>
        </w:tc>
        <w:tc>
          <w:tcPr>
            <w:tcW w:w="1110" w:type="dxa"/>
            <w:tcBorders>
              <w:left w:val="nil"/>
              <w:bottom w:val="thickThinSmallGap" w:sz="24" w:space="0" w:color="auto"/>
              <w:right w:val="nil"/>
            </w:tcBorders>
            <w:vAlign w:val="center"/>
          </w:tcPr>
          <w:p w14:paraId="483B85C8" w14:textId="77777777" w:rsidR="00F1465E" w:rsidRPr="00B830F3" w:rsidRDefault="00F1465E" w:rsidP="00231073">
            <w:pPr>
              <w:spacing w:before="0" w:after="0" w:line="240" w:lineRule="auto"/>
              <w:ind w:firstLine="0"/>
              <w:jc w:val="center"/>
              <w:rPr>
                <w:sz w:val="20"/>
                <w:szCs w:val="20"/>
                <w:lang w:val="hy-AM"/>
              </w:rPr>
            </w:pPr>
            <w:r w:rsidRPr="00B830F3">
              <w:rPr>
                <w:sz w:val="20"/>
                <w:szCs w:val="20"/>
              </w:rPr>
              <w:t xml:space="preserve">7.0 </w:t>
            </w:r>
          </w:p>
        </w:tc>
      </w:tr>
    </w:tbl>
    <w:p w14:paraId="393C3FFF" w14:textId="77777777" w:rsidR="00F1465E" w:rsidRPr="00AC67B2" w:rsidRDefault="00F1465E" w:rsidP="00F1465E">
      <w:pPr>
        <w:spacing w:before="0" w:after="0"/>
        <w:ind w:firstLine="720"/>
        <w:rPr>
          <w:sz w:val="20"/>
          <w:szCs w:val="20"/>
          <w:lang w:val="hy-AM"/>
        </w:rPr>
      </w:pPr>
    </w:p>
    <w:p w14:paraId="576FF460" w14:textId="77777777" w:rsidR="00B17875" w:rsidRDefault="00F1465E" w:rsidP="00B17875">
      <w:pPr>
        <w:keepNext/>
        <w:spacing w:line="360" w:lineRule="auto"/>
        <w:outlineLvl w:val="0"/>
        <w:rPr>
          <w:rFonts w:eastAsia="Times New Roman" w:cs="Times New Roman"/>
          <w:caps/>
          <w:color w:val="1F497D" w:themeColor="text2"/>
          <w:sz w:val="28"/>
          <w:szCs w:val="28"/>
        </w:rPr>
      </w:pPr>
      <w:r w:rsidRPr="00AC67B2">
        <w:rPr>
          <w:rFonts w:cs="Sylfaen"/>
          <w:lang w:val="hy-AM"/>
        </w:rPr>
        <w:t xml:space="preserve"> </w:t>
      </w:r>
    </w:p>
    <w:p w14:paraId="7CFEDF70" w14:textId="77777777" w:rsidR="00B17875" w:rsidRDefault="00B17875" w:rsidP="00F6712B">
      <w:pPr>
        <w:pStyle w:val="Heading3"/>
        <w:numPr>
          <w:ilvl w:val="0"/>
          <w:numId w:val="0"/>
        </w:numPr>
        <w:spacing w:before="0" w:after="120"/>
        <w:rPr>
          <w:rFonts w:eastAsia="Times New Roman" w:cs="Times New Roman"/>
          <w:caps w:val="0"/>
          <w:color w:val="1F497D" w:themeColor="text2"/>
          <w:sz w:val="28"/>
          <w:szCs w:val="28"/>
        </w:rPr>
      </w:pPr>
    </w:p>
    <w:p w14:paraId="58CEC05A" w14:textId="77777777" w:rsidR="00B17875" w:rsidRDefault="00B17875">
      <w:pPr>
        <w:spacing w:before="0" w:after="200" w:line="276" w:lineRule="auto"/>
        <w:ind w:firstLine="0"/>
        <w:jc w:val="left"/>
        <w:rPr>
          <w:rFonts w:eastAsia="Times New Roman" w:cs="Times New Roman"/>
          <w:b/>
          <w:color w:val="1F497D" w:themeColor="text2"/>
          <w:sz w:val="28"/>
          <w:szCs w:val="28"/>
          <w:lang w:val="hy-AM"/>
        </w:rPr>
      </w:pPr>
      <w:r>
        <w:rPr>
          <w:rFonts w:eastAsia="Times New Roman" w:cs="Times New Roman"/>
          <w:caps/>
          <w:color w:val="1F497D" w:themeColor="text2"/>
          <w:sz w:val="28"/>
          <w:szCs w:val="28"/>
        </w:rPr>
        <w:br w:type="page"/>
      </w:r>
    </w:p>
    <w:p w14:paraId="0EB60F7F" w14:textId="77777777" w:rsidR="002001B3" w:rsidRPr="00C76568" w:rsidRDefault="00E706E6" w:rsidP="00F6712B">
      <w:pPr>
        <w:pStyle w:val="Heading3"/>
        <w:numPr>
          <w:ilvl w:val="0"/>
          <w:numId w:val="0"/>
        </w:numPr>
        <w:spacing w:before="0" w:after="120"/>
        <w:rPr>
          <w:rFonts w:eastAsia="Times New Roman" w:cs="Times New Roman"/>
          <w:caps w:val="0"/>
          <w:color w:val="1F497D" w:themeColor="text2"/>
          <w:sz w:val="28"/>
          <w:szCs w:val="28"/>
        </w:rPr>
      </w:pPr>
      <w:bookmarkStart w:id="371" w:name="_Toc46154384"/>
      <w:r w:rsidRPr="00C76568">
        <w:rPr>
          <w:rFonts w:eastAsia="Times New Roman" w:cs="Times New Roman"/>
          <w:caps w:val="0"/>
          <w:color w:val="1F497D" w:themeColor="text2"/>
          <w:sz w:val="28"/>
          <w:szCs w:val="28"/>
        </w:rPr>
        <w:lastRenderedPageBreak/>
        <w:t>2. ԱՅԼ ԿԱՌՈՒՅՑՆԵՐԻ ԿՈՂՄԻՑ ՀՀ ՏՆՏԵՍԱԿԱՆ ԱՃԻ ԿԱՆԽԱՏԵՍՈՒՄՆԵՐԻ ՀԵՏ ՀԱՄԵՄԱՏԱԿԱՆ</w:t>
      </w:r>
      <w:bookmarkEnd w:id="370"/>
      <w:bookmarkEnd w:id="371"/>
    </w:p>
    <w:p w14:paraId="797D2398" w14:textId="77777777" w:rsidR="002001B3" w:rsidRPr="00B93576" w:rsidRDefault="002001B3" w:rsidP="002001B3">
      <w:pPr>
        <w:rPr>
          <w:sz w:val="28"/>
          <w:szCs w:val="28"/>
          <w:lang w:val="hy-AM"/>
        </w:rPr>
      </w:pPr>
    </w:p>
    <w:p w14:paraId="50CB81B8" w14:textId="77777777" w:rsidR="002001B3" w:rsidRDefault="002001B3" w:rsidP="002001B3">
      <w:pPr>
        <w:spacing w:line="276" w:lineRule="auto"/>
        <w:ind w:left="90" w:firstLine="360"/>
        <w:rPr>
          <w:rFonts w:cs="Sylfaen"/>
          <w:lang w:val="hy-AM"/>
        </w:rPr>
      </w:pPr>
      <w:r w:rsidRPr="00000018">
        <w:rPr>
          <w:rFonts w:cs="Sylfaen"/>
          <w:b/>
          <w:bCs/>
          <w:u w:val="single"/>
          <w:lang w:val="hy-AM"/>
        </w:rPr>
        <w:t>Կանխատեսումներ։</w:t>
      </w:r>
      <w:r>
        <w:rPr>
          <w:rFonts w:cs="Sylfaen"/>
          <w:lang w:val="hy-AM"/>
        </w:rPr>
        <w:t xml:space="preserve"> </w:t>
      </w:r>
      <w:r w:rsidRPr="00000018">
        <w:rPr>
          <w:rFonts w:cs="Sylfaen"/>
          <w:lang w:val="hy-AM"/>
        </w:rPr>
        <w:t xml:space="preserve">Աղյուսակում ներկայացված են </w:t>
      </w:r>
      <w:r>
        <w:rPr>
          <w:rFonts w:cs="Sylfaen"/>
          <w:lang w:val="hy-AM"/>
        </w:rPr>
        <w:t xml:space="preserve">ՀՀ ֆինանսների նախարարության և </w:t>
      </w:r>
      <w:r w:rsidRPr="00000018">
        <w:rPr>
          <w:rFonts w:cs="Sylfaen"/>
          <w:lang w:val="hy-AM"/>
        </w:rPr>
        <w:t>այլ կառույցների կողմից ՀՀ տնտեսական աճի</w:t>
      </w:r>
      <w:r>
        <w:rPr>
          <w:rFonts w:cs="Sylfaen"/>
          <w:lang w:val="hy-AM"/>
        </w:rPr>
        <w:t xml:space="preserve"> կարճաժամկետ և միջնաժամկետ կանխատեսումների համեմատականը</w:t>
      </w:r>
      <w:r w:rsidRPr="00000018">
        <w:rPr>
          <w:rFonts w:cs="Sylfaen"/>
          <w:lang w:val="hy-AM"/>
        </w:rPr>
        <w:t xml:space="preserve">: Այսպես, </w:t>
      </w:r>
      <w:r>
        <w:rPr>
          <w:rFonts w:cs="Sylfaen"/>
          <w:lang w:val="hy-AM"/>
        </w:rPr>
        <w:t xml:space="preserve">միջազգային ֆինանսական երկու խոշոր կառույցների՝ Արժույթի միջազգային հիմնադրամի և Համաշխարհային բանկի կանխատեսումներով </w:t>
      </w:r>
      <w:r w:rsidRPr="00000018">
        <w:rPr>
          <w:rFonts w:cs="Sylfaen"/>
          <w:lang w:val="hy-AM"/>
        </w:rPr>
        <w:t>2020</w:t>
      </w:r>
      <w:r>
        <w:rPr>
          <w:rFonts w:cs="Sylfaen"/>
          <w:lang w:val="hy-AM"/>
        </w:rPr>
        <w:t xml:space="preserve">թ. կանխատեսվում են ՀՀ տնտեսության </w:t>
      </w:r>
      <w:r w:rsidRPr="00000018">
        <w:rPr>
          <w:rFonts w:cs="Sylfaen"/>
          <w:lang w:val="hy-AM"/>
        </w:rPr>
        <w:t xml:space="preserve">1.5% </w:t>
      </w:r>
      <w:r>
        <w:rPr>
          <w:rFonts w:cs="Sylfaen"/>
          <w:lang w:val="hy-AM"/>
        </w:rPr>
        <w:t xml:space="preserve">և </w:t>
      </w:r>
      <w:r w:rsidRPr="00000018">
        <w:rPr>
          <w:rFonts w:cs="Sylfaen"/>
          <w:lang w:val="hy-AM"/>
        </w:rPr>
        <w:t>2.8%</w:t>
      </w:r>
      <w:r>
        <w:rPr>
          <w:rFonts w:cs="Sylfaen"/>
          <w:lang w:val="hy-AM"/>
        </w:rPr>
        <w:t xml:space="preserve"> անկումներ։</w:t>
      </w:r>
      <w:r w:rsidRPr="00000018">
        <w:rPr>
          <w:rFonts w:cs="Sylfaen"/>
          <w:lang w:val="hy-AM"/>
        </w:rPr>
        <w:t xml:space="preserve"> ՀՀ կենտրոնական բանկի </w:t>
      </w:r>
      <w:r>
        <w:rPr>
          <w:rFonts w:cs="Sylfaen"/>
          <w:lang w:val="hy-AM"/>
        </w:rPr>
        <w:t xml:space="preserve">մարտ ամսվա </w:t>
      </w:r>
      <w:r w:rsidRPr="00000018">
        <w:rPr>
          <w:rFonts w:cs="Sylfaen"/>
          <w:lang w:val="hy-AM"/>
        </w:rPr>
        <w:t>կանխատեսումներով 2020թ</w:t>
      </w:r>
      <w:r>
        <w:rPr>
          <w:rFonts w:cs="Sylfaen"/>
          <w:lang w:val="hy-AM"/>
        </w:rPr>
        <w:t>. կանխատեսվում էր</w:t>
      </w:r>
      <w:r w:rsidRPr="00000018">
        <w:rPr>
          <w:rFonts w:cs="Sylfaen"/>
          <w:lang w:val="hy-AM"/>
        </w:rPr>
        <w:t xml:space="preserve"> 0.7% </w:t>
      </w:r>
      <w:r>
        <w:rPr>
          <w:rFonts w:cs="Sylfaen"/>
          <w:lang w:val="hy-AM"/>
        </w:rPr>
        <w:t>աճ, սակայն հունիսի կանխատեսումներով ՀՀ ՖՆ և այլ կառույցների կանխատեսումների համեմատ</w:t>
      </w:r>
      <w:r w:rsidRPr="00000018">
        <w:rPr>
          <w:rFonts w:cs="Sylfaen"/>
          <w:lang w:val="hy-AM"/>
        </w:rPr>
        <w:t xml:space="preserve"> կգրանցվի </w:t>
      </w:r>
      <w:r>
        <w:rPr>
          <w:rFonts w:cs="Sylfaen"/>
          <w:lang w:val="hy-AM"/>
        </w:rPr>
        <w:t xml:space="preserve">ավելի խորը՝ </w:t>
      </w:r>
      <w:r w:rsidRPr="00854B0B">
        <w:rPr>
          <w:rFonts w:cs="Sylfaen"/>
          <w:lang w:val="hy-AM"/>
        </w:rPr>
        <w:t>4.0%</w:t>
      </w:r>
      <w:r>
        <w:rPr>
          <w:rFonts w:cs="Sylfaen"/>
          <w:lang w:val="hy-AM"/>
        </w:rPr>
        <w:t xml:space="preserve"> </w:t>
      </w:r>
      <w:r w:rsidRPr="00000018">
        <w:rPr>
          <w:rFonts w:cs="Sylfaen"/>
          <w:lang w:val="hy-AM"/>
        </w:rPr>
        <w:t>տնտեսական անկում</w:t>
      </w:r>
      <w:r>
        <w:rPr>
          <w:rFonts w:cs="Sylfaen"/>
          <w:lang w:val="hy-AM"/>
        </w:rPr>
        <w:t>, որի պայմանավորված է կանխատեսումներում ինչպես ՀՀ, այնպես էլ աշխարհի տնտեսությունների համեմատաբար վերջին զարգացումների և կորոնավիրուսի հետևանքների ավելի բացասական հետևանքների հաշվի առնելու հանգամանքով։</w:t>
      </w:r>
    </w:p>
    <w:p w14:paraId="2A3C414B" w14:textId="77777777" w:rsidR="002001B3" w:rsidRPr="00000018" w:rsidRDefault="002001B3" w:rsidP="002001B3">
      <w:pPr>
        <w:spacing w:line="276" w:lineRule="auto"/>
        <w:ind w:left="90" w:firstLine="360"/>
        <w:rPr>
          <w:rFonts w:cs="Sylfaen"/>
          <w:lang w:val="hy-AM"/>
        </w:rPr>
      </w:pPr>
      <w:r w:rsidRPr="00000018">
        <w:rPr>
          <w:rFonts w:cs="Sylfaen"/>
          <w:b/>
          <w:bCs/>
          <w:u w:val="single"/>
          <w:lang w:val="hy-AM"/>
        </w:rPr>
        <w:t>Ռիսկեր։</w:t>
      </w:r>
      <w:r>
        <w:rPr>
          <w:rFonts w:cs="Sylfaen"/>
          <w:lang w:val="hy-AM"/>
        </w:rPr>
        <w:t xml:space="preserve"> Հաշվի առնելով կորոնավիրուսի համավարակի անորոշությունները՝ կապված դրա տարածման տեմպերի, երկրորդ ալիքի հավանականության, ինչպես նաև հակավիրուսի հայտնաբերման հետ, բոլոր կանխատեսողները տնտեսական աճի ռիսկերը առավելապես դեպի ներքև են գնահատում։ </w:t>
      </w:r>
    </w:p>
    <w:p w14:paraId="64A19EBB" w14:textId="77777777" w:rsidR="002001B3" w:rsidRPr="00000018" w:rsidRDefault="002001B3" w:rsidP="002001B3">
      <w:pPr>
        <w:spacing w:line="276" w:lineRule="auto"/>
        <w:jc w:val="center"/>
        <w:rPr>
          <w:rFonts w:cs="Sylfaen"/>
          <w:lang w:val="hy-AM"/>
        </w:rPr>
      </w:pPr>
    </w:p>
    <w:p w14:paraId="27534686" w14:textId="77777777" w:rsidR="002001B3" w:rsidRPr="00000018" w:rsidRDefault="002001B3" w:rsidP="002001B3">
      <w:pPr>
        <w:spacing w:line="276" w:lineRule="auto"/>
        <w:jc w:val="center"/>
        <w:rPr>
          <w:rFonts w:cs="Sylfaen"/>
          <w:b/>
          <w:bCs/>
          <w:i/>
          <w:u w:val="single"/>
          <w:lang w:val="hy-AM"/>
        </w:rPr>
      </w:pPr>
      <w:r w:rsidRPr="00000018">
        <w:rPr>
          <w:rFonts w:cs="Sylfaen"/>
          <w:b/>
          <w:bCs/>
          <w:lang w:val="hy-AM"/>
        </w:rPr>
        <w:t xml:space="preserve">Աղյուսակ </w:t>
      </w:r>
      <w:r w:rsidR="00B17875" w:rsidRPr="00BE7F99">
        <w:rPr>
          <w:rFonts w:cs="Sylfaen"/>
          <w:b/>
          <w:bCs/>
          <w:lang w:val="hy-AM"/>
        </w:rPr>
        <w:t>2.</w:t>
      </w:r>
      <w:r w:rsidRPr="00000018">
        <w:rPr>
          <w:rFonts w:cs="Sylfaen"/>
          <w:b/>
          <w:bCs/>
          <w:lang w:val="hy-AM"/>
        </w:rPr>
        <w:t xml:space="preserve">1 </w:t>
      </w:r>
      <w:r w:rsidRPr="00B17875">
        <w:rPr>
          <w:rFonts w:cs="Sylfaen"/>
          <w:bCs/>
          <w:i/>
          <w:lang w:val="hy-AM"/>
        </w:rPr>
        <w:t>Այլ կառույցների կողմից ՀՀ տնտեսական աճի կանխատեսումները (%)</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237"/>
        <w:gridCol w:w="1170"/>
        <w:gridCol w:w="1098"/>
        <w:gridCol w:w="995"/>
      </w:tblGrid>
      <w:tr w:rsidR="002001B3" w:rsidRPr="00837B75" w14:paraId="5EE00DE8" w14:textId="77777777" w:rsidTr="009E6C48">
        <w:trPr>
          <w:trHeight w:val="222"/>
          <w:jc w:val="center"/>
        </w:trPr>
        <w:tc>
          <w:tcPr>
            <w:tcW w:w="4590"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tcPr>
          <w:p w14:paraId="40C54D4F" w14:textId="77777777" w:rsidR="002001B3" w:rsidRPr="00000018" w:rsidRDefault="002001B3" w:rsidP="003C6AB2">
            <w:pPr>
              <w:spacing w:line="276" w:lineRule="auto"/>
              <w:rPr>
                <w:rFonts w:cs="Calibri"/>
                <w:color w:val="000000"/>
                <w:highlight w:val="yellow"/>
                <w:lang w:val="it-IT"/>
              </w:rPr>
            </w:pPr>
          </w:p>
        </w:tc>
        <w:tc>
          <w:tcPr>
            <w:tcW w:w="1237" w:type="dxa"/>
            <w:tcBorders>
              <w:top w:val="single" w:sz="4" w:space="0" w:color="auto"/>
              <w:left w:val="single" w:sz="4" w:space="0" w:color="auto"/>
              <w:bottom w:val="single" w:sz="4" w:space="0" w:color="auto"/>
              <w:right w:val="single" w:sz="4" w:space="0" w:color="auto"/>
            </w:tcBorders>
            <w:shd w:val="clear" w:color="auto" w:fill="4F81BD" w:themeFill="accent1"/>
            <w:noWrap/>
            <w:vAlign w:val="bottom"/>
            <w:hideMark/>
          </w:tcPr>
          <w:p w14:paraId="6C33A63D" w14:textId="77777777" w:rsidR="002001B3" w:rsidRPr="00000018" w:rsidRDefault="002001B3" w:rsidP="009E6C48">
            <w:pPr>
              <w:spacing w:line="276" w:lineRule="auto"/>
              <w:ind w:firstLine="0"/>
              <w:jc w:val="center"/>
              <w:rPr>
                <w:rFonts w:cs="Calibri"/>
                <w:b/>
                <w:bCs/>
                <w:color w:val="000000"/>
                <w:lang w:val="hy-AM"/>
              </w:rPr>
            </w:pPr>
            <w:r w:rsidRPr="00000018">
              <w:rPr>
                <w:rFonts w:cs="Calibri"/>
                <w:b/>
                <w:bCs/>
                <w:color w:val="000000"/>
              </w:rPr>
              <w:t>20</w:t>
            </w:r>
            <w:r w:rsidRPr="00000018">
              <w:rPr>
                <w:rFonts w:cs="Calibri"/>
                <w:b/>
                <w:bCs/>
                <w:color w:val="000000"/>
                <w:lang w:val="hy-AM"/>
              </w:rPr>
              <w:t>20</w:t>
            </w:r>
          </w:p>
        </w:tc>
        <w:tc>
          <w:tcPr>
            <w:tcW w:w="1170" w:type="dxa"/>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14:paraId="147D6A7F" w14:textId="77777777" w:rsidR="002001B3" w:rsidRPr="00000018" w:rsidRDefault="002001B3" w:rsidP="009E6C48">
            <w:pPr>
              <w:spacing w:line="276" w:lineRule="auto"/>
              <w:ind w:firstLine="0"/>
              <w:jc w:val="center"/>
              <w:rPr>
                <w:rFonts w:cs="Calibri"/>
                <w:b/>
                <w:bCs/>
                <w:color w:val="000000"/>
                <w:lang w:val="hy-AM"/>
              </w:rPr>
            </w:pPr>
            <w:r w:rsidRPr="00000018">
              <w:rPr>
                <w:rFonts w:cs="Calibri"/>
                <w:b/>
                <w:bCs/>
                <w:color w:val="000000"/>
              </w:rPr>
              <w:t>202</w:t>
            </w:r>
            <w:r w:rsidRPr="00000018">
              <w:rPr>
                <w:rFonts w:cs="Calibri"/>
                <w:b/>
                <w:bCs/>
                <w:color w:val="000000"/>
                <w:lang w:val="hy-AM"/>
              </w:rPr>
              <w:t>1</w:t>
            </w:r>
          </w:p>
        </w:tc>
        <w:tc>
          <w:tcPr>
            <w:tcW w:w="1098" w:type="dxa"/>
            <w:tcBorders>
              <w:top w:val="single" w:sz="4" w:space="0" w:color="auto"/>
              <w:left w:val="single" w:sz="4" w:space="0" w:color="auto"/>
              <w:bottom w:val="single" w:sz="4" w:space="0" w:color="auto"/>
              <w:right w:val="single" w:sz="4" w:space="0" w:color="auto"/>
            </w:tcBorders>
            <w:shd w:val="clear" w:color="auto" w:fill="4F81BD" w:themeFill="accent1"/>
          </w:tcPr>
          <w:p w14:paraId="2A6B5930" w14:textId="77777777" w:rsidR="002001B3" w:rsidRPr="00000018" w:rsidRDefault="002001B3" w:rsidP="009E6C48">
            <w:pPr>
              <w:spacing w:line="276" w:lineRule="auto"/>
              <w:ind w:firstLine="0"/>
              <w:jc w:val="center"/>
              <w:rPr>
                <w:rFonts w:cs="Calibri"/>
                <w:b/>
                <w:bCs/>
                <w:color w:val="000000"/>
                <w:lang w:val="hy-AM"/>
              </w:rPr>
            </w:pPr>
            <w:r w:rsidRPr="00000018">
              <w:rPr>
                <w:rFonts w:cs="Calibri"/>
                <w:b/>
                <w:bCs/>
                <w:color w:val="000000"/>
              </w:rPr>
              <w:t>202</w:t>
            </w:r>
            <w:r w:rsidRPr="00000018">
              <w:rPr>
                <w:rFonts w:cs="Calibri"/>
                <w:b/>
                <w:bCs/>
                <w:color w:val="000000"/>
                <w:lang w:val="hy-AM"/>
              </w:rPr>
              <w:t>2</w:t>
            </w:r>
          </w:p>
        </w:tc>
        <w:tc>
          <w:tcPr>
            <w:tcW w:w="995" w:type="dxa"/>
            <w:tcBorders>
              <w:top w:val="single" w:sz="4" w:space="0" w:color="auto"/>
              <w:left w:val="single" w:sz="4" w:space="0" w:color="auto"/>
              <w:bottom w:val="single" w:sz="4" w:space="0" w:color="auto"/>
              <w:right w:val="single" w:sz="4" w:space="0" w:color="auto"/>
            </w:tcBorders>
            <w:shd w:val="clear" w:color="auto" w:fill="4F81BD" w:themeFill="accent1"/>
          </w:tcPr>
          <w:p w14:paraId="7349521D" w14:textId="77777777" w:rsidR="002001B3" w:rsidRPr="00000018" w:rsidRDefault="002001B3" w:rsidP="009E6C48">
            <w:pPr>
              <w:spacing w:line="276" w:lineRule="auto"/>
              <w:ind w:firstLine="0"/>
              <w:jc w:val="center"/>
              <w:rPr>
                <w:rFonts w:cs="Calibri"/>
                <w:b/>
                <w:bCs/>
                <w:color w:val="000000"/>
                <w:lang w:val="hy-AM"/>
              </w:rPr>
            </w:pPr>
            <w:r w:rsidRPr="00000018">
              <w:rPr>
                <w:rFonts w:cs="Calibri"/>
                <w:b/>
                <w:bCs/>
                <w:color w:val="000000"/>
              </w:rPr>
              <w:t>202</w:t>
            </w:r>
            <w:r w:rsidRPr="00000018">
              <w:rPr>
                <w:rFonts w:cs="Calibri"/>
                <w:b/>
                <w:bCs/>
                <w:color w:val="000000"/>
                <w:lang w:val="hy-AM"/>
              </w:rPr>
              <w:t>3</w:t>
            </w:r>
          </w:p>
        </w:tc>
      </w:tr>
      <w:tr w:rsidR="002001B3" w:rsidRPr="00837B75" w14:paraId="53FE94AC" w14:textId="77777777" w:rsidTr="009E6C48">
        <w:trPr>
          <w:trHeight w:val="269"/>
          <w:jc w:val="center"/>
        </w:trPr>
        <w:tc>
          <w:tcPr>
            <w:tcW w:w="45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5482625C" w14:textId="77777777" w:rsidR="002001B3" w:rsidRPr="0075145F" w:rsidRDefault="002001B3" w:rsidP="009E6C48">
            <w:pPr>
              <w:spacing w:line="276" w:lineRule="auto"/>
              <w:ind w:firstLine="0"/>
              <w:rPr>
                <w:rFonts w:cs="Calibri"/>
                <w:color w:val="000000"/>
              </w:rPr>
            </w:pPr>
            <w:r>
              <w:rPr>
                <w:rFonts w:cs="Calibri"/>
                <w:color w:val="000000"/>
                <w:lang w:val="hy-AM"/>
              </w:rPr>
              <w:t>ՀՀ ֆինանսների նախարարություն</w:t>
            </w:r>
            <w:r>
              <w:rPr>
                <w:rFonts w:cs="Calibri"/>
                <w:color w:val="000000"/>
              </w:rPr>
              <w:t xml:space="preserve"> </w:t>
            </w:r>
            <w:r w:rsidRPr="00854B0B">
              <w:rPr>
                <w:rFonts w:cs="Calibri"/>
                <w:color w:val="000000"/>
              </w:rPr>
              <w:t xml:space="preserve">(2020 </w:t>
            </w:r>
            <w:r w:rsidRPr="00854B0B">
              <w:rPr>
                <w:rFonts w:cs="Calibri"/>
                <w:color w:val="000000"/>
                <w:lang w:val="hy-AM"/>
              </w:rPr>
              <w:t>ապրիլ</w:t>
            </w:r>
            <w:r w:rsidRPr="00854B0B">
              <w:rPr>
                <w:rFonts w:cs="Calibri"/>
                <w:color w:val="000000"/>
              </w:rPr>
              <w:t>)</w:t>
            </w:r>
          </w:p>
        </w:tc>
        <w:tc>
          <w:tcPr>
            <w:tcW w:w="123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9043E89" w14:textId="77777777" w:rsidR="002001B3" w:rsidRPr="00000018" w:rsidRDefault="002001B3" w:rsidP="009E6C48">
            <w:pPr>
              <w:spacing w:line="276" w:lineRule="auto"/>
              <w:jc w:val="center"/>
              <w:rPr>
                <w:rFonts w:cs="Calibri"/>
                <w:color w:val="000000"/>
              </w:rPr>
            </w:pPr>
            <w:r>
              <w:rPr>
                <w:rFonts w:cs="Calibri"/>
                <w:color w:val="000000"/>
              </w:rPr>
              <w:t>-2.6</w:t>
            </w:r>
          </w:p>
        </w:tc>
        <w:tc>
          <w:tcPr>
            <w:tcW w:w="117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2DFE2D1" w14:textId="77777777" w:rsidR="002001B3" w:rsidRPr="00837B75" w:rsidRDefault="002001B3" w:rsidP="009E6C48">
            <w:pPr>
              <w:spacing w:line="276" w:lineRule="auto"/>
              <w:jc w:val="center"/>
              <w:rPr>
                <w:rFonts w:cs="Calibri"/>
                <w:color w:val="000000"/>
              </w:rPr>
            </w:pPr>
            <w:r>
              <w:rPr>
                <w:rFonts w:cs="Calibri"/>
                <w:color w:val="000000"/>
              </w:rPr>
              <w:t>7.0</w:t>
            </w:r>
          </w:p>
        </w:tc>
        <w:tc>
          <w:tcPr>
            <w:tcW w:w="10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0D25A0" w14:textId="77777777" w:rsidR="002001B3" w:rsidRPr="00000018" w:rsidRDefault="002001B3" w:rsidP="009E6C48">
            <w:pPr>
              <w:spacing w:line="276" w:lineRule="auto"/>
              <w:ind w:firstLine="0"/>
              <w:jc w:val="right"/>
              <w:rPr>
                <w:rFonts w:cs="Calibri"/>
                <w:color w:val="000000"/>
              </w:rPr>
            </w:pPr>
            <w:r>
              <w:rPr>
                <w:rFonts w:cs="Calibri"/>
                <w:color w:val="000000"/>
              </w:rPr>
              <w:t>6.4</w:t>
            </w:r>
          </w:p>
        </w:tc>
        <w:tc>
          <w:tcPr>
            <w:tcW w:w="9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D69195B" w14:textId="77777777" w:rsidR="002001B3" w:rsidRPr="00000018" w:rsidRDefault="002001B3" w:rsidP="009E6C48">
            <w:pPr>
              <w:spacing w:line="276" w:lineRule="auto"/>
              <w:ind w:firstLine="0"/>
              <w:jc w:val="right"/>
              <w:rPr>
                <w:rFonts w:cs="Calibri"/>
                <w:color w:val="000000"/>
              </w:rPr>
            </w:pPr>
            <w:r>
              <w:rPr>
                <w:rFonts w:cs="Calibri"/>
                <w:color w:val="000000"/>
              </w:rPr>
              <w:t>5.1</w:t>
            </w:r>
          </w:p>
        </w:tc>
      </w:tr>
      <w:tr w:rsidR="002001B3" w:rsidRPr="00854B0B" w14:paraId="675A29B2" w14:textId="77777777" w:rsidTr="003C6AB2">
        <w:trPr>
          <w:trHeight w:val="350"/>
          <w:jc w:val="center"/>
        </w:trPr>
        <w:tc>
          <w:tcPr>
            <w:tcW w:w="4590" w:type="dxa"/>
            <w:tcBorders>
              <w:top w:val="single" w:sz="4" w:space="0" w:color="auto"/>
              <w:left w:val="single" w:sz="4" w:space="0" w:color="auto"/>
              <w:bottom w:val="single" w:sz="4" w:space="0" w:color="auto"/>
              <w:right w:val="single" w:sz="4" w:space="0" w:color="auto"/>
            </w:tcBorders>
            <w:shd w:val="clear" w:color="auto" w:fill="FFFFFF"/>
            <w:vAlign w:val="center"/>
          </w:tcPr>
          <w:p w14:paraId="689A6871" w14:textId="77777777" w:rsidR="002001B3" w:rsidRPr="00854B0B" w:rsidRDefault="002001B3" w:rsidP="009E6C48">
            <w:pPr>
              <w:spacing w:line="276" w:lineRule="auto"/>
              <w:ind w:firstLine="0"/>
              <w:rPr>
                <w:rFonts w:cs="Calibri"/>
                <w:color w:val="000000"/>
              </w:rPr>
            </w:pPr>
            <w:r w:rsidRPr="00854B0B">
              <w:rPr>
                <w:rFonts w:cs="Calibri"/>
                <w:color w:val="000000"/>
              </w:rPr>
              <w:t>ՀՀ կենտրոնական բանկ (20</w:t>
            </w:r>
            <w:r w:rsidRPr="00854B0B">
              <w:rPr>
                <w:rFonts w:cs="Calibri"/>
                <w:color w:val="000000"/>
                <w:lang w:val="hy-AM"/>
              </w:rPr>
              <w:t>20</w:t>
            </w:r>
            <w:r w:rsidRPr="00854B0B">
              <w:rPr>
                <w:rFonts w:cs="Calibri"/>
                <w:color w:val="000000"/>
              </w:rPr>
              <w:t xml:space="preserve">թ. </w:t>
            </w:r>
            <w:r>
              <w:rPr>
                <w:rFonts w:cs="Calibri"/>
                <w:color w:val="000000"/>
                <w:lang w:val="hy-AM"/>
              </w:rPr>
              <w:t>մարտ</w:t>
            </w:r>
            <w:r w:rsidRPr="00854B0B">
              <w:rPr>
                <w:rFonts w:cs="Calibri"/>
                <w:color w:val="000000"/>
              </w:rPr>
              <w:t>)</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5AEB7" w14:textId="77777777" w:rsidR="002001B3" w:rsidRPr="00000018" w:rsidRDefault="002001B3" w:rsidP="009E6C48">
            <w:pPr>
              <w:spacing w:line="276" w:lineRule="auto"/>
              <w:jc w:val="center"/>
              <w:rPr>
                <w:rFonts w:cs="Calibri"/>
                <w:color w:val="000000"/>
              </w:rPr>
            </w:pPr>
            <w:r>
              <w:rPr>
                <w:rFonts w:cs="Calibri"/>
                <w:color w:val="000000"/>
              </w:rPr>
              <w:t>0.7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C5908" w14:textId="77777777" w:rsidR="002001B3" w:rsidRPr="00000018" w:rsidRDefault="002001B3" w:rsidP="009E6C48">
            <w:pPr>
              <w:spacing w:line="276" w:lineRule="auto"/>
              <w:jc w:val="center"/>
              <w:rPr>
                <w:rFonts w:cs="Calibri"/>
                <w:color w:val="000000"/>
              </w:rPr>
            </w:pPr>
            <w:r>
              <w:rPr>
                <w:rFonts w:cs="Calibri"/>
                <w:color w:val="000000"/>
              </w:rPr>
              <w:t>7.2</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tcPr>
          <w:p w14:paraId="49604460" w14:textId="77777777" w:rsidR="002001B3" w:rsidRPr="00000018" w:rsidRDefault="002001B3" w:rsidP="009E6C48">
            <w:pPr>
              <w:spacing w:line="276" w:lineRule="auto"/>
              <w:ind w:firstLine="0"/>
              <w:jc w:val="right"/>
              <w:rPr>
                <w:rFonts w:cs="Calibri"/>
                <w:color w:val="000000"/>
              </w:rPr>
            </w:pPr>
            <w:r>
              <w:rPr>
                <w:rFonts w:cs="Calibri"/>
                <w:color w:val="000000"/>
              </w:rPr>
              <w:t>4.9</w:t>
            </w:r>
          </w:p>
        </w:tc>
        <w:tc>
          <w:tcPr>
            <w:tcW w:w="995" w:type="dxa"/>
            <w:tcBorders>
              <w:top w:val="single" w:sz="4" w:space="0" w:color="auto"/>
              <w:left w:val="single" w:sz="4" w:space="0" w:color="auto"/>
              <w:bottom w:val="single" w:sz="4" w:space="0" w:color="auto"/>
              <w:right w:val="single" w:sz="4" w:space="0" w:color="auto"/>
            </w:tcBorders>
            <w:vAlign w:val="center"/>
          </w:tcPr>
          <w:p w14:paraId="0D2BE0C2" w14:textId="77777777" w:rsidR="002001B3" w:rsidRPr="00854B0B" w:rsidRDefault="002001B3" w:rsidP="009E6C48">
            <w:pPr>
              <w:spacing w:line="276" w:lineRule="auto"/>
              <w:jc w:val="right"/>
              <w:rPr>
                <w:rFonts w:cs="Calibri"/>
                <w:color w:val="000000"/>
              </w:rPr>
            </w:pPr>
          </w:p>
        </w:tc>
      </w:tr>
      <w:tr w:rsidR="002001B3" w:rsidRPr="00854B0B" w14:paraId="344884CC" w14:textId="77777777" w:rsidTr="009E6C48">
        <w:trPr>
          <w:trHeight w:val="350"/>
          <w:jc w:val="center"/>
        </w:trPr>
        <w:tc>
          <w:tcPr>
            <w:tcW w:w="45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FE8CDA" w14:textId="77777777" w:rsidR="002001B3" w:rsidRPr="00854B0B" w:rsidRDefault="002001B3" w:rsidP="009E6C48">
            <w:pPr>
              <w:spacing w:line="276" w:lineRule="auto"/>
              <w:ind w:firstLine="0"/>
              <w:rPr>
                <w:rFonts w:cs="Calibri"/>
                <w:color w:val="000000"/>
                <w:highlight w:val="yellow"/>
              </w:rPr>
            </w:pPr>
            <w:r w:rsidRPr="00854B0B">
              <w:rPr>
                <w:rFonts w:cs="Calibri"/>
                <w:color w:val="000000"/>
              </w:rPr>
              <w:t>ՀՀ կենտրոնական բանկ (20</w:t>
            </w:r>
            <w:r w:rsidRPr="00854B0B">
              <w:rPr>
                <w:rFonts w:cs="Calibri"/>
                <w:color w:val="000000"/>
                <w:lang w:val="hy-AM"/>
              </w:rPr>
              <w:t>20</w:t>
            </w:r>
            <w:r w:rsidRPr="00854B0B">
              <w:rPr>
                <w:rFonts w:cs="Calibri"/>
                <w:color w:val="000000"/>
              </w:rPr>
              <w:t>թ. հունիս)</w:t>
            </w:r>
          </w:p>
        </w:tc>
        <w:tc>
          <w:tcPr>
            <w:tcW w:w="123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86E2BFD" w14:textId="77777777" w:rsidR="002001B3" w:rsidRPr="00854B0B" w:rsidRDefault="002001B3" w:rsidP="009E6C48">
            <w:pPr>
              <w:spacing w:line="276" w:lineRule="auto"/>
              <w:jc w:val="center"/>
              <w:rPr>
                <w:rFonts w:cs="Calibri"/>
                <w:color w:val="000000"/>
              </w:rPr>
            </w:pPr>
            <w:r w:rsidRPr="00854B0B">
              <w:rPr>
                <w:rFonts w:cs="Calibri"/>
                <w:color w:val="000000"/>
                <w:lang w:val="hy-AM"/>
              </w:rPr>
              <w:t>-4</w:t>
            </w:r>
            <w:r w:rsidRPr="00854B0B">
              <w:rPr>
                <w:rFonts w:cs="Calibri"/>
                <w:color w:val="000000"/>
              </w:rPr>
              <w:t>.</w:t>
            </w:r>
            <w:r w:rsidRPr="00854B0B">
              <w:rPr>
                <w:rFonts w:cs="Calibri"/>
                <w:color w:val="000000"/>
                <w:lang w:val="hy-AM"/>
              </w:rPr>
              <w:t>0</w:t>
            </w:r>
          </w:p>
        </w:tc>
        <w:tc>
          <w:tcPr>
            <w:tcW w:w="117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59A4382" w14:textId="77777777" w:rsidR="002001B3" w:rsidRPr="00854B0B" w:rsidRDefault="002001B3" w:rsidP="009E6C48">
            <w:pPr>
              <w:spacing w:line="276" w:lineRule="auto"/>
              <w:jc w:val="center"/>
              <w:rPr>
                <w:rFonts w:cs="Calibri"/>
                <w:color w:val="000000"/>
              </w:rPr>
            </w:pPr>
            <w:r w:rsidRPr="00854B0B">
              <w:rPr>
                <w:rFonts w:cs="Calibri"/>
                <w:color w:val="000000"/>
                <w:lang w:val="hy-AM"/>
              </w:rPr>
              <w:t>5</w:t>
            </w:r>
            <w:r w:rsidRPr="00854B0B">
              <w:rPr>
                <w:rFonts w:cs="Calibri"/>
                <w:color w:val="000000"/>
              </w:rPr>
              <w:t>.</w:t>
            </w:r>
            <w:r w:rsidRPr="00854B0B">
              <w:rPr>
                <w:rFonts w:cs="Calibri"/>
                <w:color w:val="000000"/>
                <w:lang w:val="hy-AM"/>
              </w:rPr>
              <w:t>5</w:t>
            </w:r>
          </w:p>
        </w:tc>
        <w:tc>
          <w:tcPr>
            <w:tcW w:w="10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A1C875A" w14:textId="77777777" w:rsidR="002001B3" w:rsidRPr="00854B0B" w:rsidRDefault="002001B3" w:rsidP="009E6C48">
            <w:pPr>
              <w:spacing w:line="276" w:lineRule="auto"/>
              <w:ind w:firstLine="0"/>
              <w:jc w:val="right"/>
              <w:rPr>
                <w:rFonts w:cs="Calibri"/>
                <w:color w:val="000000"/>
              </w:rPr>
            </w:pPr>
            <w:r w:rsidRPr="00854B0B">
              <w:rPr>
                <w:rFonts w:cs="Calibri"/>
                <w:color w:val="000000"/>
                <w:lang w:val="hy-AM"/>
              </w:rPr>
              <w:t>4</w:t>
            </w:r>
            <w:r w:rsidRPr="00854B0B">
              <w:rPr>
                <w:rFonts w:cs="Calibri"/>
                <w:color w:val="000000"/>
              </w:rPr>
              <w:t>.</w:t>
            </w:r>
            <w:r w:rsidRPr="00854B0B">
              <w:rPr>
                <w:rFonts w:cs="Calibri"/>
                <w:color w:val="000000"/>
                <w:lang w:val="hy-AM"/>
              </w:rPr>
              <w:t>2</w:t>
            </w:r>
          </w:p>
        </w:tc>
        <w:tc>
          <w:tcPr>
            <w:tcW w:w="9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815938" w14:textId="77777777" w:rsidR="002001B3" w:rsidRPr="00854B0B" w:rsidRDefault="002001B3" w:rsidP="009E6C48">
            <w:pPr>
              <w:spacing w:line="276" w:lineRule="auto"/>
              <w:jc w:val="right"/>
              <w:rPr>
                <w:rFonts w:cs="Calibri"/>
                <w:color w:val="000000"/>
              </w:rPr>
            </w:pPr>
            <w:r w:rsidRPr="00854B0B">
              <w:rPr>
                <w:rFonts w:cs="Calibri"/>
                <w:color w:val="000000"/>
              </w:rPr>
              <w:t>-</w:t>
            </w:r>
          </w:p>
        </w:tc>
      </w:tr>
      <w:tr w:rsidR="002001B3" w:rsidRPr="00837B75" w14:paraId="5A5A7A54" w14:textId="77777777" w:rsidTr="003C6AB2">
        <w:trPr>
          <w:trHeight w:val="269"/>
          <w:jc w:val="center"/>
        </w:trPr>
        <w:tc>
          <w:tcPr>
            <w:tcW w:w="45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1B5C93" w14:textId="77777777" w:rsidR="002001B3" w:rsidRPr="00000018" w:rsidRDefault="002001B3" w:rsidP="009E6C48">
            <w:pPr>
              <w:spacing w:line="276" w:lineRule="auto"/>
              <w:ind w:firstLine="0"/>
              <w:rPr>
                <w:rFonts w:cs="Calibri"/>
                <w:color w:val="000000"/>
              </w:rPr>
            </w:pPr>
            <w:r w:rsidRPr="00000018">
              <w:rPr>
                <w:rFonts w:cs="Calibri"/>
                <w:color w:val="000000"/>
              </w:rPr>
              <w:t xml:space="preserve">Արժույթի միջազգային հիմնադրամ (2020 </w:t>
            </w:r>
            <w:r w:rsidRPr="00000018">
              <w:rPr>
                <w:rFonts w:cs="Calibri"/>
                <w:color w:val="000000"/>
                <w:lang w:val="hy-AM"/>
              </w:rPr>
              <w:t>ապրիլ</w:t>
            </w:r>
            <w:r w:rsidRPr="00000018">
              <w:rPr>
                <w:rFonts w:cs="Calibri"/>
                <w:color w:val="000000"/>
              </w:rPr>
              <w:t>)</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7DBB64C4" w14:textId="77777777" w:rsidR="002001B3" w:rsidRPr="00000018" w:rsidRDefault="002001B3" w:rsidP="009E6C48">
            <w:pPr>
              <w:spacing w:line="276" w:lineRule="auto"/>
              <w:jc w:val="center"/>
              <w:rPr>
                <w:rFonts w:cs="Calibri"/>
                <w:color w:val="000000"/>
              </w:rPr>
            </w:pPr>
            <w:r w:rsidRPr="00000018">
              <w:rPr>
                <w:rFonts w:cs="Calibri"/>
                <w:color w:val="000000"/>
                <w:lang w:val="hy-AM"/>
              </w:rPr>
              <w:t>-1</w:t>
            </w:r>
            <w:r w:rsidRPr="00000018">
              <w:rPr>
                <w:rFonts w:cs="Calibri"/>
                <w:color w:val="000000"/>
              </w:rPr>
              <w:t>.</w:t>
            </w:r>
            <w:r w:rsidRPr="00000018">
              <w:rPr>
                <w:rFonts w:cs="Calibri"/>
                <w:color w:val="000000"/>
                <w:lang w:val="hy-AM"/>
              </w:rPr>
              <w:t>5</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1915AC97" w14:textId="77777777" w:rsidR="002001B3" w:rsidRPr="00000018" w:rsidRDefault="002001B3" w:rsidP="009E6C48">
            <w:pPr>
              <w:spacing w:line="276" w:lineRule="auto"/>
              <w:jc w:val="center"/>
              <w:rPr>
                <w:rFonts w:cs="Calibri"/>
                <w:color w:val="000000"/>
              </w:rPr>
            </w:pPr>
            <w:r w:rsidRPr="00000018">
              <w:rPr>
                <w:rFonts w:cs="Calibri"/>
                <w:color w:val="000000"/>
              </w:rPr>
              <w:t>4.</w:t>
            </w:r>
            <w:r w:rsidRPr="00000018">
              <w:rPr>
                <w:rFonts w:cs="Calibri"/>
                <w:color w:val="000000"/>
                <w:lang w:val="hy-AM"/>
              </w:rPr>
              <w:t>8</w:t>
            </w:r>
          </w:p>
        </w:tc>
        <w:tc>
          <w:tcPr>
            <w:tcW w:w="1098" w:type="dxa"/>
            <w:tcBorders>
              <w:top w:val="single" w:sz="4" w:space="0" w:color="auto"/>
              <w:left w:val="single" w:sz="4" w:space="0" w:color="auto"/>
              <w:bottom w:val="single" w:sz="4" w:space="0" w:color="auto"/>
              <w:right w:val="single" w:sz="4" w:space="0" w:color="auto"/>
            </w:tcBorders>
            <w:vAlign w:val="center"/>
          </w:tcPr>
          <w:p w14:paraId="6F8ADA38" w14:textId="77777777" w:rsidR="002001B3" w:rsidRPr="00000018" w:rsidRDefault="002001B3" w:rsidP="009E6C48">
            <w:pPr>
              <w:spacing w:line="276" w:lineRule="auto"/>
              <w:jc w:val="right"/>
              <w:rPr>
                <w:rFonts w:cs="Calibri"/>
                <w:color w:val="000000"/>
                <w:lang w:val="hy-AM"/>
              </w:rPr>
            </w:pPr>
            <w:r w:rsidRPr="00000018">
              <w:rPr>
                <w:rFonts w:cs="Calibri"/>
                <w:color w:val="000000"/>
                <w:lang w:val="hy-AM"/>
              </w:rPr>
              <w:t>-</w:t>
            </w:r>
          </w:p>
        </w:tc>
        <w:tc>
          <w:tcPr>
            <w:tcW w:w="995" w:type="dxa"/>
            <w:tcBorders>
              <w:top w:val="single" w:sz="4" w:space="0" w:color="auto"/>
              <w:left w:val="single" w:sz="4" w:space="0" w:color="auto"/>
              <w:bottom w:val="single" w:sz="4" w:space="0" w:color="auto"/>
              <w:right w:val="single" w:sz="4" w:space="0" w:color="auto"/>
            </w:tcBorders>
            <w:vAlign w:val="center"/>
          </w:tcPr>
          <w:p w14:paraId="3CE28D7B" w14:textId="77777777" w:rsidR="002001B3" w:rsidRPr="00000018" w:rsidRDefault="002001B3" w:rsidP="009E6C48">
            <w:pPr>
              <w:spacing w:line="276" w:lineRule="auto"/>
              <w:jc w:val="right"/>
              <w:rPr>
                <w:rFonts w:cs="Calibri"/>
                <w:color w:val="000000"/>
                <w:lang w:val="hy-AM"/>
              </w:rPr>
            </w:pPr>
            <w:r w:rsidRPr="00000018">
              <w:rPr>
                <w:rFonts w:cs="Calibri"/>
                <w:color w:val="000000"/>
                <w:lang w:val="hy-AM"/>
              </w:rPr>
              <w:t>-</w:t>
            </w:r>
          </w:p>
        </w:tc>
      </w:tr>
      <w:tr w:rsidR="002001B3" w:rsidRPr="00837B75" w14:paraId="72BC7F80" w14:textId="77777777" w:rsidTr="009E6C48">
        <w:trPr>
          <w:trHeight w:val="269"/>
          <w:jc w:val="center"/>
        </w:trPr>
        <w:tc>
          <w:tcPr>
            <w:tcW w:w="45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C13CFC4" w14:textId="77777777" w:rsidR="002001B3" w:rsidRPr="00000018" w:rsidRDefault="002001B3" w:rsidP="009E6C48">
            <w:pPr>
              <w:spacing w:line="276" w:lineRule="auto"/>
              <w:ind w:firstLine="0"/>
              <w:rPr>
                <w:rFonts w:cs="Calibri"/>
                <w:color w:val="000000"/>
                <w:highlight w:val="yellow"/>
              </w:rPr>
            </w:pPr>
            <w:r w:rsidRPr="00000018">
              <w:rPr>
                <w:rFonts w:cs="Calibri"/>
                <w:color w:val="000000"/>
              </w:rPr>
              <w:t xml:space="preserve">Մուդիս (2020 </w:t>
            </w:r>
            <w:r w:rsidRPr="00000018">
              <w:rPr>
                <w:rFonts w:cs="Calibri"/>
                <w:color w:val="000000"/>
                <w:lang w:val="hy-AM"/>
              </w:rPr>
              <w:t>ապրիլ</w:t>
            </w:r>
            <w:r w:rsidRPr="00000018">
              <w:rPr>
                <w:rFonts w:cs="Calibri"/>
                <w:color w:val="000000"/>
              </w:rPr>
              <w:t>)</w:t>
            </w:r>
          </w:p>
        </w:tc>
        <w:tc>
          <w:tcPr>
            <w:tcW w:w="123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7F167794" w14:textId="77777777" w:rsidR="002001B3" w:rsidRPr="00000018" w:rsidRDefault="002001B3" w:rsidP="009E6C48">
            <w:pPr>
              <w:spacing w:line="276" w:lineRule="auto"/>
              <w:jc w:val="center"/>
              <w:rPr>
                <w:rFonts w:cs="Calibri"/>
                <w:color w:val="000000"/>
                <w:highlight w:val="yellow"/>
              </w:rPr>
            </w:pPr>
            <w:r w:rsidRPr="00000018">
              <w:rPr>
                <w:rFonts w:cs="Calibri"/>
                <w:color w:val="000000"/>
              </w:rPr>
              <w:t>0.5</w:t>
            </w:r>
          </w:p>
        </w:tc>
        <w:tc>
          <w:tcPr>
            <w:tcW w:w="117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BF65FC1" w14:textId="77777777" w:rsidR="002001B3" w:rsidRPr="00000018" w:rsidRDefault="002001B3" w:rsidP="009E6C48">
            <w:pPr>
              <w:spacing w:line="276" w:lineRule="auto"/>
              <w:jc w:val="center"/>
              <w:rPr>
                <w:rFonts w:cs="Calibri"/>
                <w:color w:val="000000"/>
                <w:highlight w:val="yellow"/>
              </w:rPr>
            </w:pPr>
            <w:r w:rsidRPr="00000018">
              <w:rPr>
                <w:rFonts w:cs="Calibri"/>
                <w:color w:val="000000"/>
              </w:rPr>
              <w:t>7.0</w:t>
            </w:r>
          </w:p>
        </w:tc>
        <w:tc>
          <w:tcPr>
            <w:tcW w:w="109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5C433AC" w14:textId="77777777" w:rsidR="002001B3" w:rsidRPr="00000018" w:rsidRDefault="002001B3" w:rsidP="009E6C48">
            <w:pPr>
              <w:spacing w:line="276" w:lineRule="auto"/>
              <w:jc w:val="right"/>
              <w:rPr>
                <w:rFonts w:cs="Calibri"/>
                <w:color w:val="000000"/>
                <w:highlight w:val="yellow"/>
              </w:rPr>
            </w:pPr>
            <w:r w:rsidRPr="00000018">
              <w:rPr>
                <w:rFonts w:cs="Calibri"/>
                <w:color w:val="000000"/>
              </w:rPr>
              <w:t>-</w:t>
            </w:r>
          </w:p>
        </w:tc>
        <w:tc>
          <w:tcPr>
            <w:tcW w:w="9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2FF2F0A" w14:textId="77777777" w:rsidR="002001B3" w:rsidRPr="00000018" w:rsidRDefault="002001B3" w:rsidP="009E6C48">
            <w:pPr>
              <w:spacing w:line="276" w:lineRule="auto"/>
              <w:jc w:val="right"/>
              <w:rPr>
                <w:rFonts w:cs="Calibri"/>
                <w:color w:val="000000"/>
                <w:highlight w:val="yellow"/>
              </w:rPr>
            </w:pPr>
            <w:r w:rsidRPr="00000018">
              <w:rPr>
                <w:rFonts w:cs="Calibri"/>
                <w:color w:val="000000"/>
              </w:rPr>
              <w:t>-</w:t>
            </w:r>
          </w:p>
        </w:tc>
      </w:tr>
      <w:tr w:rsidR="002001B3" w:rsidRPr="00837B75" w14:paraId="5DCF974B" w14:textId="77777777" w:rsidTr="003C6AB2">
        <w:trPr>
          <w:trHeight w:val="251"/>
          <w:jc w:val="center"/>
        </w:trPr>
        <w:tc>
          <w:tcPr>
            <w:tcW w:w="45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4744EC8" w14:textId="77777777" w:rsidR="002001B3" w:rsidRPr="00000018" w:rsidRDefault="002001B3" w:rsidP="009E6C48">
            <w:pPr>
              <w:spacing w:line="276" w:lineRule="auto"/>
              <w:ind w:firstLine="0"/>
              <w:rPr>
                <w:rFonts w:cs="Calibri"/>
                <w:color w:val="000000"/>
              </w:rPr>
            </w:pPr>
            <w:r w:rsidRPr="00000018">
              <w:rPr>
                <w:rFonts w:cs="Calibri"/>
                <w:color w:val="000000"/>
              </w:rPr>
              <w:t>Համաշխարհային Բանկ (2020 հ</w:t>
            </w:r>
            <w:r w:rsidRPr="00000018">
              <w:rPr>
                <w:rFonts w:cs="Calibri"/>
                <w:color w:val="000000"/>
                <w:lang w:val="ru-RU"/>
              </w:rPr>
              <w:t>ուն</w:t>
            </w:r>
            <w:r w:rsidRPr="00000018">
              <w:rPr>
                <w:rFonts w:cs="Calibri"/>
                <w:color w:val="000000"/>
              </w:rPr>
              <w:t>իս)</w:t>
            </w:r>
          </w:p>
        </w:tc>
        <w:tc>
          <w:tcPr>
            <w:tcW w:w="1237" w:type="dxa"/>
            <w:tcBorders>
              <w:top w:val="single" w:sz="4" w:space="0" w:color="auto"/>
              <w:left w:val="single" w:sz="4" w:space="0" w:color="auto"/>
              <w:bottom w:val="single" w:sz="4" w:space="0" w:color="auto"/>
              <w:right w:val="single" w:sz="4" w:space="0" w:color="auto"/>
            </w:tcBorders>
            <w:noWrap/>
            <w:vAlign w:val="center"/>
            <w:hideMark/>
          </w:tcPr>
          <w:p w14:paraId="3CFF1D1B" w14:textId="77777777" w:rsidR="002001B3" w:rsidRPr="00000018" w:rsidRDefault="002001B3" w:rsidP="009E6C48">
            <w:pPr>
              <w:spacing w:line="276" w:lineRule="auto"/>
              <w:jc w:val="center"/>
              <w:rPr>
                <w:rFonts w:cs="Calibri"/>
                <w:color w:val="000000"/>
              </w:rPr>
            </w:pPr>
            <w:r w:rsidRPr="00000018">
              <w:rPr>
                <w:rFonts w:cs="Calibri"/>
                <w:color w:val="000000"/>
              </w:rPr>
              <w:t>-2.8</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220C7578" w14:textId="77777777" w:rsidR="002001B3" w:rsidRPr="00000018" w:rsidRDefault="002001B3" w:rsidP="009E6C48">
            <w:pPr>
              <w:spacing w:line="276" w:lineRule="auto"/>
              <w:jc w:val="center"/>
              <w:rPr>
                <w:rFonts w:cs="Calibri"/>
                <w:color w:val="000000"/>
              </w:rPr>
            </w:pPr>
            <w:r w:rsidRPr="00000018">
              <w:rPr>
                <w:rFonts w:cs="Calibri"/>
                <w:color w:val="000000"/>
              </w:rPr>
              <w:t>4.9</w:t>
            </w:r>
          </w:p>
        </w:tc>
        <w:tc>
          <w:tcPr>
            <w:tcW w:w="1098" w:type="dxa"/>
            <w:tcBorders>
              <w:top w:val="single" w:sz="4" w:space="0" w:color="auto"/>
              <w:left w:val="single" w:sz="4" w:space="0" w:color="auto"/>
              <w:bottom w:val="single" w:sz="4" w:space="0" w:color="auto"/>
              <w:right w:val="single" w:sz="4" w:space="0" w:color="auto"/>
            </w:tcBorders>
          </w:tcPr>
          <w:p w14:paraId="53033C35" w14:textId="77777777" w:rsidR="002001B3" w:rsidRPr="00000018" w:rsidRDefault="002001B3" w:rsidP="009E6C48">
            <w:pPr>
              <w:spacing w:line="276" w:lineRule="auto"/>
              <w:jc w:val="right"/>
              <w:rPr>
                <w:rFonts w:cs="Calibri"/>
                <w:color w:val="000000"/>
              </w:rPr>
            </w:pPr>
            <w:r w:rsidRPr="00000018">
              <w:rPr>
                <w:rFonts w:cs="Calibri"/>
                <w:color w:val="000000"/>
              </w:rPr>
              <w:t>-</w:t>
            </w:r>
          </w:p>
        </w:tc>
        <w:tc>
          <w:tcPr>
            <w:tcW w:w="995" w:type="dxa"/>
            <w:tcBorders>
              <w:top w:val="single" w:sz="4" w:space="0" w:color="auto"/>
              <w:left w:val="single" w:sz="4" w:space="0" w:color="auto"/>
              <w:bottom w:val="single" w:sz="4" w:space="0" w:color="auto"/>
              <w:right w:val="single" w:sz="4" w:space="0" w:color="auto"/>
            </w:tcBorders>
          </w:tcPr>
          <w:p w14:paraId="3E299F43" w14:textId="77777777" w:rsidR="002001B3" w:rsidRPr="00000018" w:rsidRDefault="002001B3" w:rsidP="009E6C48">
            <w:pPr>
              <w:spacing w:line="276" w:lineRule="auto"/>
              <w:jc w:val="right"/>
              <w:rPr>
                <w:rFonts w:cs="Calibri"/>
                <w:color w:val="000000"/>
              </w:rPr>
            </w:pPr>
            <w:r w:rsidRPr="00000018">
              <w:rPr>
                <w:rFonts w:cs="Calibri"/>
                <w:color w:val="000000"/>
              </w:rPr>
              <w:t>-</w:t>
            </w:r>
          </w:p>
        </w:tc>
      </w:tr>
      <w:tr w:rsidR="002001B3" w:rsidRPr="00837B75" w14:paraId="25F2EB33" w14:textId="77777777" w:rsidTr="009E6C48">
        <w:trPr>
          <w:trHeight w:val="260"/>
          <w:jc w:val="center"/>
        </w:trPr>
        <w:tc>
          <w:tcPr>
            <w:tcW w:w="459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FEBFCCC" w14:textId="77777777" w:rsidR="002001B3" w:rsidRPr="00000018" w:rsidRDefault="002001B3" w:rsidP="009E6C48">
            <w:pPr>
              <w:spacing w:line="276" w:lineRule="auto"/>
              <w:ind w:firstLine="0"/>
              <w:rPr>
                <w:rFonts w:cs="Calibri"/>
                <w:color w:val="000000"/>
              </w:rPr>
            </w:pPr>
            <w:r w:rsidRPr="00000018">
              <w:rPr>
                <w:rFonts w:cs="Calibri"/>
                <w:color w:val="000000"/>
              </w:rPr>
              <w:t xml:space="preserve">Ֆիթչ (2020 </w:t>
            </w:r>
            <w:r w:rsidRPr="00000018">
              <w:rPr>
                <w:rFonts w:cs="Calibri"/>
                <w:color w:val="000000"/>
                <w:lang w:val="hy-AM"/>
              </w:rPr>
              <w:t>ապրիլ</w:t>
            </w:r>
            <w:r w:rsidRPr="00000018">
              <w:rPr>
                <w:rFonts w:cs="Calibri"/>
                <w:color w:val="000000"/>
              </w:rPr>
              <w:t>)</w:t>
            </w:r>
          </w:p>
        </w:tc>
        <w:tc>
          <w:tcPr>
            <w:tcW w:w="123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B4E152C" w14:textId="77777777" w:rsidR="002001B3" w:rsidRPr="00000018" w:rsidRDefault="002001B3" w:rsidP="003C6AB2">
            <w:pPr>
              <w:spacing w:line="276" w:lineRule="auto"/>
              <w:jc w:val="center"/>
              <w:rPr>
                <w:rFonts w:cs="Calibri"/>
                <w:color w:val="000000"/>
              </w:rPr>
            </w:pPr>
            <w:r w:rsidRPr="00000018">
              <w:rPr>
                <w:rFonts w:cs="Calibri"/>
                <w:color w:val="000000"/>
              </w:rPr>
              <w:t>0.5</w:t>
            </w:r>
          </w:p>
        </w:tc>
        <w:tc>
          <w:tcPr>
            <w:tcW w:w="1170"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D8F0497" w14:textId="77777777" w:rsidR="002001B3" w:rsidRPr="00000018" w:rsidRDefault="002001B3" w:rsidP="003C6AB2">
            <w:pPr>
              <w:spacing w:line="276" w:lineRule="auto"/>
              <w:jc w:val="center"/>
              <w:rPr>
                <w:rFonts w:cs="Calibri"/>
                <w:color w:val="000000"/>
              </w:rPr>
            </w:pPr>
            <w:r w:rsidRPr="00000018">
              <w:rPr>
                <w:rFonts w:cs="Calibri"/>
                <w:color w:val="000000"/>
              </w:rPr>
              <w:t>5.5</w:t>
            </w:r>
          </w:p>
        </w:tc>
        <w:tc>
          <w:tcPr>
            <w:tcW w:w="109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2AFD2E6" w14:textId="77777777" w:rsidR="002001B3" w:rsidRPr="00000018" w:rsidRDefault="002001B3" w:rsidP="003C6AB2">
            <w:pPr>
              <w:spacing w:line="276" w:lineRule="auto"/>
              <w:jc w:val="center"/>
              <w:rPr>
                <w:rFonts w:cs="Calibri"/>
                <w:color w:val="000000"/>
              </w:rPr>
            </w:pPr>
            <w:r w:rsidRPr="00000018">
              <w:rPr>
                <w:rFonts w:cs="Calibri"/>
                <w:color w:val="000000"/>
              </w:rPr>
              <w:t>-</w:t>
            </w:r>
          </w:p>
        </w:tc>
        <w:tc>
          <w:tcPr>
            <w:tcW w:w="99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E3A8450" w14:textId="77777777" w:rsidR="002001B3" w:rsidRPr="00000018" w:rsidRDefault="002001B3" w:rsidP="003C6AB2">
            <w:pPr>
              <w:spacing w:line="276" w:lineRule="auto"/>
              <w:jc w:val="center"/>
              <w:rPr>
                <w:rFonts w:cs="Calibri"/>
                <w:color w:val="000000"/>
              </w:rPr>
            </w:pPr>
            <w:r w:rsidRPr="00000018">
              <w:rPr>
                <w:rFonts w:cs="Calibri"/>
                <w:color w:val="000000"/>
              </w:rPr>
              <w:t>-</w:t>
            </w:r>
          </w:p>
        </w:tc>
      </w:tr>
    </w:tbl>
    <w:p w14:paraId="7335B9FF" w14:textId="13489C90" w:rsidR="002001B3" w:rsidRPr="00000018" w:rsidRDefault="002001B3" w:rsidP="002001B3">
      <w:pPr>
        <w:spacing w:line="276" w:lineRule="auto"/>
        <w:ind w:firstLine="720"/>
        <w:rPr>
          <w:rFonts w:cs="Sylfaen"/>
          <w:bCs/>
          <w:i/>
          <w:iCs/>
          <w:sz w:val="20"/>
          <w:szCs w:val="20"/>
          <w:lang w:val="hy-AM"/>
        </w:rPr>
      </w:pPr>
      <w:r w:rsidRPr="00000018">
        <w:rPr>
          <w:rFonts w:cs="Sylfaen"/>
          <w:bCs/>
          <w:i/>
          <w:iCs/>
          <w:sz w:val="20"/>
          <w:szCs w:val="20"/>
          <w:lang w:val="hy-AM"/>
        </w:rPr>
        <w:t>Աղբյուրը՝ համապատասխա</w:t>
      </w:r>
      <w:r w:rsidR="007724F4">
        <w:rPr>
          <w:rFonts w:cs="Sylfaen"/>
          <w:bCs/>
          <w:i/>
          <w:iCs/>
          <w:sz w:val="20"/>
          <w:szCs w:val="20"/>
          <w:lang w:val="hy-AM"/>
        </w:rPr>
        <w:t>ն</w:t>
      </w:r>
      <w:r w:rsidRPr="00000018">
        <w:rPr>
          <w:rFonts w:cs="Sylfaen"/>
          <w:bCs/>
          <w:i/>
          <w:iCs/>
          <w:sz w:val="20"/>
          <w:szCs w:val="20"/>
          <w:lang w:val="hy-AM"/>
        </w:rPr>
        <w:t xml:space="preserve"> կառույցների հրապարակումներ</w:t>
      </w:r>
    </w:p>
    <w:p w14:paraId="6F2D6DDC" w14:textId="77777777" w:rsidR="00E11F71" w:rsidRPr="009E6C48" w:rsidRDefault="002001B3" w:rsidP="009E6C48">
      <w:pPr>
        <w:spacing w:line="276" w:lineRule="auto"/>
        <w:ind w:left="734" w:hanging="824"/>
        <w:rPr>
          <w:sz w:val="20"/>
          <w:szCs w:val="20"/>
          <w:lang w:val="hy-AM"/>
        </w:rPr>
      </w:pPr>
      <w:r w:rsidRPr="00000018">
        <w:rPr>
          <w:rFonts w:cs="Sylfaen"/>
          <w:i/>
          <w:sz w:val="20"/>
          <w:szCs w:val="20"/>
          <w:lang w:val="hy-AM"/>
        </w:rPr>
        <w:t xml:space="preserve"> </w:t>
      </w:r>
      <w:r w:rsidRPr="00000018">
        <w:rPr>
          <w:rFonts w:cs="Sylfaen"/>
          <w:i/>
          <w:sz w:val="20"/>
          <w:szCs w:val="20"/>
          <w:lang w:val="hy-AM"/>
        </w:rPr>
        <w:tab/>
        <w:t>«-» տվյալները հասանելի չեն</w:t>
      </w:r>
      <w:bookmarkStart w:id="372" w:name="_Toc14684188"/>
      <w:bookmarkStart w:id="373" w:name="_Toc500177756"/>
      <w:bookmarkStart w:id="374" w:name="_Toc13837390"/>
      <w:bookmarkStart w:id="375" w:name="_Toc45838559"/>
    </w:p>
    <w:p w14:paraId="3CDC8570" w14:textId="77777777" w:rsidR="00E11F71" w:rsidRPr="00C76568" w:rsidRDefault="00E11F71" w:rsidP="009E6C48">
      <w:pPr>
        <w:pStyle w:val="Heading3"/>
        <w:numPr>
          <w:ilvl w:val="0"/>
          <w:numId w:val="0"/>
        </w:numPr>
        <w:spacing w:before="0" w:after="120"/>
        <w:rPr>
          <w:rFonts w:eastAsia="Times New Roman" w:cs="Times New Roman"/>
          <w:caps w:val="0"/>
          <w:color w:val="1F497D" w:themeColor="text2"/>
          <w:sz w:val="28"/>
          <w:szCs w:val="28"/>
        </w:rPr>
      </w:pPr>
      <w:bookmarkStart w:id="376" w:name="_Toc14687615"/>
      <w:bookmarkStart w:id="377" w:name="_Toc13837279"/>
      <w:bookmarkStart w:id="378" w:name="_Toc45838560"/>
      <w:bookmarkStart w:id="379" w:name="_Toc46154385"/>
      <w:r w:rsidRPr="00C76568">
        <w:rPr>
          <w:rFonts w:eastAsia="Times New Roman" w:cs="Times New Roman"/>
          <w:caps w:val="0"/>
          <w:color w:val="1F497D" w:themeColor="text2"/>
          <w:sz w:val="28"/>
          <w:szCs w:val="28"/>
        </w:rPr>
        <w:lastRenderedPageBreak/>
        <w:t>3. ՊԵՏԱԿԱՆ ԲՅՈՒՋԵԻ ՎՐԱ ՄԱԿՐՈՏՆՏԵՍԱԿԱՆ ԿԱՆԽԱՏԵՍՎԱԾ ՑՈՒՑԱՆԻՇՆԵՐԻՑ ՇԵՂՄԱՆ ՌԻՍԿԵՐԻ ԱԶԴԵՑՈՒԹՅԱՆ ՔԱՆԱԿԱԿԱՆ ԳՆԱՀԱՏՈՒՄ</w:t>
      </w:r>
      <w:bookmarkEnd w:id="376"/>
      <w:bookmarkEnd w:id="377"/>
      <w:bookmarkEnd w:id="378"/>
      <w:bookmarkEnd w:id="379"/>
    </w:p>
    <w:p w14:paraId="72F7DE8B" w14:textId="77777777" w:rsidR="00E11F71" w:rsidRPr="00DF51C8" w:rsidRDefault="00E11F71" w:rsidP="00E11F71">
      <w:pPr>
        <w:pStyle w:val="BodyText2"/>
        <w:spacing w:line="276" w:lineRule="auto"/>
        <w:ind w:firstLine="0"/>
        <w:rPr>
          <w:b/>
          <w:color w:val="1F497D" w:themeColor="text2"/>
          <w:sz w:val="24"/>
          <w:szCs w:val="24"/>
          <w:lang w:val="hy-AM"/>
        </w:rPr>
      </w:pPr>
      <w:bookmarkStart w:id="380" w:name="_Toc14687616"/>
      <w:bookmarkStart w:id="381" w:name="_Toc13837280"/>
      <w:r>
        <w:rPr>
          <w:b/>
          <w:color w:val="1F497D" w:themeColor="text2"/>
          <w:sz w:val="24"/>
          <w:szCs w:val="24"/>
          <w:lang w:val="es-ES"/>
        </w:rPr>
        <w:t>3</w:t>
      </w:r>
      <w:r w:rsidRPr="00DF51C8">
        <w:rPr>
          <w:b/>
          <w:color w:val="1F497D" w:themeColor="text2"/>
          <w:sz w:val="24"/>
          <w:szCs w:val="24"/>
          <w:lang w:val="hy-AM"/>
        </w:rPr>
        <w:t>.1</w:t>
      </w:r>
      <w:r w:rsidR="009E6C48">
        <w:rPr>
          <w:b/>
          <w:color w:val="1F497D" w:themeColor="text2"/>
          <w:sz w:val="24"/>
          <w:szCs w:val="24"/>
          <w:lang w:val="hy-AM"/>
        </w:rPr>
        <w:t>.</w:t>
      </w:r>
      <w:r w:rsidRPr="00DF51C8">
        <w:rPr>
          <w:b/>
          <w:color w:val="1F497D" w:themeColor="text2"/>
          <w:sz w:val="24"/>
          <w:szCs w:val="24"/>
          <w:lang w:val="hy-AM"/>
        </w:rPr>
        <w:t xml:space="preserve"> 2021-2023 </w:t>
      </w:r>
      <w:r w:rsidRPr="00EB1197">
        <w:rPr>
          <w:b/>
          <w:color w:val="1F497D" w:themeColor="text2"/>
          <w:sz w:val="24"/>
          <w:szCs w:val="24"/>
          <w:lang w:val="hy-AM"/>
        </w:rPr>
        <w:t>թվականներին</w:t>
      </w:r>
      <w:r w:rsidRPr="00DF51C8">
        <w:rPr>
          <w:b/>
          <w:color w:val="1F497D" w:themeColor="text2"/>
          <w:sz w:val="24"/>
          <w:szCs w:val="24"/>
          <w:lang w:val="hy-AM"/>
        </w:rPr>
        <w:t xml:space="preserve"> </w:t>
      </w:r>
      <w:r w:rsidRPr="00EB1197">
        <w:rPr>
          <w:b/>
          <w:color w:val="1F497D" w:themeColor="text2"/>
          <w:sz w:val="24"/>
          <w:szCs w:val="24"/>
          <w:lang w:val="hy-AM"/>
        </w:rPr>
        <w:t>ՄԺԾԾ</w:t>
      </w:r>
      <w:r w:rsidRPr="00DF51C8">
        <w:rPr>
          <w:b/>
          <w:color w:val="1F497D" w:themeColor="text2"/>
          <w:sz w:val="24"/>
          <w:szCs w:val="24"/>
          <w:lang w:val="hy-AM"/>
        </w:rPr>
        <w:t xml:space="preserve"> </w:t>
      </w:r>
      <w:r w:rsidRPr="00EB1197">
        <w:rPr>
          <w:b/>
          <w:color w:val="1F497D" w:themeColor="text2"/>
          <w:sz w:val="24"/>
          <w:szCs w:val="24"/>
          <w:lang w:val="hy-AM"/>
        </w:rPr>
        <w:t>հարկային</w:t>
      </w:r>
      <w:r w:rsidRPr="00DF51C8">
        <w:rPr>
          <w:b/>
          <w:color w:val="1F497D" w:themeColor="text2"/>
          <w:sz w:val="24"/>
          <w:szCs w:val="24"/>
          <w:lang w:val="hy-AM"/>
        </w:rPr>
        <w:t xml:space="preserve"> </w:t>
      </w:r>
      <w:r w:rsidRPr="00EB1197">
        <w:rPr>
          <w:b/>
          <w:color w:val="1F497D" w:themeColor="text2"/>
          <w:sz w:val="24"/>
          <w:szCs w:val="24"/>
          <w:lang w:val="hy-AM"/>
        </w:rPr>
        <w:t>եկամուտների</w:t>
      </w:r>
      <w:r w:rsidRPr="00DF51C8">
        <w:rPr>
          <w:b/>
          <w:color w:val="1F497D" w:themeColor="text2"/>
          <w:sz w:val="24"/>
          <w:szCs w:val="24"/>
          <w:lang w:val="hy-AM"/>
        </w:rPr>
        <w:t xml:space="preserve"> </w:t>
      </w:r>
      <w:r w:rsidRPr="00EB1197">
        <w:rPr>
          <w:b/>
          <w:color w:val="1F497D" w:themeColor="text2"/>
          <w:sz w:val="24"/>
          <w:szCs w:val="24"/>
          <w:lang w:val="hy-AM"/>
        </w:rPr>
        <w:t>վրա</w:t>
      </w:r>
      <w:r w:rsidRPr="00DF51C8">
        <w:rPr>
          <w:b/>
          <w:color w:val="1F497D" w:themeColor="text2"/>
          <w:sz w:val="24"/>
          <w:szCs w:val="24"/>
          <w:lang w:val="hy-AM"/>
        </w:rPr>
        <w:t xml:space="preserve"> </w:t>
      </w:r>
      <w:r w:rsidRPr="00EB1197">
        <w:rPr>
          <w:b/>
          <w:color w:val="1F497D" w:themeColor="text2"/>
          <w:sz w:val="24"/>
          <w:szCs w:val="24"/>
          <w:lang w:val="hy-AM"/>
        </w:rPr>
        <w:t>մակրոտնտեսական</w:t>
      </w:r>
      <w:r w:rsidRPr="00DF51C8">
        <w:rPr>
          <w:b/>
          <w:color w:val="1F497D" w:themeColor="text2"/>
          <w:sz w:val="24"/>
          <w:szCs w:val="24"/>
          <w:lang w:val="hy-AM"/>
        </w:rPr>
        <w:t xml:space="preserve"> </w:t>
      </w:r>
      <w:r w:rsidRPr="00EB1197">
        <w:rPr>
          <w:b/>
          <w:color w:val="1F497D" w:themeColor="text2"/>
          <w:sz w:val="24"/>
          <w:szCs w:val="24"/>
          <w:lang w:val="hy-AM"/>
        </w:rPr>
        <w:t>ցուցանիշների</w:t>
      </w:r>
      <w:r w:rsidRPr="00DF51C8">
        <w:rPr>
          <w:b/>
          <w:color w:val="1F497D" w:themeColor="text2"/>
          <w:sz w:val="24"/>
          <w:szCs w:val="24"/>
          <w:lang w:val="hy-AM"/>
        </w:rPr>
        <w:t xml:space="preserve"> </w:t>
      </w:r>
      <w:r w:rsidRPr="00EB1197">
        <w:rPr>
          <w:b/>
          <w:color w:val="1F497D" w:themeColor="text2"/>
          <w:sz w:val="24"/>
          <w:szCs w:val="24"/>
          <w:lang w:val="hy-AM"/>
        </w:rPr>
        <w:t>կանխատեսվածից</w:t>
      </w:r>
      <w:r w:rsidRPr="00DF51C8">
        <w:rPr>
          <w:b/>
          <w:color w:val="1F497D" w:themeColor="text2"/>
          <w:sz w:val="24"/>
          <w:szCs w:val="24"/>
          <w:lang w:val="hy-AM"/>
        </w:rPr>
        <w:t xml:space="preserve"> </w:t>
      </w:r>
      <w:r w:rsidRPr="00EB1197">
        <w:rPr>
          <w:b/>
          <w:color w:val="1F497D" w:themeColor="text2"/>
          <w:sz w:val="24"/>
          <w:szCs w:val="24"/>
          <w:lang w:val="hy-AM"/>
        </w:rPr>
        <w:t>շեղման</w:t>
      </w:r>
      <w:r w:rsidRPr="00DF51C8">
        <w:rPr>
          <w:b/>
          <w:color w:val="1F497D" w:themeColor="text2"/>
          <w:sz w:val="24"/>
          <w:szCs w:val="24"/>
          <w:lang w:val="hy-AM"/>
        </w:rPr>
        <w:t xml:space="preserve"> </w:t>
      </w:r>
      <w:r w:rsidRPr="00EB1197">
        <w:rPr>
          <w:b/>
          <w:color w:val="1F497D" w:themeColor="text2"/>
          <w:sz w:val="24"/>
          <w:szCs w:val="24"/>
          <w:lang w:val="hy-AM"/>
        </w:rPr>
        <w:t>ռիսկերի</w:t>
      </w:r>
      <w:r w:rsidRPr="00DF51C8">
        <w:rPr>
          <w:b/>
          <w:color w:val="1F497D" w:themeColor="text2"/>
          <w:sz w:val="24"/>
          <w:szCs w:val="24"/>
          <w:lang w:val="hy-AM"/>
        </w:rPr>
        <w:t xml:space="preserve"> </w:t>
      </w:r>
      <w:r w:rsidRPr="00EB1197">
        <w:rPr>
          <w:b/>
          <w:color w:val="1F497D" w:themeColor="text2"/>
          <w:sz w:val="24"/>
          <w:szCs w:val="24"/>
          <w:lang w:val="hy-AM"/>
        </w:rPr>
        <w:t>ազդեցության</w:t>
      </w:r>
      <w:r w:rsidRPr="00DF51C8">
        <w:rPr>
          <w:b/>
          <w:color w:val="1F497D" w:themeColor="text2"/>
          <w:sz w:val="24"/>
          <w:szCs w:val="24"/>
          <w:lang w:val="hy-AM"/>
        </w:rPr>
        <w:t xml:space="preserve"> </w:t>
      </w:r>
      <w:r w:rsidRPr="00EB1197">
        <w:rPr>
          <w:b/>
          <w:color w:val="1F497D" w:themeColor="text2"/>
          <w:sz w:val="24"/>
          <w:szCs w:val="24"/>
          <w:lang w:val="hy-AM"/>
        </w:rPr>
        <w:t>քանակական</w:t>
      </w:r>
      <w:r w:rsidRPr="00DF51C8">
        <w:rPr>
          <w:b/>
          <w:color w:val="1F497D" w:themeColor="text2"/>
          <w:sz w:val="24"/>
          <w:szCs w:val="24"/>
          <w:lang w:val="hy-AM"/>
        </w:rPr>
        <w:t xml:space="preserve"> </w:t>
      </w:r>
      <w:r w:rsidRPr="00EB1197">
        <w:rPr>
          <w:b/>
          <w:color w:val="1F497D" w:themeColor="text2"/>
          <w:sz w:val="24"/>
          <w:szCs w:val="24"/>
          <w:lang w:val="hy-AM"/>
        </w:rPr>
        <w:t>գնահատումը</w:t>
      </w:r>
    </w:p>
    <w:bookmarkEnd w:id="380"/>
    <w:bookmarkEnd w:id="381"/>
    <w:p w14:paraId="2A2177ED" w14:textId="77777777" w:rsidR="00E11F71" w:rsidRPr="00E040C1" w:rsidRDefault="00E11F71" w:rsidP="00E11F71">
      <w:pPr>
        <w:spacing w:after="120" w:line="276" w:lineRule="auto"/>
        <w:ind w:firstLine="720"/>
        <w:rPr>
          <w:rFonts w:cs="Sylfaen"/>
          <w:lang w:val="hy-AM"/>
        </w:rPr>
      </w:pPr>
      <w:r w:rsidRPr="00E040C1">
        <w:rPr>
          <w:rFonts w:cs="Sylfaen"/>
          <w:lang w:val="hy-AM"/>
        </w:rPr>
        <w:t xml:space="preserve">Միջնաժամկետ հատվածում հարկային եկամուտների կանխատեսվող հոսքերի վրա մակրոտնտեսական բնույթի ռիսկերի ազդեցության քանակական գնահատումը հիմնվել է ստորև նկարագրված </w:t>
      </w:r>
      <w:r w:rsidRPr="00E040C1">
        <w:rPr>
          <w:rFonts w:cs="Sylfaen"/>
          <w:b/>
          <w:lang w:val="hy-AM"/>
        </w:rPr>
        <w:t>կանխատեսումների ռիսկի և</w:t>
      </w:r>
      <w:r w:rsidRPr="00E040C1">
        <w:rPr>
          <w:rFonts w:cs="Sylfaen"/>
          <w:lang w:val="hy-AM"/>
        </w:rPr>
        <w:t xml:space="preserve"> </w:t>
      </w:r>
      <w:r w:rsidRPr="00E040C1">
        <w:rPr>
          <w:rFonts w:cs="Sylfaen"/>
          <w:b/>
          <w:lang w:val="hy-AM"/>
        </w:rPr>
        <w:t>ենթադրություններից</w:t>
      </w:r>
      <w:r w:rsidRPr="00E040C1">
        <w:rPr>
          <w:rFonts w:cs="Sylfaen"/>
          <w:b/>
          <w:lang w:val="bg-BG"/>
        </w:rPr>
        <w:t xml:space="preserve"> </w:t>
      </w:r>
      <w:r w:rsidRPr="00E040C1">
        <w:rPr>
          <w:rFonts w:cs="Sylfaen"/>
          <w:b/>
          <w:lang w:val="hy-AM"/>
        </w:rPr>
        <w:t>շեղումների</w:t>
      </w:r>
      <w:r w:rsidRPr="00E040C1">
        <w:rPr>
          <w:rFonts w:cs="Sylfaen"/>
          <w:b/>
          <w:lang w:val="bg-BG"/>
        </w:rPr>
        <w:t xml:space="preserve"> </w:t>
      </w:r>
      <w:r w:rsidRPr="00E040C1">
        <w:rPr>
          <w:rFonts w:cs="Sylfaen"/>
          <w:b/>
          <w:lang w:val="hy-AM"/>
        </w:rPr>
        <w:t>ռիսկի</w:t>
      </w:r>
      <w:r w:rsidRPr="00E040C1">
        <w:rPr>
          <w:rFonts w:cs="Sylfaen"/>
          <w:lang w:val="hy-AM"/>
        </w:rPr>
        <w:t xml:space="preserve"> վրա:</w:t>
      </w:r>
    </w:p>
    <w:p w14:paraId="61029BA2" w14:textId="77777777" w:rsidR="00E11F71" w:rsidRPr="00E040C1" w:rsidRDefault="00E11F71" w:rsidP="00E11F71">
      <w:pPr>
        <w:spacing w:after="120" w:line="276" w:lineRule="auto"/>
        <w:ind w:firstLine="720"/>
        <w:rPr>
          <w:rFonts w:cs="Sylfaen"/>
          <w:b/>
          <w:lang w:val="hy-AM"/>
        </w:rPr>
      </w:pPr>
      <w:r w:rsidRPr="00E040C1">
        <w:rPr>
          <w:rFonts w:cs="Sylfaen"/>
          <w:b/>
          <w:lang w:val="hy-AM"/>
        </w:rPr>
        <w:t>1. Կանխատեսումների ռիսկ</w:t>
      </w:r>
    </w:p>
    <w:p w14:paraId="3C197C34" w14:textId="77777777" w:rsidR="00E11F71" w:rsidRDefault="00E11F71" w:rsidP="00E11F71">
      <w:pPr>
        <w:spacing w:after="120" w:line="276" w:lineRule="auto"/>
        <w:ind w:firstLine="720"/>
        <w:rPr>
          <w:rFonts w:cs="Sylfaen"/>
          <w:lang w:val="sk-SK"/>
        </w:rPr>
      </w:pPr>
      <w:r w:rsidRPr="00E040C1">
        <w:rPr>
          <w:rFonts w:cs="Sylfaen"/>
          <w:lang w:val="hy-AM"/>
        </w:rPr>
        <w:t>Սովորաբար կանխատեսումներ իրականացնելիս ի հայտ են գալիս հանգամանքներ,</w:t>
      </w:r>
      <w:r w:rsidRPr="00E040C1">
        <w:rPr>
          <w:rFonts w:cs="Sylfaen"/>
          <w:lang w:val="sk-SK"/>
        </w:rPr>
        <w:t xml:space="preserve"> </w:t>
      </w:r>
      <w:r w:rsidRPr="00E040C1">
        <w:rPr>
          <w:rFonts w:cs="Sylfaen"/>
          <w:lang w:val="hy-AM"/>
        </w:rPr>
        <w:t>որոնք կապված են լինում օգտագործվող կանխատեսման մոդելների տեղայնացումից և մասնավորեցումից</w:t>
      </w:r>
      <w:r w:rsidRPr="00E040C1">
        <w:rPr>
          <w:rFonts w:cs="Sylfaen"/>
          <w:lang w:val="sk-SK"/>
        </w:rPr>
        <w:t xml:space="preserve">, </w:t>
      </w:r>
      <w:r w:rsidRPr="00E040C1">
        <w:rPr>
          <w:rFonts w:cs="Sylfaen"/>
          <w:lang w:val="hy-AM"/>
        </w:rPr>
        <w:t>տնտեսության կառուցվածքային տեղաշարժերից</w:t>
      </w:r>
      <w:r w:rsidRPr="00E040C1">
        <w:rPr>
          <w:rStyle w:val="FootnoteReference"/>
          <w:rFonts w:cs="Sylfaen"/>
        </w:rPr>
        <w:footnoteReference w:id="14"/>
      </w:r>
      <w:r w:rsidRPr="00E040C1">
        <w:rPr>
          <w:rFonts w:cs="Sylfaen"/>
          <w:lang w:val="sk-SK"/>
        </w:rPr>
        <w:t xml:space="preserve">, </w:t>
      </w:r>
      <w:r w:rsidRPr="00E040C1">
        <w:rPr>
          <w:rFonts w:cs="Sylfaen"/>
          <w:lang w:val="hy-AM"/>
        </w:rPr>
        <w:t>նոր երևույթներից</w:t>
      </w:r>
      <w:r w:rsidRPr="00E040C1">
        <w:rPr>
          <w:rFonts w:cs="Sylfaen"/>
          <w:lang w:val="sk-SK"/>
        </w:rPr>
        <w:t xml:space="preserve"> (</w:t>
      </w:r>
      <w:r w:rsidRPr="00E040C1">
        <w:rPr>
          <w:rFonts w:cs="Sylfaen"/>
          <w:lang w:val="hy-AM"/>
        </w:rPr>
        <w:t>որի վերաբերյալ նախկինում տեղեկատվությունը բացակայել է</w:t>
      </w:r>
      <w:r w:rsidRPr="00E040C1">
        <w:rPr>
          <w:rFonts w:cs="Sylfaen"/>
          <w:lang w:val="sk-SK"/>
        </w:rPr>
        <w:t xml:space="preserve">) </w:t>
      </w:r>
      <w:r w:rsidRPr="00E040C1">
        <w:rPr>
          <w:rFonts w:cs="Sylfaen"/>
          <w:lang w:val="hy-AM"/>
        </w:rPr>
        <w:t>և այլն</w:t>
      </w:r>
      <w:r w:rsidRPr="00E040C1">
        <w:rPr>
          <w:rFonts w:cs="Sylfaen"/>
          <w:lang w:val="sk-SK"/>
        </w:rPr>
        <w:t xml:space="preserve">: </w:t>
      </w:r>
      <w:r w:rsidRPr="00E040C1">
        <w:rPr>
          <w:rFonts w:cs="Sylfaen"/>
          <w:lang w:val="hy-AM"/>
        </w:rPr>
        <w:t>Այս ռիսկերն ընդունված է անվանել կանխա</w:t>
      </w:r>
      <w:r w:rsidRPr="00E040C1">
        <w:rPr>
          <w:rFonts w:cs="Sylfaen"/>
          <w:lang w:val="bg-BG"/>
        </w:rPr>
        <w:softHyphen/>
      </w:r>
      <w:r w:rsidRPr="00E040C1">
        <w:rPr>
          <w:rFonts w:cs="Sylfaen"/>
          <w:lang w:val="hy-AM"/>
        </w:rPr>
        <w:t>տես</w:t>
      </w:r>
      <w:r w:rsidRPr="00E040C1">
        <w:rPr>
          <w:rFonts w:cs="Sylfaen"/>
          <w:lang w:val="sk-SK"/>
        </w:rPr>
        <w:softHyphen/>
      </w:r>
      <w:r w:rsidRPr="00E040C1">
        <w:rPr>
          <w:rFonts w:cs="Sylfaen"/>
          <w:lang w:val="hy-AM"/>
        </w:rPr>
        <w:t>ման ռիսկեր</w:t>
      </w:r>
      <w:r w:rsidRPr="00E040C1">
        <w:rPr>
          <w:rFonts w:cs="Sylfaen"/>
          <w:lang w:val="sk-SK"/>
        </w:rPr>
        <w:t xml:space="preserve">: </w:t>
      </w:r>
      <w:r w:rsidRPr="00E040C1">
        <w:rPr>
          <w:rFonts w:cs="Sylfaen"/>
          <w:lang w:val="hy-AM"/>
        </w:rPr>
        <w:t>ՄԺԾԾ տեսանկյունից կարևորվում է ՀՆԱ</w:t>
      </w:r>
      <w:r w:rsidRPr="00E040C1">
        <w:rPr>
          <w:rFonts w:cs="Sylfaen"/>
          <w:lang w:val="sk-SK"/>
        </w:rPr>
        <w:t>-</w:t>
      </w:r>
      <w:r w:rsidRPr="00E040C1">
        <w:rPr>
          <w:rFonts w:cs="Sylfaen"/>
          <w:lang w:val="hy-AM"/>
        </w:rPr>
        <w:t>ի կանխատեսման ռիսկի գնահատումը</w:t>
      </w:r>
      <w:r w:rsidRPr="00E040C1">
        <w:rPr>
          <w:rFonts w:cs="Sylfaen"/>
          <w:lang w:val="sk-SK"/>
        </w:rPr>
        <w:t xml:space="preserve">, </w:t>
      </w:r>
      <w:r w:rsidRPr="00E040C1">
        <w:rPr>
          <w:rFonts w:cs="Sylfaen"/>
          <w:lang w:val="hy-AM"/>
        </w:rPr>
        <w:t xml:space="preserve">քանի որ ՄԺԾԾ սցենարի </w:t>
      </w:r>
      <w:r>
        <w:rPr>
          <w:rFonts w:cs="Sylfaen"/>
          <w:lang w:val="hy-AM"/>
        </w:rPr>
        <w:t>սահուն</w:t>
      </w:r>
      <w:r w:rsidRPr="00E040C1">
        <w:rPr>
          <w:rFonts w:cs="Sylfaen"/>
          <w:lang w:val="hy-AM"/>
        </w:rPr>
        <w:t xml:space="preserve"> իրականացումը կախված է տնտեսությունում ստեղծված անվանական ՀՆԱ</w:t>
      </w:r>
      <w:r w:rsidRPr="00E040C1">
        <w:rPr>
          <w:rFonts w:cs="Sylfaen"/>
          <w:lang w:val="sk-SK"/>
        </w:rPr>
        <w:t>-</w:t>
      </w:r>
      <w:r w:rsidRPr="00E040C1">
        <w:rPr>
          <w:rFonts w:cs="Sylfaen"/>
          <w:lang w:val="hy-AM"/>
        </w:rPr>
        <w:t>ի մեծությունից</w:t>
      </w:r>
      <w:r w:rsidRPr="00E040C1">
        <w:rPr>
          <w:rFonts w:cs="Sylfaen"/>
          <w:lang w:val="sk-SK"/>
        </w:rPr>
        <w:t xml:space="preserve">: </w:t>
      </w:r>
      <w:r w:rsidRPr="00E040C1">
        <w:rPr>
          <w:rFonts w:cs="Sylfaen"/>
          <w:lang w:val="hy-AM"/>
        </w:rPr>
        <w:t>ՀՆԱ-ի գծով կանխատեսումների ռիսկը գնահատվ</w:t>
      </w:r>
      <w:r w:rsidRPr="00E040C1">
        <w:rPr>
          <w:rFonts w:cs="Sylfaen"/>
          <w:lang w:val="bg-BG"/>
        </w:rPr>
        <w:t xml:space="preserve">ել </w:t>
      </w:r>
      <w:r w:rsidRPr="00E040C1">
        <w:rPr>
          <w:rFonts w:cs="Sylfaen"/>
          <w:lang w:val="hy-AM"/>
        </w:rPr>
        <w:t>է հետճգնաժամային տարիներին միջնաժամկետ ծախսերի ծրագրերի հիմքում դրվող ՀՆԱ-ի կանխատեսված ցուցա</w:t>
      </w:r>
      <w:r w:rsidRPr="00E040C1">
        <w:rPr>
          <w:rFonts w:cs="Sylfaen"/>
          <w:lang w:val="sk-SK"/>
        </w:rPr>
        <w:softHyphen/>
      </w:r>
      <w:r w:rsidRPr="00E040C1">
        <w:rPr>
          <w:rFonts w:cs="Sylfaen"/>
          <w:lang w:val="hy-AM"/>
        </w:rPr>
        <w:t>նիշների և ՀՆԱ-ի փաստացի ցուցանիշների միջև շեղման հիման վրա</w:t>
      </w:r>
      <w:r w:rsidRPr="00E040C1">
        <w:rPr>
          <w:rFonts w:cs="Sylfaen"/>
          <w:lang w:val="sk-SK"/>
        </w:rPr>
        <w:t xml:space="preserve">: </w:t>
      </w:r>
    </w:p>
    <w:p w14:paraId="38BEB560" w14:textId="77777777" w:rsidR="00E11F71" w:rsidRPr="005B2DDA" w:rsidRDefault="00E11F71" w:rsidP="00E11F71">
      <w:pPr>
        <w:spacing w:after="120" w:line="276" w:lineRule="auto"/>
        <w:ind w:firstLine="720"/>
        <w:rPr>
          <w:rFonts w:cs="Sylfaen"/>
          <w:lang w:val="sk-SK"/>
        </w:rPr>
      </w:pPr>
      <w:r>
        <w:rPr>
          <w:rFonts w:cs="Sylfaen"/>
          <w:lang w:val="hy-AM"/>
        </w:rPr>
        <w:t>Հատկապես ներկա իրավիճակում՝ կ</w:t>
      </w:r>
      <w:r w:rsidRPr="005B2DDA">
        <w:rPr>
          <w:rFonts w:cs="Sylfaen"/>
          <w:lang w:val="sk-SK"/>
        </w:rPr>
        <w:t>որոնավիրուսի տարածման և տևողության անորոշությունների հետևանքով</w:t>
      </w:r>
      <w:r>
        <w:rPr>
          <w:rFonts w:cs="Sylfaen"/>
          <w:lang w:val="hy-AM"/>
        </w:rPr>
        <w:t>,</w:t>
      </w:r>
      <w:r w:rsidRPr="005B2DDA">
        <w:rPr>
          <w:rFonts w:cs="Sylfaen"/>
          <w:lang w:val="sk-SK"/>
        </w:rPr>
        <w:t xml:space="preserve"> տնտեսական աճի ռիսկերը գնահատվում են առավելապես դեպի ներքև, որը պայմանավորված է ճգնաժամից տնտեսության վերականգնման անորոշությունների՝ ավելի ուշ դուրս գալու ռիսկերով: Բացի այդ, մակրոտնտեսական կանխատեսումներում ներառված չեն ԱՄՀ կողմից համաշխարհային և գործընկեր երկրներ տնտեսական աճերի կանխատեսման դեպի ներքև վերանայումները, որոնք ևս մեծացնում են դեպի ներքև ռիսկերը:</w:t>
      </w:r>
    </w:p>
    <w:p w14:paraId="0740FF97" w14:textId="77777777" w:rsidR="00E11F71" w:rsidRPr="00E040C1" w:rsidRDefault="00E11F71" w:rsidP="00E11F71">
      <w:pPr>
        <w:spacing w:after="120" w:line="276" w:lineRule="auto"/>
        <w:ind w:firstLine="720"/>
        <w:rPr>
          <w:rFonts w:cs="Sylfaen"/>
          <w:lang w:val="sk-SK"/>
        </w:rPr>
      </w:pPr>
      <w:r w:rsidRPr="00E040C1">
        <w:rPr>
          <w:rFonts w:cs="Sylfaen"/>
          <w:lang w:val="hy-AM"/>
        </w:rPr>
        <w:t>ՀՆԱ</w:t>
      </w:r>
      <w:r w:rsidRPr="00E040C1">
        <w:rPr>
          <w:rFonts w:cs="Sylfaen"/>
          <w:lang w:val="sk-SK"/>
        </w:rPr>
        <w:t>-</w:t>
      </w:r>
      <w:r w:rsidRPr="00E040C1">
        <w:rPr>
          <w:rFonts w:cs="Sylfaen"/>
          <w:lang w:val="hy-AM"/>
        </w:rPr>
        <w:t xml:space="preserve">ի միջնաժամկետ կանխատեսումներից փաստացիի շեղումները </w:t>
      </w:r>
      <w:r w:rsidRPr="00E040C1">
        <w:rPr>
          <w:rFonts w:cs="Sylfaen"/>
          <w:lang w:val="sk-SK"/>
        </w:rPr>
        <w:t>նախաճգնաժամային 2003-2008</w:t>
      </w:r>
      <w:r w:rsidRPr="00E040C1">
        <w:rPr>
          <w:rFonts w:cs="Sylfaen"/>
          <w:lang w:val="hy-AM"/>
        </w:rPr>
        <w:t xml:space="preserve"> </w:t>
      </w:r>
      <w:r w:rsidRPr="00E040C1">
        <w:rPr>
          <w:rFonts w:cs="Sylfaen"/>
          <w:lang w:val="sk-SK"/>
        </w:rPr>
        <w:t>թ</w:t>
      </w:r>
      <w:r w:rsidRPr="00E040C1">
        <w:rPr>
          <w:rFonts w:cs="Sylfaen"/>
          <w:lang w:val="hy-AM"/>
        </w:rPr>
        <w:t>վականների</w:t>
      </w:r>
      <w:r w:rsidRPr="00E040C1">
        <w:rPr>
          <w:rFonts w:cs="Sylfaen"/>
          <w:lang w:val="sk-SK"/>
        </w:rPr>
        <w:t xml:space="preserve"> համար ե</w:t>
      </w:r>
      <w:r w:rsidRPr="00E040C1">
        <w:rPr>
          <w:rFonts w:cs="Sylfaen"/>
          <w:lang w:val="hy-AM"/>
        </w:rPr>
        <w:t xml:space="preserve">ղել են </w:t>
      </w:r>
      <w:r w:rsidRPr="00E040C1">
        <w:rPr>
          <w:rFonts w:cs="Sylfaen"/>
          <w:lang w:val="bg-BG"/>
        </w:rPr>
        <w:t>7.1-</w:t>
      </w:r>
      <w:r w:rsidRPr="00E040C1">
        <w:rPr>
          <w:rFonts w:cs="Sylfaen"/>
          <w:lang w:val="hy-AM"/>
        </w:rPr>
        <w:t xml:space="preserve">ից </w:t>
      </w:r>
      <w:r w:rsidRPr="00E040C1">
        <w:rPr>
          <w:rFonts w:cs="Sylfaen"/>
          <w:lang w:val="bg-BG"/>
        </w:rPr>
        <w:t>9.0</w:t>
      </w:r>
      <w:r w:rsidRPr="00E040C1">
        <w:rPr>
          <w:rFonts w:cs="Sylfaen"/>
          <w:lang w:val="hy-AM"/>
        </w:rPr>
        <w:t>-ը</w:t>
      </w:r>
      <w:r w:rsidRPr="00E040C1">
        <w:rPr>
          <w:rFonts w:cs="Sylfaen"/>
          <w:lang w:val="bg-BG"/>
        </w:rPr>
        <w:t xml:space="preserve"> </w:t>
      </w:r>
      <w:r w:rsidRPr="00E040C1">
        <w:rPr>
          <w:rFonts w:cs="Sylfaen"/>
          <w:lang w:val="hy-AM"/>
        </w:rPr>
        <w:t>տոկոսային կետ</w:t>
      </w:r>
      <w:r w:rsidRPr="00E040C1">
        <w:rPr>
          <w:rFonts w:cs="Sylfaen"/>
          <w:lang w:val="bg-BG"/>
        </w:rPr>
        <w:t xml:space="preserve">, </w:t>
      </w:r>
      <w:r w:rsidRPr="00E040C1">
        <w:rPr>
          <w:rFonts w:cs="Sylfaen"/>
          <w:lang w:val="hy-AM"/>
        </w:rPr>
        <w:t xml:space="preserve">իսկ </w:t>
      </w:r>
      <w:r w:rsidRPr="00E040C1">
        <w:rPr>
          <w:rFonts w:cs="Sylfaen"/>
          <w:lang w:val="sk-SK"/>
        </w:rPr>
        <w:t xml:space="preserve">հետճգնաժամային </w:t>
      </w:r>
      <w:r w:rsidRPr="00E040C1">
        <w:rPr>
          <w:rFonts w:cs="Sylfaen"/>
          <w:lang w:val="bg-BG"/>
        </w:rPr>
        <w:t>2010-201</w:t>
      </w:r>
      <w:r w:rsidRPr="00E040C1">
        <w:rPr>
          <w:rFonts w:cs="Sylfaen"/>
          <w:lang w:val="hy-AM"/>
        </w:rPr>
        <w:t>9 թվականների համար՝</w:t>
      </w:r>
      <w:r w:rsidRPr="00E040C1">
        <w:rPr>
          <w:rFonts w:cs="Sylfaen"/>
          <w:lang w:val="bg-BG"/>
        </w:rPr>
        <w:t xml:space="preserve"> </w:t>
      </w:r>
      <w:r w:rsidRPr="00E040C1">
        <w:rPr>
          <w:rFonts w:cs="Sylfaen"/>
          <w:lang w:val="sk-SK"/>
        </w:rPr>
        <w:t>2.0</w:t>
      </w:r>
      <w:r w:rsidRPr="00E040C1">
        <w:rPr>
          <w:rFonts w:cs="Sylfaen"/>
          <w:lang w:val="hy-AM"/>
        </w:rPr>
        <w:t xml:space="preserve">-ից </w:t>
      </w:r>
      <w:r w:rsidRPr="00E040C1">
        <w:rPr>
          <w:rFonts w:cs="Sylfaen"/>
          <w:lang w:val="sk-SK"/>
        </w:rPr>
        <w:t xml:space="preserve">2.6 </w:t>
      </w:r>
      <w:r w:rsidRPr="00E040C1">
        <w:rPr>
          <w:rFonts w:cs="Sylfaen"/>
          <w:lang w:val="hy-AM"/>
        </w:rPr>
        <w:t>տոկոսային կետ</w:t>
      </w:r>
      <w:r w:rsidRPr="00E040C1">
        <w:rPr>
          <w:rFonts w:cs="Sylfaen"/>
          <w:lang w:val="sk-SK"/>
        </w:rPr>
        <w:t xml:space="preserve">: </w:t>
      </w:r>
      <w:r w:rsidRPr="00E040C1">
        <w:rPr>
          <w:rFonts w:cs="Sylfaen"/>
          <w:lang w:val="hy-AM"/>
        </w:rPr>
        <w:t>Այս պարագայում</w:t>
      </w:r>
      <w:r w:rsidRPr="00E040C1">
        <w:rPr>
          <w:rFonts w:cs="Sylfaen"/>
          <w:lang w:val="sk-SK"/>
        </w:rPr>
        <w:t xml:space="preserve">, հաշվի առնելով </w:t>
      </w:r>
      <w:r w:rsidRPr="00E040C1">
        <w:rPr>
          <w:rFonts w:cs="Sylfaen"/>
          <w:lang w:val="sk-SK"/>
        </w:rPr>
        <w:lastRenderedPageBreak/>
        <w:t>կանխատեսվածից ցածր ՀՆԱ-ի ձևավորման վերոնկարագրյալ ռիսկերի գերակշռությունը` որպես ռիսկ է դիտարկվել ՀՆԱ-ի կանխատեսված մակարդակից 2.0 տոկոսային կետով ավելի ցածր մակարդակի ձևավորումը 2021 թվականին, 2.3 տոկոսային կետով ցածր</w:t>
      </w:r>
      <w:r w:rsidRPr="00E040C1">
        <w:rPr>
          <w:rFonts w:cs="Sylfaen"/>
          <w:lang w:val="hy-AM"/>
        </w:rPr>
        <w:t>՝</w:t>
      </w:r>
      <w:r w:rsidRPr="00E040C1">
        <w:rPr>
          <w:rFonts w:cs="Sylfaen"/>
          <w:lang w:val="sk-SK"/>
        </w:rPr>
        <w:t xml:space="preserve"> 2022 թվականին և 2.6 տոկոսային կետով ցածր</w:t>
      </w:r>
      <w:r w:rsidRPr="00E040C1">
        <w:rPr>
          <w:rFonts w:cs="Sylfaen"/>
          <w:lang w:val="hy-AM"/>
        </w:rPr>
        <w:t>՝</w:t>
      </w:r>
      <w:r w:rsidRPr="00E040C1">
        <w:rPr>
          <w:rFonts w:cs="Sylfaen"/>
          <w:lang w:val="sk-SK"/>
        </w:rPr>
        <w:t xml:space="preserve"> 2023 թվականին:</w:t>
      </w:r>
    </w:p>
    <w:p w14:paraId="639A03EB" w14:textId="77777777" w:rsidR="00E11F71" w:rsidRPr="00E040C1" w:rsidRDefault="00E11F71" w:rsidP="00E11F71">
      <w:pPr>
        <w:spacing w:after="120" w:line="276" w:lineRule="auto"/>
        <w:ind w:firstLine="720"/>
        <w:rPr>
          <w:rFonts w:cs="Sylfaen"/>
          <w:lang w:val="ro-RO"/>
        </w:rPr>
      </w:pPr>
      <w:r w:rsidRPr="00E040C1">
        <w:rPr>
          <w:rFonts w:cs="Sylfaen"/>
          <w:lang w:val="ro-RO"/>
        </w:rPr>
        <w:t>Արդյունքում, ՀՆԱ նվազման ռիսկի ազդեցությունը հարկային եկամուտների վրա 2021, 2022 և 2023 թվականների համար գնահատվում է համապատասխանաբար 10.1, 14.1 և 18.3 մլրդ ՀՀ դրամ ֆինանսական պահանջի ավելացման ուղղությամբ:</w:t>
      </w:r>
    </w:p>
    <w:p w14:paraId="269533D3" w14:textId="77777777" w:rsidR="00E11F71" w:rsidRPr="00E040C1" w:rsidRDefault="00E11F71" w:rsidP="00E11F71">
      <w:pPr>
        <w:spacing w:after="120" w:line="276" w:lineRule="auto"/>
        <w:ind w:firstLine="720"/>
        <w:rPr>
          <w:rFonts w:cs="Sylfaen"/>
          <w:b/>
          <w:lang w:val="hy-AM"/>
        </w:rPr>
      </w:pPr>
      <w:r w:rsidRPr="00E040C1">
        <w:rPr>
          <w:rFonts w:cs="Sylfaen"/>
          <w:b/>
          <w:lang w:val="bg-BG"/>
        </w:rPr>
        <w:t xml:space="preserve">2. </w:t>
      </w:r>
      <w:r w:rsidRPr="00E040C1">
        <w:rPr>
          <w:rFonts w:cs="Sylfaen"/>
          <w:b/>
          <w:lang w:val="hy-AM"/>
        </w:rPr>
        <w:t>Ենթադրություններից</w:t>
      </w:r>
      <w:r w:rsidRPr="00E040C1">
        <w:rPr>
          <w:rFonts w:cs="Sylfaen"/>
          <w:b/>
          <w:lang w:val="bg-BG"/>
        </w:rPr>
        <w:t xml:space="preserve"> </w:t>
      </w:r>
      <w:r w:rsidRPr="00E040C1">
        <w:rPr>
          <w:rFonts w:cs="Sylfaen"/>
          <w:b/>
          <w:lang w:val="hy-AM"/>
        </w:rPr>
        <w:t>շեղումների</w:t>
      </w:r>
      <w:r w:rsidRPr="00E040C1">
        <w:rPr>
          <w:rFonts w:cs="Sylfaen"/>
          <w:b/>
          <w:lang w:val="bg-BG"/>
        </w:rPr>
        <w:t xml:space="preserve"> </w:t>
      </w:r>
      <w:r w:rsidRPr="00E040C1">
        <w:rPr>
          <w:rFonts w:cs="Sylfaen"/>
          <w:b/>
          <w:lang w:val="hy-AM"/>
        </w:rPr>
        <w:t>ռիսկ</w:t>
      </w:r>
    </w:p>
    <w:p w14:paraId="44F1FD3E" w14:textId="77777777" w:rsidR="00E11F71" w:rsidRPr="00E040C1" w:rsidRDefault="00E11F71" w:rsidP="00E11F71">
      <w:pPr>
        <w:spacing w:after="120" w:line="276" w:lineRule="auto"/>
        <w:ind w:firstLine="720"/>
        <w:rPr>
          <w:rFonts w:cs="Sylfaen"/>
          <w:lang w:val="hy-AM"/>
        </w:rPr>
      </w:pPr>
      <w:r w:rsidRPr="00E040C1">
        <w:rPr>
          <w:rFonts w:cs="Sylfaen"/>
          <w:lang w:val="hy-AM"/>
        </w:rPr>
        <w:t>ՄԺԾԾ հիմքում դրվող կանխատեսումները կառուցվում են որոշակի ենթադրու</w:t>
      </w:r>
      <w:r w:rsidRPr="00E040C1">
        <w:rPr>
          <w:rFonts w:cs="Sylfaen"/>
          <w:lang w:val="ro-RO"/>
        </w:rPr>
        <w:softHyphen/>
      </w:r>
      <w:r w:rsidRPr="00E040C1">
        <w:rPr>
          <w:rFonts w:cs="Sylfaen"/>
          <w:lang w:val="hy-AM"/>
        </w:rPr>
        <w:t>թյու</w:t>
      </w:r>
      <w:r w:rsidRPr="00E040C1">
        <w:rPr>
          <w:rFonts w:cs="Sylfaen"/>
          <w:lang w:val="ro-RO"/>
        </w:rPr>
        <w:softHyphen/>
      </w:r>
      <w:r w:rsidRPr="00E040C1">
        <w:rPr>
          <w:rFonts w:cs="Sylfaen"/>
          <w:lang w:val="hy-AM"/>
        </w:rPr>
        <w:t>նների հիման</w:t>
      </w:r>
      <w:r w:rsidRPr="00E040C1">
        <w:rPr>
          <w:rFonts w:cs="Sylfaen"/>
          <w:lang w:val="ro-RO"/>
        </w:rPr>
        <w:t xml:space="preserve"> </w:t>
      </w:r>
      <w:r w:rsidRPr="00E040C1">
        <w:rPr>
          <w:rFonts w:cs="Sylfaen"/>
          <w:lang w:val="hy-AM"/>
        </w:rPr>
        <w:t>վրա</w:t>
      </w:r>
      <w:r w:rsidRPr="00E040C1">
        <w:rPr>
          <w:rFonts w:cs="Sylfaen"/>
          <w:lang w:val="ro-RO"/>
        </w:rPr>
        <w:t xml:space="preserve">, </w:t>
      </w:r>
      <w:r w:rsidRPr="00E040C1">
        <w:rPr>
          <w:rFonts w:cs="Sylfaen"/>
          <w:lang w:val="hy-AM"/>
        </w:rPr>
        <w:t>որոնք էլ իրենց հերթին կախված են արտաքին գործոններից</w:t>
      </w:r>
      <w:r w:rsidRPr="00E040C1">
        <w:rPr>
          <w:rFonts w:cs="Sylfaen"/>
          <w:lang w:val="ro-RO"/>
        </w:rPr>
        <w:t xml:space="preserve"> (</w:t>
      </w:r>
      <w:r w:rsidRPr="00E040C1">
        <w:rPr>
          <w:rFonts w:cs="Sylfaen"/>
          <w:lang w:val="hy-AM"/>
        </w:rPr>
        <w:t>օրինակ,</w:t>
      </w:r>
      <w:r w:rsidRPr="00E040C1">
        <w:rPr>
          <w:rFonts w:cs="Sylfaen"/>
          <w:lang w:val="ro-RO"/>
        </w:rPr>
        <w:t xml:space="preserve"> </w:t>
      </w:r>
      <w:r w:rsidRPr="00E040C1">
        <w:rPr>
          <w:rFonts w:cs="Sylfaen"/>
          <w:lang w:val="hy-AM"/>
        </w:rPr>
        <w:t>ներքին տնտեսության գնաճը` միջազգային շուկաների գների կանխատեսվող վարքագծից</w:t>
      </w:r>
      <w:r w:rsidRPr="00E040C1">
        <w:rPr>
          <w:rFonts w:cs="Sylfaen"/>
          <w:lang w:val="ro-RO"/>
        </w:rPr>
        <w:t xml:space="preserve">): </w:t>
      </w:r>
      <w:r w:rsidRPr="00E040C1">
        <w:rPr>
          <w:rFonts w:cs="Sylfaen"/>
          <w:lang w:val="hy-AM"/>
        </w:rPr>
        <w:t>Սակայն միշտ չէ</w:t>
      </w:r>
      <w:r w:rsidRPr="00E040C1">
        <w:rPr>
          <w:rFonts w:cs="Sylfaen"/>
          <w:lang w:val="ro-RO"/>
        </w:rPr>
        <w:t xml:space="preserve">, </w:t>
      </w:r>
      <w:r w:rsidRPr="00E040C1">
        <w:rPr>
          <w:rFonts w:cs="Sylfaen"/>
          <w:lang w:val="hy-AM"/>
        </w:rPr>
        <w:t>որ այդ ենթադրությունները կանխատեսվող հորիզոնում իրականություն են դառնում՝ կապված ՀՀ</w:t>
      </w:r>
      <w:r w:rsidRPr="00E040C1">
        <w:rPr>
          <w:rFonts w:cs="Sylfaen"/>
          <w:lang w:val="ro-RO"/>
        </w:rPr>
        <w:t xml:space="preserve"> </w:t>
      </w:r>
      <w:r w:rsidRPr="00E040C1">
        <w:rPr>
          <w:rFonts w:cs="Sylfaen"/>
          <w:lang w:val="hy-AM"/>
        </w:rPr>
        <w:t>կառավարության և ՀՀ</w:t>
      </w:r>
      <w:r w:rsidRPr="00E040C1">
        <w:rPr>
          <w:rFonts w:cs="Sylfaen"/>
          <w:lang w:val="ro-RO"/>
        </w:rPr>
        <w:t xml:space="preserve"> </w:t>
      </w:r>
      <w:r w:rsidRPr="00E040C1">
        <w:rPr>
          <w:rFonts w:cs="Sylfaen"/>
          <w:lang w:val="hy-AM"/>
        </w:rPr>
        <w:t>ԿԲ-ի կառավարման դաշտից դուրս ի հայտ եկող երևույթների հետ</w:t>
      </w:r>
      <w:r w:rsidRPr="00E040C1">
        <w:rPr>
          <w:rFonts w:cs="Sylfaen"/>
          <w:lang w:val="ro-RO"/>
        </w:rPr>
        <w:t xml:space="preserve"> (</w:t>
      </w:r>
      <w:r w:rsidRPr="00E040C1">
        <w:rPr>
          <w:rFonts w:cs="Sylfaen"/>
          <w:lang w:val="hy-AM"/>
        </w:rPr>
        <w:t>օրինակ</w:t>
      </w:r>
      <w:r w:rsidRPr="00E040C1">
        <w:rPr>
          <w:rFonts w:cs="Sylfaen"/>
          <w:lang w:val="ro-RO"/>
        </w:rPr>
        <w:t xml:space="preserve">` </w:t>
      </w:r>
      <w:r w:rsidRPr="00E040C1">
        <w:rPr>
          <w:rFonts w:cs="Sylfaen"/>
          <w:lang w:val="hy-AM"/>
        </w:rPr>
        <w:t>նավթի համաշխարհային գների հնարավոր փոփոխությունները</w:t>
      </w:r>
      <w:r w:rsidRPr="00E040C1">
        <w:rPr>
          <w:rFonts w:cs="Sylfaen"/>
          <w:lang w:val="ro-RO"/>
        </w:rPr>
        <w:t xml:space="preserve">): </w:t>
      </w:r>
    </w:p>
    <w:p w14:paraId="128D1A54" w14:textId="77777777" w:rsidR="00E11F71" w:rsidRPr="00E040C1" w:rsidRDefault="00E11F71" w:rsidP="00E11F71">
      <w:pPr>
        <w:spacing w:after="120" w:line="276" w:lineRule="auto"/>
        <w:ind w:firstLine="720"/>
        <w:rPr>
          <w:rFonts w:cs="Sylfaen"/>
          <w:lang w:val="hy-AM"/>
        </w:rPr>
      </w:pPr>
      <w:r w:rsidRPr="00E040C1">
        <w:rPr>
          <w:rFonts w:cs="Sylfaen"/>
          <w:lang w:val="hy-AM"/>
        </w:rPr>
        <w:t>Ենթադրություններից շեղումների ռիսկ է</w:t>
      </w:r>
      <w:r>
        <w:rPr>
          <w:rFonts w:cs="Sylfaen"/>
          <w:lang w:val="hy-AM"/>
        </w:rPr>
        <w:t xml:space="preserve"> նաև</w:t>
      </w:r>
      <w:r w:rsidRPr="00E040C1">
        <w:rPr>
          <w:rFonts w:cs="Sylfaen"/>
          <w:lang w:val="hy-AM"/>
        </w:rPr>
        <w:t xml:space="preserve"> Ե</w:t>
      </w:r>
      <w:r>
        <w:rPr>
          <w:rFonts w:cs="Sylfaen"/>
          <w:lang w:val="hy-AM"/>
        </w:rPr>
        <w:t>Ա</w:t>
      </w:r>
      <w:r w:rsidRPr="00E040C1">
        <w:rPr>
          <w:rFonts w:cs="Sylfaen"/>
          <w:lang w:val="hy-AM"/>
        </w:rPr>
        <w:t>ՏՄ անդամ պետությունների տնտեսական զարգացումները: Միաժամանակ, ՀՀ պետական բյուջեի հարկային եկամուտներում մաքսա</w:t>
      </w:r>
      <w:r w:rsidRPr="00E040C1">
        <w:rPr>
          <w:rFonts w:cs="Sylfaen"/>
          <w:lang w:val="hy-AM"/>
        </w:rPr>
        <w:softHyphen/>
        <w:t>տուր</w:t>
      </w:r>
      <w:r w:rsidRPr="00E040C1">
        <w:rPr>
          <w:rFonts w:cs="Sylfaen"/>
          <w:lang w:val="hy-AM"/>
        </w:rPr>
        <w:softHyphen/>
        <w:t>քերի մասնաբաժինը կարող է փոփոխվել նոր պետությունների Ե</w:t>
      </w:r>
      <w:r>
        <w:rPr>
          <w:rFonts w:cs="Sylfaen"/>
          <w:lang w:val="hy-AM"/>
        </w:rPr>
        <w:t>Ա</w:t>
      </w:r>
      <w:r w:rsidRPr="00E040C1">
        <w:rPr>
          <w:rFonts w:cs="Sylfaen"/>
          <w:lang w:val="hy-AM"/>
        </w:rPr>
        <w:t>ՏՄ-ին անդամակ</w:t>
      </w:r>
      <w:r w:rsidRPr="00E040C1">
        <w:rPr>
          <w:rFonts w:cs="Sylfaen"/>
          <w:lang w:val="hy-AM"/>
        </w:rPr>
        <w:softHyphen/>
        <w:t xml:space="preserve">ցությունից: </w:t>
      </w:r>
    </w:p>
    <w:p w14:paraId="4A37C415" w14:textId="77777777" w:rsidR="00E11F71" w:rsidRPr="00E040C1" w:rsidRDefault="00E11F71" w:rsidP="00E11F71">
      <w:pPr>
        <w:spacing w:after="120" w:line="276" w:lineRule="auto"/>
        <w:ind w:firstLine="720"/>
        <w:rPr>
          <w:rFonts w:cs="Sylfaen"/>
          <w:b/>
          <w:lang w:val="ro-RO"/>
        </w:rPr>
      </w:pPr>
      <w:r w:rsidRPr="00E040C1">
        <w:rPr>
          <w:rFonts w:cs="Sylfaen"/>
          <w:b/>
          <w:lang w:val="ro-RO"/>
        </w:rPr>
        <w:t xml:space="preserve">2.1. </w:t>
      </w:r>
      <w:r w:rsidRPr="00E040C1">
        <w:rPr>
          <w:rFonts w:cs="Sylfaen"/>
          <w:b/>
          <w:lang w:val="hy-AM"/>
        </w:rPr>
        <w:t>Գնաճի շեղման հնարավոր չափը</w:t>
      </w:r>
    </w:p>
    <w:p w14:paraId="586A42FA" w14:textId="77777777" w:rsidR="00E11F71" w:rsidRPr="00E040C1" w:rsidRDefault="00E11F71" w:rsidP="00E11F71">
      <w:pPr>
        <w:spacing w:after="120" w:line="276" w:lineRule="auto"/>
        <w:ind w:firstLine="720"/>
        <w:rPr>
          <w:rFonts w:cs="Sylfaen"/>
          <w:lang w:val="ro-RO"/>
        </w:rPr>
      </w:pPr>
      <w:r w:rsidRPr="00E040C1">
        <w:rPr>
          <w:rFonts w:cs="Sylfaen"/>
          <w:lang w:val="hy-AM"/>
        </w:rPr>
        <w:t>Գնաճի ցուցանիշի</w:t>
      </w:r>
      <w:r w:rsidRPr="00E040C1">
        <w:rPr>
          <w:rFonts w:cs="Sylfaen"/>
          <w:lang w:val="ro-RO"/>
        </w:rPr>
        <w:t xml:space="preserve"> </w:t>
      </w:r>
      <w:r w:rsidRPr="00E040C1">
        <w:rPr>
          <w:rFonts w:cs="Sylfaen"/>
          <w:lang w:val="hy-AM"/>
        </w:rPr>
        <w:t>շեղման հնարավոր չափ է դիտարկվում ՀՀ</w:t>
      </w:r>
      <w:r w:rsidRPr="00E040C1">
        <w:rPr>
          <w:rFonts w:cs="Sylfaen"/>
          <w:lang w:val="ro-RO"/>
        </w:rPr>
        <w:t xml:space="preserve"> </w:t>
      </w:r>
      <w:r w:rsidRPr="00E040C1">
        <w:rPr>
          <w:rFonts w:cs="Sylfaen"/>
          <w:lang w:val="hy-AM"/>
        </w:rPr>
        <w:t>ԿԲ</w:t>
      </w:r>
      <w:r w:rsidRPr="00E040C1">
        <w:rPr>
          <w:rFonts w:cs="Sylfaen"/>
          <w:lang w:val="ro-RO"/>
        </w:rPr>
        <w:t>-</w:t>
      </w:r>
      <w:r w:rsidRPr="00E040C1">
        <w:rPr>
          <w:rFonts w:cs="Sylfaen"/>
          <w:lang w:val="hy-AM"/>
        </w:rPr>
        <w:t>ի կողմից</w:t>
      </w:r>
      <w:r w:rsidRPr="00E040C1">
        <w:rPr>
          <w:rFonts w:cs="Sylfaen"/>
          <w:lang w:val="ro-RO"/>
        </w:rPr>
        <w:t xml:space="preserve"> դրամավարկային քաղաքականության ծրագրում </w:t>
      </w:r>
      <w:r w:rsidRPr="00E040C1">
        <w:rPr>
          <w:rFonts w:cs="Sylfaen"/>
          <w:lang w:val="bg-BG"/>
        </w:rPr>
        <w:t>(</w:t>
      </w:r>
      <w:r w:rsidRPr="00E040C1">
        <w:rPr>
          <w:rFonts w:cs="Sylfaen"/>
          <w:lang w:val="hy-AM"/>
        </w:rPr>
        <w:t>գնաճի հաշվետվություններում</w:t>
      </w:r>
      <w:r w:rsidRPr="00E040C1">
        <w:rPr>
          <w:rFonts w:cs="Sylfaen"/>
          <w:lang w:val="bg-BG"/>
        </w:rPr>
        <w:t>)</w:t>
      </w:r>
      <w:r w:rsidRPr="00E040C1">
        <w:rPr>
          <w:rFonts w:cs="Sylfaen"/>
          <w:lang w:val="hy-AM"/>
        </w:rPr>
        <w:t xml:space="preserve"> ներկայացվող գնաճի նպատակային</w:t>
      </w:r>
      <w:r w:rsidRPr="00E040C1">
        <w:rPr>
          <w:rFonts w:cs="Sylfaen"/>
          <w:lang w:val="ro-RO"/>
        </w:rPr>
        <w:t xml:space="preserve"> </w:t>
      </w:r>
      <w:r w:rsidRPr="00E040C1">
        <w:rPr>
          <w:rFonts w:cs="Sylfaen"/>
          <w:lang w:val="hy-AM"/>
        </w:rPr>
        <w:t>ցուցանիշի</w:t>
      </w:r>
      <w:r w:rsidRPr="00E040C1">
        <w:rPr>
          <w:rFonts w:cs="Sylfaen"/>
          <w:lang w:val="ro-RO"/>
        </w:rPr>
        <w:t xml:space="preserve"> </w:t>
      </w:r>
      <w:r w:rsidRPr="00E040C1">
        <w:rPr>
          <w:rFonts w:cs="Sylfaen"/>
          <w:lang w:val="hy-AM"/>
        </w:rPr>
        <w:t>կենտրոնական արժեքից շեղման առավելագույն չափը</w:t>
      </w:r>
      <w:r w:rsidRPr="00E040C1">
        <w:rPr>
          <w:rFonts w:cs="Sylfaen"/>
          <w:lang w:val="ro-RO"/>
        </w:rPr>
        <w:t xml:space="preserve">: </w:t>
      </w:r>
    </w:p>
    <w:p w14:paraId="7F98597E" w14:textId="77777777" w:rsidR="00E11F71" w:rsidRPr="00E040C1" w:rsidRDefault="00E11F71" w:rsidP="00E11F71">
      <w:pPr>
        <w:spacing w:after="120" w:line="276" w:lineRule="auto"/>
        <w:ind w:firstLine="720"/>
        <w:rPr>
          <w:rFonts w:cs="Sylfaen"/>
          <w:lang w:val="ro-RO"/>
        </w:rPr>
      </w:pPr>
      <w:r w:rsidRPr="00E040C1">
        <w:rPr>
          <w:rFonts w:cs="Sylfaen"/>
        </w:rPr>
        <w:t>ՀՀ</w:t>
      </w:r>
      <w:r w:rsidRPr="00E040C1">
        <w:rPr>
          <w:rFonts w:cs="Sylfaen"/>
          <w:lang w:val="ro-RO"/>
        </w:rPr>
        <w:t xml:space="preserve"> </w:t>
      </w:r>
      <w:r w:rsidRPr="00E040C1">
        <w:rPr>
          <w:rFonts w:cs="Sylfaen"/>
        </w:rPr>
        <w:t>ԿԲ</w:t>
      </w:r>
      <w:r w:rsidRPr="00E040C1">
        <w:rPr>
          <w:rFonts w:cs="Sylfaen"/>
          <w:lang w:val="ro-RO"/>
        </w:rPr>
        <w:t>-</w:t>
      </w:r>
      <w:r w:rsidRPr="00E040C1">
        <w:rPr>
          <w:rFonts w:cs="Sylfaen"/>
        </w:rPr>
        <w:t>ի</w:t>
      </w:r>
      <w:r w:rsidRPr="00E040C1">
        <w:rPr>
          <w:rFonts w:cs="Sylfaen"/>
          <w:lang w:val="ro-RO"/>
        </w:rPr>
        <w:t xml:space="preserve"> </w:t>
      </w:r>
      <w:r w:rsidRPr="00E040C1">
        <w:rPr>
          <w:rFonts w:cs="Sylfaen"/>
        </w:rPr>
        <w:t>կողմից</w:t>
      </w:r>
      <w:r w:rsidRPr="00E040C1">
        <w:rPr>
          <w:rFonts w:cs="Sylfaen"/>
          <w:lang w:val="ro-RO"/>
        </w:rPr>
        <w:t xml:space="preserve"> </w:t>
      </w:r>
      <w:r w:rsidRPr="00E040C1">
        <w:rPr>
          <w:rFonts w:cs="Sylfaen"/>
        </w:rPr>
        <w:t>միջնաժամկետ</w:t>
      </w:r>
      <w:r w:rsidRPr="00E040C1">
        <w:rPr>
          <w:rFonts w:cs="Sylfaen"/>
          <w:lang w:val="ro-RO"/>
        </w:rPr>
        <w:t xml:space="preserve"> </w:t>
      </w:r>
      <w:r w:rsidRPr="00E040C1">
        <w:rPr>
          <w:rFonts w:cs="Sylfaen"/>
        </w:rPr>
        <w:t>հորիզոնում</w:t>
      </w:r>
      <w:r w:rsidRPr="00E040C1">
        <w:rPr>
          <w:rFonts w:cs="Sylfaen"/>
          <w:lang w:val="ro-RO"/>
        </w:rPr>
        <w:t xml:space="preserve"> </w:t>
      </w:r>
      <w:r w:rsidRPr="00E040C1">
        <w:rPr>
          <w:rFonts w:cs="Sylfaen"/>
        </w:rPr>
        <w:t>գնահատվում</w:t>
      </w:r>
      <w:r w:rsidRPr="00E040C1">
        <w:rPr>
          <w:rFonts w:cs="Sylfaen"/>
          <w:lang w:val="ro-RO"/>
        </w:rPr>
        <w:t xml:space="preserve"> </w:t>
      </w:r>
      <w:r w:rsidRPr="00E040C1">
        <w:rPr>
          <w:rFonts w:cs="Sylfaen"/>
        </w:rPr>
        <w:t>է</w:t>
      </w:r>
      <w:r w:rsidRPr="00E040C1">
        <w:rPr>
          <w:rFonts w:cs="Sylfaen"/>
          <w:lang w:val="ro-RO"/>
        </w:rPr>
        <w:t xml:space="preserve"> </w:t>
      </w:r>
      <w:r w:rsidRPr="00E040C1">
        <w:rPr>
          <w:rFonts w:cs="Sylfaen"/>
        </w:rPr>
        <w:t>գնաճի</w:t>
      </w:r>
      <w:r w:rsidRPr="00E040C1">
        <w:rPr>
          <w:rFonts w:cs="Sylfaen"/>
          <w:lang w:val="ro-RO"/>
        </w:rPr>
        <w:t xml:space="preserve"> </w:t>
      </w:r>
      <w:r w:rsidRPr="00E040C1">
        <w:rPr>
          <w:rFonts w:cs="Sylfaen"/>
        </w:rPr>
        <w:t>կայունացում</w:t>
      </w:r>
      <w:r w:rsidRPr="00E040C1">
        <w:rPr>
          <w:rFonts w:cs="Sylfaen"/>
          <w:lang w:val="ro-RO"/>
        </w:rPr>
        <w:t xml:space="preserve"> </w:t>
      </w:r>
      <w:r w:rsidRPr="00E040C1">
        <w:rPr>
          <w:rFonts w:cs="Sylfaen"/>
        </w:rPr>
        <w:t>նպատակային</w:t>
      </w:r>
      <w:r w:rsidRPr="00E040C1">
        <w:rPr>
          <w:rFonts w:cs="Sylfaen"/>
          <w:lang w:val="ro-RO"/>
        </w:rPr>
        <w:t xml:space="preserve"> </w:t>
      </w:r>
      <w:r w:rsidRPr="00E040C1">
        <w:rPr>
          <w:rFonts w:cs="Sylfaen"/>
        </w:rPr>
        <w:t>ցուցանիշի</w:t>
      </w:r>
      <w:r w:rsidRPr="00E040C1">
        <w:rPr>
          <w:rFonts w:cs="Sylfaen"/>
          <w:lang w:val="ro-RO"/>
        </w:rPr>
        <w:t xml:space="preserve"> </w:t>
      </w:r>
      <w:r w:rsidRPr="00E040C1">
        <w:rPr>
          <w:rFonts w:cs="Sylfaen"/>
        </w:rPr>
        <w:t>շուրջ</w:t>
      </w:r>
      <w:r w:rsidRPr="00E040C1">
        <w:rPr>
          <w:rFonts w:cs="Sylfaen"/>
          <w:lang w:val="ro-RO"/>
        </w:rPr>
        <w:t>:</w:t>
      </w:r>
      <w:r w:rsidRPr="00E040C1">
        <w:rPr>
          <w:rFonts w:cs="Sylfaen"/>
          <w:lang w:val="bg-BG"/>
        </w:rPr>
        <w:t xml:space="preserve"> </w:t>
      </w:r>
      <w:r w:rsidRPr="00E040C1">
        <w:rPr>
          <w:rFonts w:cs="Sylfaen"/>
        </w:rPr>
        <w:t>Կանխատեսված</w:t>
      </w:r>
      <w:r w:rsidRPr="00E040C1">
        <w:rPr>
          <w:rFonts w:cs="Sylfaen"/>
          <w:lang w:val="ro-RO"/>
        </w:rPr>
        <w:t xml:space="preserve"> </w:t>
      </w:r>
      <w:r w:rsidRPr="00E040C1">
        <w:rPr>
          <w:rFonts w:cs="Sylfaen"/>
        </w:rPr>
        <w:t>ցուցանիշից</w:t>
      </w:r>
      <w:r w:rsidRPr="00E040C1">
        <w:rPr>
          <w:rFonts w:cs="Sylfaen"/>
          <w:lang w:val="ro-RO"/>
        </w:rPr>
        <w:t xml:space="preserve"> </w:t>
      </w:r>
      <w:r w:rsidRPr="00E040C1">
        <w:rPr>
          <w:rFonts w:cs="Sylfaen"/>
        </w:rPr>
        <w:t>գնաճի</w:t>
      </w:r>
      <w:r w:rsidRPr="00E040C1">
        <w:rPr>
          <w:rFonts w:cs="Sylfaen"/>
          <w:lang w:val="ro-RO"/>
        </w:rPr>
        <w:t xml:space="preserve"> </w:t>
      </w:r>
      <w:r w:rsidRPr="00E040C1">
        <w:rPr>
          <w:rFonts w:cs="Sylfaen"/>
        </w:rPr>
        <w:t>շեղման</w:t>
      </w:r>
      <w:r w:rsidRPr="00E040C1">
        <w:rPr>
          <w:rFonts w:cs="Sylfaen"/>
          <w:lang w:val="ro-RO"/>
        </w:rPr>
        <w:t xml:space="preserve"> </w:t>
      </w:r>
      <w:r w:rsidRPr="00E040C1">
        <w:rPr>
          <w:rFonts w:cs="Sylfaen"/>
        </w:rPr>
        <w:t>ռիսկերը</w:t>
      </w:r>
      <w:r w:rsidRPr="00E040C1">
        <w:rPr>
          <w:rFonts w:cs="Sylfaen"/>
          <w:lang w:val="ro-RO"/>
        </w:rPr>
        <w:t xml:space="preserve"> </w:t>
      </w:r>
      <w:r w:rsidRPr="00E040C1">
        <w:rPr>
          <w:rFonts w:cs="Sylfaen"/>
        </w:rPr>
        <w:t>միջնաժամկետ</w:t>
      </w:r>
      <w:r w:rsidRPr="00E040C1">
        <w:rPr>
          <w:rFonts w:cs="Sylfaen"/>
          <w:lang w:val="ro-RO"/>
        </w:rPr>
        <w:t xml:space="preserve"> </w:t>
      </w:r>
      <w:r w:rsidRPr="00E040C1">
        <w:rPr>
          <w:rFonts w:cs="Sylfaen"/>
        </w:rPr>
        <w:t>հորիզոնում</w:t>
      </w:r>
      <w:r w:rsidRPr="00E040C1">
        <w:rPr>
          <w:rFonts w:cs="Sylfaen"/>
          <w:lang w:val="ro-RO"/>
        </w:rPr>
        <w:t xml:space="preserve"> </w:t>
      </w:r>
      <w:r w:rsidRPr="00E040C1">
        <w:rPr>
          <w:rFonts w:cs="Sylfaen"/>
        </w:rPr>
        <w:t>գնահատվում</w:t>
      </w:r>
      <w:r w:rsidRPr="00E040C1">
        <w:rPr>
          <w:rFonts w:cs="Sylfaen"/>
          <w:lang w:val="ro-RO"/>
        </w:rPr>
        <w:t xml:space="preserve"> </w:t>
      </w:r>
      <w:r w:rsidRPr="00E040C1">
        <w:rPr>
          <w:rFonts w:cs="Sylfaen"/>
        </w:rPr>
        <w:t>են</w:t>
      </w:r>
      <w:r w:rsidRPr="00E040C1">
        <w:rPr>
          <w:rFonts w:cs="Sylfaen"/>
          <w:lang w:val="ro-RO"/>
        </w:rPr>
        <w:t xml:space="preserve"> </w:t>
      </w:r>
      <w:r w:rsidRPr="00E040C1">
        <w:rPr>
          <w:rFonts w:cs="Sylfaen"/>
        </w:rPr>
        <w:t>հավասարակշռված</w:t>
      </w:r>
      <w:r w:rsidRPr="00E040C1">
        <w:rPr>
          <w:rFonts w:cs="Sylfaen"/>
          <w:lang w:val="ro-RO"/>
        </w:rPr>
        <w:t>` գ</w:t>
      </w:r>
      <w:r w:rsidRPr="00E040C1">
        <w:rPr>
          <w:rFonts w:cs="Sylfaen"/>
        </w:rPr>
        <w:t>նաճի</w:t>
      </w:r>
      <w:r w:rsidRPr="00E040C1">
        <w:rPr>
          <w:rFonts w:cs="Sylfaen"/>
          <w:lang w:val="ro-RO"/>
        </w:rPr>
        <w:t xml:space="preserve"> </w:t>
      </w:r>
      <w:r w:rsidRPr="00E040C1">
        <w:rPr>
          <w:rFonts w:cs="Sylfaen"/>
        </w:rPr>
        <w:t>կենտրոնական</w:t>
      </w:r>
      <w:r w:rsidRPr="00E040C1">
        <w:rPr>
          <w:rFonts w:cs="Sylfaen"/>
          <w:lang w:val="hy-AM"/>
        </w:rPr>
        <w:t xml:space="preserve"> </w:t>
      </w:r>
      <w:r w:rsidRPr="00E040C1">
        <w:rPr>
          <w:rFonts w:cs="Sylfaen"/>
        </w:rPr>
        <w:t>արժեքից</w:t>
      </w:r>
      <w:r w:rsidRPr="00E040C1">
        <w:rPr>
          <w:rFonts w:cs="Sylfaen"/>
          <w:lang w:val="ro-RO"/>
        </w:rPr>
        <w:t xml:space="preserve"> </w:t>
      </w:r>
      <w:r w:rsidRPr="00E040C1">
        <w:rPr>
          <w:rFonts w:cs="Sylfaen"/>
          <w:b/>
          <w:lang w:val="ro-RO"/>
        </w:rPr>
        <w:t>դեպի</w:t>
      </w:r>
      <w:r w:rsidRPr="00E040C1">
        <w:rPr>
          <w:rFonts w:cs="Sylfaen"/>
          <w:lang w:val="ro-RO"/>
        </w:rPr>
        <w:t xml:space="preserve"> </w:t>
      </w:r>
      <w:r w:rsidRPr="00E040C1">
        <w:rPr>
          <w:rFonts w:cs="Sylfaen"/>
          <w:b/>
          <w:lang w:val="bg-BG"/>
        </w:rPr>
        <w:t>ներքև`</w:t>
      </w:r>
      <w:r w:rsidRPr="00E040C1">
        <w:rPr>
          <w:rFonts w:cs="Sylfaen"/>
          <w:lang w:val="ro-RO"/>
        </w:rPr>
        <w:t xml:space="preserve"> </w:t>
      </w:r>
      <w:r w:rsidRPr="00E040C1">
        <w:rPr>
          <w:rFonts w:cs="Sylfaen"/>
          <w:b/>
          <w:lang w:val="ro-RO"/>
        </w:rPr>
        <w:t xml:space="preserve">1.5 </w:t>
      </w:r>
      <w:r w:rsidRPr="00E040C1">
        <w:rPr>
          <w:rFonts w:cs="Sylfaen"/>
          <w:b/>
          <w:lang w:val="bg-BG"/>
        </w:rPr>
        <w:t>տոկոսային կետի չափով</w:t>
      </w:r>
      <w:r w:rsidRPr="00E040C1">
        <w:rPr>
          <w:rFonts w:cs="Sylfaen"/>
          <w:b/>
          <w:lang w:val="hy-AM"/>
        </w:rPr>
        <w:t xml:space="preserve"> </w:t>
      </w:r>
      <w:r w:rsidRPr="00E040C1">
        <w:rPr>
          <w:rFonts w:cs="Sylfaen"/>
          <w:lang w:val="ro-RO"/>
        </w:rPr>
        <w:t>(</w:t>
      </w:r>
      <w:r w:rsidRPr="00E040C1">
        <w:rPr>
          <w:rFonts w:cs="Sylfaen"/>
        </w:rPr>
        <w:t>այսինքն</w:t>
      </w:r>
      <w:r w:rsidRPr="00E040C1">
        <w:rPr>
          <w:rFonts w:cs="Sylfaen"/>
          <w:lang w:val="ro-RO"/>
        </w:rPr>
        <w:t>`</w:t>
      </w:r>
      <w:r w:rsidRPr="00E040C1">
        <w:rPr>
          <w:rFonts w:cs="Sylfaen"/>
          <w:lang w:val="hy-AM"/>
        </w:rPr>
        <w:t xml:space="preserve"> </w:t>
      </w:r>
      <w:r w:rsidRPr="00E040C1">
        <w:rPr>
          <w:rFonts w:cs="Sylfaen"/>
        </w:rPr>
        <w:t>գնաճի</w:t>
      </w:r>
      <w:r w:rsidRPr="00E040C1">
        <w:rPr>
          <w:rFonts w:cs="Sylfaen"/>
          <w:lang w:val="hy-AM"/>
        </w:rPr>
        <w:t xml:space="preserve"> </w:t>
      </w:r>
      <w:r w:rsidRPr="00E040C1">
        <w:rPr>
          <w:rFonts w:cs="Sylfaen"/>
          <w:lang w:val="sk-SK"/>
        </w:rPr>
        <w:t>ներքին սահմանը 2.5</w:t>
      </w:r>
      <w:r w:rsidRPr="00E040C1">
        <w:rPr>
          <w:rFonts w:cs="Sylfaen"/>
          <w:lang w:val="hy-AM"/>
        </w:rPr>
        <w:t xml:space="preserve">% </w:t>
      </w:r>
      <w:r w:rsidRPr="00E040C1">
        <w:rPr>
          <w:rFonts w:cs="Sylfaen"/>
          <w:lang w:val="ro-RO"/>
        </w:rPr>
        <w:t xml:space="preserve">է) </w:t>
      </w:r>
      <w:r w:rsidRPr="00E040C1">
        <w:rPr>
          <w:rFonts w:cs="Sylfaen"/>
          <w:lang w:val="bg-BG"/>
        </w:rPr>
        <w:t xml:space="preserve">և </w:t>
      </w:r>
      <w:r w:rsidRPr="00E040C1">
        <w:rPr>
          <w:rFonts w:cs="Sylfaen"/>
          <w:b/>
        </w:rPr>
        <w:t>դեպի</w:t>
      </w:r>
      <w:r w:rsidRPr="00E040C1">
        <w:rPr>
          <w:rFonts w:cs="Sylfaen"/>
          <w:b/>
          <w:lang w:val="ro-RO"/>
        </w:rPr>
        <w:t xml:space="preserve"> </w:t>
      </w:r>
      <w:r w:rsidRPr="00E040C1">
        <w:rPr>
          <w:rFonts w:cs="Sylfaen"/>
          <w:b/>
          <w:lang w:val="bg-BG"/>
        </w:rPr>
        <w:t>վերև շեղում</w:t>
      </w:r>
      <w:r w:rsidRPr="00E040C1">
        <w:rPr>
          <w:rFonts w:cs="Sylfaen"/>
          <w:b/>
          <w:lang w:val="sk-SK"/>
        </w:rPr>
        <w:t>ը`</w:t>
      </w:r>
      <w:r w:rsidRPr="00E040C1">
        <w:rPr>
          <w:rFonts w:cs="Sylfaen"/>
          <w:b/>
          <w:lang w:val="hy-AM"/>
        </w:rPr>
        <w:t xml:space="preserve"> </w:t>
      </w:r>
      <w:r w:rsidRPr="00E040C1">
        <w:rPr>
          <w:rFonts w:cs="Sylfaen"/>
          <w:b/>
          <w:lang w:val="ro-RO"/>
        </w:rPr>
        <w:t>1.5</w:t>
      </w:r>
      <w:r w:rsidRPr="00E040C1">
        <w:rPr>
          <w:rFonts w:cs="Sylfaen"/>
          <w:b/>
          <w:lang w:val="bg-BG"/>
        </w:rPr>
        <w:t xml:space="preserve"> տոկոսային կետ</w:t>
      </w:r>
      <w:r w:rsidRPr="00E040C1">
        <w:rPr>
          <w:rFonts w:cs="Sylfaen"/>
          <w:b/>
          <w:lang w:val="sk-SK"/>
        </w:rPr>
        <w:t>ի չափով</w:t>
      </w:r>
      <w:r w:rsidRPr="00E040C1">
        <w:rPr>
          <w:rFonts w:cs="Sylfaen"/>
          <w:b/>
          <w:lang w:val="hy-AM"/>
        </w:rPr>
        <w:t xml:space="preserve"> </w:t>
      </w:r>
      <w:r w:rsidRPr="00E040C1">
        <w:rPr>
          <w:rFonts w:cs="Sylfaen"/>
          <w:lang w:val="ro-RO"/>
        </w:rPr>
        <w:t>(</w:t>
      </w:r>
      <w:r w:rsidRPr="00E040C1">
        <w:rPr>
          <w:rFonts w:cs="Sylfaen"/>
          <w:lang w:val="bg-BG"/>
        </w:rPr>
        <w:t xml:space="preserve">վերին </w:t>
      </w:r>
      <w:r w:rsidRPr="00E040C1">
        <w:rPr>
          <w:rFonts w:cs="Sylfaen"/>
          <w:lang w:val="sk-SK"/>
        </w:rPr>
        <w:t xml:space="preserve">սահմանը </w:t>
      </w:r>
      <w:r w:rsidRPr="00E040C1">
        <w:rPr>
          <w:rFonts w:cs="Sylfaen"/>
          <w:lang w:val="ro-RO"/>
        </w:rPr>
        <w:t>5.5</w:t>
      </w:r>
      <w:r w:rsidRPr="00E040C1">
        <w:rPr>
          <w:rFonts w:cs="Sylfaen"/>
          <w:lang w:val="hy-AM"/>
        </w:rPr>
        <w:t>%</w:t>
      </w:r>
      <w:r w:rsidRPr="00E040C1">
        <w:rPr>
          <w:rFonts w:cs="Sylfaen"/>
          <w:lang w:val="ro-RO"/>
        </w:rPr>
        <w:t xml:space="preserve"> է)</w:t>
      </w:r>
      <w:r w:rsidRPr="00E040C1">
        <w:rPr>
          <w:rFonts w:cs="Sylfaen"/>
          <w:lang w:val="bg-BG"/>
        </w:rPr>
        <w:t xml:space="preserve">: </w:t>
      </w:r>
    </w:p>
    <w:p w14:paraId="12AE2D77" w14:textId="77777777" w:rsidR="00E11F71" w:rsidRPr="00E040C1" w:rsidRDefault="00E11F71" w:rsidP="00E11F71">
      <w:pPr>
        <w:spacing w:after="120" w:line="276" w:lineRule="auto"/>
        <w:ind w:firstLine="720"/>
        <w:rPr>
          <w:rFonts w:cs="Sylfaen"/>
          <w:lang w:val="ro-RO"/>
        </w:rPr>
      </w:pPr>
      <w:r w:rsidRPr="00E040C1">
        <w:rPr>
          <w:rFonts w:cs="Sylfaen"/>
          <w:lang w:val="bg-BG"/>
        </w:rPr>
        <w:t>Գնաճի</w:t>
      </w:r>
      <w:r w:rsidRPr="00E040C1">
        <w:rPr>
          <w:rFonts w:cs="Sylfaen"/>
          <w:lang w:val="ro-RO"/>
        </w:rPr>
        <w:t xml:space="preserve"> </w:t>
      </w:r>
      <w:r w:rsidRPr="00E040C1">
        <w:rPr>
          <w:rFonts w:cs="Sylfaen"/>
        </w:rPr>
        <w:t>շեղման</w:t>
      </w:r>
      <w:r w:rsidRPr="00E040C1">
        <w:rPr>
          <w:rFonts w:cs="Sylfaen"/>
          <w:lang w:val="bg-BG"/>
        </w:rPr>
        <w:t xml:space="preserve"> ռիսկը կարող է ազդ</w:t>
      </w:r>
      <w:r w:rsidRPr="00E040C1">
        <w:rPr>
          <w:rFonts w:cs="Sylfaen"/>
        </w:rPr>
        <w:t>եցություն</w:t>
      </w:r>
      <w:r w:rsidRPr="00E040C1">
        <w:rPr>
          <w:rFonts w:cs="Sylfaen"/>
          <w:lang w:val="ro-RO"/>
        </w:rPr>
        <w:t xml:space="preserve"> </w:t>
      </w:r>
      <w:r w:rsidRPr="00E040C1">
        <w:rPr>
          <w:rFonts w:cs="Sylfaen"/>
        </w:rPr>
        <w:t>ունենալ</w:t>
      </w:r>
      <w:r w:rsidRPr="00E040C1">
        <w:rPr>
          <w:rFonts w:cs="Sylfaen"/>
          <w:lang w:val="bg-BG"/>
        </w:rPr>
        <w:t xml:space="preserve"> </w:t>
      </w:r>
      <w:r w:rsidRPr="00E040C1">
        <w:rPr>
          <w:rFonts w:cs="Sylfaen"/>
        </w:rPr>
        <w:t>ՀՀ</w:t>
      </w:r>
      <w:r w:rsidRPr="00E040C1">
        <w:rPr>
          <w:rFonts w:cs="Sylfaen"/>
          <w:lang w:val="ro-RO"/>
        </w:rPr>
        <w:t xml:space="preserve"> </w:t>
      </w:r>
      <w:r w:rsidRPr="00E040C1">
        <w:rPr>
          <w:rFonts w:cs="Sylfaen"/>
        </w:rPr>
        <w:t>պետական</w:t>
      </w:r>
      <w:r w:rsidRPr="00E040C1">
        <w:rPr>
          <w:rFonts w:cs="Sylfaen"/>
          <w:lang w:val="ro-RO"/>
        </w:rPr>
        <w:t xml:space="preserve"> </w:t>
      </w:r>
      <w:r w:rsidRPr="00E040C1">
        <w:rPr>
          <w:rFonts w:cs="Sylfaen"/>
        </w:rPr>
        <w:t>բյուջեի</w:t>
      </w:r>
      <w:r w:rsidRPr="00E040C1">
        <w:rPr>
          <w:rFonts w:cs="Sylfaen"/>
          <w:lang w:val="ro-RO"/>
        </w:rPr>
        <w:t xml:space="preserve"> </w:t>
      </w:r>
      <w:r w:rsidRPr="00E040C1">
        <w:rPr>
          <w:rFonts w:cs="Sylfaen"/>
        </w:rPr>
        <w:t>և՛</w:t>
      </w:r>
      <w:r w:rsidRPr="00E040C1">
        <w:rPr>
          <w:rFonts w:cs="Sylfaen"/>
          <w:lang w:val="ro-RO"/>
        </w:rPr>
        <w:t xml:space="preserve"> </w:t>
      </w:r>
      <w:r w:rsidRPr="00E040C1">
        <w:rPr>
          <w:rFonts w:cs="Sylfaen"/>
        </w:rPr>
        <w:t>եկամտային</w:t>
      </w:r>
      <w:r w:rsidRPr="00E040C1">
        <w:rPr>
          <w:rFonts w:cs="Sylfaen"/>
          <w:lang w:val="ro-RO"/>
        </w:rPr>
        <w:t xml:space="preserve">, </w:t>
      </w:r>
      <w:r w:rsidRPr="00E040C1">
        <w:rPr>
          <w:rFonts w:cs="Sylfaen"/>
        </w:rPr>
        <w:t>և՛</w:t>
      </w:r>
      <w:r w:rsidRPr="00E040C1">
        <w:rPr>
          <w:rFonts w:cs="Sylfaen"/>
          <w:lang w:val="ro-RO"/>
        </w:rPr>
        <w:t xml:space="preserve"> </w:t>
      </w:r>
      <w:r w:rsidRPr="00E040C1">
        <w:rPr>
          <w:rFonts w:cs="Sylfaen"/>
        </w:rPr>
        <w:t>ծախսային</w:t>
      </w:r>
      <w:r w:rsidRPr="00E040C1">
        <w:rPr>
          <w:rFonts w:cs="Sylfaen"/>
          <w:lang w:val="ro-RO"/>
        </w:rPr>
        <w:t xml:space="preserve"> </w:t>
      </w:r>
      <w:r w:rsidRPr="00E040C1">
        <w:rPr>
          <w:rFonts w:cs="Sylfaen"/>
        </w:rPr>
        <w:t>կատարողականների</w:t>
      </w:r>
      <w:r w:rsidRPr="00E040C1">
        <w:rPr>
          <w:rFonts w:cs="Sylfaen"/>
          <w:lang w:val="ro-RO"/>
        </w:rPr>
        <w:t xml:space="preserve"> </w:t>
      </w:r>
      <w:r w:rsidRPr="00E040C1">
        <w:rPr>
          <w:rFonts w:cs="Sylfaen"/>
        </w:rPr>
        <w:t>վրա</w:t>
      </w:r>
      <w:r w:rsidRPr="00E040C1">
        <w:rPr>
          <w:rFonts w:cs="Sylfaen"/>
          <w:lang w:val="ro-RO"/>
        </w:rPr>
        <w:t>`</w:t>
      </w:r>
      <w:r w:rsidRPr="00E040C1">
        <w:rPr>
          <w:rFonts w:cs="Sylfaen"/>
          <w:lang w:val="bg-BG"/>
        </w:rPr>
        <w:t xml:space="preserve"> անուղղակի հարկերի</w:t>
      </w:r>
      <w:r w:rsidRPr="00E040C1">
        <w:rPr>
          <w:rFonts w:cs="Sylfaen"/>
          <w:lang w:val="ro-RO"/>
        </w:rPr>
        <w:t xml:space="preserve">, ինչպես նաև </w:t>
      </w:r>
      <w:r w:rsidRPr="00E040C1">
        <w:rPr>
          <w:rFonts w:cs="Sylfaen"/>
          <w:lang w:val="bg-BG"/>
        </w:rPr>
        <w:t>ապրանքների և ծառայությունների</w:t>
      </w:r>
      <w:r w:rsidRPr="00E040C1">
        <w:rPr>
          <w:rFonts w:cs="Sylfaen"/>
          <w:lang w:val="ro-RO"/>
        </w:rPr>
        <w:t xml:space="preserve"> </w:t>
      </w:r>
      <w:r w:rsidRPr="00E040C1">
        <w:rPr>
          <w:rFonts w:cs="Sylfaen"/>
        </w:rPr>
        <w:t>գծով</w:t>
      </w:r>
      <w:r w:rsidRPr="00E040C1">
        <w:rPr>
          <w:rFonts w:cs="Sylfaen"/>
          <w:lang w:val="bg-BG"/>
        </w:rPr>
        <w:t xml:space="preserve"> ծախսեր</w:t>
      </w:r>
      <w:r w:rsidRPr="00E040C1">
        <w:rPr>
          <w:rFonts w:cs="Sylfaen"/>
        </w:rPr>
        <w:t>ի</w:t>
      </w:r>
      <w:r w:rsidRPr="00E040C1">
        <w:rPr>
          <w:rFonts w:cs="Sylfaen"/>
          <w:lang w:val="ro-RO"/>
        </w:rPr>
        <w:t xml:space="preserve"> ուղղությամբ:</w:t>
      </w:r>
      <w:r w:rsidRPr="00E040C1">
        <w:rPr>
          <w:rFonts w:cs="Sylfaen"/>
          <w:lang w:val="bg-BG"/>
        </w:rPr>
        <w:t xml:space="preserve"> </w:t>
      </w:r>
      <w:r w:rsidRPr="00E040C1">
        <w:rPr>
          <w:rFonts w:cs="Sylfaen"/>
          <w:lang w:val="ro-RO"/>
        </w:rPr>
        <w:t xml:space="preserve">Գնանկումային պայմաններում հարկերից մուտքերը կկրճատվեն և ընդհակառակը: </w:t>
      </w:r>
    </w:p>
    <w:p w14:paraId="3F12D6EB" w14:textId="77777777" w:rsidR="00E11F71" w:rsidRPr="00E040C1" w:rsidRDefault="00E11F71" w:rsidP="00E11F71">
      <w:pPr>
        <w:spacing w:after="120" w:line="276" w:lineRule="auto"/>
        <w:ind w:firstLine="720"/>
        <w:rPr>
          <w:rFonts w:cs="Sylfaen"/>
          <w:lang w:val="ro-RO"/>
        </w:rPr>
      </w:pPr>
      <w:r w:rsidRPr="00E040C1">
        <w:rPr>
          <w:rFonts w:cs="Sylfaen"/>
          <w:lang w:val="ro-RO"/>
        </w:rPr>
        <w:t>Արդյունքում, գների նվազման ռիսկի ազդեցությունը հարկային եկամուտների վրա 2021, 2022 և 2023 թվականների համար գնահատվում է համապատասխանաբար 2.8, 3.3 և 3.8 մլրդ ՀՀ դրամ ֆինանսական պահանջի ավելացման ուղղությամբ:</w:t>
      </w:r>
    </w:p>
    <w:p w14:paraId="50CBC10C" w14:textId="77777777" w:rsidR="00E11F71" w:rsidRPr="00E040C1" w:rsidRDefault="00E11F71" w:rsidP="00E11F71">
      <w:pPr>
        <w:spacing w:after="120" w:line="276" w:lineRule="auto"/>
        <w:ind w:firstLine="720"/>
        <w:rPr>
          <w:rFonts w:cs="Sylfaen"/>
          <w:b/>
          <w:lang w:val="ro-RO"/>
        </w:rPr>
      </w:pPr>
      <w:r w:rsidRPr="00E040C1">
        <w:rPr>
          <w:rFonts w:cs="Sylfaen"/>
          <w:b/>
          <w:lang w:val="bg-BG"/>
        </w:rPr>
        <w:lastRenderedPageBreak/>
        <w:t>2.2</w:t>
      </w:r>
      <w:r w:rsidRPr="00E040C1">
        <w:rPr>
          <w:rFonts w:cs="Sylfaen"/>
          <w:b/>
          <w:lang w:val="ro-RO"/>
        </w:rPr>
        <w:t>.</w:t>
      </w:r>
      <w:r w:rsidRPr="00E040C1">
        <w:rPr>
          <w:rFonts w:cs="Sylfaen"/>
          <w:b/>
          <w:lang w:val="bg-BG"/>
        </w:rPr>
        <w:t xml:space="preserve"> </w:t>
      </w:r>
      <w:r w:rsidRPr="00E040C1">
        <w:rPr>
          <w:rFonts w:cs="Sylfaen"/>
          <w:b/>
        </w:rPr>
        <w:t>Փոխարժեքի</w:t>
      </w:r>
      <w:r w:rsidRPr="00E040C1">
        <w:rPr>
          <w:rFonts w:cs="Sylfaen"/>
          <w:b/>
          <w:lang w:val="hy-AM"/>
        </w:rPr>
        <w:t xml:space="preserve"> </w:t>
      </w:r>
      <w:r w:rsidRPr="00E040C1">
        <w:rPr>
          <w:rFonts w:cs="Sylfaen"/>
          <w:b/>
        </w:rPr>
        <w:t>շեղման</w:t>
      </w:r>
      <w:r w:rsidRPr="00E040C1">
        <w:rPr>
          <w:rFonts w:cs="Sylfaen"/>
          <w:b/>
          <w:lang w:val="hy-AM"/>
        </w:rPr>
        <w:t xml:space="preserve"> </w:t>
      </w:r>
      <w:r w:rsidRPr="00E040C1">
        <w:rPr>
          <w:rFonts w:cs="Sylfaen"/>
          <w:b/>
        </w:rPr>
        <w:t>հնարավոր</w:t>
      </w:r>
      <w:r w:rsidRPr="00E040C1">
        <w:rPr>
          <w:rFonts w:cs="Sylfaen"/>
          <w:b/>
          <w:lang w:val="hy-AM"/>
        </w:rPr>
        <w:t xml:space="preserve"> </w:t>
      </w:r>
      <w:r w:rsidRPr="00E040C1">
        <w:rPr>
          <w:rFonts w:cs="Sylfaen"/>
          <w:b/>
        </w:rPr>
        <w:t>չափը</w:t>
      </w:r>
    </w:p>
    <w:p w14:paraId="33B9D4BC" w14:textId="77777777" w:rsidR="00E11F71" w:rsidRPr="00E040C1" w:rsidRDefault="00E11F71" w:rsidP="00E11F71">
      <w:pPr>
        <w:spacing w:after="120" w:line="276" w:lineRule="auto"/>
        <w:ind w:firstLine="720"/>
        <w:rPr>
          <w:rFonts w:cs="Sylfaen"/>
          <w:lang w:val="ro-RO"/>
        </w:rPr>
      </w:pPr>
      <w:r w:rsidRPr="00E040C1">
        <w:rPr>
          <w:rFonts w:cs="Sylfaen"/>
          <w:lang w:val="ro-RO"/>
        </w:rPr>
        <w:t>ՀՀ ԿԲ-ն</w:t>
      </w:r>
      <w:r w:rsidRPr="00E040C1">
        <w:rPr>
          <w:rFonts w:cs="Sylfaen"/>
          <w:lang w:val="hy-AM"/>
        </w:rPr>
        <w:t xml:space="preserve"> </w:t>
      </w:r>
      <w:r w:rsidRPr="00E040C1">
        <w:rPr>
          <w:rFonts w:cs="Sylfaen"/>
        </w:rPr>
        <w:t>և</w:t>
      </w:r>
      <w:r w:rsidRPr="00E040C1">
        <w:rPr>
          <w:rFonts w:cs="Sylfaen"/>
          <w:lang w:val="hy-AM"/>
        </w:rPr>
        <w:t xml:space="preserve"> </w:t>
      </w:r>
      <w:r w:rsidRPr="00E040C1">
        <w:rPr>
          <w:rFonts w:cs="Sylfaen"/>
        </w:rPr>
        <w:t>ՀՀ</w:t>
      </w:r>
      <w:r w:rsidRPr="00E040C1">
        <w:rPr>
          <w:rFonts w:cs="Sylfaen"/>
          <w:lang w:val="bg-BG"/>
        </w:rPr>
        <w:t xml:space="preserve"> </w:t>
      </w:r>
      <w:r w:rsidRPr="00E040C1">
        <w:rPr>
          <w:rFonts w:cs="Sylfaen"/>
        </w:rPr>
        <w:t>ՖՆ</w:t>
      </w:r>
      <w:r w:rsidRPr="00E040C1">
        <w:rPr>
          <w:rFonts w:cs="Sylfaen"/>
          <w:lang w:val="ro-RO"/>
        </w:rPr>
        <w:t>-</w:t>
      </w:r>
      <w:r w:rsidRPr="00E040C1">
        <w:rPr>
          <w:rFonts w:cs="Sylfaen"/>
        </w:rPr>
        <w:t>ն</w:t>
      </w:r>
      <w:r w:rsidRPr="00E040C1">
        <w:rPr>
          <w:rFonts w:cs="Sylfaen"/>
          <w:lang w:val="hy-AM"/>
        </w:rPr>
        <w:t xml:space="preserve"> </w:t>
      </w:r>
      <w:r w:rsidRPr="00E040C1">
        <w:rPr>
          <w:rFonts w:cs="Sylfaen"/>
        </w:rPr>
        <w:t>փոխարժեքի</w:t>
      </w:r>
      <w:r w:rsidRPr="00E040C1">
        <w:rPr>
          <w:rFonts w:cs="Sylfaen"/>
          <w:lang w:val="hy-AM"/>
        </w:rPr>
        <w:t xml:space="preserve"> </w:t>
      </w:r>
      <w:r w:rsidRPr="00E040C1">
        <w:rPr>
          <w:rFonts w:cs="Sylfaen"/>
        </w:rPr>
        <w:t>կանխա</w:t>
      </w:r>
      <w:r w:rsidRPr="00E040C1">
        <w:rPr>
          <w:rFonts w:cs="Sylfaen"/>
          <w:lang w:val="bg-BG"/>
        </w:rPr>
        <w:softHyphen/>
      </w:r>
      <w:r w:rsidRPr="00E040C1">
        <w:rPr>
          <w:rFonts w:cs="Sylfaen"/>
        </w:rPr>
        <w:t>տեսումներ</w:t>
      </w:r>
      <w:r w:rsidRPr="00E040C1">
        <w:rPr>
          <w:rFonts w:cs="Sylfaen"/>
          <w:lang w:val="hy-AM"/>
        </w:rPr>
        <w:t xml:space="preserve"> </w:t>
      </w:r>
      <w:r w:rsidRPr="00E040C1">
        <w:rPr>
          <w:rFonts w:cs="Sylfaen"/>
        </w:rPr>
        <w:t>չեն</w:t>
      </w:r>
      <w:r w:rsidRPr="00E040C1">
        <w:rPr>
          <w:rFonts w:cs="Sylfaen"/>
          <w:lang w:val="hy-AM"/>
        </w:rPr>
        <w:t xml:space="preserve"> </w:t>
      </w:r>
      <w:r w:rsidRPr="00E040C1">
        <w:rPr>
          <w:rFonts w:cs="Sylfaen"/>
        </w:rPr>
        <w:t>իրականացնում</w:t>
      </w:r>
      <w:r w:rsidRPr="00E040C1">
        <w:rPr>
          <w:rFonts w:cs="Sylfaen"/>
          <w:lang w:val="ro-RO"/>
        </w:rPr>
        <w:t xml:space="preserve"> </w:t>
      </w:r>
      <w:r w:rsidRPr="00E040C1">
        <w:rPr>
          <w:rFonts w:cs="Sylfaen"/>
        </w:rPr>
        <w:t>և</w:t>
      </w:r>
      <w:r w:rsidRPr="00E040C1">
        <w:rPr>
          <w:rFonts w:cs="Sylfaen"/>
          <w:lang w:val="ro-RO"/>
        </w:rPr>
        <w:t xml:space="preserve"> </w:t>
      </w:r>
      <w:r w:rsidRPr="00E040C1">
        <w:rPr>
          <w:rFonts w:cs="Sylfaen"/>
        </w:rPr>
        <w:t>մակրոտնտեսական</w:t>
      </w:r>
      <w:r w:rsidRPr="00E040C1">
        <w:rPr>
          <w:rFonts w:cs="Sylfaen"/>
          <w:lang w:val="hy-AM"/>
        </w:rPr>
        <w:t xml:space="preserve"> </w:t>
      </w:r>
      <w:r w:rsidRPr="00E040C1">
        <w:rPr>
          <w:rFonts w:cs="Sylfaen"/>
        </w:rPr>
        <w:t>քաղաքականությունն</w:t>
      </w:r>
      <w:r w:rsidRPr="00E040C1">
        <w:rPr>
          <w:rFonts w:cs="Sylfaen"/>
          <w:lang w:val="hy-AM"/>
        </w:rPr>
        <w:t xml:space="preserve"> </w:t>
      </w:r>
      <w:r w:rsidRPr="00E040C1">
        <w:rPr>
          <w:rFonts w:cs="Sylfaen"/>
        </w:rPr>
        <w:t>իրականացվում</w:t>
      </w:r>
      <w:r w:rsidRPr="00E040C1">
        <w:rPr>
          <w:rFonts w:cs="Sylfaen"/>
          <w:lang w:val="hy-AM"/>
        </w:rPr>
        <w:t xml:space="preserve"> </w:t>
      </w:r>
      <w:r w:rsidRPr="00E040C1">
        <w:rPr>
          <w:rFonts w:cs="Sylfaen"/>
        </w:rPr>
        <w:t>է</w:t>
      </w:r>
      <w:r w:rsidRPr="00E040C1">
        <w:rPr>
          <w:rFonts w:cs="Sylfaen"/>
          <w:lang w:val="hy-AM"/>
        </w:rPr>
        <w:t xml:space="preserve"> </w:t>
      </w:r>
      <w:r w:rsidRPr="00E040C1">
        <w:rPr>
          <w:rFonts w:cs="Sylfaen"/>
        </w:rPr>
        <w:t>լողացող</w:t>
      </w:r>
      <w:r w:rsidRPr="00E040C1">
        <w:rPr>
          <w:rFonts w:cs="Sylfaen"/>
          <w:lang w:val="hy-AM"/>
        </w:rPr>
        <w:t xml:space="preserve"> </w:t>
      </w:r>
      <w:r w:rsidRPr="00E040C1">
        <w:rPr>
          <w:rFonts w:cs="Sylfaen"/>
        </w:rPr>
        <w:t>փոխարժեքի</w:t>
      </w:r>
      <w:r w:rsidRPr="00E040C1">
        <w:rPr>
          <w:rFonts w:cs="Sylfaen"/>
          <w:lang w:val="hy-AM"/>
        </w:rPr>
        <w:t xml:space="preserve"> </w:t>
      </w:r>
      <w:r w:rsidRPr="00E040C1">
        <w:rPr>
          <w:rFonts w:cs="Sylfaen"/>
          <w:lang w:val="ro-RO"/>
        </w:rPr>
        <w:t xml:space="preserve">սկզբունքի հիման վրա, </w:t>
      </w:r>
      <w:r w:rsidRPr="00E040C1">
        <w:rPr>
          <w:rFonts w:cs="Sylfaen"/>
        </w:rPr>
        <w:t>ընդ</w:t>
      </w:r>
      <w:r w:rsidRPr="00E040C1">
        <w:rPr>
          <w:rFonts w:cs="Sylfaen"/>
          <w:lang w:val="ro-RO"/>
        </w:rPr>
        <w:t xml:space="preserve"> </w:t>
      </w:r>
      <w:r w:rsidRPr="00E040C1">
        <w:rPr>
          <w:rFonts w:cs="Sylfaen"/>
        </w:rPr>
        <w:t>որում</w:t>
      </w:r>
      <w:r w:rsidRPr="00E040C1">
        <w:rPr>
          <w:rFonts w:cs="Sylfaen"/>
          <w:lang w:val="ro-RO"/>
        </w:rPr>
        <w:t>,</w:t>
      </w:r>
      <w:r w:rsidRPr="00E040C1">
        <w:rPr>
          <w:rFonts w:cs="Sylfaen"/>
          <w:lang w:val="hy-AM"/>
        </w:rPr>
        <w:t xml:space="preserve"> </w:t>
      </w:r>
      <w:r w:rsidRPr="00E040C1">
        <w:rPr>
          <w:rFonts w:cs="Sylfaen"/>
        </w:rPr>
        <w:t>յուրաքանչյուր</w:t>
      </w:r>
      <w:r w:rsidRPr="00E040C1">
        <w:rPr>
          <w:rFonts w:cs="Sylfaen"/>
          <w:lang w:val="hy-AM"/>
        </w:rPr>
        <w:t xml:space="preserve"> </w:t>
      </w:r>
      <w:r w:rsidRPr="00E040C1">
        <w:rPr>
          <w:rFonts w:cs="Sylfaen"/>
        </w:rPr>
        <w:t>տարվա</w:t>
      </w:r>
      <w:r w:rsidRPr="00E040C1">
        <w:rPr>
          <w:rFonts w:cs="Sylfaen"/>
          <w:lang w:val="ro-RO"/>
        </w:rPr>
        <w:t xml:space="preserve"> </w:t>
      </w:r>
      <w:r w:rsidRPr="00E040C1">
        <w:rPr>
          <w:rFonts w:cs="Sylfaen"/>
        </w:rPr>
        <w:t>պետական</w:t>
      </w:r>
      <w:r w:rsidRPr="00E040C1">
        <w:rPr>
          <w:rFonts w:cs="Sylfaen"/>
          <w:lang w:val="ro-RO"/>
        </w:rPr>
        <w:t xml:space="preserve"> </w:t>
      </w:r>
      <w:r w:rsidRPr="00E040C1">
        <w:rPr>
          <w:rFonts w:cs="Sylfaen"/>
        </w:rPr>
        <w:t>բյուջեի</w:t>
      </w:r>
      <w:r w:rsidRPr="00E040C1">
        <w:rPr>
          <w:rFonts w:cs="Sylfaen"/>
          <w:lang w:val="ro-RO"/>
        </w:rPr>
        <w:t xml:space="preserve"> </w:t>
      </w:r>
      <w:r w:rsidRPr="00E040C1">
        <w:rPr>
          <w:rFonts w:cs="Sylfaen"/>
        </w:rPr>
        <w:t>ցուցանիշների</w:t>
      </w:r>
      <w:r w:rsidRPr="00E040C1">
        <w:rPr>
          <w:rFonts w:cs="Sylfaen"/>
          <w:lang w:val="hy-AM"/>
        </w:rPr>
        <w:t xml:space="preserve"> </w:t>
      </w:r>
      <w:r w:rsidRPr="00E040C1">
        <w:rPr>
          <w:rFonts w:cs="Sylfaen"/>
        </w:rPr>
        <w:t>կանխատեսումների</w:t>
      </w:r>
      <w:r w:rsidRPr="00E040C1">
        <w:rPr>
          <w:rFonts w:cs="Sylfaen"/>
          <w:lang w:val="hy-AM"/>
        </w:rPr>
        <w:t xml:space="preserve"> </w:t>
      </w:r>
      <w:r w:rsidRPr="00E040C1">
        <w:rPr>
          <w:rFonts w:cs="Sylfaen"/>
        </w:rPr>
        <w:t>հիմքում</w:t>
      </w:r>
      <w:r w:rsidRPr="00E040C1">
        <w:rPr>
          <w:rFonts w:cs="Sylfaen"/>
          <w:lang w:val="hy-AM"/>
        </w:rPr>
        <w:t xml:space="preserve"> </w:t>
      </w:r>
      <w:r w:rsidRPr="00E040C1">
        <w:rPr>
          <w:rFonts w:cs="Sylfaen"/>
        </w:rPr>
        <w:t>դրվում</w:t>
      </w:r>
      <w:r w:rsidRPr="00E040C1">
        <w:rPr>
          <w:rFonts w:cs="Sylfaen"/>
          <w:lang w:val="hy-AM"/>
        </w:rPr>
        <w:t xml:space="preserve"> </w:t>
      </w:r>
      <w:r w:rsidRPr="00E040C1">
        <w:rPr>
          <w:rFonts w:cs="Sylfaen"/>
        </w:rPr>
        <w:t>է</w:t>
      </w:r>
      <w:r w:rsidRPr="00E040C1">
        <w:rPr>
          <w:rFonts w:cs="Sylfaen"/>
          <w:lang w:val="hy-AM"/>
        </w:rPr>
        <w:t xml:space="preserve"> </w:t>
      </w:r>
      <w:r w:rsidRPr="00E040C1">
        <w:rPr>
          <w:rFonts w:cs="Sylfaen"/>
        </w:rPr>
        <w:t>փոխարժեքի</w:t>
      </w:r>
      <w:r w:rsidRPr="00E040C1">
        <w:rPr>
          <w:rFonts w:cs="Sylfaen"/>
          <w:lang w:val="hy-AM"/>
        </w:rPr>
        <w:t xml:space="preserve"> </w:t>
      </w:r>
      <w:r w:rsidRPr="00E040C1">
        <w:rPr>
          <w:rFonts w:cs="Sylfaen"/>
        </w:rPr>
        <w:t>անփոփոխ</w:t>
      </w:r>
      <w:r w:rsidRPr="00E040C1">
        <w:rPr>
          <w:rFonts w:cs="Sylfaen"/>
          <w:lang w:val="hy-AM"/>
        </w:rPr>
        <w:t xml:space="preserve"> </w:t>
      </w:r>
      <w:r w:rsidRPr="00E040C1">
        <w:rPr>
          <w:rFonts w:cs="Sylfaen"/>
          <w:lang w:val="sk-SK"/>
        </w:rPr>
        <w:t>(</w:t>
      </w:r>
      <w:r w:rsidRPr="00E040C1">
        <w:rPr>
          <w:rFonts w:cs="Sylfaen"/>
        </w:rPr>
        <w:t>որոշակի</w:t>
      </w:r>
      <w:r w:rsidRPr="00E040C1">
        <w:rPr>
          <w:rFonts w:cs="Sylfaen"/>
          <w:lang w:val="hy-AM"/>
        </w:rPr>
        <w:t xml:space="preserve"> </w:t>
      </w:r>
      <w:r w:rsidRPr="00E040C1">
        <w:rPr>
          <w:rFonts w:cs="Sylfaen"/>
        </w:rPr>
        <w:t>պահի</w:t>
      </w:r>
      <w:r w:rsidRPr="00E040C1">
        <w:rPr>
          <w:rFonts w:cs="Sylfaen"/>
          <w:lang w:val="hy-AM"/>
        </w:rPr>
        <w:t xml:space="preserve"> </w:t>
      </w:r>
      <w:r w:rsidRPr="00E040C1">
        <w:rPr>
          <w:rFonts w:cs="Sylfaen"/>
        </w:rPr>
        <w:t>դրությամբ</w:t>
      </w:r>
      <w:r w:rsidRPr="00E040C1">
        <w:rPr>
          <w:rFonts w:cs="Sylfaen"/>
          <w:lang w:val="bg-BG"/>
        </w:rPr>
        <w:t xml:space="preserve">) </w:t>
      </w:r>
      <w:r w:rsidRPr="00E040C1">
        <w:rPr>
          <w:rFonts w:cs="Sylfaen"/>
        </w:rPr>
        <w:t>մակարդակ</w:t>
      </w:r>
      <w:r w:rsidRPr="00E040C1">
        <w:rPr>
          <w:rFonts w:cs="Sylfaen"/>
          <w:lang w:val="bg-BG"/>
        </w:rPr>
        <w:t>:</w:t>
      </w:r>
      <w:r w:rsidRPr="00E040C1">
        <w:rPr>
          <w:rFonts w:cs="Sylfaen"/>
          <w:lang w:val="hy-AM"/>
        </w:rPr>
        <w:t xml:space="preserve"> </w:t>
      </w:r>
      <w:r w:rsidRPr="00E040C1">
        <w:rPr>
          <w:rFonts w:cs="Sylfaen"/>
        </w:rPr>
        <w:t>Սակայն</w:t>
      </w:r>
      <w:r w:rsidRPr="00E040C1">
        <w:rPr>
          <w:rFonts w:cs="Sylfaen"/>
          <w:lang w:val="hy-AM"/>
        </w:rPr>
        <w:t xml:space="preserve"> </w:t>
      </w:r>
      <w:r w:rsidRPr="00E040C1">
        <w:rPr>
          <w:rFonts w:cs="Sylfaen"/>
        </w:rPr>
        <w:t>փոխարժեքի</w:t>
      </w:r>
      <w:r w:rsidRPr="00E040C1">
        <w:rPr>
          <w:rFonts w:cs="Sylfaen"/>
          <w:lang w:val="hy-AM"/>
        </w:rPr>
        <w:t xml:space="preserve"> </w:t>
      </w:r>
      <w:r w:rsidRPr="00E040C1">
        <w:rPr>
          <w:rFonts w:cs="Sylfaen"/>
        </w:rPr>
        <w:t>տատա</w:t>
      </w:r>
      <w:r w:rsidRPr="00E040C1">
        <w:rPr>
          <w:rFonts w:cs="Sylfaen"/>
          <w:lang w:val="bg-BG"/>
        </w:rPr>
        <w:softHyphen/>
      </w:r>
      <w:r w:rsidRPr="00E040C1">
        <w:rPr>
          <w:rFonts w:cs="Sylfaen"/>
        </w:rPr>
        <w:t>նում</w:t>
      </w:r>
      <w:r w:rsidRPr="00E040C1">
        <w:rPr>
          <w:rFonts w:cs="Sylfaen"/>
          <w:lang w:val="bg-BG"/>
        </w:rPr>
        <w:softHyphen/>
      </w:r>
      <w:r w:rsidRPr="00E040C1">
        <w:rPr>
          <w:rFonts w:cs="Sylfaen"/>
        </w:rPr>
        <w:t>ները</w:t>
      </w:r>
      <w:r w:rsidRPr="00E040C1">
        <w:rPr>
          <w:rFonts w:cs="Sylfaen"/>
          <w:lang w:val="hy-AM"/>
        </w:rPr>
        <w:t xml:space="preserve"> </w:t>
      </w:r>
      <w:r w:rsidRPr="00E040C1">
        <w:rPr>
          <w:rFonts w:cs="Sylfaen"/>
        </w:rPr>
        <w:t>կազդեն</w:t>
      </w:r>
      <w:r w:rsidRPr="00E040C1">
        <w:rPr>
          <w:rFonts w:cs="Sylfaen"/>
          <w:lang w:val="ro-RO"/>
        </w:rPr>
        <w:t xml:space="preserve"> </w:t>
      </w:r>
      <w:r w:rsidRPr="00E040C1">
        <w:rPr>
          <w:rFonts w:cs="Sylfaen"/>
        </w:rPr>
        <w:t>ներմուծումից</w:t>
      </w:r>
      <w:r w:rsidRPr="00E040C1">
        <w:rPr>
          <w:rFonts w:cs="Sylfaen"/>
          <w:lang w:val="ro-RO"/>
        </w:rPr>
        <w:t xml:space="preserve"> </w:t>
      </w:r>
      <w:r w:rsidRPr="00E040C1">
        <w:rPr>
          <w:rFonts w:cs="Sylfaen"/>
        </w:rPr>
        <w:t>ՀՀ</w:t>
      </w:r>
      <w:r w:rsidRPr="00E040C1">
        <w:rPr>
          <w:rFonts w:cs="Sylfaen"/>
          <w:lang w:val="ro-RO"/>
        </w:rPr>
        <w:t xml:space="preserve"> </w:t>
      </w:r>
      <w:r w:rsidRPr="00E040C1">
        <w:rPr>
          <w:rFonts w:cs="Sylfaen"/>
        </w:rPr>
        <w:t>պետական</w:t>
      </w:r>
      <w:r w:rsidRPr="00E040C1">
        <w:rPr>
          <w:rFonts w:cs="Sylfaen"/>
          <w:lang w:val="hy-AM"/>
        </w:rPr>
        <w:t xml:space="preserve"> </w:t>
      </w:r>
      <w:r w:rsidRPr="00E040C1">
        <w:rPr>
          <w:rFonts w:cs="Sylfaen"/>
        </w:rPr>
        <w:t>բյուջե</w:t>
      </w:r>
      <w:r w:rsidRPr="00E040C1">
        <w:rPr>
          <w:rFonts w:cs="Sylfaen"/>
          <w:lang w:val="ro-RO"/>
        </w:rPr>
        <w:t xml:space="preserve"> </w:t>
      </w:r>
      <w:r w:rsidRPr="00E040C1">
        <w:rPr>
          <w:rFonts w:cs="Sylfaen"/>
        </w:rPr>
        <w:t>մուտքագրվող</w:t>
      </w:r>
      <w:r w:rsidRPr="00E040C1">
        <w:rPr>
          <w:rFonts w:cs="Sylfaen"/>
          <w:lang w:val="ro-RO"/>
        </w:rPr>
        <w:t xml:space="preserve"> </w:t>
      </w:r>
      <w:r w:rsidRPr="00E040C1">
        <w:rPr>
          <w:rFonts w:cs="Sylfaen"/>
        </w:rPr>
        <w:t>հարկային</w:t>
      </w:r>
      <w:r w:rsidRPr="00E040C1">
        <w:rPr>
          <w:rFonts w:cs="Sylfaen"/>
          <w:lang w:val="ro-RO"/>
        </w:rPr>
        <w:t xml:space="preserve"> եկամուտների վրա:</w:t>
      </w:r>
    </w:p>
    <w:p w14:paraId="7B22EEEF" w14:textId="77777777" w:rsidR="00E11F71" w:rsidRPr="00E040C1" w:rsidRDefault="00E11F71" w:rsidP="00E11F71">
      <w:pPr>
        <w:spacing w:after="120" w:line="276" w:lineRule="auto"/>
        <w:ind w:firstLine="720"/>
        <w:rPr>
          <w:rFonts w:cs="Sylfaen"/>
          <w:lang w:val="ro-RO"/>
        </w:rPr>
      </w:pPr>
      <w:r w:rsidRPr="00E040C1">
        <w:rPr>
          <w:rFonts w:cs="Sylfaen"/>
          <w:lang w:val="ro-RO"/>
        </w:rPr>
        <w:t>Հաշվի առնելով այն հանգամանքը, որ պատմականորեն և</w:t>
      </w:r>
      <w:r w:rsidRPr="00E040C1">
        <w:rPr>
          <w:rFonts w:cs="Sylfaen"/>
        </w:rPr>
        <w:t>՛</w:t>
      </w:r>
      <w:r w:rsidRPr="00E040C1">
        <w:rPr>
          <w:rFonts w:cs="Sylfaen"/>
          <w:lang w:val="ro-RO"/>
        </w:rPr>
        <w:t xml:space="preserve"> արժևորման, և</w:t>
      </w:r>
      <w:r w:rsidRPr="00E040C1">
        <w:rPr>
          <w:rFonts w:cs="Sylfaen"/>
        </w:rPr>
        <w:t>՛</w:t>
      </w:r>
      <w:r w:rsidRPr="00E040C1">
        <w:rPr>
          <w:rFonts w:cs="Sylfaen"/>
          <w:lang w:val="ro-RO"/>
        </w:rPr>
        <w:t xml:space="preserve"> արժեզրկման ուղղությամբ փոխար</w:t>
      </w:r>
      <w:r w:rsidRPr="00E040C1">
        <w:rPr>
          <w:rFonts w:cs="Sylfaen"/>
          <w:lang w:val="ro-RO"/>
        </w:rPr>
        <w:softHyphen/>
        <w:t xml:space="preserve">ժեքի տատանումների բացարձակ շեղման միջին չափը չի գերազանցել 5.0 </w:t>
      </w:r>
      <w:r w:rsidRPr="00E040C1">
        <w:rPr>
          <w:rFonts w:cs="Sylfaen"/>
        </w:rPr>
        <w:t>տոկոսը</w:t>
      </w:r>
      <w:r w:rsidRPr="00E040C1">
        <w:rPr>
          <w:rFonts w:cs="Sylfaen"/>
          <w:lang w:val="ro-RO"/>
        </w:rPr>
        <w:t>`</w:t>
      </w:r>
      <w:r w:rsidRPr="00E040C1">
        <w:rPr>
          <w:rFonts w:cs="Sylfaen"/>
          <w:lang w:val="bg-BG"/>
        </w:rPr>
        <w:t xml:space="preserve"> </w:t>
      </w:r>
      <w:r w:rsidRPr="00E040C1">
        <w:rPr>
          <w:rFonts w:cs="Sylfaen"/>
        </w:rPr>
        <w:t>որպես</w:t>
      </w:r>
      <w:r w:rsidRPr="00E040C1">
        <w:rPr>
          <w:rFonts w:cs="Sylfaen"/>
          <w:lang w:val="ro-RO"/>
        </w:rPr>
        <w:t xml:space="preserve"> </w:t>
      </w:r>
      <w:r w:rsidRPr="00E040C1">
        <w:rPr>
          <w:rFonts w:cs="Sylfaen"/>
        </w:rPr>
        <w:t>ռիսկ</w:t>
      </w:r>
      <w:r w:rsidRPr="00E040C1">
        <w:rPr>
          <w:rFonts w:cs="Sylfaen"/>
          <w:lang w:val="ro-RO"/>
        </w:rPr>
        <w:t xml:space="preserve"> </w:t>
      </w:r>
      <w:r w:rsidRPr="00E040C1">
        <w:rPr>
          <w:rFonts w:cs="Sylfaen"/>
        </w:rPr>
        <w:t>է</w:t>
      </w:r>
      <w:r w:rsidRPr="00E040C1">
        <w:rPr>
          <w:rFonts w:cs="Sylfaen"/>
          <w:lang w:val="ro-RO"/>
        </w:rPr>
        <w:t xml:space="preserve"> </w:t>
      </w:r>
      <w:r w:rsidRPr="00E040C1">
        <w:rPr>
          <w:rFonts w:cs="Sylfaen"/>
        </w:rPr>
        <w:t>դիտարկվել</w:t>
      </w:r>
      <w:r w:rsidRPr="00E040C1">
        <w:rPr>
          <w:rFonts w:cs="Sylfaen"/>
          <w:lang w:val="ro-RO"/>
        </w:rPr>
        <w:t xml:space="preserve"> </w:t>
      </w:r>
      <w:r w:rsidRPr="00E040C1">
        <w:rPr>
          <w:rFonts w:cs="Sylfaen"/>
        </w:rPr>
        <w:t>ԱՄՆ</w:t>
      </w:r>
      <w:r w:rsidRPr="00E040C1">
        <w:rPr>
          <w:rFonts w:cs="Sylfaen"/>
          <w:lang w:val="ro-RO"/>
        </w:rPr>
        <w:t xml:space="preserve"> </w:t>
      </w:r>
      <w:r w:rsidRPr="00E040C1">
        <w:rPr>
          <w:rFonts w:cs="Sylfaen"/>
        </w:rPr>
        <w:t>դոլարի</w:t>
      </w:r>
      <w:r w:rsidRPr="00E040C1">
        <w:rPr>
          <w:rFonts w:cs="Sylfaen"/>
          <w:lang w:val="ro-RO"/>
        </w:rPr>
        <w:t xml:space="preserve"> </w:t>
      </w:r>
      <w:r w:rsidRPr="00E040C1">
        <w:rPr>
          <w:rFonts w:cs="Sylfaen"/>
        </w:rPr>
        <w:t>նկատմամբ</w:t>
      </w:r>
      <w:r w:rsidRPr="00E040C1">
        <w:rPr>
          <w:rFonts w:cs="Sylfaen"/>
          <w:lang w:val="ro-RO"/>
        </w:rPr>
        <w:t xml:space="preserve"> </w:t>
      </w:r>
      <w:r w:rsidRPr="00E040C1">
        <w:rPr>
          <w:rFonts w:cs="Sylfaen"/>
        </w:rPr>
        <w:t>ՀՀ</w:t>
      </w:r>
      <w:r w:rsidRPr="00E040C1">
        <w:rPr>
          <w:rFonts w:cs="Sylfaen"/>
          <w:lang w:val="ro-RO"/>
        </w:rPr>
        <w:t xml:space="preserve"> </w:t>
      </w:r>
      <w:r w:rsidRPr="00E040C1">
        <w:rPr>
          <w:rFonts w:cs="Sylfaen"/>
        </w:rPr>
        <w:t>դրամի</w:t>
      </w:r>
      <w:r w:rsidRPr="00E040C1">
        <w:rPr>
          <w:rFonts w:cs="Sylfaen"/>
          <w:lang w:val="ro-RO"/>
        </w:rPr>
        <w:t xml:space="preserve"> </w:t>
      </w:r>
      <w:r w:rsidRPr="00E040C1">
        <w:rPr>
          <w:rFonts w:cs="Sylfaen"/>
        </w:rPr>
        <w:t>առավելագույնը</w:t>
      </w:r>
      <w:r w:rsidRPr="00E040C1">
        <w:rPr>
          <w:rFonts w:cs="Sylfaen"/>
          <w:lang w:val="ro-RO"/>
        </w:rPr>
        <w:t xml:space="preserve"> 5</w:t>
      </w:r>
      <w:r w:rsidRPr="00E040C1">
        <w:rPr>
          <w:rFonts w:cs="Sylfaen"/>
          <w:lang w:val="hy-AM"/>
        </w:rPr>
        <w:t xml:space="preserve">% </w:t>
      </w:r>
      <w:r w:rsidRPr="00E040C1">
        <w:rPr>
          <w:rFonts w:cs="Sylfaen"/>
          <w:lang w:val="ro-RO"/>
        </w:rPr>
        <w:t xml:space="preserve">արժեզրկումը: </w:t>
      </w:r>
    </w:p>
    <w:p w14:paraId="06354156" w14:textId="77777777" w:rsidR="00E11F71" w:rsidRPr="00E040C1" w:rsidRDefault="00E11F71" w:rsidP="00E11F71">
      <w:pPr>
        <w:spacing w:after="120" w:line="276" w:lineRule="auto"/>
        <w:ind w:firstLine="720"/>
        <w:rPr>
          <w:rFonts w:cs="Sylfaen"/>
          <w:lang w:val="ro-RO"/>
        </w:rPr>
      </w:pPr>
      <w:r w:rsidRPr="00E040C1">
        <w:rPr>
          <w:rFonts w:cs="Sylfaen"/>
        </w:rPr>
        <w:t>Արդյունքում</w:t>
      </w:r>
      <w:r w:rsidRPr="00E040C1">
        <w:rPr>
          <w:rFonts w:cs="Sylfaen"/>
          <w:lang w:val="ro-RO"/>
        </w:rPr>
        <w:t xml:space="preserve">, </w:t>
      </w:r>
      <w:r w:rsidRPr="00E040C1">
        <w:rPr>
          <w:rFonts w:cs="Sylfaen"/>
        </w:rPr>
        <w:t>փոխարժեքի</w:t>
      </w:r>
      <w:r w:rsidRPr="00E040C1">
        <w:rPr>
          <w:rFonts w:cs="Sylfaen"/>
          <w:lang w:val="ro-RO"/>
        </w:rPr>
        <w:t xml:space="preserve"> 5</w:t>
      </w:r>
      <w:r w:rsidRPr="00E040C1">
        <w:rPr>
          <w:rFonts w:cs="Sylfaen"/>
          <w:lang w:val="sk-SK"/>
        </w:rPr>
        <w:t xml:space="preserve"> տոկոս</w:t>
      </w:r>
      <w:r w:rsidRPr="00E040C1">
        <w:rPr>
          <w:rFonts w:cs="Sylfaen"/>
          <w:lang w:val="ro-RO"/>
        </w:rPr>
        <w:t>ով արժեզրկման ռիսկի դրսևորման դեպքում, այլ հավասար պայմաններում, 2021, 2022 և 2023 թվականներին կարելի է ապահովել հարկային եկամուտների համապատասխանաբար 11.7, 14.8 և 17.1 մլրդ ՀՀ դրամ լրացուցիչ մուտք:</w:t>
      </w:r>
    </w:p>
    <w:p w14:paraId="4418331E" w14:textId="77777777" w:rsidR="00E11F71" w:rsidRPr="00E040C1" w:rsidRDefault="00E11F71" w:rsidP="00E11F71">
      <w:pPr>
        <w:spacing w:after="120" w:line="276" w:lineRule="auto"/>
        <w:ind w:firstLine="720"/>
        <w:rPr>
          <w:rFonts w:cs="Sylfaen"/>
          <w:b/>
          <w:lang w:val="ro-RO"/>
        </w:rPr>
      </w:pPr>
      <w:r w:rsidRPr="00E040C1">
        <w:rPr>
          <w:rFonts w:cs="Sylfaen"/>
          <w:b/>
          <w:lang w:val="ro-RO"/>
        </w:rPr>
        <w:t xml:space="preserve">2.3. Ներմուծման </w:t>
      </w:r>
      <w:r w:rsidRPr="00E040C1">
        <w:rPr>
          <w:rFonts w:cs="Sylfaen"/>
          <w:b/>
        </w:rPr>
        <w:t>գծով</w:t>
      </w:r>
      <w:r w:rsidRPr="00E040C1">
        <w:rPr>
          <w:rFonts w:cs="Sylfaen"/>
          <w:b/>
          <w:lang w:val="hy-AM"/>
        </w:rPr>
        <w:t xml:space="preserve"> </w:t>
      </w:r>
      <w:r w:rsidRPr="00E040C1">
        <w:rPr>
          <w:rFonts w:cs="Sylfaen"/>
          <w:b/>
        </w:rPr>
        <w:t>ռիսկի</w:t>
      </w:r>
      <w:r w:rsidRPr="00E040C1">
        <w:rPr>
          <w:rFonts w:cs="Sylfaen"/>
          <w:b/>
          <w:lang w:val="hy-AM"/>
        </w:rPr>
        <w:t xml:space="preserve"> </w:t>
      </w:r>
      <w:r w:rsidRPr="00E040C1">
        <w:rPr>
          <w:rFonts w:cs="Sylfaen"/>
          <w:b/>
        </w:rPr>
        <w:t>հնարավոր</w:t>
      </w:r>
      <w:r w:rsidRPr="00E040C1">
        <w:rPr>
          <w:rFonts w:cs="Sylfaen"/>
          <w:b/>
          <w:lang w:val="hy-AM"/>
        </w:rPr>
        <w:t xml:space="preserve"> </w:t>
      </w:r>
      <w:r w:rsidRPr="00E040C1">
        <w:rPr>
          <w:rFonts w:cs="Sylfaen"/>
          <w:b/>
        </w:rPr>
        <w:t>չափը</w:t>
      </w:r>
    </w:p>
    <w:p w14:paraId="6F6DEC8C" w14:textId="77777777" w:rsidR="00E11F71" w:rsidRPr="00E040C1" w:rsidRDefault="00E11F71" w:rsidP="00E11F71">
      <w:pPr>
        <w:spacing w:after="120" w:line="276" w:lineRule="auto"/>
        <w:ind w:firstLine="720"/>
        <w:rPr>
          <w:rFonts w:cs="Sylfaen"/>
          <w:lang w:val="ro-RO"/>
        </w:rPr>
      </w:pPr>
      <w:r w:rsidRPr="00E040C1">
        <w:rPr>
          <w:rFonts w:cs="Sylfaen"/>
        </w:rPr>
        <w:t>Քանի</w:t>
      </w:r>
      <w:r w:rsidRPr="00E040C1">
        <w:rPr>
          <w:rFonts w:cs="Sylfaen"/>
          <w:lang w:val="hy-AM"/>
        </w:rPr>
        <w:t xml:space="preserve"> որ մաքսային սահմանին ներմուծումից գանձվող անուղղակի հարկերը էական կշիռ ունեն պետական բյուջեի ընդհանուր հարկային եկամուտներում</w:t>
      </w:r>
      <w:r w:rsidRPr="00E040C1">
        <w:rPr>
          <w:rFonts w:cs="Sylfaen"/>
          <w:lang w:val="ro-RO"/>
        </w:rPr>
        <w:t xml:space="preserve">, </w:t>
      </w:r>
      <w:r w:rsidRPr="00E040C1">
        <w:rPr>
          <w:rFonts w:cs="Sylfaen"/>
          <w:lang w:val="hy-AM"/>
        </w:rPr>
        <w:t>անհրաժեշտ է գնահատել նաև ներմուծման հնարավոր նվազման պարագայում հարկային եկամուտների նվազման ռիսկի չափը</w:t>
      </w:r>
      <w:r w:rsidRPr="00E040C1">
        <w:rPr>
          <w:rFonts w:cs="Sylfaen"/>
          <w:lang w:val="ro-RO"/>
        </w:rPr>
        <w:t xml:space="preserve">: </w:t>
      </w:r>
      <w:r w:rsidRPr="00E040C1">
        <w:rPr>
          <w:rFonts w:cs="Sylfaen"/>
          <w:lang w:val="hy-AM"/>
        </w:rPr>
        <w:t>Հետճգնաժամային</w:t>
      </w:r>
      <w:r w:rsidRPr="00E040C1">
        <w:rPr>
          <w:rFonts w:cs="Sylfaen"/>
          <w:lang w:val="ro-RO"/>
        </w:rPr>
        <w:t xml:space="preserve"> </w:t>
      </w:r>
      <w:r w:rsidRPr="00E040C1">
        <w:rPr>
          <w:rFonts w:cs="Sylfaen"/>
          <w:lang w:val="hy-AM"/>
        </w:rPr>
        <w:t>տարիներին</w:t>
      </w:r>
      <w:r w:rsidRPr="00E040C1">
        <w:rPr>
          <w:rFonts w:cs="Sylfaen"/>
          <w:lang w:val="ro-RO"/>
        </w:rPr>
        <w:t xml:space="preserve"> ՄԺԾԾ-ում </w:t>
      </w:r>
      <w:r w:rsidRPr="00E040C1">
        <w:rPr>
          <w:rFonts w:cs="Sylfaen"/>
          <w:lang w:val="hy-AM"/>
        </w:rPr>
        <w:t>ներմուծման</w:t>
      </w:r>
      <w:r w:rsidRPr="00E040C1">
        <w:rPr>
          <w:rFonts w:cs="Sylfaen"/>
          <w:lang w:val="ro-RO"/>
        </w:rPr>
        <w:t xml:space="preserve"> գծով կանխատեսումների շեղման միջին բացարձակ չափը սահմանվում է 10.0-18.0%-ի միջակայքում, ինչն էլ հաշվի է առնվել այս գործոնի ազդեցությունը գնահատելու համար: 2021, 2022 և 2023 թվականների համար ծրագրվածից համապատասխանաբար 10.8</w:t>
      </w:r>
      <w:r w:rsidRPr="00E040C1">
        <w:rPr>
          <w:rFonts w:cs="Sylfaen"/>
          <w:lang w:val="sk-SK"/>
        </w:rPr>
        <w:t>, 12.8 և 17.4%</w:t>
      </w:r>
      <w:r w:rsidRPr="00E040C1">
        <w:rPr>
          <w:rFonts w:cs="Sylfaen"/>
          <w:lang w:val="ro-RO"/>
        </w:rPr>
        <w:t xml:space="preserve"> պակաս ներմուծման ռիսկի դրսևորման պայմաններում հարկային եկամուտների վրա ազդեցությունը գնահատվում է համապատասխանաբար՝ 15.5</w:t>
      </w:r>
      <w:r w:rsidRPr="00E040C1">
        <w:rPr>
          <w:rFonts w:cs="Sylfaen"/>
          <w:lang w:val="sk-SK"/>
        </w:rPr>
        <w:t xml:space="preserve">, 22.7 և 35.9 </w:t>
      </w:r>
      <w:r w:rsidRPr="00E040C1">
        <w:rPr>
          <w:rFonts w:cs="Sylfaen"/>
          <w:lang w:val="ro-RO"/>
        </w:rPr>
        <w:t>մլրդ ՀՀ դրամ` ֆինանսական պահանջի ավելացման ուղղությամբ:</w:t>
      </w:r>
    </w:p>
    <w:p w14:paraId="6718B137" w14:textId="77777777" w:rsidR="00E11F71" w:rsidRPr="00E040C1" w:rsidRDefault="00E11F71" w:rsidP="00E11F71">
      <w:pPr>
        <w:spacing w:after="120" w:line="276" w:lineRule="auto"/>
        <w:ind w:firstLine="720"/>
        <w:rPr>
          <w:rFonts w:cs="Sylfaen"/>
          <w:lang w:val="ro-RO"/>
        </w:rPr>
      </w:pPr>
      <w:r w:rsidRPr="00E040C1">
        <w:rPr>
          <w:rFonts w:cs="Sylfaen"/>
          <w:lang w:val="ro-RO"/>
        </w:rPr>
        <w:t xml:space="preserve">Ամփոփելով վերը </w:t>
      </w:r>
      <w:r w:rsidRPr="00E040C1">
        <w:rPr>
          <w:rFonts w:cs="Sylfaen"/>
        </w:rPr>
        <w:t>նկարագրված</w:t>
      </w:r>
      <w:r w:rsidRPr="00E040C1">
        <w:rPr>
          <w:rFonts w:cs="Sylfaen"/>
          <w:lang w:val="sk-SK"/>
        </w:rPr>
        <w:t xml:space="preserve"> </w:t>
      </w:r>
      <w:r w:rsidRPr="00E040C1">
        <w:rPr>
          <w:rFonts w:cs="Sylfaen"/>
          <w:b/>
        </w:rPr>
        <w:t>կ</w:t>
      </w:r>
      <w:r w:rsidRPr="00E040C1">
        <w:rPr>
          <w:rFonts w:cs="Sylfaen"/>
          <w:b/>
          <w:lang w:val="hy-AM"/>
        </w:rPr>
        <w:t>անխատեսումների ռիսկ</w:t>
      </w:r>
      <w:r w:rsidRPr="00E040C1">
        <w:rPr>
          <w:rFonts w:cs="Sylfaen"/>
          <w:b/>
        </w:rPr>
        <w:t>ի</w:t>
      </w:r>
      <w:r w:rsidRPr="00E040C1">
        <w:rPr>
          <w:rFonts w:cs="Sylfaen"/>
          <w:b/>
          <w:lang w:val="sk-SK"/>
        </w:rPr>
        <w:t xml:space="preserve"> </w:t>
      </w:r>
      <w:r w:rsidRPr="00E040C1">
        <w:rPr>
          <w:rFonts w:cs="Sylfaen"/>
          <w:b/>
        </w:rPr>
        <w:t>և</w:t>
      </w:r>
      <w:r w:rsidRPr="00E040C1">
        <w:rPr>
          <w:rFonts w:cs="Sylfaen"/>
          <w:lang w:val="hy-AM"/>
        </w:rPr>
        <w:t xml:space="preserve"> </w:t>
      </w:r>
      <w:r w:rsidRPr="00E040C1">
        <w:rPr>
          <w:rFonts w:cs="Sylfaen"/>
          <w:b/>
        </w:rPr>
        <w:t>ե</w:t>
      </w:r>
      <w:r w:rsidRPr="00E040C1">
        <w:rPr>
          <w:rFonts w:cs="Sylfaen"/>
          <w:b/>
          <w:lang w:val="hy-AM"/>
        </w:rPr>
        <w:t>նթադրություններից</w:t>
      </w:r>
      <w:r w:rsidRPr="00E040C1">
        <w:rPr>
          <w:rFonts w:cs="Sylfaen"/>
          <w:b/>
          <w:lang w:val="bg-BG"/>
        </w:rPr>
        <w:t xml:space="preserve"> </w:t>
      </w:r>
      <w:r w:rsidRPr="00E040C1">
        <w:rPr>
          <w:rFonts w:cs="Sylfaen"/>
          <w:b/>
          <w:lang w:val="hy-AM"/>
        </w:rPr>
        <w:t>շեղումների</w:t>
      </w:r>
      <w:r w:rsidRPr="00E040C1">
        <w:rPr>
          <w:rFonts w:cs="Sylfaen"/>
          <w:b/>
          <w:lang w:val="bg-BG"/>
        </w:rPr>
        <w:t xml:space="preserve"> </w:t>
      </w:r>
      <w:r w:rsidRPr="00E040C1">
        <w:rPr>
          <w:rFonts w:cs="Sylfaen"/>
          <w:b/>
          <w:lang w:val="hy-AM"/>
        </w:rPr>
        <w:t>ռիսկ</w:t>
      </w:r>
      <w:r w:rsidRPr="00E040C1">
        <w:rPr>
          <w:rFonts w:cs="Sylfaen"/>
          <w:b/>
        </w:rPr>
        <w:t>ի</w:t>
      </w:r>
      <w:r w:rsidRPr="00E040C1">
        <w:rPr>
          <w:rFonts w:cs="Sylfaen"/>
          <w:lang w:val="hy-AM"/>
        </w:rPr>
        <w:t xml:space="preserve"> </w:t>
      </w:r>
      <w:r w:rsidRPr="00E040C1">
        <w:rPr>
          <w:rFonts w:cs="Sylfaen"/>
        </w:rPr>
        <w:t>գնահատականները</w:t>
      </w:r>
      <w:r w:rsidRPr="00E040C1">
        <w:rPr>
          <w:rFonts w:cs="Sylfaen"/>
          <w:lang w:val="sk-SK"/>
        </w:rPr>
        <w:t xml:space="preserve">, </w:t>
      </w:r>
      <w:r w:rsidRPr="00E040C1">
        <w:rPr>
          <w:rFonts w:cs="Sylfaen"/>
          <w:lang w:val="ro-RO"/>
        </w:rPr>
        <w:t>միջնաժամկետ հորիզոնում ՀՀ պետական բյուջեի հարկային եկամուտների վրա մակրոտնտեսական ցուցանիշների` իրական ՀՆԱ-ի աճի, գնաճի, փոխարժեքի տատանողականության և ներմուծման ռիսկերի ազդեցության քանակական ամփոփ գնահատականները ներկայացվում են ստորև.</w:t>
      </w:r>
    </w:p>
    <w:p w14:paraId="39537CA6" w14:textId="77777777" w:rsidR="00E11F71" w:rsidRPr="00CD7613" w:rsidRDefault="00E11F71" w:rsidP="00E11F71">
      <w:pPr>
        <w:spacing w:after="120" w:line="276" w:lineRule="auto"/>
        <w:ind w:firstLine="720"/>
        <w:rPr>
          <w:i/>
          <w:sz w:val="20"/>
          <w:szCs w:val="20"/>
          <w:lang w:val="ro-RO"/>
        </w:rPr>
      </w:pPr>
      <w:r w:rsidRPr="00CD7613">
        <w:rPr>
          <w:b/>
          <w:i/>
          <w:sz w:val="20"/>
          <w:szCs w:val="20"/>
          <w:lang w:val="hy-AM"/>
        </w:rPr>
        <w:t xml:space="preserve">Աղյուսակ </w:t>
      </w:r>
      <w:r w:rsidR="009E6C48" w:rsidRPr="00CD7613">
        <w:rPr>
          <w:b/>
          <w:i/>
          <w:sz w:val="20"/>
          <w:szCs w:val="20"/>
          <w:lang w:val="hy-AM"/>
        </w:rPr>
        <w:t>3</w:t>
      </w:r>
      <w:r w:rsidRPr="00CD7613">
        <w:rPr>
          <w:b/>
          <w:i/>
          <w:sz w:val="20"/>
          <w:szCs w:val="20"/>
          <w:lang w:val="sk-SK"/>
        </w:rPr>
        <w:t>.1.</w:t>
      </w:r>
      <w:r w:rsidR="00CD7613" w:rsidRPr="00CD7613">
        <w:rPr>
          <w:b/>
          <w:i/>
          <w:sz w:val="20"/>
          <w:szCs w:val="20"/>
          <w:lang w:val="sk-SK"/>
        </w:rPr>
        <w:t>1</w:t>
      </w:r>
      <w:r w:rsidRPr="00CD7613">
        <w:rPr>
          <w:i/>
          <w:sz w:val="20"/>
          <w:szCs w:val="20"/>
          <w:lang w:val="hy-AM"/>
        </w:rPr>
        <w:t xml:space="preserve"> Հարկային եկամուտների վրա մակրոտնտեսական կանխատեսումների և ենթադրությունների</w:t>
      </w:r>
      <w:r w:rsidRPr="00CD7613">
        <w:rPr>
          <w:i/>
          <w:sz w:val="20"/>
          <w:szCs w:val="20"/>
          <w:lang w:val="sk-SK"/>
        </w:rPr>
        <w:t xml:space="preserve"> </w:t>
      </w:r>
      <w:r w:rsidRPr="00CD7613">
        <w:rPr>
          <w:i/>
          <w:sz w:val="20"/>
          <w:szCs w:val="20"/>
          <w:lang w:val="hy-AM"/>
        </w:rPr>
        <w:t>ռիսկերի ազդեցություն</w:t>
      </w:r>
      <w:r w:rsidRPr="00CD7613">
        <w:rPr>
          <w:rStyle w:val="FootnoteReference"/>
          <w:i/>
          <w:sz w:val="20"/>
          <w:szCs w:val="20"/>
          <w:lang w:val="hy-AM"/>
        </w:rPr>
        <w:footnoteReference w:id="15"/>
      </w:r>
    </w:p>
    <w:tbl>
      <w:tblPr>
        <w:tblStyle w:val="GridTable1Light-Accent511"/>
        <w:tblW w:w="9270" w:type="dxa"/>
        <w:jc w:val="center"/>
        <w:tblLook w:val="04A0" w:firstRow="1" w:lastRow="0" w:firstColumn="1" w:lastColumn="0" w:noHBand="0" w:noVBand="1"/>
      </w:tblPr>
      <w:tblGrid>
        <w:gridCol w:w="4410"/>
        <w:gridCol w:w="1620"/>
        <w:gridCol w:w="1531"/>
        <w:gridCol w:w="1709"/>
      </w:tblGrid>
      <w:tr w:rsidR="00E11F71" w:rsidRPr="007724F4" w14:paraId="2573E42F" w14:textId="77777777" w:rsidTr="000A39B3">
        <w:trPr>
          <w:cnfStyle w:val="100000000000" w:firstRow="1" w:lastRow="0" w:firstColumn="0" w:lastColumn="0" w:oddVBand="0" w:evenVBand="0" w:oddHBand="0"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4410" w:type="dxa"/>
            <w:vMerge w:val="restart"/>
            <w:shd w:val="clear" w:color="auto" w:fill="4F81BD" w:themeFill="accent1"/>
            <w:vAlign w:val="center"/>
            <w:hideMark/>
          </w:tcPr>
          <w:p w14:paraId="52E1B4D6" w14:textId="77777777" w:rsidR="00E11F71" w:rsidRPr="00CD7E61" w:rsidRDefault="00E11F71" w:rsidP="000A39B3">
            <w:pPr>
              <w:spacing w:before="0" w:after="0" w:line="240" w:lineRule="auto"/>
              <w:ind w:firstLine="0"/>
              <w:jc w:val="center"/>
              <w:rPr>
                <w:rFonts w:eastAsia="Times New Roman"/>
                <w:b w:val="0"/>
                <w:bCs w:val="0"/>
                <w:color w:val="FFFFFF" w:themeColor="background1"/>
              </w:rPr>
            </w:pPr>
            <w:r w:rsidRPr="00CD7E61">
              <w:rPr>
                <w:rFonts w:eastAsia="Times New Roman"/>
                <w:color w:val="FFFFFF" w:themeColor="background1"/>
              </w:rPr>
              <w:lastRenderedPageBreak/>
              <w:t>Ռիսկի տեսակը</w:t>
            </w:r>
          </w:p>
        </w:tc>
        <w:tc>
          <w:tcPr>
            <w:tcW w:w="4860" w:type="dxa"/>
            <w:gridSpan w:val="3"/>
            <w:vMerge w:val="restart"/>
            <w:shd w:val="clear" w:color="auto" w:fill="4F81BD" w:themeFill="accent1"/>
            <w:vAlign w:val="center"/>
            <w:hideMark/>
          </w:tcPr>
          <w:p w14:paraId="37E348FD" w14:textId="77777777" w:rsidR="00E11F71" w:rsidRPr="00CD7E61" w:rsidRDefault="00E11F71" w:rsidP="000A39B3">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rPr>
            </w:pPr>
            <w:r w:rsidRPr="00CD7E61">
              <w:rPr>
                <w:rFonts w:eastAsia="Times New Roman"/>
                <w:color w:val="FFFFFF" w:themeColor="background1"/>
              </w:rPr>
              <w:t>Ազդեցության գնահատականը, մլրդ ՀՀ դրամ</w:t>
            </w:r>
          </w:p>
        </w:tc>
      </w:tr>
      <w:tr w:rsidR="00E11F71" w:rsidRPr="007724F4" w14:paraId="23C331DF" w14:textId="77777777" w:rsidTr="000A39B3">
        <w:trPr>
          <w:trHeight w:val="547"/>
          <w:jc w:val="center"/>
        </w:trPr>
        <w:tc>
          <w:tcPr>
            <w:cnfStyle w:val="001000000000" w:firstRow="0" w:lastRow="0" w:firstColumn="1" w:lastColumn="0" w:oddVBand="0" w:evenVBand="0" w:oddHBand="0" w:evenHBand="0" w:firstRowFirstColumn="0" w:firstRowLastColumn="0" w:lastRowFirstColumn="0" w:lastRowLastColumn="0"/>
            <w:tcW w:w="4410" w:type="dxa"/>
            <w:vMerge/>
            <w:shd w:val="clear" w:color="auto" w:fill="4F81BD" w:themeFill="accent1"/>
            <w:hideMark/>
          </w:tcPr>
          <w:p w14:paraId="6A05A37B" w14:textId="77777777" w:rsidR="00E11F71" w:rsidRPr="00CD7E61" w:rsidRDefault="00E11F71" w:rsidP="000A39B3">
            <w:pPr>
              <w:spacing w:before="0" w:after="0" w:line="240" w:lineRule="auto"/>
              <w:ind w:firstLine="0"/>
              <w:rPr>
                <w:rFonts w:eastAsia="Times New Roman"/>
                <w:b w:val="0"/>
                <w:bCs w:val="0"/>
                <w:color w:val="FFFFFF" w:themeColor="background1"/>
              </w:rPr>
            </w:pPr>
          </w:p>
        </w:tc>
        <w:tc>
          <w:tcPr>
            <w:tcW w:w="4860" w:type="dxa"/>
            <w:gridSpan w:val="3"/>
            <w:vMerge/>
            <w:shd w:val="clear" w:color="auto" w:fill="4F81BD" w:themeFill="accent1"/>
            <w:hideMark/>
          </w:tcPr>
          <w:p w14:paraId="755D9FAA" w14:textId="77777777" w:rsidR="00E11F71" w:rsidRPr="00CD7E61" w:rsidRDefault="00E11F71" w:rsidP="000A39B3">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rPr>
            </w:pPr>
          </w:p>
        </w:tc>
      </w:tr>
      <w:tr w:rsidR="00E11F71" w:rsidRPr="00E040C1" w14:paraId="6A9635F6" w14:textId="77777777" w:rsidTr="000A39B3">
        <w:trPr>
          <w:trHeight w:val="345"/>
          <w:jc w:val="center"/>
        </w:trPr>
        <w:tc>
          <w:tcPr>
            <w:cnfStyle w:val="001000000000" w:firstRow="0" w:lastRow="0" w:firstColumn="1" w:lastColumn="0" w:oddVBand="0" w:evenVBand="0" w:oddHBand="0" w:evenHBand="0" w:firstRowFirstColumn="0" w:firstRowLastColumn="0" w:lastRowFirstColumn="0" w:lastRowLastColumn="0"/>
            <w:tcW w:w="4410" w:type="dxa"/>
            <w:shd w:val="clear" w:color="auto" w:fill="4F81BD" w:themeFill="accent1"/>
            <w:hideMark/>
          </w:tcPr>
          <w:p w14:paraId="125D0E42" w14:textId="77777777" w:rsidR="00E11F71" w:rsidRPr="00CD7E61" w:rsidRDefault="00E11F71" w:rsidP="000A39B3">
            <w:pPr>
              <w:spacing w:before="0" w:after="0" w:line="240" w:lineRule="auto"/>
              <w:ind w:firstLine="0"/>
              <w:rPr>
                <w:rFonts w:eastAsia="Times New Roman"/>
                <w:b w:val="0"/>
                <w:bCs w:val="0"/>
                <w:color w:val="FFFFFF" w:themeColor="background1"/>
              </w:rPr>
            </w:pPr>
            <w:r w:rsidRPr="00CD7E61">
              <w:rPr>
                <w:rFonts w:ascii="Calibri" w:eastAsia="Times New Roman" w:hAnsi="Calibri"/>
                <w:color w:val="FFFFFF" w:themeColor="background1"/>
              </w:rPr>
              <w:t> </w:t>
            </w:r>
          </w:p>
        </w:tc>
        <w:tc>
          <w:tcPr>
            <w:tcW w:w="1620" w:type="dxa"/>
            <w:shd w:val="clear" w:color="auto" w:fill="4F81BD" w:themeFill="accent1"/>
            <w:hideMark/>
          </w:tcPr>
          <w:p w14:paraId="16F8B014" w14:textId="77777777" w:rsidR="00E11F71" w:rsidRPr="00CD7E61" w:rsidRDefault="00E11F71" w:rsidP="000A39B3">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rPr>
            </w:pPr>
            <w:r w:rsidRPr="00CD7E61">
              <w:rPr>
                <w:rFonts w:eastAsia="Times New Roman"/>
                <w:b/>
                <w:bCs/>
                <w:color w:val="FFFFFF" w:themeColor="background1"/>
              </w:rPr>
              <w:t>2021</w:t>
            </w:r>
          </w:p>
        </w:tc>
        <w:tc>
          <w:tcPr>
            <w:tcW w:w="1531" w:type="dxa"/>
            <w:shd w:val="clear" w:color="auto" w:fill="4F81BD" w:themeFill="accent1"/>
            <w:hideMark/>
          </w:tcPr>
          <w:p w14:paraId="5D87A849" w14:textId="77777777" w:rsidR="00E11F71" w:rsidRPr="00CD7E61" w:rsidRDefault="00E11F71" w:rsidP="000A39B3">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rPr>
            </w:pPr>
            <w:r w:rsidRPr="00CD7E61">
              <w:rPr>
                <w:rFonts w:eastAsia="Times New Roman"/>
                <w:b/>
                <w:bCs/>
                <w:color w:val="FFFFFF" w:themeColor="background1"/>
              </w:rPr>
              <w:t>2022</w:t>
            </w:r>
          </w:p>
        </w:tc>
        <w:tc>
          <w:tcPr>
            <w:tcW w:w="1709" w:type="dxa"/>
            <w:shd w:val="clear" w:color="auto" w:fill="4F81BD" w:themeFill="accent1"/>
            <w:hideMark/>
          </w:tcPr>
          <w:p w14:paraId="384FDB20" w14:textId="77777777" w:rsidR="00E11F71" w:rsidRPr="00CD7E61" w:rsidRDefault="00E11F71" w:rsidP="000A39B3">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rPr>
            </w:pPr>
            <w:r w:rsidRPr="00CD7E61">
              <w:rPr>
                <w:rFonts w:eastAsia="Times New Roman"/>
                <w:b/>
                <w:bCs/>
                <w:color w:val="FFFFFF" w:themeColor="background1"/>
              </w:rPr>
              <w:t>2023</w:t>
            </w:r>
          </w:p>
        </w:tc>
      </w:tr>
      <w:tr w:rsidR="00E11F71" w:rsidRPr="00E040C1" w14:paraId="7FC8DF1E" w14:textId="77777777" w:rsidTr="000A39B3">
        <w:trPr>
          <w:trHeight w:val="345"/>
          <w:jc w:val="center"/>
        </w:trPr>
        <w:tc>
          <w:tcPr>
            <w:cnfStyle w:val="001000000000" w:firstRow="0" w:lastRow="0" w:firstColumn="1" w:lastColumn="0" w:oddVBand="0" w:evenVBand="0" w:oddHBand="0" w:evenHBand="0" w:firstRowFirstColumn="0" w:firstRowLastColumn="0" w:lastRowFirstColumn="0" w:lastRowLastColumn="0"/>
            <w:tcW w:w="9270" w:type="dxa"/>
            <w:gridSpan w:val="4"/>
            <w:hideMark/>
          </w:tcPr>
          <w:p w14:paraId="1FA10851" w14:textId="77777777" w:rsidR="00E11F71" w:rsidRPr="00E040C1" w:rsidRDefault="00E11F71" w:rsidP="000A39B3">
            <w:pPr>
              <w:spacing w:before="0" w:after="0" w:line="240" w:lineRule="auto"/>
              <w:ind w:firstLine="0"/>
              <w:rPr>
                <w:rFonts w:eastAsia="Times New Roman"/>
                <w:b w:val="0"/>
                <w:bCs w:val="0"/>
                <w:color w:val="000000"/>
              </w:rPr>
            </w:pPr>
            <w:r w:rsidRPr="00E040C1">
              <w:rPr>
                <w:rFonts w:eastAsia="Times New Roman"/>
                <w:color w:val="000000"/>
              </w:rPr>
              <w:t>Ռիսկերի առանձին հանդես գալու պայմաններում</w:t>
            </w:r>
          </w:p>
        </w:tc>
      </w:tr>
      <w:tr w:rsidR="00E11F71" w:rsidRPr="00E040C1" w14:paraId="1A2CB6A2" w14:textId="77777777" w:rsidTr="000A39B3">
        <w:trPr>
          <w:trHeight w:val="675"/>
          <w:jc w:val="center"/>
        </w:trPr>
        <w:tc>
          <w:tcPr>
            <w:cnfStyle w:val="001000000000" w:firstRow="0" w:lastRow="0" w:firstColumn="1" w:lastColumn="0" w:oddVBand="0" w:evenVBand="0" w:oddHBand="0" w:evenHBand="0" w:firstRowFirstColumn="0" w:firstRowLastColumn="0" w:lastRowFirstColumn="0" w:lastRowLastColumn="0"/>
            <w:tcW w:w="4410" w:type="dxa"/>
            <w:vAlign w:val="center"/>
            <w:hideMark/>
          </w:tcPr>
          <w:p w14:paraId="58247DFB" w14:textId="77777777" w:rsidR="00E11F71" w:rsidRPr="00E040C1" w:rsidRDefault="00E11F71" w:rsidP="000A39B3">
            <w:pPr>
              <w:spacing w:before="0" w:after="0" w:line="240" w:lineRule="auto"/>
              <w:ind w:firstLine="0"/>
              <w:jc w:val="left"/>
              <w:rPr>
                <w:rFonts w:eastAsia="Times New Roman"/>
                <w:color w:val="000000"/>
              </w:rPr>
            </w:pPr>
            <w:r w:rsidRPr="00E040C1">
              <w:rPr>
                <w:rFonts w:eastAsia="Times New Roman"/>
                <w:color w:val="000000"/>
              </w:rPr>
              <w:t>1. Կանխատեսվածից 2.0-2.6 տոկոսային կետով ավելի ցածր իրական ՀՆԱ-ի աճ</w:t>
            </w:r>
          </w:p>
        </w:tc>
        <w:tc>
          <w:tcPr>
            <w:tcW w:w="1620" w:type="dxa"/>
            <w:vAlign w:val="center"/>
            <w:hideMark/>
          </w:tcPr>
          <w:p w14:paraId="0B01D83C"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-10.1</w:t>
            </w:r>
          </w:p>
        </w:tc>
        <w:tc>
          <w:tcPr>
            <w:tcW w:w="1531" w:type="dxa"/>
            <w:vAlign w:val="center"/>
            <w:hideMark/>
          </w:tcPr>
          <w:p w14:paraId="60D1254D"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-14.1</w:t>
            </w:r>
          </w:p>
        </w:tc>
        <w:tc>
          <w:tcPr>
            <w:tcW w:w="1709" w:type="dxa"/>
            <w:vAlign w:val="center"/>
            <w:hideMark/>
          </w:tcPr>
          <w:p w14:paraId="5290DAF4"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-18.3</w:t>
            </w:r>
          </w:p>
        </w:tc>
      </w:tr>
      <w:tr w:rsidR="00E11F71" w:rsidRPr="00E040C1" w14:paraId="25965D3A" w14:textId="77777777" w:rsidTr="000A39B3">
        <w:trPr>
          <w:trHeight w:val="345"/>
          <w:jc w:val="center"/>
        </w:trPr>
        <w:tc>
          <w:tcPr>
            <w:cnfStyle w:val="001000000000" w:firstRow="0" w:lastRow="0" w:firstColumn="1" w:lastColumn="0" w:oddVBand="0" w:evenVBand="0" w:oddHBand="0" w:evenHBand="0" w:firstRowFirstColumn="0" w:firstRowLastColumn="0" w:lastRowFirstColumn="0" w:lastRowLastColumn="0"/>
            <w:tcW w:w="4410" w:type="dxa"/>
            <w:vAlign w:val="center"/>
            <w:hideMark/>
          </w:tcPr>
          <w:p w14:paraId="40671F39" w14:textId="77777777" w:rsidR="00E11F71" w:rsidRPr="00E040C1" w:rsidRDefault="00E11F71" w:rsidP="000A39B3">
            <w:pPr>
              <w:spacing w:before="0" w:after="0" w:line="240" w:lineRule="auto"/>
              <w:ind w:firstLine="0"/>
              <w:jc w:val="left"/>
              <w:rPr>
                <w:rFonts w:eastAsia="Times New Roman"/>
                <w:color w:val="000000"/>
              </w:rPr>
            </w:pPr>
            <w:r w:rsidRPr="00E040C1">
              <w:rPr>
                <w:rFonts w:eastAsia="Times New Roman"/>
                <w:color w:val="000000"/>
              </w:rPr>
              <w:t>2. 1.5 տոկոսային կետով ավելի ցածր գնաճի ռիսկ</w:t>
            </w:r>
          </w:p>
        </w:tc>
        <w:tc>
          <w:tcPr>
            <w:tcW w:w="1620" w:type="dxa"/>
            <w:vAlign w:val="center"/>
            <w:hideMark/>
          </w:tcPr>
          <w:p w14:paraId="4F25944A"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-2.8</w:t>
            </w:r>
          </w:p>
        </w:tc>
        <w:tc>
          <w:tcPr>
            <w:tcW w:w="1531" w:type="dxa"/>
            <w:vAlign w:val="center"/>
            <w:hideMark/>
          </w:tcPr>
          <w:p w14:paraId="6FB6B8C4"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-3.3</w:t>
            </w:r>
          </w:p>
        </w:tc>
        <w:tc>
          <w:tcPr>
            <w:tcW w:w="1709" w:type="dxa"/>
            <w:vAlign w:val="center"/>
            <w:hideMark/>
          </w:tcPr>
          <w:p w14:paraId="4FDB27E5"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-3.8</w:t>
            </w:r>
          </w:p>
        </w:tc>
      </w:tr>
      <w:tr w:rsidR="00E11F71" w:rsidRPr="00E040C1" w14:paraId="3880916E" w14:textId="77777777" w:rsidTr="000A39B3">
        <w:trPr>
          <w:trHeight w:val="675"/>
          <w:jc w:val="center"/>
        </w:trPr>
        <w:tc>
          <w:tcPr>
            <w:cnfStyle w:val="001000000000" w:firstRow="0" w:lastRow="0" w:firstColumn="1" w:lastColumn="0" w:oddVBand="0" w:evenVBand="0" w:oddHBand="0" w:evenHBand="0" w:firstRowFirstColumn="0" w:firstRowLastColumn="0" w:lastRowFirstColumn="0" w:lastRowLastColumn="0"/>
            <w:tcW w:w="4410" w:type="dxa"/>
            <w:vAlign w:val="center"/>
            <w:hideMark/>
          </w:tcPr>
          <w:p w14:paraId="1483362A" w14:textId="77777777" w:rsidR="00E11F71" w:rsidRPr="00E040C1" w:rsidRDefault="00E11F71" w:rsidP="000A39B3">
            <w:pPr>
              <w:spacing w:before="0" w:after="0" w:line="240" w:lineRule="auto"/>
              <w:ind w:firstLine="0"/>
              <w:jc w:val="left"/>
              <w:rPr>
                <w:rFonts w:eastAsia="Times New Roman"/>
                <w:color w:val="000000"/>
              </w:rPr>
            </w:pPr>
            <w:r w:rsidRPr="00E040C1">
              <w:rPr>
                <w:rFonts w:eastAsia="Times New Roman"/>
                <w:color w:val="000000"/>
              </w:rPr>
              <w:t>3. Փոխարժեքի առավելագույնը 5.0 տոկոսով արժեզրկման ռիսկ</w:t>
            </w:r>
          </w:p>
        </w:tc>
        <w:tc>
          <w:tcPr>
            <w:tcW w:w="1620" w:type="dxa"/>
            <w:vAlign w:val="center"/>
            <w:hideMark/>
          </w:tcPr>
          <w:p w14:paraId="08C1B6AA"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11.7</w:t>
            </w:r>
          </w:p>
        </w:tc>
        <w:tc>
          <w:tcPr>
            <w:tcW w:w="1531" w:type="dxa"/>
            <w:vAlign w:val="center"/>
            <w:hideMark/>
          </w:tcPr>
          <w:p w14:paraId="0A893D3A"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14.8</w:t>
            </w:r>
          </w:p>
        </w:tc>
        <w:tc>
          <w:tcPr>
            <w:tcW w:w="1709" w:type="dxa"/>
            <w:vAlign w:val="center"/>
            <w:hideMark/>
          </w:tcPr>
          <w:p w14:paraId="4DFE86A7"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17.1</w:t>
            </w:r>
          </w:p>
        </w:tc>
      </w:tr>
      <w:tr w:rsidR="00E11F71" w:rsidRPr="00E040C1" w14:paraId="7AF78CDB" w14:textId="77777777" w:rsidTr="000A39B3">
        <w:trPr>
          <w:trHeight w:val="865"/>
          <w:jc w:val="center"/>
        </w:trPr>
        <w:tc>
          <w:tcPr>
            <w:cnfStyle w:val="001000000000" w:firstRow="0" w:lastRow="0" w:firstColumn="1" w:lastColumn="0" w:oddVBand="0" w:evenVBand="0" w:oddHBand="0" w:evenHBand="0" w:firstRowFirstColumn="0" w:firstRowLastColumn="0" w:lastRowFirstColumn="0" w:lastRowLastColumn="0"/>
            <w:tcW w:w="4410" w:type="dxa"/>
            <w:vAlign w:val="center"/>
            <w:hideMark/>
          </w:tcPr>
          <w:p w14:paraId="3757FDDB" w14:textId="77777777" w:rsidR="00E11F71" w:rsidRPr="00E040C1" w:rsidRDefault="00E11F71" w:rsidP="000A39B3">
            <w:pPr>
              <w:spacing w:before="0" w:after="0" w:line="240" w:lineRule="auto"/>
              <w:ind w:firstLine="0"/>
              <w:jc w:val="left"/>
              <w:rPr>
                <w:rFonts w:eastAsia="Times New Roman"/>
                <w:color w:val="000000"/>
              </w:rPr>
            </w:pPr>
            <w:r w:rsidRPr="00E040C1">
              <w:rPr>
                <w:rFonts w:eastAsia="Times New Roman"/>
                <w:color w:val="000000"/>
              </w:rPr>
              <w:t>4. Ներմուծման 10.8-17.4 տոկոսով նվազման ռիսկ</w:t>
            </w:r>
          </w:p>
        </w:tc>
        <w:tc>
          <w:tcPr>
            <w:tcW w:w="1620" w:type="dxa"/>
            <w:vAlign w:val="center"/>
            <w:hideMark/>
          </w:tcPr>
          <w:p w14:paraId="45B28CAE"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-15.5</w:t>
            </w:r>
          </w:p>
        </w:tc>
        <w:tc>
          <w:tcPr>
            <w:tcW w:w="1531" w:type="dxa"/>
            <w:vAlign w:val="center"/>
            <w:hideMark/>
          </w:tcPr>
          <w:p w14:paraId="6DCBCC0B"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-22.7</w:t>
            </w:r>
          </w:p>
        </w:tc>
        <w:tc>
          <w:tcPr>
            <w:tcW w:w="1709" w:type="dxa"/>
            <w:vAlign w:val="center"/>
            <w:hideMark/>
          </w:tcPr>
          <w:p w14:paraId="3E5FC439"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E040C1">
              <w:rPr>
                <w:rFonts w:eastAsia="Times New Roman"/>
                <w:color w:val="000000"/>
              </w:rPr>
              <w:t>-35.9</w:t>
            </w:r>
          </w:p>
        </w:tc>
      </w:tr>
      <w:tr w:rsidR="00E11F71" w:rsidRPr="00E040C1" w14:paraId="2C0AD9B1" w14:textId="77777777" w:rsidTr="000A39B3">
        <w:trPr>
          <w:trHeight w:val="675"/>
          <w:jc w:val="center"/>
        </w:trPr>
        <w:tc>
          <w:tcPr>
            <w:cnfStyle w:val="001000000000" w:firstRow="0" w:lastRow="0" w:firstColumn="1" w:lastColumn="0" w:oddVBand="0" w:evenVBand="0" w:oddHBand="0" w:evenHBand="0" w:firstRowFirstColumn="0" w:firstRowLastColumn="0" w:lastRowFirstColumn="0" w:lastRowLastColumn="0"/>
            <w:tcW w:w="4410" w:type="dxa"/>
            <w:hideMark/>
          </w:tcPr>
          <w:p w14:paraId="05E398B6" w14:textId="77777777" w:rsidR="00E11F71" w:rsidRPr="00E040C1" w:rsidRDefault="00E11F71" w:rsidP="000A39B3">
            <w:pPr>
              <w:spacing w:before="0" w:after="0" w:line="240" w:lineRule="auto"/>
              <w:ind w:firstLine="0"/>
              <w:jc w:val="left"/>
              <w:rPr>
                <w:rFonts w:eastAsia="Times New Roman"/>
                <w:b w:val="0"/>
                <w:bCs w:val="0"/>
                <w:color w:val="000000"/>
              </w:rPr>
            </w:pPr>
            <w:r w:rsidRPr="00E040C1">
              <w:rPr>
                <w:rFonts w:eastAsia="Times New Roman"/>
                <w:color w:val="000000"/>
              </w:rPr>
              <w:t>Վերոնշյալ ռիսկերի միաժամանակյա հանդես գալու պայմաններում</w:t>
            </w:r>
          </w:p>
        </w:tc>
        <w:tc>
          <w:tcPr>
            <w:tcW w:w="1620" w:type="dxa"/>
            <w:vAlign w:val="center"/>
            <w:hideMark/>
          </w:tcPr>
          <w:p w14:paraId="07662802"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E040C1">
              <w:rPr>
                <w:rFonts w:eastAsia="Times New Roman"/>
                <w:b/>
                <w:bCs/>
                <w:color w:val="000000"/>
              </w:rPr>
              <w:t>-20.3</w:t>
            </w:r>
          </w:p>
        </w:tc>
        <w:tc>
          <w:tcPr>
            <w:tcW w:w="1531" w:type="dxa"/>
            <w:vAlign w:val="center"/>
            <w:hideMark/>
          </w:tcPr>
          <w:p w14:paraId="75197671"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E040C1">
              <w:rPr>
                <w:rFonts w:eastAsia="Times New Roman"/>
                <w:b/>
                <w:bCs/>
                <w:color w:val="000000"/>
              </w:rPr>
              <w:t>-28.2</w:t>
            </w:r>
          </w:p>
        </w:tc>
        <w:tc>
          <w:tcPr>
            <w:tcW w:w="1709" w:type="dxa"/>
            <w:vAlign w:val="center"/>
            <w:hideMark/>
          </w:tcPr>
          <w:p w14:paraId="6CE1C336" w14:textId="77777777" w:rsidR="00E11F71" w:rsidRPr="00E040C1" w:rsidRDefault="00E11F71" w:rsidP="000A39B3">
            <w:pPr>
              <w:spacing w:before="0" w:after="0"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E040C1">
              <w:rPr>
                <w:rFonts w:eastAsia="Times New Roman"/>
                <w:b/>
                <w:bCs/>
                <w:color w:val="000000"/>
              </w:rPr>
              <w:t>-41.7</w:t>
            </w:r>
          </w:p>
        </w:tc>
      </w:tr>
    </w:tbl>
    <w:p w14:paraId="374E2482" w14:textId="77777777" w:rsidR="00E11F71" w:rsidRDefault="00E11F71" w:rsidP="00E11F71">
      <w:pPr>
        <w:spacing w:before="120" w:after="120" w:line="276" w:lineRule="auto"/>
        <w:ind w:firstLine="720"/>
        <w:rPr>
          <w:rFonts w:cs="Sylfaen"/>
          <w:lang w:val="ro-RO"/>
        </w:rPr>
      </w:pPr>
      <w:r w:rsidRPr="00E040C1">
        <w:rPr>
          <w:rFonts w:cs="Sylfaen"/>
        </w:rPr>
        <w:t>Այսպիսով</w:t>
      </w:r>
      <w:r w:rsidRPr="00E040C1">
        <w:rPr>
          <w:rFonts w:cs="Sylfaen"/>
          <w:lang w:val="ro-RO"/>
        </w:rPr>
        <w:t xml:space="preserve">, </w:t>
      </w:r>
      <w:r w:rsidRPr="00E040C1">
        <w:rPr>
          <w:rFonts w:cs="Sylfaen"/>
        </w:rPr>
        <w:t>գնահատվում</w:t>
      </w:r>
      <w:r w:rsidRPr="00E040C1">
        <w:rPr>
          <w:rFonts w:cs="Sylfaen"/>
          <w:lang w:val="ro-RO"/>
        </w:rPr>
        <w:t xml:space="preserve"> </w:t>
      </w:r>
      <w:r w:rsidRPr="00E040C1">
        <w:rPr>
          <w:rFonts w:cs="Sylfaen"/>
        </w:rPr>
        <w:t>է</w:t>
      </w:r>
      <w:r w:rsidRPr="00E040C1">
        <w:rPr>
          <w:rFonts w:cs="Sylfaen"/>
          <w:lang w:val="ro-RO"/>
        </w:rPr>
        <w:t xml:space="preserve">, </w:t>
      </w:r>
      <w:r w:rsidRPr="00E040C1">
        <w:rPr>
          <w:rFonts w:cs="Sylfaen"/>
        </w:rPr>
        <w:t>որ</w:t>
      </w:r>
      <w:r w:rsidRPr="00E040C1">
        <w:rPr>
          <w:rFonts w:cs="Sylfaen"/>
          <w:lang w:val="ro-RO"/>
        </w:rPr>
        <w:t xml:space="preserve"> </w:t>
      </w:r>
      <w:r w:rsidRPr="00E040C1">
        <w:rPr>
          <w:rFonts w:cs="Sylfaen"/>
        </w:rPr>
        <w:t>հարկային</w:t>
      </w:r>
      <w:r w:rsidRPr="00E040C1">
        <w:rPr>
          <w:rFonts w:cs="Sylfaen"/>
          <w:lang w:val="ro-RO"/>
        </w:rPr>
        <w:t xml:space="preserve"> </w:t>
      </w:r>
      <w:r w:rsidRPr="00E040C1">
        <w:rPr>
          <w:rFonts w:cs="Sylfaen"/>
        </w:rPr>
        <w:t>եկամուտների</w:t>
      </w:r>
      <w:r w:rsidRPr="00E040C1">
        <w:rPr>
          <w:rFonts w:cs="Sylfaen"/>
          <w:lang w:val="ro-RO"/>
        </w:rPr>
        <w:t xml:space="preserve"> </w:t>
      </w:r>
      <w:r w:rsidRPr="00E040C1">
        <w:rPr>
          <w:rFonts w:cs="Sylfaen"/>
        </w:rPr>
        <w:t>վրա</w:t>
      </w:r>
      <w:r w:rsidRPr="00E040C1">
        <w:rPr>
          <w:rFonts w:cs="Sylfaen"/>
          <w:lang w:val="ro-RO"/>
        </w:rPr>
        <w:t xml:space="preserve"> </w:t>
      </w:r>
      <w:r w:rsidRPr="00E040C1">
        <w:rPr>
          <w:rFonts w:cs="Sylfaen"/>
        </w:rPr>
        <w:t>ազդող</w:t>
      </w:r>
      <w:r w:rsidRPr="00E040C1">
        <w:rPr>
          <w:rFonts w:cs="Sylfaen"/>
          <w:lang w:val="ro-RO"/>
        </w:rPr>
        <w:t xml:space="preserve"> </w:t>
      </w:r>
      <w:r w:rsidRPr="00E040C1">
        <w:rPr>
          <w:rFonts w:cs="Sylfaen"/>
        </w:rPr>
        <w:t>վերոնշյալ</w:t>
      </w:r>
      <w:r w:rsidRPr="00E040C1">
        <w:rPr>
          <w:rFonts w:cs="Sylfaen"/>
          <w:lang w:val="ro-RO"/>
        </w:rPr>
        <w:t xml:space="preserve"> </w:t>
      </w:r>
      <w:r w:rsidRPr="00E040C1">
        <w:rPr>
          <w:rFonts w:cs="Sylfaen"/>
        </w:rPr>
        <w:t>ռիսկերի</w:t>
      </w:r>
      <w:r w:rsidRPr="00E040C1">
        <w:rPr>
          <w:rFonts w:cs="Sylfaen"/>
          <w:lang w:val="ro-RO"/>
        </w:rPr>
        <w:t xml:space="preserve"> </w:t>
      </w:r>
      <w:r w:rsidRPr="00E040C1">
        <w:rPr>
          <w:rFonts w:cs="Sylfaen"/>
        </w:rPr>
        <w:t>միաժամանակյա</w:t>
      </w:r>
      <w:r w:rsidRPr="00E040C1">
        <w:rPr>
          <w:rFonts w:cs="Sylfaen"/>
          <w:lang w:val="ro-RO"/>
        </w:rPr>
        <w:t xml:space="preserve"> </w:t>
      </w:r>
      <w:r w:rsidRPr="00E040C1">
        <w:rPr>
          <w:rFonts w:cs="Sylfaen"/>
        </w:rPr>
        <w:t>ի</w:t>
      </w:r>
      <w:r w:rsidRPr="00E040C1">
        <w:rPr>
          <w:rFonts w:cs="Sylfaen"/>
          <w:lang w:val="ro-RO"/>
        </w:rPr>
        <w:t xml:space="preserve"> </w:t>
      </w:r>
      <w:r w:rsidRPr="00E040C1">
        <w:rPr>
          <w:rFonts w:cs="Sylfaen"/>
        </w:rPr>
        <w:t>հայտ</w:t>
      </w:r>
      <w:r w:rsidRPr="00E040C1">
        <w:rPr>
          <w:rFonts w:cs="Sylfaen"/>
          <w:lang w:val="ro-RO"/>
        </w:rPr>
        <w:t xml:space="preserve"> </w:t>
      </w:r>
      <w:r w:rsidRPr="00E040C1">
        <w:rPr>
          <w:rFonts w:cs="Sylfaen"/>
        </w:rPr>
        <w:t>գալու</w:t>
      </w:r>
      <w:r w:rsidRPr="00E040C1">
        <w:rPr>
          <w:rFonts w:cs="Sylfaen"/>
          <w:lang w:val="ro-RO"/>
        </w:rPr>
        <w:t xml:space="preserve"> </w:t>
      </w:r>
      <w:r w:rsidRPr="00E040C1">
        <w:rPr>
          <w:rFonts w:cs="Sylfaen"/>
        </w:rPr>
        <w:t>պարագայում</w:t>
      </w:r>
      <w:r w:rsidRPr="00E040C1">
        <w:rPr>
          <w:rFonts w:cs="Sylfaen"/>
          <w:lang w:val="ro-RO"/>
        </w:rPr>
        <w:t xml:space="preserve"> </w:t>
      </w:r>
      <w:r w:rsidRPr="00E040C1">
        <w:rPr>
          <w:rFonts w:cs="Sylfaen"/>
        </w:rPr>
        <w:t>հարկային</w:t>
      </w:r>
      <w:r w:rsidRPr="00E040C1">
        <w:rPr>
          <w:rFonts w:cs="Sylfaen"/>
          <w:lang w:val="ro-RO"/>
        </w:rPr>
        <w:t xml:space="preserve"> </w:t>
      </w:r>
      <w:r w:rsidRPr="00E040C1">
        <w:rPr>
          <w:rFonts w:cs="Sylfaen"/>
        </w:rPr>
        <w:t>եկամուտների</w:t>
      </w:r>
      <w:r w:rsidRPr="00E040C1">
        <w:rPr>
          <w:rFonts w:cs="Sylfaen"/>
          <w:lang w:val="ro-RO"/>
        </w:rPr>
        <w:t xml:space="preserve"> </w:t>
      </w:r>
      <w:r w:rsidRPr="00E040C1">
        <w:rPr>
          <w:rFonts w:cs="Sylfaen"/>
        </w:rPr>
        <w:t>ծրագրված</w:t>
      </w:r>
      <w:r w:rsidRPr="00E040C1">
        <w:rPr>
          <w:rFonts w:cs="Sylfaen"/>
          <w:lang w:val="ro-RO"/>
        </w:rPr>
        <w:t xml:space="preserve"> </w:t>
      </w:r>
      <w:r w:rsidRPr="00E040C1">
        <w:rPr>
          <w:rFonts w:cs="Sylfaen"/>
        </w:rPr>
        <w:t>մակարդակից</w:t>
      </w:r>
      <w:r w:rsidRPr="00E040C1">
        <w:rPr>
          <w:rFonts w:cs="Sylfaen"/>
          <w:lang w:val="ro-RO"/>
        </w:rPr>
        <w:t xml:space="preserve"> </w:t>
      </w:r>
      <w:r w:rsidRPr="00E040C1">
        <w:rPr>
          <w:rFonts w:cs="Sylfaen"/>
        </w:rPr>
        <w:t>շեղումը</w:t>
      </w:r>
      <w:r w:rsidRPr="00E040C1">
        <w:rPr>
          <w:rFonts w:cs="Sylfaen"/>
          <w:lang w:val="ro-RO"/>
        </w:rPr>
        <w:t xml:space="preserve"> </w:t>
      </w:r>
      <w:r w:rsidRPr="00E040C1">
        <w:rPr>
          <w:rFonts w:cs="Sylfaen"/>
        </w:rPr>
        <w:t>կկազմի</w:t>
      </w:r>
      <w:r w:rsidRPr="00E040C1">
        <w:rPr>
          <w:rFonts w:cs="Sylfaen"/>
          <w:lang w:val="ro-RO"/>
        </w:rPr>
        <w:t xml:space="preserve"> </w:t>
      </w:r>
      <w:r w:rsidRPr="00E040C1">
        <w:rPr>
          <w:rFonts w:cs="Sylfaen"/>
        </w:rPr>
        <w:t>շուրջ</w:t>
      </w:r>
      <w:r w:rsidRPr="00E040C1">
        <w:rPr>
          <w:rFonts w:cs="Sylfaen"/>
          <w:lang w:val="ro-RO"/>
        </w:rPr>
        <w:t xml:space="preserve"> 20.3 </w:t>
      </w:r>
      <w:r w:rsidRPr="00E040C1">
        <w:rPr>
          <w:rFonts w:cs="Sylfaen"/>
        </w:rPr>
        <w:t>մլրդ</w:t>
      </w:r>
      <w:r w:rsidRPr="00E040C1">
        <w:rPr>
          <w:rFonts w:cs="Sylfaen"/>
          <w:lang w:val="ro-RO"/>
        </w:rPr>
        <w:t xml:space="preserve"> </w:t>
      </w:r>
      <w:r w:rsidRPr="00E040C1">
        <w:rPr>
          <w:rFonts w:cs="Sylfaen"/>
        </w:rPr>
        <w:t>ՀՀ</w:t>
      </w:r>
      <w:r w:rsidRPr="00E040C1">
        <w:rPr>
          <w:rFonts w:cs="Sylfaen"/>
          <w:lang w:val="ro-RO"/>
        </w:rPr>
        <w:t xml:space="preserve"> </w:t>
      </w:r>
      <w:r w:rsidRPr="00E040C1">
        <w:rPr>
          <w:rFonts w:cs="Sylfaen"/>
        </w:rPr>
        <w:t>դրամ</w:t>
      </w:r>
      <w:r w:rsidRPr="00E040C1">
        <w:rPr>
          <w:rFonts w:cs="Sylfaen"/>
          <w:lang w:val="ro-RO"/>
        </w:rPr>
        <w:t xml:space="preserve"> 2021 </w:t>
      </w:r>
      <w:r w:rsidRPr="00E040C1">
        <w:rPr>
          <w:rFonts w:cs="Sylfaen"/>
        </w:rPr>
        <w:t>թվականին</w:t>
      </w:r>
      <w:r w:rsidRPr="00E040C1">
        <w:rPr>
          <w:rFonts w:cs="Sylfaen"/>
          <w:lang w:val="ro-RO"/>
        </w:rPr>
        <w:t xml:space="preserve">, 28.2 </w:t>
      </w:r>
      <w:r w:rsidRPr="00E040C1">
        <w:rPr>
          <w:rFonts w:cs="Sylfaen"/>
        </w:rPr>
        <w:t>մլրդ</w:t>
      </w:r>
      <w:r w:rsidRPr="00E040C1">
        <w:rPr>
          <w:rFonts w:cs="Sylfaen"/>
          <w:lang w:val="ro-RO"/>
        </w:rPr>
        <w:t xml:space="preserve"> </w:t>
      </w:r>
      <w:r w:rsidRPr="00E040C1">
        <w:rPr>
          <w:rFonts w:cs="Sylfaen"/>
        </w:rPr>
        <w:t>ՀՀ</w:t>
      </w:r>
      <w:r w:rsidRPr="00E040C1">
        <w:rPr>
          <w:rFonts w:cs="Sylfaen"/>
          <w:lang w:val="ro-RO"/>
        </w:rPr>
        <w:t xml:space="preserve"> </w:t>
      </w:r>
      <w:r w:rsidRPr="00E040C1">
        <w:rPr>
          <w:rFonts w:cs="Sylfaen"/>
          <w:lang w:val="ru-RU"/>
        </w:rPr>
        <w:t>դ</w:t>
      </w:r>
      <w:r w:rsidRPr="00E040C1">
        <w:rPr>
          <w:rFonts w:cs="Sylfaen"/>
        </w:rPr>
        <w:t>րամ</w:t>
      </w:r>
      <w:r w:rsidRPr="00E040C1">
        <w:rPr>
          <w:rFonts w:cs="Sylfaen"/>
          <w:lang w:val="ro-RO"/>
        </w:rPr>
        <w:t xml:space="preserve"> 2022 </w:t>
      </w:r>
      <w:r w:rsidRPr="00E040C1">
        <w:rPr>
          <w:rFonts w:cs="Sylfaen"/>
        </w:rPr>
        <w:t>թվականին</w:t>
      </w:r>
      <w:r w:rsidRPr="00E040C1">
        <w:rPr>
          <w:rFonts w:cs="Sylfaen"/>
          <w:lang w:val="ro-RO"/>
        </w:rPr>
        <w:t xml:space="preserve"> </w:t>
      </w:r>
      <w:r w:rsidRPr="00E040C1">
        <w:rPr>
          <w:rFonts w:cs="Sylfaen"/>
        </w:rPr>
        <w:t>և</w:t>
      </w:r>
      <w:r w:rsidRPr="00E040C1">
        <w:rPr>
          <w:rFonts w:cs="Sylfaen"/>
          <w:lang w:val="ro-RO"/>
        </w:rPr>
        <w:t xml:space="preserve"> 41.7 </w:t>
      </w:r>
      <w:r w:rsidRPr="00E040C1">
        <w:rPr>
          <w:rFonts w:cs="Sylfaen"/>
        </w:rPr>
        <w:t>մլրդ</w:t>
      </w:r>
      <w:r w:rsidRPr="00E040C1">
        <w:rPr>
          <w:rFonts w:cs="Sylfaen"/>
          <w:lang w:val="ro-RO"/>
        </w:rPr>
        <w:t xml:space="preserve"> </w:t>
      </w:r>
      <w:r w:rsidRPr="00E040C1">
        <w:rPr>
          <w:rFonts w:cs="Sylfaen"/>
        </w:rPr>
        <w:t>ՀՀ</w:t>
      </w:r>
      <w:r w:rsidRPr="00E040C1">
        <w:rPr>
          <w:rFonts w:cs="Sylfaen"/>
          <w:lang w:val="ro-RO"/>
        </w:rPr>
        <w:t xml:space="preserve"> </w:t>
      </w:r>
      <w:r w:rsidRPr="00E040C1">
        <w:rPr>
          <w:rFonts w:cs="Sylfaen"/>
          <w:lang w:val="ru-RU"/>
        </w:rPr>
        <w:t>դ</w:t>
      </w:r>
      <w:r w:rsidRPr="00E040C1">
        <w:rPr>
          <w:rFonts w:cs="Sylfaen"/>
        </w:rPr>
        <w:t>րամ</w:t>
      </w:r>
      <w:r w:rsidRPr="00E040C1">
        <w:rPr>
          <w:rFonts w:cs="Sylfaen"/>
          <w:lang w:val="ro-RO"/>
        </w:rPr>
        <w:t xml:space="preserve"> 2023 </w:t>
      </w:r>
      <w:r w:rsidRPr="00E040C1">
        <w:rPr>
          <w:rFonts w:cs="Sylfaen"/>
        </w:rPr>
        <w:t>թվականին</w:t>
      </w:r>
      <w:r w:rsidRPr="00E040C1">
        <w:rPr>
          <w:rFonts w:cs="Sylfaen"/>
          <w:lang w:val="ro-RO"/>
        </w:rPr>
        <w:t xml:space="preserve">: </w:t>
      </w:r>
    </w:p>
    <w:p w14:paraId="4BDB5476" w14:textId="77777777" w:rsidR="00E11F71" w:rsidRPr="00E040C1" w:rsidRDefault="00E11F71" w:rsidP="00E11F71">
      <w:pPr>
        <w:spacing w:after="120" w:line="276" w:lineRule="auto"/>
        <w:ind w:firstLine="720"/>
        <w:rPr>
          <w:rFonts w:cs="Sylfaen"/>
          <w:lang w:val="hy-AM"/>
        </w:rPr>
      </w:pPr>
      <w:r w:rsidRPr="00E040C1">
        <w:rPr>
          <w:rFonts w:cs="Sylfaen"/>
          <w:lang w:val="hy-AM"/>
        </w:rPr>
        <w:t>Հարկային եկամուտների վրա առանձին ռիսկերի ազդեցության չափի վերաբերյալ պատկերացում են տալիս նաև ստորև ներկայացվող զգայունության գնահատականները, սակայն այս դեպքում դիտարկվում է հարկային եկամուտների աճի վրա ազդող գործոնների աճերի 1% փոփոխության ազդեցությունը, ինչը ներկայացված է հարկային եկամուտների զգայունության աղյուսակում:</w:t>
      </w:r>
    </w:p>
    <w:p w14:paraId="3844066A" w14:textId="77777777" w:rsidR="009E6C48" w:rsidRDefault="009E6C48" w:rsidP="00E11F71">
      <w:pPr>
        <w:spacing w:after="120" w:line="276" w:lineRule="auto"/>
        <w:ind w:firstLine="720"/>
        <w:rPr>
          <w:b/>
          <w:i/>
          <w:u w:val="single"/>
          <w:lang w:val="hy-AM"/>
        </w:rPr>
      </w:pPr>
    </w:p>
    <w:p w14:paraId="24B6D84B" w14:textId="77777777" w:rsidR="009E6C48" w:rsidRDefault="009E6C48" w:rsidP="00E11F71">
      <w:pPr>
        <w:spacing w:after="120" w:line="276" w:lineRule="auto"/>
        <w:ind w:firstLine="720"/>
        <w:rPr>
          <w:b/>
          <w:i/>
          <w:u w:val="single"/>
          <w:lang w:val="hy-AM"/>
        </w:rPr>
      </w:pPr>
    </w:p>
    <w:p w14:paraId="1594692D" w14:textId="77777777" w:rsidR="00E11F71" w:rsidRPr="00CD7613" w:rsidRDefault="00E11F71" w:rsidP="00E11F71">
      <w:pPr>
        <w:spacing w:after="120" w:line="276" w:lineRule="auto"/>
        <w:ind w:firstLine="720"/>
        <w:rPr>
          <w:i/>
          <w:sz w:val="20"/>
          <w:szCs w:val="20"/>
          <w:lang w:val="hy-AM"/>
        </w:rPr>
      </w:pPr>
      <w:r w:rsidRPr="00CD7613">
        <w:rPr>
          <w:b/>
          <w:sz w:val="20"/>
          <w:szCs w:val="20"/>
          <w:lang w:val="hy-AM"/>
        </w:rPr>
        <w:t xml:space="preserve">Աղյուսակ </w:t>
      </w:r>
      <w:r w:rsidR="009E6C48" w:rsidRPr="00CD7613">
        <w:rPr>
          <w:b/>
          <w:sz w:val="20"/>
          <w:szCs w:val="20"/>
          <w:lang w:val="hy-AM"/>
        </w:rPr>
        <w:t>3</w:t>
      </w:r>
      <w:r w:rsidRPr="00CD7613">
        <w:rPr>
          <w:b/>
          <w:sz w:val="20"/>
          <w:szCs w:val="20"/>
          <w:lang w:val="hy-AM"/>
        </w:rPr>
        <w:t>.</w:t>
      </w:r>
      <w:r w:rsidR="00CD7613" w:rsidRPr="00BE7F99">
        <w:rPr>
          <w:b/>
          <w:sz w:val="20"/>
          <w:szCs w:val="20"/>
          <w:lang w:val="hy-AM"/>
        </w:rPr>
        <w:t>1.2</w:t>
      </w:r>
      <w:r w:rsidRPr="00CD7613">
        <w:rPr>
          <w:i/>
          <w:sz w:val="20"/>
          <w:szCs w:val="20"/>
          <w:lang w:val="hy-AM"/>
        </w:rPr>
        <w:t xml:space="preserve"> Հարկային եկամուտների զգայունությունը հիմնական տնտեսական գործոնների նկատմամբ, տոկոս</w:t>
      </w:r>
    </w:p>
    <w:tbl>
      <w:tblPr>
        <w:tblW w:w="9198" w:type="dxa"/>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0A0" w:firstRow="1" w:lastRow="0" w:firstColumn="1" w:lastColumn="0" w:noHBand="0" w:noVBand="0"/>
      </w:tblPr>
      <w:tblGrid>
        <w:gridCol w:w="3659"/>
        <w:gridCol w:w="1398"/>
        <w:gridCol w:w="1138"/>
        <w:gridCol w:w="1435"/>
        <w:gridCol w:w="1568"/>
      </w:tblGrid>
      <w:tr w:rsidR="00E11F71" w:rsidRPr="00E040C1" w14:paraId="164D6372" w14:textId="77777777" w:rsidTr="000A39B3">
        <w:trPr>
          <w:trHeight w:val="476"/>
          <w:jc w:val="center"/>
        </w:trPr>
        <w:tc>
          <w:tcPr>
            <w:tcW w:w="3659" w:type="dxa"/>
            <w:shd w:val="clear" w:color="auto" w:fill="4F81BD" w:themeFill="accent1"/>
            <w:noWrap/>
            <w:vAlign w:val="bottom"/>
            <w:hideMark/>
          </w:tcPr>
          <w:p w14:paraId="7993921A" w14:textId="77777777" w:rsidR="00E11F71" w:rsidRPr="00CD7E61" w:rsidRDefault="00E11F71" w:rsidP="000A39B3">
            <w:pPr>
              <w:spacing w:after="120" w:line="240" w:lineRule="auto"/>
              <w:ind w:firstLine="0"/>
              <w:rPr>
                <w:b/>
                <w:color w:val="FFFFFF" w:themeColor="background1"/>
                <w:lang w:val="hy-AM"/>
              </w:rPr>
            </w:pPr>
            <w:r w:rsidRPr="00CD7E61">
              <w:rPr>
                <w:rFonts w:ascii="Calibri" w:hAnsi="Calibri" w:cs="Calibri"/>
                <w:b/>
                <w:color w:val="FFFFFF" w:themeColor="background1"/>
                <w:lang w:val="hy-AM"/>
              </w:rPr>
              <w:t> </w:t>
            </w:r>
          </w:p>
        </w:tc>
        <w:tc>
          <w:tcPr>
            <w:tcW w:w="1398" w:type="dxa"/>
            <w:shd w:val="clear" w:color="auto" w:fill="4F81BD" w:themeFill="accent1"/>
            <w:noWrap/>
            <w:vAlign w:val="bottom"/>
            <w:hideMark/>
          </w:tcPr>
          <w:p w14:paraId="2D58D679" w14:textId="77777777" w:rsidR="00E11F71" w:rsidRPr="00CD7E61" w:rsidRDefault="00E11F71" w:rsidP="000A39B3">
            <w:pPr>
              <w:spacing w:after="120" w:line="240" w:lineRule="auto"/>
              <w:ind w:firstLine="0"/>
              <w:rPr>
                <w:b/>
                <w:color w:val="FFFFFF" w:themeColor="background1"/>
                <w:lang w:val="hy-AM"/>
              </w:rPr>
            </w:pPr>
            <w:r w:rsidRPr="00CD7E61">
              <w:rPr>
                <w:rFonts w:cs="Sylfaen"/>
                <w:b/>
                <w:color w:val="FFFFFF" w:themeColor="background1"/>
                <w:lang w:val="hy-AM"/>
              </w:rPr>
              <w:t>ՀՆԱ</w:t>
            </w:r>
          </w:p>
        </w:tc>
        <w:tc>
          <w:tcPr>
            <w:tcW w:w="1138" w:type="dxa"/>
            <w:shd w:val="clear" w:color="auto" w:fill="4F81BD" w:themeFill="accent1"/>
            <w:noWrap/>
            <w:vAlign w:val="bottom"/>
            <w:hideMark/>
          </w:tcPr>
          <w:p w14:paraId="4428B081" w14:textId="77777777" w:rsidR="00E11F71" w:rsidRPr="00CD7E61" w:rsidRDefault="00E11F71" w:rsidP="000A39B3">
            <w:pPr>
              <w:spacing w:after="120" w:line="240" w:lineRule="auto"/>
              <w:ind w:firstLine="0"/>
              <w:rPr>
                <w:b/>
                <w:color w:val="FFFFFF" w:themeColor="background1"/>
                <w:lang w:val="hy-AM"/>
              </w:rPr>
            </w:pPr>
            <w:r w:rsidRPr="00CD7E61">
              <w:rPr>
                <w:rFonts w:cs="Sylfaen"/>
                <w:b/>
                <w:color w:val="FFFFFF" w:themeColor="background1"/>
                <w:lang w:val="hy-AM"/>
              </w:rPr>
              <w:t>Գնաճ</w:t>
            </w:r>
          </w:p>
        </w:tc>
        <w:tc>
          <w:tcPr>
            <w:tcW w:w="1435" w:type="dxa"/>
            <w:shd w:val="clear" w:color="auto" w:fill="4F81BD" w:themeFill="accent1"/>
            <w:noWrap/>
            <w:vAlign w:val="bottom"/>
            <w:hideMark/>
          </w:tcPr>
          <w:p w14:paraId="680828D1" w14:textId="77777777" w:rsidR="00E11F71" w:rsidRPr="00CD7E61" w:rsidRDefault="00E11F71" w:rsidP="000A39B3">
            <w:pPr>
              <w:spacing w:after="120" w:line="240" w:lineRule="auto"/>
              <w:ind w:firstLine="0"/>
              <w:rPr>
                <w:b/>
                <w:color w:val="FFFFFF" w:themeColor="background1"/>
                <w:lang w:val="hy-AM"/>
              </w:rPr>
            </w:pPr>
            <w:r w:rsidRPr="00CD7E61">
              <w:rPr>
                <w:rFonts w:cs="Sylfaen"/>
                <w:b/>
                <w:color w:val="FFFFFF" w:themeColor="background1"/>
                <w:lang w:val="hy-AM"/>
              </w:rPr>
              <w:t>Փոխարժեք</w:t>
            </w:r>
          </w:p>
        </w:tc>
        <w:tc>
          <w:tcPr>
            <w:tcW w:w="1568" w:type="dxa"/>
            <w:shd w:val="clear" w:color="auto" w:fill="4F81BD" w:themeFill="accent1"/>
            <w:noWrap/>
            <w:vAlign w:val="bottom"/>
            <w:hideMark/>
          </w:tcPr>
          <w:p w14:paraId="1C12BF9B" w14:textId="77777777" w:rsidR="00E11F71" w:rsidRPr="00CD7E61" w:rsidRDefault="00E11F71" w:rsidP="000A39B3">
            <w:pPr>
              <w:spacing w:after="120" w:line="240" w:lineRule="auto"/>
              <w:ind w:firstLine="0"/>
              <w:rPr>
                <w:b/>
                <w:color w:val="FFFFFF" w:themeColor="background1"/>
                <w:lang w:val="hy-AM"/>
              </w:rPr>
            </w:pPr>
            <w:r w:rsidRPr="00CD7E61">
              <w:rPr>
                <w:rFonts w:cs="Sylfaen"/>
                <w:b/>
                <w:color w:val="FFFFFF" w:themeColor="background1"/>
                <w:lang w:val="hy-AM"/>
              </w:rPr>
              <w:t>Ներմուծ</w:t>
            </w:r>
            <w:r w:rsidRPr="00CD7E61">
              <w:rPr>
                <w:b/>
                <w:color w:val="FFFFFF" w:themeColor="background1"/>
                <w:lang w:val="hy-AM"/>
              </w:rPr>
              <w:t>ում</w:t>
            </w:r>
          </w:p>
        </w:tc>
      </w:tr>
      <w:tr w:rsidR="00E11F71" w:rsidRPr="00E040C1" w14:paraId="069F2257" w14:textId="77777777" w:rsidTr="000A39B3">
        <w:trPr>
          <w:trHeight w:val="476"/>
          <w:jc w:val="center"/>
        </w:trPr>
        <w:tc>
          <w:tcPr>
            <w:tcW w:w="3659" w:type="dxa"/>
            <w:noWrap/>
            <w:vAlign w:val="bottom"/>
            <w:hideMark/>
          </w:tcPr>
          <w:p w14:paraId="31ECC07E" w14:textId="77777777" w:rsidR="00E11F71" w:rsidRPr="00E040C1" w:rsidRDefault="00E11F71" w:rsidP="000A39B3">
            <w:pPr>
              <w:spacing w:after="120" w:line="240" w:lineRule="auto"/>
              <w:ind w:firstLine="0"/>
              <w:rPr>
                <w:b/>
                <w:lang w:val="hy-AM"/>
              </w:rPr>
            </w:pPr>
            <w:r w:rsidRPr="00E040C1">
              <w:rPr>
                <w:rFonts w:cs="Sylfaen"/>
                <w:b/>
                <w:lang w:val="hy-AM"/>
              </w:rPr>
              <w:t>Միջին տարեկան ազդեցություն</w:t>
            </w:r>
          </w:p>
        </w:tc>
        <w:tc>
          <w:tcPr>
            <w:tcW w:w="1398" w:type="dxa"/>
            <w:noWrap/>
            <w:vAlign w:val="bottom"/>
            <w:hideMark/>
          </w:tcPr>
          <w:p w14:paraId="62A15E77" w14:textId="77777777" w:rsidR="00E11F71" w:rsidRPr="00E040C1" w:rsidRDefault="00E11F71" w:rsidP="000A39B3">
            <w:pPr>
              <w:spacing w:after="120" w:line="240" w:lineRule="auto"/>
              <w:ind w:firstLine="0"/>
              <w:rPr>
                <w:rFonts w:cs="Calibri"/>
                <w:lang w:val="hy-AM"/>
              </w:rPr>
            </w:pPr>
            <w:r w:rsidRPr="00E040C1">
              <w:rPr>
                <w:lang w:val="hy-AM"/>
              </w:rPr>
              <w:t>0.23</w:t>
            </w:r>
          </w:p>
        </w:tc>
        <w:tc>
          <w:tcPr>
            <w:tcW w:w="1138" w:type="dxa"/>
            <w:noWrap/>
            <w:vAlign w:val="bottom"/>
            <w:hideMark/>
          </w:tcPr>
          <w:p w14:paraId="63B1DA03" w14:textId="77777777" w:rsidR="00E11F71" w:rsidRPr="00E040C1" w:rsidRDefault="00E11F71" w:rsidP="000A39B3">
            <w:pPr>
              <w:spacing w:after="120" w:line="240" w:lineRule="auto"/>
              <w:ind w:firstLine="0"/>
              <w:rPr>
                <w:rFonts w:cs="Calibri"/>
                <w:lang w:val="hy-AM"/>
              </w:rPr>
            </w:pPr>
            <w:r w:rsidRPr="00E040C1">
              <w:rPr>
                <w:lang w:val="hy-AM"/>
              </w:rPr>
              <w:t>0.11</w:t>
            </w:r>
          </w:p>
        </w:tc>
        <w:tc>
          <w:tcPr>
            <w:tcW w:w="1435" w:type="dxa"/>
            <w:noWrap/>
            <w:vAlign w:val="bottom"/>
            <w:hideMark/>
          </w:tcPr>
          <w:p w14:paraId="39059CAD" w14:textId="77777777" w:rsidR="00E11F71" w:rsidRPr="00E040C1" w:rsidRDefault="00E11F71" w:rsidP="000A39B3">
            <w:pPr>
              <w:spacing w:after="120" w:line="240" w:lineRule="auto"/>
              <w:ind w:firstLine="0"/>
              <w:rPr>
                <w:rFonts w:cs="Calibri"/>
                <w:lang w:val="hy-AM"/>
              </w:rPr>
            </w:pPr>
            <w:r w:rsidRPr="00E040C1">
              <w:rPr>
                <w:lang w:val="hy-AM"/>
              </w:rPr>
              <w:t>0.17</w:t>
            </w:r>
          </w:p>
        </w:tc>
        <w:tc>
          <w:tcPr>
            <w:tcW w:w="1568" w:type="dxa"/>
            <w:noWrap/>
            <w:vAlign w:val="bottom"/>
            <w:hideMark/>
          </w:tcPr>
          <w:p w14:paraId="27586ECB" w14:textId="77777777" w:rsidR="00E11F71" w:rsidRPr="00E040C1" w:rsidRDefault="00E11F71" w:rsidP="000A39B3">
            <w:pPr>
              <w:spacing w:after="120" w:line="240" w:lineRule="auto"/>
              <w:ind w:firstLine="0"/>
              <w:rPr>
                <w:rFonts w:cs="Calibri"/>
                <w:lang w:val="hy-AM"/>
              </w:rPr>
            </w:pPr>
            <w:r w:rsidRPr="00E040C1">
              <w:rPr>
                <w:lang w:val="hy-AM"/>
              </w:rPr>
              <w:t>0.06</w:t>
            </w:r>
          </w:p>
        </w:tc>
      </w:tr>
    </w:tbl>
    <w:p w14:paraId="21F506C0" w14:textId="77777777" w:rsidR="00E11F71" w:rsidRPr="00E040C1" w:rsidRDefault="00E11F71" w:rsidP="00E11F71">
      <w:pPr>
        <w:spacing w:after="120" w:line="276" w:lineRule="auto"/>
        <w:ind w:firstLine="720"/>
        <w:rPr>
          <w:rFonts w:cs="Sylfaen"/>
          <w:lang w:val="hy-AM"/>
        </w:rPr>
      </w:pPr>
      <w:r w:rsidRPr="00E040C1">
        <w:rPr>
          <w:rFonts w:cs="Sylfaen"/>
          <w:lang w:val="hy-AM"/>
        </w:rPr>
        <w:t>Ինչպես երևում է աղյուսակից, հարկերի հավաքագրման առումով առավել էական գործոններ են հանդիսանում ՀՆԱ-ի և փոխարժեքի փոփոխությունները:</w:t>
      </w:r>
    </w:p>
    <w:p w14:paraId="5010AE7E" w14:textId="77777777" w:rsidR="00E11F71" w:rsidRPr="00E040C1" w:rsidRDefault="00E11F71" w:rsidP="00E11F71">
      <w:pPr>
        <w:spacing w:after="120" w:line="276" w:lineRule="auto"/>
        <w:ind w:firstLine="720"/>
        <w:rPr>
          <w:rFonts w:cs="Sylfaen"/>
          <w:lang w:val="hy-AM"/>
        </w:rPr>
      </w:pPr>
      <w:r w:rsidRPr="00E040C1">
        <w:rPr>
          <w:rFonts w:cs="Sylfaen"/>
          <w:lang w:val="hy-AM"/>
        </w:rPr>
        <w:lastRenderedPageBreak/>
        <w:t xml:space="preserve">Հարկային եկամուտների կանխատեսումների հետ կապված անորոշությունների և ռիսկերի հաշվեկշռի վերաբերյալ գնահատականներն իրենց արտացոլումն են գտել ստորև ներկայացվող հարկային եկամուտների հավանականային բաշխման գծապատկերում և համապատասխան աղյուսակում </w:t>
      </w:r>
      <w:r w:rsidRPr="00EA7AF7">
        <w:rPr>
          <w:rFonts w:cs="Sylfaen"/>
          <w:lang w:val="hy-AM"/>
        </w:rPr>
        <w:t>(տես` Գծապատկեր 3.1 և Աղյուսակ 3.</w:t>
      </w:r>
      <w:r w:rsidR="00963F6D" w:rsidRPr="00963F6D">
        <w:rPr>
          <w:rFonts w:cs="Sylfaen"/>
          <w:lang w:val="hy-AM"/>
        </w:rPr>
        <w:t>1.</w:t>
      </w:r>
      <w:r w:rsidRPr="00EA7AF7">
        <w:rPr>
          <w:rFonts w:cs="Sylfaen"/>
          <w:lang w:val="hy-AM"/>
        </w:rPr>
        <w:t>3)</w:t>
      </w:r>
      <w:r w:rsidRPr="00EA7AF7">
        <w:rPr>
          <w:rStyle w:val="FootnoteReference"/>
          <w:rFonts w:cs="Sylfaen"/>
        </w:rPr>
        <w:footnoteReference w:id="16"/>
      </w:r>
      <w:r w:rsidRPr="00EA7AF7">
        <w:rPr>
          <w:rFonts w:cs="Sylfaen"/>
          <w:lang w:val="hy-AM"/>
        </w:rPr>
        <w:t>: Հավանականային բաշխման գրաֆիկի կառուցման ժամանակ օգտագործվել է աղյուսակ 3</w:t>
      </w:r>
      <w:r w:rsidR="00963F6D" w:rsidRPr="00963F6D">
        <w:rPr>
          <w:rFonts w:cs="Sylfaen"/>
          <w:lang w:val="hy-AM"/>
        </w:rPr>
        <w:t>.1</w:t>
      </w:r>
      <w:r w:rsidRPr="00EA7AF7">
        <w:rPr>
          <w:rFonts w:cs="Sylfaen"/>
          <w:lang w:val="hy-AM"/>
        </w:rPr>
        <w:t>.1-ում</w:t>
      </w:r>
      <w:r w:rsidRPr="00E040C1">
        <w:rPr>
          <w:rFonts w:cs="Sylfaen"/>
          <w:lang w:val="hy-AM"/>
        </w:rPr>
        <w:t xml:space="preserve"> գնահատված ամբողջական ռիսկերի միաժամանակյա հանդես գալու պայմաններում ի հայտ եկող բացասական ռիսկերը:</w:t>
      </w:r>
    </w:p>
    <w:p w14:paraId="2B030133" w14:textId="77777777" w:rsidR="00E11F71" w:rsidRPr="00CD7613" w:rsidRDefault="00E11F71" w:rsidP="00E11F71">
      <w:pPr>
        <w:spacing w:after="120" w:line="276" w:lineRule="auto"/>
        <w:ind w:firstLine="720"/>
        <w:rPr>
          <w:i/>
          <w:sz w:val="20"/>
          <w:szCs w:val="20"/>
          <w:lang w:val="hy-AM"/>
        </w:rPr>
      </w:pPr>
      <w:r w:rsidRPr="00CD7613">
        <w:rPr>
          <w:b/>
          <w:i/>
          <w:sz w:val="20"/>
          <w:szCs w:val="20"/>
          <w:lang w:val="hy-AM"/>
        </w:rPr>
        <w:t xml:space="preserve">Գծապատկեր </w:t>
      </w:r>
      <w:r w:rsidR="009E6C48" w:rsidRPr="00CD7613">
        <w:rPr>
          <w:b/>
          <w:i/>
          <w:sz w:val="20"/>
          <w:szCs w:val="20"/>
          <w:lang w:val="hy-AM"/>
        </w:rPr>
        <w:t>3</w:t>
      </w:r>
      <w:r w:rsidRPr="00CD7613">
        <w:rPr>
          <w:b/>
          <w:i/>
          <w:sz w:val="20"/>
          <w:szCs w:val="20"/>
          <w:lang w:val="hy-AM"/>
        </w:rPr>
        <w:t>.1.</w:t>
      </w:r>
      <w:r w:rsidRPr="00CD7613">
        <w:rPr>
          <w:i/>
          <w:sz w:val="20"/>
          <w:szCs w:val="20"/>
          <w:lang w:val="hy-AM"/>
        </w:rPr>
        <w:t xml:space="preserve"> Հարկային եկամուտների տարեկան աճի տեմպերի կանխատեսումների հավանականային բաշխումը</w:t>
      </w:r>
      <w:r w:rsidRPr="00CD7613">
        <w:rPr>
          <w:rStyle w:val="FootnoteReference"/>
          <w:i/>
          <w:sz w:val="20"/>
          <w:szCs w:val="20"/>
          <w:lang w:val="hy-AM"/>
        </w:rPr>
        <w:footnoteReference w:id="17"/>
      </w:r>
      <w:r w:rsidRPr="00CD7613">
        <w:rPr>
          <w:i/>
          <w:sz w:val="20"/>
          <w:szCs w:val="20"/>
          <w:lang w:val="hy-AM"/>
        </w:rPr>
        <w:t>, տոկոս</w:t>
      </w:r>
    </w:p>
    <w:p w14:paraId="2D51CACF" w14:textId="77777777" w:rsidR="00E11F71" w:rsidRPr="00E040C1" w:rsidRDefault="00E11F71" w:rsidP="00E11F71">
      <w:pPr>
        <w:spacing w:after="120" w:line="276" w:lineRule="auto"/>
        <w:ind w:firstLine="720"/>
        <w:rPr>
          <w:b/>
          <w:i/>
          <w:u w:val="single"/>
          <w:lang w:val="hy-AM"/>
        </w:rPr>
      </w:pPr>
      <w:r w:rsidRPr="00E040C1">
        <w:rPr>
          <w:noProof/>
        </w:rPr>
        <w:drawing>
          <wp:inline distT="0" distB="0" distL="0" distR="0" wp14:anchorId="537CED7A" wp14:editId="7AAF4259">
            <wp:extent cx="5724525" cy="2275027"/>
            <wp:effectExtent l="0" t="0" r="9525" b="1143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5DE3367" w14:textId="77777777" w:rsidR="00E11F71" w:rsidRPr="00E040C1" w:rsidRDefault="00E11F71" w:rsidP="00E11F71">
      <w:pPr>
        <w:spacing w:after="120" w:line="276" w:lineRule="auto"/>
        <w:ind w:firstLine="720"/>
        <w:rPr>
          <w:b/>
          <w:lang w:val="hy-AM"/>
        </w:rPr>
      </w:pPr>
      <w:r w:rsidRPr="00E040C1">
        <w:rPr>
          <w:rFonts w:cs="Sylfaen"/>
          <w:lang w:val="hy-AM"/>
        </w:rPr>
        <w:t xml:space="preserve">Կանխատեսումների բաշխման հավանականություններն առավել պարզորոշ երևում են ստորև բերվող աղյուսակում: </w:t>
      </w:r>
    </w:p>
    <w:p w14:paraId="2866C5D8" w14:textId="77777777" w:rsidR="00E11F71" w:rsidRPr="00CD7613" w:rsidRDefault="00E11F71" w:rsidP="00E11F71">
      <w:pPr>
        <w:spacing w:after="120" w:line="276" w:lineRule="auto"/>
        <w:ind w:firstLine="720"/>
        <w:rPr>
          <w:i/>
          <w:sz w:val="20"/>
          <w:szCs w:val="20"/>
          <w:lang w:val="hy-AM"/>
        </w:rPr>
      </w:pPr>
      <w:r w:rsidRPr="00CD7613">
        <w:rPr>
          <w:b/>
          <w:sz w:val="20"/>
          <w:szCs w:val="20"/>
          <w:lang w:val="hy-AM"/>
        </w:rPr>
        <w:t xml:space="preserve">Աղյուսակ </w:t>
      </w:r>
      <w:r w:rsidR="009E6C48" w:rsidRPr="00CD7613">
        <w:rPr>
          <w:b/>
          <w:sz w:val="20"/>
          <w:szCs w:val="20"/>
          <w:lang w:val="hy-AM"/>
        </w:rPr>
        <w:t>3</w:t>
      </w:r>
      <w:r w:rsidRPr="00CD7613">
        <w:rPr>
          <w:b/>
          <w:sz w:val="20"/>
          <w:szCs w:val="20"/>
          <w:lang w:val="hy-AM"/>
        </w:rPr>
        <w:t>.</w:t>
      </w:r>
      <w:r w:rsidR="00CD7613" w:rsidRPr="00BE7F99">
        <w:rPr>
          <w:b/>
          <w:sz w:val="20"/>
          <w:szCs w:val="20"/>
          <w:lang w:val="hy-AM"/>
        </w:rPr>
        <w:t>1.</w:t>
      </w:r>
      <w:r w:rsidRPr="00CD7613">
        <w:rPr>
          <w:b/>
          <w:sz w:val="20"/>
          <w:szCs w:val="20"/>
          <w:lang w:val="hy-AM"/>
        </w:rPr>
        <w:t>3</w:t>
      </w:r>
      <w:r w:rsidRPr="00CD7613">
        <w:rPr>
          <w:i/>
          <w:sz w:val="20"/>
          <w:szCs w:val="20"/>
          <w:lang w:val="hy-AM"/>
        </w:rPr>
        <w:t xml:space="preserve"> Հարկային եկամուտների կանխատեսումների հավանականային բաշխումը</w:t>
      </w:r>
    </w:p>
    <w:tbl>
      <w:tblPr>
        <w:tblW w:w="9119" w:type="dxa"/>
        <w:tblInd w:w="98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118"/>
        <w:gridCol w:w="1870"/>
        <w:gridCol w:w="1847"/>
        <w:gridCol w:w="2284"/>
      </w:tblGrid>
      <w:tr w:rsidR="00E11F71" w:rsidRPr="00E040C1" w14:paraId="66D950B4" w14:textId="77777777" w:rsidTr="000A39B3">
        <w:trPr>
          <w:trHeight w:val="810"/>
        </w:trPr>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vAlign w:val="center"/>
            <w:hideMark/>
          </w:tcPr>
          <w:p w14:paraId="09C0B7A1" w14:textId="77777777" w:rsidR="00E11F71" w:rsidRPr="00CD7E61" w:rsidRDefault="00E11F71" w:rsidP="000A39B3">
            <w:pPr>
              <w:spacing w:after="0" w:line="240" w:lineRule="auto"/>
              <w:ind w:firstLine="0"/>
              <w:rPr>
                <w:rFonts w:eastAsia="Times New Roman" w:cs="Calibri"/>
                <w:color w:val="FFFFFF" w:themeColor="background1"/>
              </w:rPr>
            </w:pPr>
            <w:r w:rsidRPr="00CD7E61">
              <w:rPr>
                <w:rFonts w:eastAsia="Times New Roman" w:cs="Calibri"/>
                <w:color w:val="FFFFFF" w:themeColor="background1"/>
              </w:rPr>
              <w:t>Հարկային եկամուտների աճի միջակայքը</w:t>
            </w:r>
          </w:p>
        </w:tc>
        <w:tc>
          <w:tcPr>
            <w:tcW w:w="600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vAlign w:val="center"/>
            <w:hideMark/>
          </w:tcPr>
          <w:p w14:paraId="41514BE4" w14:textId="77777777" w:rsidR="00E11F71" w:rsidRPr="00CD7E61" w:rsidRDefault="00E11F71" w:rsidP="000A39B3">
            <w:pPr>
              <w:spacing w:after="0" w:line="240" w:lineRule="auto"/>
              <w:ind w:firstLine="0"/>
              <w:jc w:val="center"/>
              <w:rPr>
                <w:rFonts w:eastAsia="Times New Roman" w:cs="Calibri"/>
                <w:color w:val="FFFFFF" w:themeColor="background1"/>
              </w:rPr>
            </w:pPr>
            <w:r w:rsidRPr="00CD7E61">
              <w:rPr>
                <w:rFonts w:eastAsia="Times New Roman" w:cs="Calibri"/>
                <w:color w:val="FFFFFF" w:themeColor="background1"/>
              </w:rPr>
              <w:t xml:space="preserve">Հարկային եկամուտների աճի` </w:t>
            </w:r>
            <w:proofErr w:type="gramStart"/>
            <w:r w:rsidRPr="00CD7E61">
              <w:rPr>
                <w:rFonts w:eastAsia="Times New Roman" w:cs="Calibri"/>
                <w:color w:val="FFFFFF" w:themeColor="background1"/>
              </w:rPr>
              <w:t>տվյալ  միջակայքում</w:t>
            </w:r>
            <w:proofErr w:type="gramEnd"/>
            <w:r w:rsidRPr="00CD7E61">
              <w:rPr>
                <w:rFonts w:eastAsia="Times New Roman" w:cs="Calibri"/>
                <w:color w:val="FFFFFF" w:themeColor="background1"/>
              </w:rPr>
              <w:t xml:space="preserve"> ձևավորվելու հավանականությունը</w:t>
            </w:r>
          </w:p>
        </w:tc>
      </w:tr>
      <w:tr w:rsidR="00E11F71" w:rsidRPr="00E040C1" w14:paraId="40ECA809" w14:textId="77777777" w:rsidTr="000A39B3">
        <w:trPr>
          <w:trHeight w:val="330"/>
        </w:trPr>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vAlign w:val="center"/>
            <w:hideMark/>
          </w:tcPr>
          <w:p w14:paraId="39F9F24A" w14:textId="77777777" w:rsidR="00E11F71" w:rsidRPr="00CD7E61" w:rsidRDefault="00E11F71" w:rsidP="000A39B3">
            <w:pPr>
              <w:spacing w:after="0" w:line="240" w:lineRule="auto"/>
              <w:ind w:firstLine="0"/>
              <w:rPr>
                <w:rFonts w:eastAsia="Times New Roman" w:cs="Calibri"/>
                <w:b/>
                <w:bCs/>
                <w:color w:val="FFFFFF" w:themeColor="background1"/>
              </w:rPr>
            </w:pPr>
            <w:r w:rsidRPr="00CD7E61">
              <w:rPr>
                <w:rFonts w:ascii="Calibri" w:eastAsia="Times New Roman" w:hAnsi="Calibri" w:cs="Calibri"/>
                <w:b/>
                <w:bCs/>
                <w:color w:val="FFFFFF" w:themeColor="background1"/>
              </w:rPr>
              <w:t> </w:t>
            </w:r>
          </w:p>
        </w:tc>
        <w:tc>
          <w:tcPr>
            <w:tcW w:w="18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noWrap/>
            <w:vAlign w:val="center"/>
            <w:hideMark/>
          </w:tcPr>
          <w:p w14:paraId="44D0E61C" w14:textId="77777777" w:rsidR="00E11F71" w:rsidRPr="00CD7E61" w:rsidRDefault="00E11F71" w:rsidP="000A39B3">
            <w:pPr>
              <w:spacing w:after="0" w:line="240" w:lineRule="auto"/>
              <w:ind w:firstLine="0"/>
              <w:jc w:val="center"/>
              <w:rPr>
                <w:rFonts w:eastAsia="Times New Roman" w:cs="Calibri"/>
                <w:b/>
                <w:bCs/>
                <w:color w:val="FFFFFF" w:themeColor="background1"/>
              </w:rPr>
            </w:pPr>
            <w:r w:rsidRPr="00CD7E61">
              <w:rPr>
                <w:rFonts w:eastAsia="Times New Roman" w:cs="Calibri"/>
                <w:b/>
                <w:bCs/>
                <w:color w:val="FFFFFF" w:themeColor="background1"/>
              </w:rPr>
              <w:t>2020</w:t>
            </w:r>
          </w:p>
        </w:tc>
        <w:tc>
          <w:tcPr>
            <w:tcW w:w="18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noWrap/>
            <w:vAlign w:val="center"/>
            <w:hideMark/>
          </w:tcPr>
          <w:p w14:paraId="1D18A939" w14:textId="77777777" w:rsidR="00E11F71" w:rsidRPr="00CD7E61" w:rsidRDefault="00E11F71" w:rsidP="000A39B3">
            <w:pPr>
              <w:spacing w:after="0" w:line="240" w:lineRule="auto"/>
              <w:ind w:firstLine="0"/>
              <w:jc w:val="center"/>
              <w:rPr>
                <w:rFonts w:eastAsia="Times New Roman" w:cs="Calibri"/>
                <w:b/>
                <w:bCs/>
                <w:color w:val="FFFFFF" w:themeColor="background1"/>
              </w:rPr>
            </w:pPr>
            <w:r w:rsidRPr="00CD7E61">
              <w:rPr>
                <w:rFonts w:eastAsia="Times New Roman" w:cs="Calibri"/>
                <w:b/>
                <w:bCs/>
                <w:color w:val="FFFFFF" w:themeColor="background1"/>
              </w:rPr>
              <w:t>2021</w:t>
            </w:r>
          </w:p>
        </w:tc>
        <w:tc>
          <w:tcPr>
            <w:tcW w:w="2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noWrap/>
            <w:vAlign w:val="center"/>
            <w:hideMark/>
          </w:tcPr>
          <w:p w14:paraId="5620BC82" w14:textId="77777777" w:rsidR="00E11F71" w:rsidRPr="00CD7E61" w:rsidRDefault="00E11F71" w:rsidP="000A39B3">
            <w:pPr>
              <w:spacing w:after="0" w:line="240" w:lineRule="auto"/>
              <w:ind w:firstLine="0"/>
              <w:jc w:val="center"/>
              <w:rPr>
                <w:rFonts w:eastAsia="Times New Roman" w:cs="Calibri"/>
                <w:b/>
                <w:bCs/>
                <w:color w:val="FFFFFF" w:themeColor="background1"/>
              </w:rPr>
            </w:pPr>
            <w:r w:rsidRPr="00CD7E61">
              <w:rPr>
                <w:rFonts w:eastAsia="Times New Roman" w:cs="Calibri"/>
                <w:b/>
                <w:bCs/>
                <w:color w:val="FFFFFF" w:themeColor="background1"/>
              </w:rPr>
              <w:t>2022</w:t>
            </w:r>
          </w:p>
        </w:tc>
      </w:tr>
      <w:tr w:rsidR="00E11F71" w:rsidRPr="00E040C1" w14:paraId="5669DC0A" w14:textId="77777777" w:rsidTr="000A39B3">
        <w:trPr>
          <w:trHeight w:val="345"/>
        </w:trPr>
        <w:tc>
          <w:tcPr>
            <w:tcW w:w="3118" w:type="dxa"/>
            <w:tcBorders>
              <w:top w:val="single" w:sz="4" w:space="0" w:color="FFFFFF" w:themeColor="background1"/>
            </w:tcBorders>
            <w:noWrap/>
            <w:vAlign w:val="center"/>
            <w:hideMark/>
          </w:tcPr>
          <w:p w14:paraId="51F72ED2" w14:textId="77777777" w:rsidR="00E11F71" w:rsidRPr="00E040C1" w:rsidRDefault="00E11F71" w:rsidP="000A39B3">
            <w:pPr>
              <w:spacing w:after="0" w:line="240" w:lineRule="auto"/>
              <w:ind w:firstLine="0"/>
              <w:rPr>
                <w:rFonts w:eastAsia="Times New Roman" w:cs="Calibri"/>
                <w:b/>
                <w:bCs/>
                <w:color w:val="000000"/>
              </w:rPr>
            </w:pPr>
            <w:r w:rsidRPr="00E040C1">
              <w:rPr>
                <w:rFonts w:eastAsia="Times New Roman" w:cs="Calibri"/>
                <w:b/>
                <w:bCs/>
                <w:color w:val="000000"/>
              </w:rPr>
              <w:t>4-8 տոկոս</w:t>
            </w:r>
          </w:p>
        </w:tc>
        <w:tc>
          <w:tcPr>
            <w:tcW w:w="1870" w:type="dxa"/>
            <w:tcBorders>
              <w:top w:val="single" w:sz="4" w:space="0" w:color="FFFFFF" w:themeColor="background1"/>
            </w:tcBorders>
            <w:noWrap/>
            <w:vAlign w:val="bottom"/>
            <w:hideMark/>
          </w:tcPr>
          <w:p w14:paraId="12CC080E" w14:textId="77777777" w:rsidR="00E11F71" w:rsidRPr="00E040C1" w:rsidRDefault="00E11F71" w:rsidP="000A39B3">
            <w:pPr>
              <w:spacing w:after="0" w:line="240" w:lineRule="auto"/>
              <w:ind w:firstLine="0"/>
              <w:jc w:val="right"/>
              <w:rPr>
                <w:rFonts w:eastAsia="Times New Roman" w:cs="Calibri"/>
                <w:color w:val="000000"/>
              </w:rPr>
            </w:pPr>
            <w:r w:rsidRPr="00E040C1">
              <w:rPr>
                <w:rFonts w:eastAsia="Times New Roman" w:cs="Calibri"/>
                <w:color w:val="000000"/>
              </w:rPr>
              <w:t>0.04</w:t>
            </w:r>
          </w:p>
        </w:tc>
        <w:tc>
          <w:tcPr>
            <w:tcW w:w="1847" w:type="dxa"/>
            <w:tcBorders>
              <w:top w:val="single" w:sz="4" w:space="0" w:color="FFFFFF" w:themeColor="background1"/>
            </w:tcBorders>
            <w:noWrap/>
            <w:vAlign w:val="bottom"/>
            <w:hideMark/>
          </w:tcPr>
          <w:p w14:paraId="385DCBCA" w14:textId="77777777" w:rsidR="00E11F71" w:rsidRPr="00E040C1" w:rsidRDefault="00E11F71" w:rsidP="000A39B3">
            <w:pPr>
              <w:spacing w:after="0" w:line="240" w:lineRule="auto"/>
              <w:ind w:firstLine="0"/>
              <w:jc w:val="right"/>
              <w:rPr>
                <w:rFonts w:eastAsia="Times New Roman" w:cs="Calibri"/>
                <w:color w:val="000000"/>
              </w:rPr>
            </w:pPr>
            <w:r w:rsidRPr="00E040C1">
              <w:rPr>
                <w:rFonts w:eastAsia="Times New Roman" w:cs="Calibri"/>
                <w:color w:val="000000"/>
              </w:rPr>
              <w:t>0.08</w:t>
            </w:r>
          </w:p>
        </w:tc>
        <w:tc>
          <w:tcPr>
            <w:tcW w:w="2284" w:type="dxa"/>
            <w:tcBorders>
              <w:top w:val="single" w:sz="4" w:space="0" w:color="FFFFFF" w:themeColor="background1"/>
            </w:tcBorders>
            <w:noWrap/>
            <w:vAlign w:val="bottom"/>
            <w:hideMark/>
          </w:tcPr>
          <w:p w14:paraId="015FE1E6" w14:textId="77777777" w:rsidR="00E11F71" w:rsidRPr="00E040C1" w:rsidRDefault="00E11F71" w:rsidP="000A39B3">
            <w:pPr>
              <w:spacing w:after="0" w:line="240" w:lineRule="auto"/>
              <w:ind w:firstLine="0"/>
              <w:jc w:val="right"/>
              <w:rPr>
                <w:rFonts w:eastAsia="Times New Roman" w:cs="Calibri"/>
                <w:color w:val="000000"/>
              </w:rPr>
            </w:pPr>
            <w:r w:rsidRPr="00E040C1">
              <w:rPr>
                <w:rFonts w:eastAsia="Times New Roman" w:cs="Calibri"/>
                <w:color w:val="000000"/>
              </w:rPr>
              <w:t>0.25</w:t>
            </w:r>
          </w:p>
        </w:tc>
      </w:tr>
      <w:tr w:rsidR="00E11F71" w:rsidRPr="00E040C1" w14:paraId="19EFC268" w14:textId="77777777" w:rsidTr="000A39B3">
        <w:trPr>
          <w:trHeight w:val="345"/>
        </w:trPr>
        <w:tc>
          <w:tcPr>
            <w:tcW w:w="3118" w:type="dxa"/>
            <w:noWrap/>
            <w:vAlign w:val="center"/>
            <w:hideMark/>
          </w:tcPr>
          <w:p w14:paraId="362B6146" w14:textId="77777777" w:rsidR="00E11F71" w:rsidRPr="00E040C1" w:rsidRDefault="00E11F71" w:rsidP="000A39B3">
            <w:pPr>
              <w:spacing w:after="0" w:line="240" w:lineRule="auto"/>
              <w:ind w:firstLine="0"/>
              <w:rPr>
                <w:rFonts w:eastAsia="Times New Roman" w:cs="Calibri"/>
                <w:b/>
                <w:bCs/>
                <w:color w:val="000000"/>
              </w:rPr>
            </w:pPr>
            <w:r w:rsidRPr="00E040C1">
              <w:rPr>
                <w:rFonts w:eastAsia="Times New Roman" w:cs="Calibri"/>
                <w:b/>
                <w:bCs/>
                <w:color w:val="000000"/>
              </w:rPr>
              <w:t>8-12 տոկոս</w:t>
            </w:r>
          </w:p>
        </w:tc>
        <w:tc>
          <w:tcPr>
            <w:tcW w:w="1870" w:type="dxa"/>
            <w:noWrap/>
            <w:vAlign w:val="bottom"/>
            <w:hideMark/>
          </w:tcPr>
          <w:p w14:paraId="393F801D" w14:textId="77777777" w:rsidR="00E11F71" w:rsidRPr="00E040C1" w:rsidRDefault="00E11F71" w:rsidP="000A39B3">
            <w:pPr>
              <w:spacing w:after="0" w:line="240" w:lineRule="auto"/>
              <w:ind w:firstLine="0"/>
              <w:jc w:val="right"/>
              <w:rPr>
                <w:rFonts w:eastAsia="Times New Roman" w:cs="Calibri"/>
                <w:color w:val="000000"/>
              </w:rPr>
            </w:pPr>
            <w:r w:rsidRPr="00E040C1">
              <w:rPr>
                <w:rFonts w:eastAsia="Times New Roman" w:cs="Calibri"/>
                <w:color w:val="000000"/>
              </w:rPr>
              <w:t>0.25</w:t>
            </w:r>
          </w:p>
        </w:tc>
        <w:tc>
          <w:tcPr>
            <w:tcW w:w="1847" w:type="dxa"/>
            <w:noWrap/>
            <w:vAlign w:val="bottom"/>
            <w:hideMark/>
          </w:tcPr>
          <w:p w14:paraId="5422AF87" w14:textId="77777777" w:rsidR="00E11F71" w:rsidRPr="00E040C1" w:rsidRDefault="00E11F71" w:rsidP="000A39B3">
            <w:pPr>
              <w:spacing w:after="0" w:line="240" w:lineRule="auto"/>
              <w:ind w:firstLine="0"/>
              <w:jc w:val="right"/>
              <w:rPr>
                <w:rFonts w:eastAsia="Times New Roman" w:cs="Calibri"/>
                <w:color w:val="000000"/>
              </w:rPr>
            </w:pPr>
            <w:r w:rsidRPr="00E040C1">
              <w:rPr>
                <w:rFonts w:eastAsia="Times New Roman" w:cs="Calibri"/>
                <w:color w:val="000000"/>
              </w:rPr>
              <w:t>0.35</w:t>
            </w:r>
          </w:p>
        </w:tc>
        <w:tc>
          <w:tcPr>
            <w:tcW w:w="2284" w:type="dxa"/>
            <w:noWrap/>
            <w:vAlign w:val="bottom"/>
            <w:hideMark/>
          </w:tcPr>
          <w:p w14:paraId="51B4A376" w14:textId="77777777" w:rsidR="00E11F71" w:rsidRPr="00E040C1" w:rsidRDefault="00E11F71" w:rsidP="000A39B3">
            <w:pPr>
              <w:spacing w:after="0" w:line="240" w:lineRule="auto"/>
              <w:ind w:firstLine="0"/>
              <w:jc w:val="right"/>
              <w:rPr>
                <w:rFonts w:eastAsia="Times New Roman" w:cs="Calibri"/>
                <w:b/>
                <w:bCs/>
                <w:i/>
                <w:iCs/>
                <w:color w:val="000000"/>
                <w:u w:val="single"/>
              </w:rPr>
            </w:pPr>
            <w:r w:rsidRPr="00E040C1">
              <w:rPr>
                <w:rFonts w:eastAsia="Times New Roman" w:cs="Calibri"/>
                <w:b/>
                <w:bCs/>
                <w:i/>
                <w:iCs/>
                <w:color w:val="000000"/>
                <w:u w:val="single"/>
              </w:rPr>
              <w:t>0.47</w:t>
            </w:r>
          </w:p>
        </w:tc>
      </w:tr>
      <w:tr w:rsidR="00E11F71" w:rsidRPr="00E040C1" w14:paraId="6180C434" w14:textId="77777777" w:rsidTr="000A39B3">
        <w:trPr>
          <w:trHeight w:val="345"/>
        </w:trPr>
        <w:tc>
          <w:tcPr>
            <w:tcW w:w="3118" w:type="dxa"/>
            <w:noWrap/>
            <w:vAlign w:val="bottom"/>
            <w:hideMark/>
          </w:tcPr>
          <w:p w14:paraId="1E01CFC6" w14:textId="77777777" w:rsidR="00E11F71" w:rsidRPr="00E040C1" w:rsidRDefault="00E11F71" w:rsidP="000A39B3">
            <w:pPr>
              <w:spacing w:after="0" w:line="240" w:lineRule="auto"/>
              <w:ind w:firstLine="0"/>
              <w:rPr>
                <w:rFonts w:eastAsia="Times New Roman" w:cs="Calibri"/>
                <w:b/>
                <w:bCs/>
                <w:color w:val="000000"/>
              </w:rPr>
            </w:pPr>
            <w:r w:rsidRPr="00E040C1">
              <w:rPr>
                <w:rFonts w:eastAsia="Times New Roman" w:cs="Calibri"/>
                <w:b/>
                <w:bCs/>
                <w:color w:val="000000"/>
              </w:rPr>
              <w:t>12-16 տոկոս</w:t>
            </w:r>
          </w:p>
        </w:tc>
        <w:tc>
          <w:tcPr>
            <w:tcW w:w="1870" w:type="dxa"/>
            <w:noWrap/>
            <w:vAlign w:val="bottom"/>
            <w:hideMark/>
          </w:tcPr>
          <w:p w14:paraId="468C970D" w14:textId="77777777" w:rsidR="00E11F71" w:rsidRPr="00E040C1" w:rsidRDefault="00E11F71" w:rsidP="000A39B3">
            <w:pPr>
              <w:spacing w:after="0" w:line="240" w:lineRule="auto"/>
              <w:ind w:firstLine="0"/>
              <w:jc w:val="right"/>
              <w:rPr>
                <w:rFonts w:eastAsia="Times New Roman" w:cs="Calibri"/>
                <w:b/>
                <w:bCs/>
                <w:i/>
                <w:iCs/>
                <w:color w:val="000000"/>
                <w:u w:val="single"/>
              </w:rPr>
            </w:pPr>
            <w:r w:rsidRPr="00E040C1">
              <w:rPr>
                <w:rFonts w:eastAsia="Times New Roman" w:cs="Calibri"/>
                <w:b/>
                <w:bCs/>
                <w:i/>
                <w:iCs/>
                <w:color w:val="000000"/>
                <w:u w:val="single"/>
              </w:rPr>
              <w:t>0.54</w:t>
            </w:r>
          </w:p>
        </w:tc>
        <w:tc>
          <w:tcPr>
            <w:tcW w:w="1847" w:type="dxa"/>
            <w:noWrap/>
            <w:vAlign w:val="bottom"/>
            <w:hideMark/>
          </w:tcPr>
          <w:p w14:paraId="1A8BA970" w14:textId="77777777" w:rsidR="00E11F71" w:rsidRPr="00E040C1" w:rsidRDefault="00E11F71" w:rsidP="000A39B3">
            <w:pPr>
              <w:spacing w:after="0" w:line="240" w:lineRule="auto"/>
              <w:ind w:firstLine="0"/>
              <w:jc w:val="right"/>
              <w:rPr>
                <w:rFonts w:eastAsia="Times New Roman" w:cs="Calibri"/>
                <w:b/>
                <w:bCs/>
                <w:i/>
                <w:iCs/>
                <w:color w:val="000000"/>
                <w:u w:val="single"/>
              </w:rPr>
            </w:pPr>
            <w:r w:rsidRPr="00E040C1">
              <w:rPr>
                <w:rFonts w:eastAsia="Times New Roman" w:cs="Calibri"/>
                <w:b/>
                <w:bCs/>
                <w:i/>
                <w:iCs/>
                <w:color w:val="000000"/>
                <w:u w:val="single"/>
              </w:rPr>
              <w:t>0.49</w:t>
            </w:r>
          </w:p>
        </w:tc>
        <w:tc>
          <w:tcPr>
            <w:tcW w:w="2284" w:type="dxa"/>
            <w:noWrap/>
            <w:vAlign w:val="bottom"/>
            <w:hideMark/>
          </w:tcPr>
          <w:p w14:paraId="7AEFEDBF" w14:textId="77777777" w:rsidR="00E11F71" w:rsidRPr="00E040C1" w:rsidRDefault="00E11F71" w:rsidP="000A39B3">
            <w:pPr>
              <w:spacing w:after="0" w:line="240" w:lineRule="auto"/>
              <w:ind w:firstLine="0"/>
              <w:jc w:val="right"/>
              <w:rPr>
                <w:rFonts w:eastAsia="Times New Roman" w:cs="Calibri"/>
                <w:color w:val="000000"/>
              </w:rPr>
            </w:pPr>
            <w:r w:rsidRPr="00E040C1">
              <w:rPr>
                <w:rFonts w:eastAsia="Times New Roman" w:cs="Calibri"/>
                <w:color w:val="000000"/>
              </w:rPr>
              <w:t>0.21</w:t>
            </w:r>
          </w:p>
        </w:tc>
      </w:tr>
    </w:tbl>
    <w:p w14:paraId="23F3D6A2" w14:textId="77777777" w:rsidR="00E11F71" w:rsidRPr="00E040C1" w:rsidRDefault="00E11F71" w:rsidP="00E11F71">
      <w:pPr>
        <w:spacing w:before="120" w:after="120" w:line="276" w:lineRule="auto"/>
        <w:ind w:firstLine="720"/>
        <w:rPr>
          <w:rFonts w:cs="Sylfaen"/>
          <w:lang w:val="hy-AM"/>
        </w:rPr>
      </w:pPr>
      <w:r w:rsidRPr="00E040C1">
        <w:rPr>
          <w:rFonts w:cs="Sylfaen"/>
          <w:lang w:val="hy-AM"/>
        </w:rPr>
        <w:lastRenderedPageBreak/>
        <w:t xml:space="preserve">Աղյուսակ </w:t>
      </w:r>
      <w:r>
        <w:rPr>
          <w:rFonts w:cs="Sylfaen"/>
        </w:rPr>
        <w:t>3</w:t>
      </w:r>
      <w:r w:rsidR="00963F6D">
        <w:rPr>
          <w:rFonts w:cs="Sylfaen"/>
        </w:rPr>
        <w:t>.1</w:t>
      </w:r>
      <w:r w:rsidRPr="003770CA">
        <w:rPr>
          <w:rFonts w:cs="Sylfaen"/>
          <w:lang w:val="hy-AM"/>
        </w:rPr>
        <w:t>.3-</w:t>
      </w:r>
      <w:r w:rsidRPr="00E040C1">
        <w:rPr>
          <w:rFonts w:cs="Sylfaen"/>
          <w:lang w:val="hy-AM"/>
        </w:rPr>
        <w:t xml:space="preserve">ի առաջին սյունը ներկայացնում է հարկային եկամուտների աճի միջակայքերը, իսկ 2-ից 4-րդ սյուները` նշված միջակայքերից յուրաքանչյուրում այդ աճի ձևավորվելու հավանականությունները` ըստ միջնաժամկետ կանխատեսումների: </w:t>
      </w:r>
    </w:p>
    <w:p w14:paraId="5C7DD33A" w14:textId="77777777" w:rsidR="00E11F71" w:rsidRDefault="00E11F71" w:rsidP="00E11F71">
      <w:pPr>
        <w:spacing w:after="120" w:line="276" w:lineRule="auto"/>
        <w:ind w:firstLine="720"/>
        <w:rPr>
          <w:rFonts w:cs="Sylfaen"/>
          <w:lang w:val="hy-AM"/>
        </w:rPr>
      </w:pPr>
      <w:r w:rsidRPr="00E040C1">
        <w:rPr>
          <w:rFonts w:cs="Sylfaen"/>
          <w:lang w:val="hy-AM"/>
        </w:rPr>
        <w:t xml:space="preserve">Ակնհայտ է, որ 2021-2023 թվականների համար վերոնշյալ երեք միջակայքերի շարքում 8.0-16.0% միջակայքում հարկային եկամուտների աճի ձևավորվելու հավանականությունը ամենաբարձրն է (Գծապատկեր </w:t>
      </w:r>
      <w:r w:rsidRPr="00EA7AF7">
        <w:rPr>
          <w:rFonts w:cs="Sylfaen"/>
          <w:lang w:val="hy-AM"/>
        </w:rPr>
        <w:t>3</w:t>
      </w:r>
      <w:r w:rsidRPr="003770CA">
        <w:rPr>
          <w:rFonts w:cs="Sylfaen"/>
          <w:lang w:val="hy-AM"/>
        </w:rPr>
        <w:t>.1-</w:t>
      </w:r>
      <w:r w:rsidRPr="00E040C1">
        <w:rPr>
          <w:rFonts w:cs="Sylfaen"/>
          <w:lang w:val="hy-AM"/>
        </w:rPr>
        <w:t xml:space="preserve">ում այն մուգ կարմիր է, իսկ Աղյուսակ </w:t>
      </w:r>
      <w:r w:rsidRPr="000F21BC">
        <w:rPr>
          <w:rFonts w:cs="Sylfaen"/>
          <w:lang w:val="hy-AM"/>
        </w:rPr>
        <w:t>3</w:t>
      </w:r>
      <w:r w:rsidR="00963F6D" w:rsidRPr="00963F6D">
        <w:rPr>
          <w:rFonts w:cs="Sylfaen"/>
          <w:lang w:val="hy-AM"/>
        </w:rPr>
        <w:t>.1</w:t>
      </w:r>
      <w:r w:rsidRPr="003770CA">
        <w:rPr>
          <w:rFonts w:cs="Sylfaen"/>
          <w:lang w:val="hy-AM"/>
        </w:rPr>
        <w:t>.3</w:t>
      </w:r>
      <w:r w:rsidRPr="00E040C1">
        <w:rPr>
          <w:rFonts w:cs="Sylfaen"/>
          <w:lang w:val="hy-AM"/>
        </w:rPr>
        <w:t xml:space="preserve">-ում՝ հոծ նշումով): </w:t>
      </w:r>
    </w:p>
    <w:p w14:paraId="621D31C2" w14:textId="77777777" w:rsidR="00E11F71" w:rsidRPr="00E040C1" w:rsidRDefault="00E11F71" w:rsidP="00E11F71">
      <w:pPr>
        <w:pBdr>
          <w:top w:val="single" w:sz="4" w:space="0" w:color="auto"/>
          <w:left w:val="single" w:sz="4" w:space="4" w:color="auto"/>
          <w:bottom w:val="single" w:sz="4" w:space="1" w:color="auto"/>
          <w:right w:val="single" w:sz="4" w:space="4" w:color="auto"/>
        </w:pBdr>
        <w:shd w:val="clear" w:color="auto" w:fill="D9D9D9"/>
        <w:spacing w:after="120" w:line="276" w:lineRule="auto"/>
        <w:ind w:firstLine="720"/>
        <w:rPr>
          <w:rFonts w:cs="Sylfaen"/>
          <w:b/>
          <w:lang w:val="sk-SK"/>
        </w:rPr>
      </w:pPr>
      <w:r w:rsidRPr="00E040C1">
        <w:rPr>
          <w:rFonts w:cs="Sylfaen"/>
          <w:b/>
          <w:lang w:val="hy-AM"/>
        </w:rPr>
        <w:t>Ներդիր</w:t>
      </w:r>
      <w:r w:rsidRPr="00E040C1">
        <w:rPr>
          <w:rFonts w:cs="Sylfaen"/>
          <w:b/>
          <w:lang w:val="sk-SK"/>
        </w:rPr>
        <w:t xml:space="preserve"> </w:t>
      </w:r>
    </w:p>
    <w:p w14:paraId="150AC994" w14:textId="77777777" w:rsidR="00E11F71" w:rsidRPr="00E040C1" w:rsidRDefault="00E11F71" w:rsidP="00E11F71">
      <w:pPr>
        <w:pBdr>
          <w:top w:val="single" w:sz="4" w:space="0" w:color="auto"/>
          <w:left w:val="single" w:sz="4" w:space="4" w:color="auto"/>
          <w:bottom w:val="single" w:sz="4" w:space="1" w:color="auto"/>
          <w:right w:val="single" w:sz="4" w:space="4" w:color="auto"/>
        </w:pBdr>
        <w:shd w:val="clear" w:color="auto" w:fill="D9D9D9"/>
        <w:spacing w:after="0" w:line="276" w:lineRule="auto"/>
        <w:ind w:firstLine="720"/>
        <w:rPr>
          <w:rFonts w:cs="Sylfaen"/>
          <w:lang w:val="hy-AM"/>
        </w:rPr>
      </w:pPr>
      <w:r w:rsidRPr="00E040C1">
        <w:rPr>
          <w:rFonts w:cs="Sylfaen"/>
          <w:b/>
          <w:lang w:val="hy-AM"/>
        </w:rPr>
        <w:t>Իրական ՀՆԱ-ի և հարկային եկամուտների կանխատեսումների հավանականային բաշխման գծապատկերի կառուցումը</w:t>
      </w:r>
    </w:p>
    <w:p w14:paraId="59E3EE08" w14:textId="77777777" w:rsidR="00E11F71" w:rsidRPr="00E040C1" w:rsidRDefault="00E11F71" w:rsidP="00E11F71">
      <w:pPr>
        <w:pBdr>
          <w:top w:val="single" w:sz="4" w:space="0" w:color="auto"/>
          <w:left w:val="single" w:sz="4" w:space="4" w:color="auto"/>
          <w:bottom w:val="single" w:sz="4" w:space="1" w:color="auto"/>
          <w:right w:val="single" w:sz="4" w:space="4" w:color="auto"/>
        </w:pBdr>
        <w:shd w:val="clear" w:color="auto" w:fill="D9D9D9"/>
        <w:spacing w:after="120" w:line="276" w:lineRule="auto"/>
        <w:ind w:firstLine="720"/>
        <w:rPr>
          <w:lang w:val="hy-AM"/>
        </w:rPr>
      </w:pPr>
      <w:r w:rsidRPr="00E040C1">
        <w:rPr>
          <w:rFonts w:cs="Sylfaen"/>
          <w:lang w:val="hy-AM"/>
        </w:rPr>
        <w:t xml:space="preserve">Իրական ՀՆԱ-ի </w:t>
      </w:r>
      <w:r w:rsidRPr="00E040C1">
        <w:rPr>
          <w:lang w:val="hy-AM"/>
        </w:rPr>
        <w:t xml:space="preserve">և հարկային եկամուտների կանխատեսումների </w:t>
      </w:r>
      <w:r w:rsidRPr="00E040C1">
        <w:rPr>
          <w:rFonts w:cs="Sylfaen"/>
          <w:lang w:val="hy-AM"/>
        </w:rPr>
        <w:t>հավանականային</w:t>
      </w:r>
      <w:r w:rsidRPr="00E040C1">
        <w:rPr>
          <w:lang w:val="hy-AM"/>
        </w:rPr>
        <w:t xml:space="preserve"> բ</w:t>
      </w:r>
      <w:r w:rsidRPr="00E040C1">
        <w:rPr>
          <w:rFonts w:cs="Sylfaen"/>
          <w:lang w:val="hy-AM"/>
        </w:rPr>
        <w:t xml:space="preserve">աշխումը ներկայացնող գծապատկերները ցույց </w:t>
      </w:r>
      <w:r w:rsidRPr="00E040C1">
        <w:rPr>
          <w:lang w:val="hy-AM"/>
        </w:rPr>
        <w:t xml:space="preserve">են </w:t>
      </w:r>
      <w:r w:rsidRPr="00E040C1">
        <w:rPr>
          <w:rFonts w:cs="Sylfaen"/>
          <w:lang w:val="hy-AM"/>
        </w:rPr>
        <w:t>տալիս տնտեսության զարգացման ապագա ընթացքի վերաբերյալ կառավարության գնահատականները` տնտեսական աճի ծրագրային ցուցանիշների վերաբերյալ, ինչպես նաև հարկային եկամուտների հավաքագրման կանխատեսվող ընթացքը</w:t>
      </w:r>
      <w:r w:rsidRPr="00E040C1">
        <w:rPr>
          <w:lang w:val="hy-AM"/>
        </w:rPr>
        <w:t>:</w:t>
      </w:r>
    </w:p>
    <w:p w14:paraId="182F9CC0" w14:textId="77777777" w:rsidR="00E11F71" w:rsidRPr="00E040C1" w:rsidRDefault="00E11F71" w:rsidP="00E11F71">
      <w:pPr>
        <w:pBdr>
          <w:top w:val="single" w:sz="4" w:space="0" w:color="auto"/>
          <w:left w:val="single" w:sz="4" w:space="4" w:color="auto"/>
          <w:bottom w:val="single" w:sz="4" w:space="1" w:color="auto"/>
          <w:right w:val="single" w:sz="4" w:space="4" w:color="auto"/>
        </w:pBdr>
        <w:shd w:val="clear" w:color="auto" w:fill="D9D9D9"/>
        <w:spacing w:after="120" w:line="276" w:lineRule="auto"/>
        <w:ind w:firstLine="720"/>
        <w:rPr>
          <w:rFonts w:cs="Sylfaen"/>
          <w:lang w:val="hy-AM"/>
        </w:rPr>
      </w:pPr>
      <w:r w:rsidRPr="00E040C1">
        <w:rPr>
          <w:rFonts w:cs="Sylfaen"/>
          <w:lang w:val="hy-AM"/>
        </w:rPr>
        <w:t>Կանխատեսումների հավանականային բաշխման գծապատկերի կառուցման անհրաժեշտությունը պայմանավորված է նրանով</w:t>
      </w:r>
      <w:r w:rsidRPr="00E040C1">
        <w:rPr>
          <w:lang w:val="hy-AM"/>
        </w:rPr>
        <w:t xml:space="preserve">, </w:t>
      </w:r>
      <w:r w:rsidRPr="00E040C1">
        <w:rPr>
          <w:rFonts w:cs="Sylfaen"/>
          <w:lang w:val="hy-AM"/>
        </w:rPr>
        <w:t>որ բոլոր կանխատեսումները ինչ</w:t>
      </w:r>
      <w:r w:rsidRPr="00E040C1">
        <w:rPr>
          <w:lang w:val="hy-AM"/>
        </w:rPr>
        <w:t>-</w:t>
      </w:r>
      <w:r w:rsidRPr="00E040C1">
        <w:rPr>
          <w:rFonts w:cs="Sylfaen"/>
          <w:lang w:val="hy-AM"/>
        </w:rPr>
        <w:t>որ չափով անորոշ են</w:t>
      </w:r>
      <w:r w:rsidRPr="00E040C1">
        <w:rPr>
          <w:lang w:val="hy-AM"/>
        </w:rPr>
        <w:t xml:space="preserve">: </w:t>
      </w:r>
      <w:r w:rsidRPr="00E040C1">
        <w:rPr>
          <w:rFonts w:cs="Sylfaen"/>
          <w:lang w:val="hy-AM"/>
        </w:rPr>
        <w:t>Կարևոր է հաշվի առնել ոչ միայն կոնկրետ կանխատեսված արժեքները</w:t>
      </w:r>
      <w:r w:rsidRPr="00E040C1">
        <w:rPr>
          <w:lang w:val="hy-AM"/>
        </w:rPr>
        <w:t xml:space="preserve">, </w:t>
      </w:r>
      <w:r w:rsidRPr="00E040C1">
        <w:rPr>
          <w:rFonts w:cs="Sylfaen"/>
          <w:lang w:val="hy-AM"/>
        </w:rPr>
        <w:t>այլ նաև բոլոր այն</w:t>
      </w:r>
      <w:r w:rsidRPr="00E040C1">
        <w:rPr>
          <w:lang w:val="hy-AM"/>
        </w:rPr>
        <w:t xml:space="preserve"> վերոնշյալ </w:t>
      </w:r>
      <w:r w:rsidRPr="00E040C1">
        <w:rPr>
          <w:rFonts w:cs="Sylfaen"/>
          <w:lang w:val="hy-AM"/>
        </w:rPr>
        <w:t>ռիսկերը</w:t>
      </w:r>
      <w:r w:rsidRPr="00E040C1">
        <w:rPr>
          <w:lang w:val="hy-AM"/>
        </w:rPr>
        <w:t xml:space="preserve">, </w:t>
      </w:r>
      <w:r w:rsidRPr="00E040C1">
        <w:rPr>
          <w:rFonts w:cs="Sylfaen"/>
          <w:lang w:val="hy-AM"/>
        </w:rPr>
        <w:t>որոնց արդյունքում կարող են շեղումներ առաջանալ իրական ՀՆԱ-ի կանխատեսումների և հարկերի կանխատեսումների կենտրոնական արժեքներից</w:t>
      </w:r>
      <w:r w:rsidRPr="00E040C1">
        <w:rPr>
          <w:lang w:val="hy-AM"/>
        </w:rPr>
        <w:t xml:space="preserve">: </w:t>
      </w:r>
      <w:r w:rsidRPr="00E040C1">
        <w:rPr>
          <w:rFonts w:cs="Sylfaen"/>
          <w:lang w:val="hy-AM"/>
        </w:rPr>
        <w:t>Հիմնվելով միայն կետային կանխատեսումների վրա հնարավոր չէ բավարար չափով տեղեկատվություն ներկայացնել դրանց հետ կապված անորոշությունների և</w:t>
      </w:r>
      <w:r w:rsidRPr="00E040C1">
        <w:rPr>
          <w:lang w:val="hy-AM"/>
        </w:rPr>
        <w:t xml:space="preserve"> դրանց </w:t>
      </w:r>
      <w:r w:rsidRPr="00E040C1">
        <w:rPr>
          <w:rFonts w:cs="Sylfaen"/>
          <w:lang w:val="hy-AM"/>
        </w:rPr>
        <w:t>աղբյուրների վերաբերյալ</w:t>
      </w:r>
      <w:r w:rsidRPr="00E040C1">
        <w:rPr>
          <w:lang w:val="hy-AM"/>
        </w:rPr>
        <w:t xml:space="preserve">: </w:t>
      </w:r>
      <w:r w:rsidRPr="00E040C1">
        <w:rPr>
          <w:rFonts w:cs="Sylfaen"/>
          <w:lang w:val="hy-AM"/>
        </w:rPr>
        <w:t>Այդ պատճառով կարևորվում է որոշակի վստահության միջակայքի կառուցման խնդիրը</w:t>
      </w:r>
      <w:r w:rsidRPr="00E040C1">
        <w:rPr>
          <w:lang w:val="hy-AM"/>
        </w:rPr>
        <w:t xml:space="preserve">, </w:t>
      </w:r>
      <w:r w:rsidRPr="00E040C1">
        <w:rPr>
          <w:rFonts w:cs="Sylfaen"/>
          <w:lang w:val="hy-AM"/>
        </w:rPr>
        <w:t>որը թույլ կտա գնահատել իրադարձությունների զարգացման հավանական ընթացքը</w:t>
      </w:r>
      <w:r w:rsidRPr="00E040C1">
        <w:rPr>
          <w:lang w:val="hy-AM"/>
        </w:rPr>
        <w:t xml:space="preserve">: Իրական ՀՆԱ-ի և հարկերի կանխատեսումների հավանականային բաշխման ներկայացված գծապատկերները հիմնվում են </w:t>
      </w:r>
      <w:r w:rsidRPr="00E040C1">
        <w:rPr>
          <w:rFonts w:cs="Sylfaen"/>
          <w:lang w:val="hy-AM"/>
        </w:rPr>
        <w:t>Անգլիայի բանկի կողմից մշակված մեթոդաբանության վրա և հաշվի է առնում</w:t>
      </w:r>
      <w:r w:rsidRPr="00E040C1">
        <w:rPr>
          <w:lang w:val="hy-AM"/>
        </w:rPr>
        <w:t xml:space="preserve"> կանխատեսումների հավանականային բաշխման </w:t>
      </w:r>
      <w:r w:rsidRPr="00E040C1">
        <w:rPr>
          <w:rFonts w:cs="Sylfaen"/>
          <w:lang w:val="hy-AM"/>
        </w:rPr>
        <w:t>ասիմետրիկության առկայությունը</w:t>
      </w:r>
      <w:r w:rsidRPr="00E040C1">
        <w:rPr>
          <w:lang w:val="hy-AM"/>
        </w:rPr>
        <w:t xml:space="preserve">: </w:t>
      </w:r>
    </w:p>
    <w:p w14:paraId="759D1E2E" w14:textId="77777777" w:rsidR="00E11F71" w:rsidRPr="00E040C1" w:rsidRDefault="00E11F71" w:rsidP="00E11F71">
      <w:pPr>
        <w:pBdr>
          <w:top w:val="single" w:sz="4" w:space="0" w:color="auto"/>
          <w:left w:val="single" w:sz="4" w:space="4" w:color="auto"/>
          <w:bottom w:val="single" w:sz="4" w:space="1" w:color="auto"/>
          <w:right w:val="single" w:sz="4" w:space="4" w:color="auto"/>
        </w:pBdr>
        <w:shd w:val="clear" w:color="auto" w:fill="D9D9D9"/>
        <w:spacing w:after="120" w:line="276" w:lineRule="auto"/>
        <w:ind w:firstLine="720"/>
        <w:rPr>
          <w:lang w:val="hy-AM"/>
        </w:rPr>
      </w:pPr>
      <w:r w:rsidRPr="00E040C1">
        <w:rPr>
          <w:rFonts w:cs="Sylfaen"/>
          <w:lang w:val="hy-AM"/>
        </w:rPr>
        <w:t>Հայաստանի համար իրական ՀՆԱ-ի և հարկերի աճի կանխատեսումների բաշխման գծապատկերները կառուցվել են երեք չափորոշիչների հիման վրա.</w:t>
      </w:r>
    </w:p>
    <w:p w14:paraId="279BBFE7" w14:textId="77777777" w:rsidR="00E11F71" w:rsidRPr="00E040C1" w:rsidRDefault="00E11F71" w:rsidP="00E11F71">
      <w:pPr>
        <w:pBdr>
          <w:top w:val="single" w:sz="4" w:space="0" w:color="auto"/>
          <w:left w:val="single" w:sz="4" w:space="4" w:color="auto"/>
          <w:bottom w:val="single" w:sz="4" w:space="1" w:color="auto"/>
          <w:right w:val="single" w:sz="4" w:space="4" w:color="auto"/>
        </w:pBdr>
        <w:shd w:val="clear" w:color="auto" w:fill="D9D9D9"/>
        <w:spacing w:after="120" w:line="276" w:lineRule="auto"/>
        <w:ind w:firstLine="720"/>
        <w:rPr>
          <w:rFonts w:cs="Sylfaen"/>
          <w:lang w:val="hy-AM"/>
        </w:rPr>
      </w:pPr>
      <w:r w:rsidRPr="00E040C1">
        <w:rPr>
          <w:lang w:val="hy-AM"/>
        </w:rPr>
        <w:t xml:space="preserve">1. </w:t>
      </w:r>
      <w:r w:rsidRPr="00E040C1">
        <w:rPr>
          <w:rFonts w:cs="Sylfaen"/>
          <w:lang w:val="hy-AM"/>
        </w:rPr>
        <w:t xml:space="preserve">կենտրոնական արժեքները, </w:t>
      </w:r>
      <w:r w:rsidRPr="00E040C1">
        <w:rPr>
          <w:lang w:val="hy-AM"/>
        </w:rPr>
        <w:t xml:space="preserve">2. </w:t>
      </w:r>
      <w:r w:rsidRPr="00E040C1">
        <w:rPr>
          <w:rFonts w:cs="Sylfaen"/>
          <w:lang w:val="hy-AM"/>
        </w:rPr>
        <w:t>անորոշության չափը</w:t>
      </w:r>
      <w:r w:rsidRPr="00E040C1">
        <w:rPr>
          <w:lang w:val="hy-AM"/>
        </w:rPr>
        <w:t xml:space="preserve"> (</w:t>
      </w:r>
      <w:r w:rsidRPr="00E040C1">
        <w:rPr>
          <w:rFonts w:cs="Sylfaen"/>
          <w:lang w:val="hy-AM"/>
        </w:rPr>
        <w:t>դիսպերսիան</w:t>
      </w:r>
      <w:r w:rsidRPr="00E040C1">
        <w:rPr>
          <w:lang w:val="hy-AM"/>
        </w:rPr>
        <w:t>),</w:t>
      </w:r>
      <w:r w:rsidRPr="00E040C1">
        <w:rPr>
          <w:rFonts w:cs="Sylfaen"/>
          <w:lang w:val="hy-AM"/>
        </w:rPr>
        <w:t xml:space="preserve"> որը ստանալու համար հիմք են հանդիսացել փաստացի պատմական շարքերի կանխատեսումային սխալները և </w:t>
      </w:r>
      <w:r w:rsidRPr="00E040C1">
        <w:rPr>
          <w:lang w:val="hy-AM"/>
        </w:rPr>
        <w:t xml:space="preserve">3. </w:t>
      </w:r>
      <w:r w:rsidRPr="00E040C1">
        <w:rPr>
          <w:rFonts w:cs="Sylfaen"/>
          <w:lang w:val="hy-AM"/>
        </w:rPr>
        <w:t>ռիսկերի հարաբերական հաշվեկշիռը՝ անհամաչափության գործակցի գնահատման նպատակով:</w:t>
      </w:r>
    </w:p>
    <w:p w14:paraId="1D1DB7B1" w14:textId="77777777" w:rsidR="00E11F71" w:rsidRPr="00E040C1" w:rsidRDefault="00E11F71" w:rsidP="00E11F71">
      <w:pPr>
        <w:pBdr>
          <w:top w:val="single" w:sz="4" w:space="0" w:color="auto"/>
          <w:left w:val="single" w:sz="4" w:space="4" w:color="auto"/>
          <w:bottom w:val="single" w:sz="4" w:space="1" w:color="auto"/>
          <w:right w:val="single" w:sz="4" w:space="4" w:color="auto"/>
        </w:pBdr>
        <w:shd w:val="clear" w:color="auto" w:fill="D9D9D9"/>
        <w:spacing w:after="120" w:line="276" w:lineRule="auto"/>
        <w:ind w:firstLine="720"/>
        <w:rPr>
          <w:lang w:val="hy-AM"/>
        </w:rPr>
      </w:pPr>
      <w:r w:rsidRPr="00E040C1">
        <w:rPr>
          <w:rFonts w:cs="Sylfaen"/>
          <w:lang w:val="hy-AM"/>
        </w:rPr>
        <w:t>Ունենալով կանխատեսված</w:t>
      </w:r>
      <w:r w:rsidRPr="00E040C1">
        <w:rPr>
          <w:lang w:val="hy-AM"/>
        </w:rPr>
        <w:t xml:space="preserve"> կենտրոնական արժեքները, անորոշության չափը (ցրվածքը) և ռիսկերի հաշվեկշիռը` կառուցվել են իրական ՀՆԱ-ի և հարկերի կանխատեսումների հավանականային բաշխման գրաֆիկները 2021-2023 թվականների համար (տես` Գծապատկեր </w:t>
      </w:r>
      <w:r w:rsidRPr="000F21BC">
        <w:rPr>
          <w:lang w:val="hy-AM"/>
        </w:rPr>
        <w:t>3</w:t>
      </w:r>
      <w:r w:rsidRPr="00603439">
        <w:rPr>
          <w:lang w:val="hy-AM"/>
        </w:rPr>
        <w:t>.1</w:t>
      </w:r>
      <w:r w:rsidRPr="00E040C1">
        <w:rPr>
          <w:lang w:val="hy-AM"/>
        </w:rPr>
        <w:t>):</w:t>
      </w:r>
    </w:p>
    <w:p w14:paraId="181CD2AD" w14:textId="77777777" w:rsidR="00E11F71" w:rsidRPr="00E040C1" w:rsidRDefault="00E11F71" w:rsidP="00E11F71">
      <w:pPr>
        <w:pBdr>
          <w:top w:val="single" w:sz="4" w:space="0" w:color="auto"/>
          <w:left w:val="single" w:sz="4" w:space="4" w:color="auto"/>
          <w:bottom w:val="single" w:sz="4" w:space="1" w:color="auto"/>
          <w:right w:val="single" w:sz="4" w:space="4" w:color="auto"/>
        </w:pBdr>
        <w:shd w:val="clear" w:color="auto" w:fill="D9D9D9"/>
        <w:spacing w:after="120" w:line="276" w:lineRule="auto"/>
        <w:ind w:firstLine="720"/>
        <w:rPr>
          <w:lang w:val="hy-AM"/>
        </w:rPr>
      </w:pPr>
      <w:r w:rsidRPr="00E040C1">
        <w:rPr>
          <w:rFonts w:cs="Sylfaen"/>
          <w:lang w:val="hy-AM"/>
        </w:rPr>
        <w:lastRenderedPageBreak/>
        <w:t>ՀՆԱ-ի և հարկերի կանխատեսման գծապատկերներում կենտրոնական մուգ</w:t>
      </w:r>
      <w:r w:rsidRPr="00E040C1">
        <w:rPr>
          <w:lang w:val="hy-AM"/>
        </w:rPr>
        <w:t xml:space="preserve"> (</w:t>
      </w:r>
      <w:r w:rsidRPr="00E040C1">
        <w:rPr>
          <w:rFonts w:cs="Sylfaen"/>
          <w:lang w:val="hy-AM"/>
        </w:rPr>
        <w:t>կարմիր)</w:t>
      </w:r>
      <w:r w:rsidRPr="00E040C1">
        <w:rPr>
          <w:lang w:val="hy-AM"/>
        </w:rPr>
        <w:t xml:space="preserve"> ավելի նեղ </w:t>
      </w:r>
      <w:r w:rsidRPr="00E040C1">
        <w:rPr>
          <w:rFonts w:cs="Sylfaen"/>
          <w:lang w:val="hy-AM"/>
        </w:rPr>
        <w:t>միջակայքը ներառում է նաև</w:t>
      </w:r>
      <w:r w:rsidRPr="00E040C1">
        <w:rPr>
          <w:lang w:val="hy-AM"/>
        </w:rPr>
        <w:t xml:space="preserve"> կանխատեսման </w:t>
      </w:r>
      <w:r w:rsidRPr="00E040C1">
        <w:rPr>
          <w:rFonts w:cs="Sylfaen"/>
          <w:lang w:val="hy-AM"/>
        </w:rPr>
        <w:t>կենտրոնական սցենարը</w:t>
      </w:r>
      <w:r w:rsidRPr="00E040C1">
        <w:rPr>
          <w:lang w:val="hy-AM"/>
        </w:rPr>
        <w:t xml:space="preserve"> (</w:t>
      </w:r>
      <w:r w:rsidRPr="00E040C1">
        <w:rPr>
          <w:rFonts w:cs="Sylfaen"/>
          <w:lang w:val="hy-AM"/>
        </w:rPr>
        <w:t>կանխատեսված արժեքները</w:t>
      </w:r>
      <w:r w:rsidRPr="00E040C1">
        <w:rPr>
          <w:lang w:val="hy-AM"/>
        </w:rPr>
        <w:t>): Որքան հավանականային կանխատեսումները հեռանում են կենտրոնական սցենարից, այնքան ավելի ցածր է դառնում դրանց իրագործման հավանականությունը, ինչը գծապատկերում արտահայտվում է ավելի թույլ գունավորմամբ: Ներկայացված բաշխումը սիմետրիկ չէ, քանի որ ապագայի համար առկա են տնտեսական աճի և հարկերի կենտրոնական կանխատեսումից ավելի ցածր մակարդակների ձևավորման ռիսկեր:</w:t>
      </w:r>
    </w:p>
    <w:p w14:paraId="24CAF45E" w14:textId="77777777" w:rsidR="009E6C48" w:rsidRDefault="009E6C48" w:rsidP="00E11F71">
      <w:pPr>
        <w:pStyle w:val="BodyText2"/>
        <w:spacing w:line="276" w:lineRule="auto"/>
        <w:ind w:firstLine="0"/>
        <w:rPr>
          <w:b/>
          <w:color w:val="1F497D" w:themeColor="text2"/>
          <w:sz w:val="24"/>
          <w:szCs w:val="24"/>
          <w:lang w:val="hy-AM"/>
        </w:rPr>
      </w:pPr>
    </w:p>
    <w:p w14:paraId="190D727F" w14:textId="77777777" w:rsidR="00E11F71" w:rsidRPr="00DF51C8" w:rsidRDefault="00E11F71" w:rsidP="00E11F71">
      <w:pPr>
        <w:pStyle w:val="BodyText2"/>
        <w:spacing w:line="276" w:lineRule="auto"/>
        <w:ind w:firstLine="0"/>
        <w:rPr>
          <w:b/>
          <w:color w:val="1F497D" w:themeColor="text2"/>
          <w:sz w:val="24"/>
          <w:szCs w:val="24"/>
          <w:lang w:val="hy-AM"/>
        </w:rPr>
      </w:pPr>
      <w:r w:rsidRPr="00E11F71">
        <w:rPr>
          <w:b/>
          <w:color w:val="1F497D" w:themeColor="text2"/>
          <w:sz w:val="24"/>
          <w:szCs w:val="24"/>
          <w:lang w:val="hy-AM"/>
        </w:rPr>
        <w:t>3</w:t>
      </w:r>
      <w:r w:rsidRPr="00DF51C8">
        <w:rPr>
          <w:b/>
          <w:color w:val="1F497D" w:themeColor="text2"/>
          <w:sz w:val="24"/>
          <w:szCs w:val="24"/>
          <w:lang w:val="hy-AM"/>
        </w:rPr>
        <w:t>.2</w:t>
      </w:r>
      <w:r w:rsidR="009E6C48">
        <w:rPr>
          <w:b/>
          <w:color w:val="1F497D" w:themeColor="text2"/>
          <w:sz w:val="24"/>
          <w:szCs w:val="24"/>
          <w:lang w:val="hy-AM"/>
        </w:rPr>
        <w:t>.</w:t>
      </w:r>
      <w:r w:rsidRPr="00DF51C8">
        <w:rPr>
          <w:b/>
          <w:color w:val="1F497D" w:themeColor="text2"/>
          <w:sz w:val="24"/>
          <w:szCs w:val="24"/>
          <w:lang w:val="hy-AM"/>
        </w:rPr>
        <w:t xml:space="preserve"> Պետական բյուջեի վրա մակրոտնտեսական ցուցանիշների կանխատեսվածից շեղման ռիսկերի ազդեցության ընդհանուր գնահատականը և դրանց մեղմման հնարավորությունները</w:t>
      </w:r>
    </w:p>
    <w:p w14:paraId="33EE3C64" w14:textId="77777777" w:rsidR="00E11F71" w:rsidRPr="00E040C1" w:rsidRDefault="00E11F71" w:rsidP="00E11F71">
      <w:pPr>
        <w:spacing w:after="120" w:line="276" w:lineRule="auto"/>
        <w:ind w:firstLine="720"/>
        <w:rPr>
          <w:rFonts w:cs="Sylfaen"/>
          <w:lang w:val="hy-AM"/>
        </w:rPr>
      </w:pPr>
      <w:r w:rsidRPr="00E040C1">
        <w:rPr>
          <w:rFonts w:cs="Sylfaen"/>
          <w:lang w:val="hy-AM"/>
        </w:rPr>
        <w:t>Կանխատեսումներում մեծ ուշադրություն է դարձվում նաև պետական բյուջեի ծախսերի պլանավորված մակարդակների ապահովումը խաթարող ռիսկերին, որոնք կարող են հանգեցնել լրացուցիչ ֆինանսավորման պահանջի առաջացման:</w:t>
      </w:r>
    </w:p>
    <w:p w14:paraId="558FA264" w14:textId="77777777" w:rsidR="00E11F71" w:rsidRPr="00CD7613" w:rsidRDefault="00E11F71" w:rsidP="00E11F71">
      <w:pPr>
        <w:spacing w:after="120" w:line="276" w:lineRule="auto"/>
        <w:ind w:firstLine="720"/>
        <w:rPr>
          <w:rFonts w:cs="Sylfaen"/>
          <w:i/>
          <w:sz w:val="20"/>
          <w:szCs w:val="20"/>
          <w:lang w:val="sk-SK"/>
        </w:rPr>
      </w:pPr>
      <w:r w:rsidRPr="00CD7613">
        <w:rPr>
          <w:b/>
          <w:sz w:val="20"/>
          <w:szCs w:val="20"/>
          <w:lang w:val="hy-AM"/>
        </w:rPr>
        <w:t xml:space="preserve">Աղյուսակ </w:t>
      </w:r>
      <w:r w:rsidR="009E6C48" w:rsidRPr="00CD7613">
        <w:rPr>
          <w:b/>
          <w:sz w:val="20"/>
          <w:szCs w:val="20"/>
          <w:lang w:val="hy-AM"/>
        </w:rPr>
        <w:t>3</w:t>
      </w:r>
      <w:r w:rsidRPr="00CD7613">
        <w:rPr>
          <w:b/>
          <w:sz w:val="20"/>
          <w:szCs w:val="20"/>
          <w:lang w:val="hy-AM"/>
        </w:rPr>
        <w:t>.</w:t>
      </w:r>
      <w:r w:rsidR="00CD7613" w:rsidRPr="00BE7F99">
        <w:rPr>
          <w:b/>
          <w:sz w:val="20"/>
          <w:szCs w:val="20"/>
          <w:lang w:val="hy-AM"/>
        </w:rPr>
        <w:t>2.1</w:t>
      </w:r>
      <w:r w:rsidRPr="00CD7613">
        <w:rPr>
          <w:i/>
          <w:sz w:val="20"/>
          <w:szCs w:val="20"/>
          <w:lang w:val="sk-SK"/>
        </w:rPr>
        <w:t xml:space="preserve"> ՀՀ </w:t>
      </w:r>
      <w:r w:rsidRPr="00CD7613">
        <w:rPr>
          <w:rFonts w:cs="Sylfaen"/>
          <w:i/>
          <w:sz w:val="20"/>
          <w:szCs w:val="20"/>
          <w:lang w:val="hy-AM"/>
        </w:rPr>
        <w:t>պետական բյուջեի հարկային եկամուտների և ծախսերի, ինչպես նաև այլ հոսքերի գծով ռիսկերի ընդհանուր</w:t>
      </w:r>
      <w:r w:rsidRPr="00CD7613">
        <w:rPr>
          <w:rFonts w:cs="Sylfaen"/>
          <w:i/>
          <w:sz w:val="20"/>
          <w:szCs w:val="20"/>
          <w:lang w:val="sk-SK"/>
        </w:rPr>
        <w:t xml:space="preserve"> </w:t>
      </w:r>
      <w:r w:rsidRPr="00CD7613">
        <w:rPr>
          <w:rFonts w:cs="Sylfaen"/>
          <w:i/>
          <w:sz w:val="20"/>
          <w:szCs w:val="20"/>
          <w:lang w:val="hy-AM"/>
        </w:rPr>
        <w:t>ազդեցությունը</w:t>
      </w:r>
      <w:r w:rsidRPr="00CD7613">
        <w:rPr>
          <w:rFonts w:cs="Sylfaen"/>
          <w:i/>
          <w:sz w:val="20"/>
          <w:szCs w:val="20"/>
          <w:vertAlign w:val="superscript"/>
        </w:rPr>
        <w:footnoteReference w:id="18"/>
      </w:r>
      <w:r w:rsidRPr="00CD7613">
        <w:rPr>
          <w:rFonts w:cs="Sylfaen"/>
          <w:i/>
          <w:sz w:val="20"/>
          <w:szCs w:val="20"/>
          <w:lang w:val="sk-SK"/>
        </w:rPr>
        <w:t>. (</w:t>
      </w:r>
      <w:r w:rsidRPr="00CD7613">
        <w:rPr>
          <w:rFonts w:cs="Sylfaen"/>
          <w:i/>
          <w:sz w:val="20"/>
          <w:szCs w:val="20"/>
        </w:rPr>
        <w:t>ֆ</w:t>
      </w:r>
      <w:r w:rsidRPr="00CD7613">
        <w:rPr>
          <w:bCs/>
          <w:i/>
          <w:sz w:val="20"/>
          <w:szCs w:val="20"/>
        </w:rPr>
        <w:t>ինանսավորման</w:t>
      </w:r>
      <w:r w:rsidRPr="00CD7613">
        <w:rPr>
          <w:bCs/>
          <w:i/>
          <w:sz w:val="20"/>
          <w:szCs w:val="20"/>
          <w:lang w:val="sk-SK"/>
        </w:rPr>
        <w:t xml:space="preserve"> </w:t>
      </w:r>
      <w:r w:rsidRPr="00CD7613">
        <w:rPr>
          <w:bCs/>
          <w:i/>
          <w:sz w:val="20"/>
          <w:szCs w:val="20"/>
        </w:rPr>
        <w:t>պահանջ</w:t>
      </w:r>
      <w:r w:rsidRPr="00CD7613">
        <w:rPr>
          <w:bCs/>
          <w:i/>
          <w:sz w:val="20"/>
          <w:szCs w:val="20"/>
          <w:lang w:val="sk-SK"/>
        </w:rPr>
        <w:t xml:space="preserve">` - </w:t>
      </w:r>
      <w:r w:rsidRPr="00CD7613">
        <w:rPr>
          <w:bCs/>
          <w:i/>
          <w:sz w:val="20"/>
          <w:szCs w:val="20"/>
        </w:rPr>
        <w:t>պահանջի</w:t>
      </w:r>
      <w:r w:rsidRPr="00CD7613">
        <w:rPr>
          <w:bCs/>
          <w:i/>
          <w:sz w:val="20"/>
          <w:szCs w:val="20"/>
          <w:lang w:val="sk-SK"/>
        </w:rPr>
        <w:t xml:space="preserve"> </w:t>
      </w:r>
      <w:r w:rsidRPr="00CD7613">
        <w:rPr>
          <w:bCs/>
          <w:i/>
          <w:sz w:val="20"/>
          <w:szCs w:val="20"/>
        </w:rPr>
        <w:t>մեծացում</w:t>
      </w:r>
      <w:r w:rsidRPr="00CD7613">
        <w:rPr>
          <w:bCs/>
          <w:i/>
          <w:sz w:val="20"/>
          <w:szCs w:val="20"/>
          <w:lang w:val="sk-SK"/>
        </w:rPr>
        <w:t xml:space="preserve">, + </w:t>
      </w:r>
      <w:r w:rsidRPr="00CD7613">
        <w:rPr>
          <w:bCs/>
          <w:i/>
          <w:sz w:val="20"/>
          <w:szCs w:val="20"/>
        </w:rPr>
        <w:t>պահանջի</w:t>
      </w:r>
      <w:r w:rsidRPr="00CD7613">
        <w:rPr>
          <w:bCs/>
          <w:i/>
          <w:sz w:val="20"/>
          <w:szCs w:val="20"/>
          <w:lang w:val="sk-SK"/>
        </w:rPr>
        <w:t xml:space="preserve"> </w:t>
      </w:r>
      <w:r w:rsidRPr="00CD7613">
        <w:rPr>
          <w:bCs/>
          <w:i/>
          <w:sz w:val="20"/>
          <w:szCs w:val="20"/>
        </w:rPr>
        <w:t>նվազում</w:t>
      </w:r>
      <w:r w:rsidRPr="00CD7613">
        <w:rPr>
          <w:rFonts w:cs="Sylfaen"/>
          <w:i/>
          <w:sz w:val="20"/>
          <w:szCs w:val="20"/>
          <w:lang w:val="sk-SK"/>
        </w:rPr>
        <w:t xml:space="preserve">), </w:t>
      </w:r>
      <w:r w:rsidRPr="00CD7613">
        <w:rPr>
          <w:rFonts w:cs="Sylfaen"/>
          <w:i/>
          <w:sz w:val="20"/>
          <w:szCs w:val="20"/>
        </w:rPr>
        <w:t>մլրդ</w:t>
      </w:r>
      <w:r w:rsidRPr="00CD7613">
        <w:rPr>
          <w:rFonts w:cs="Sylfaen"/>
          <w:i/>
          <w:sz w:val="20"/>
          <w:szCs w:val="20"/>
          <w:lang w:val="sk-SK"/>
        </w:rPr>
        <w:t xml:space="preserve"> </w:t>
      </w:r>
      <w:r w:rsidRPr="00CD7613">
        <w:rPr>
          <w:rFonts w:cs="Sylfaen"/>
          <w:i/>
          <w:sz w:val="20"/>
          <w:szCs w:val="20"/>
        </w:rPr>
        <w:t>ՀՀ</w:t>
      </w:r>
      <w:r w:rsidRPr="00CD7613">
        <w:rPr>
          <w:rFonts w:cs="Sylfaen"/>
          <w:i/>
          <w:sz w:val="20"/>
          <w:szCs w:val="20"/>
          <w:lang w:val="sk-SK"/>
        </w:rPr>
        <w:t xml:space="preserve"> </w:t>
      </w:r>
      <w:r w:rsidRPr="00CD7613">
        <w:rPr>
          <w:rFonts w:cs="Sylfaen"/>
          <w:i/>
          <w:sz w:val="20"/>
          <w:szCs w:val="20"/>
        </w:rPr>
        <w:t>դրամ</w:t>
      </w:r>
    </w:p>
    <w:tbl>
      <w:tblPr>
        <w:tblW w:w="9629" w:type="dxa"/>
        <w:jc w:val="center"/>
        <w:tblLook w:val="04A0" w:firstRow="1" w:lastRow="0" w:firstColumn="1" w:lastColumn="0" w:noHBand="0" w:noVBand="1"/>
      </w:tblPr>
      <w:tblGrid>
        <w:gridCol w:w="5260"/>
        <w:gridCol w:w="1480"/>
        <w:gridCol w:w="1560"/>
        <w:gridCol w:w="1329"/>
      </w:tblGrid>
      <w:tr w:rsidR="00E11F71" w:rsidRPr="006C4698" w14:paraId="0F4BEBE8" w14:textId="77777777" w:rsidTr="000A39B3">
        <w:trPr>
          <w:trHeight w:val="675"/>
          <w:jc w:val="center"/>
        </w:trPr>
        <w:tc>
          <w:tcPr>
            <w:tcW w:w="5260" w:type="dxa"/>
            <w:tcBorders>
              <w:top w:val="single" w:sz="4" w:space="0" w:color="FFFFFF" w:themeColor="background1"/>
              <w:left w:val="single" w:sz="4" w:space="0" w:color="FFFFFF" w:themeColor="background1"/>
              <w:bottom w:val="single" w:sz="4" w:space="0" w:color="4F81BD" w:themeColor="accent1"/>
              <w:right w:val="single" w:sz="4" w:space="0" w:color="FFFFFF" w:themeColor="background1"/>
            </w:tcBorders>
            <w:shd w:val="clear" w:color="auto" w:fill="4F81BD" w:themeFill="accent1"/>
            <w:vAlign w:val="center"/>
            <w:hideMark/>
          </w:tcPr>
          <w:p w14:paraId="0255BCE9" w14:textId="77777777" w:rsidR="00E11F71" w:rsidRPr="00CD7E61" w:rsidRDefault="00E11F71" w:rsidP="000A39B3">
            <w:pPr>
              <w:spacing w:after="0" w:line="276" w:lineRule="auto"/>
              <w:ind w:firstLine="0"/>
              <w:jc w:val="center"/>
              <w:rPr>
                <w:rFonts w:eastAsia="Times New Roman" w:cs="Times New Roman"/>
                <w:b/>
                <w:bCs/>
                <w:color w:val="FFFFFF" w:themeColor="background1"/>
              </w:rPr>
            </w:pPr>
            <w:r w:rsidRPr="00CD7E61">
              <w:rPr>
                <w:rFonts w:eastAsia="Times New Roman" w:cs="Times New Roman"/>
                <w:b/>
                <w:bCs/>
                <w:color w:val="FFFFFF" w:themeColor="background1"/>
              </w:rPr>
              <w:t>Մակրոտնտեսական ցուցանիշների կանխատեսվող ռիսկեր</w:t>
            </w:r>
          </w:p>
        </w:tc>
        <w:tc>
          <w:tcPr>
            <w:tcW w:w="1480" w:type="dxa"/>
            <w:tcBorders>
              <w:top w:val="single" w:sz="4" w:space="0" w:color="FFFFFF" w:themeColor="background1"/>
              <w:left w:val="single" w:sz="4" w:space="0" w:color="FFFFFF" w:themeColor="background1"/>
              <w:bottom w:val="single" w:sz="4" w:space="0" w:color="4F81BD" w:themeColor="accent1"/>
              <w:right w:val="single" w:sz="4" w:space="0" w:color="FFFFFF" w:themeColor="background1"/>
            </w:tcBorders>
            <w:shd w:val="clear" w:color="auto" w:fill="4F81BD" w:themeFill="accent1"/>
            <w:noWrap/>
            <w:vAlign w:val="center"/>
            <w:hideMark/>
          </w:tcPr>
          <w:p w14:paraId="2E3CDD4F" w14:textId="77777777" w:rsidR="00E11F71" w:rsidRPr="00CD7E61" w:rsidRDefault="00E11F71" w:rsidP="000A39B3">
            <w:pPr>
              <w:spacing w:after="0" w:line="276" w:lineRule="auto"/>
              <w:ind w:firstLine="0"/>
              <w:jc w:val="center"/>
              <w:rPr>
                <w:rFonts w:eastAsia="Times New Roman" w:cs="Times New Roman"/>
                <w:b/>
                <w:bCs/>
                <w:color w:val="FFFFFF" w:themeColor="background1"/>
              </w:rPr>
            </w:pPr>
            <w:r w:rsidRPr="00CD7E61">
              <w:rPr>
                <w:rFonts w:eastAsia="Times New Roman" w:cs="Times New Roman"/>
                <w:b/>
                <w:bCs/>
                <w:color w:val="FFFFFF" w:themeColor="background1"/>
              </w:rPr>
              <w:t>2020</w:t>
            </w:r>
          </w:p>
        </w:tc>
        <w:tc>
          <w:tcPr>
            <w:tcW w:w="1560" w:type="dxa"/>
            <w:tcBorders>
              <w:top w:val="single" w:sz="4" w:space="0" w:color="FFFFFF" w:themeColor="background1"/>
              <w:left w:val="single" w:sz="4" w:space="0" w:color="FFFFFF" w:themeColor="background1"/>
              <w:bottom w:val="single" w:sz="4" w:space="0" w:color="4F81BD" w:themeColor="accent1"/>
              <w:right w:val="single" w:sz="4" w:space="0" w:color="FFFFFF" w:themeColor="background1"/>
            </w:tcBorders>
            <w:shd w:val="clear" w:color="auto" w:fill="4F81BD" w:themeFill="accent1"/>
            <w:noWrap/>
            <w:vAlign w:val="center"/>
            <w:hideMark/>
          </w:tcPr>
          <w:p w14:paraId="7002EF0C" w14:textId="77777777" w:rsidR="00E11F71" w:rsidRPr="00CD7E61" w:rsidRDefault="00E11F71" w:rsidP="000A39B3">
            <w:pPr>
              <w:spacing w:after="0" w:line="276" w:lineRule="auto"/>
              <w:ind w:firstLine="0"/>
              <w:jc w:val="center"/>
              <w:rPr>
                <w:rFonts w:eastAsia="Times New Roman" w:cs="Times New Roman"/>
                <w:b/>
                <w:bCs/>
                <w:color w:val="FFFFFF" w:themeColor="background1"/>
              </w:rPr>
            </w:pPr>
            <w:r w:rsidRPr="00CD7E61">
              <w:rPr>
                <w:rFonts w:eastAsia="Times New Roman" w:cs="Times New Roman"/>
                <w:b/>
                <w:bCs/>
                <w:color w:val="FFFFFF" w:themeColor="background1"/>
              </w:rPr>
              <w:t>2021</w:t>
            </w:r>
          </w:p>
        </w:tc>
        <w:tc>
          <w:tcPr>
            <w:tcW w:w="1329" w:type="dxa"/>
            <w:tcBorders>
              <w:top w:val="single" w:sz="4" w:space="0" w:color="FFFFFF" w:themeColor="background1"/>
              <w:left w:val="single" w:sz="4" w:space="0" w:color="FFFFFF" w:themeColor="background1"/>
              <w:bottom w:val="single" w:sz="4" w:space="0" w:color="4F81BD" w:themeColor="accent1"/>
              <w:right w:val="single" w:sz="4" w:space="0" w:color="FFFFFF" w:themeColor="background1"/>
            </w:tcBorders>
            <w:shd w:val="clear" w:color="auto" w:fill="4F81BD" w:themeFill="accent1"/>
            <w:noWrap/>
            <w:vAlign w:val="center"/>
            <w:hideMark/>
          </w:tcPr>
          <w:p w14:paraId="3B999DEA" w14:textId="77777777" w:rsidR="00E11F71" w:rsidRPr="00CD7E61" w:rsidRDefault="00E11F71" w:rsidP="000A39B3">
            <w:pPr>
              <w:spacing w:after="0" w:line="276" w:lineRule="auto"/>
              <w:ind w:firstLine="0"/>
              <w:jc w:val="center"/>
              <w:rPr>
                <w:rFonts w:eastAsia="Times New Roman" w:cs="Times New Roman"/>
                <w:b/>
                <w:bCs/>
                <w:color w:val="FFFFFF" w:themeColor="background1"/>
              </w:rPr>
            </w:pPr>
            <w:r w:rsidRPr="00CD7E61">
              <w:rPr>
                <w:rFonts w:eastAsia="Times New Roman" w:cs="Times New Roman"/>
                <w:b/>
                <w:bCs/>
                <w:color w:val="FFFFFF" w:themeColor="background1"/>
              </w:rPr>
              <w:t>2022</w:t>
            </w:r>
          </w:p>
        </w:tc>
      </w:tr>
      <w:tr w:rsidR="00E11F71" w:rsidRPr="006C4698" w14:paraId="182FA695" w14:textId="77777777" w:rsidTr="000A39B3">
        <w:trPr>
          <w:trHeight w:val="675"/>
          <w:jc w:val="center"/>
        </w:trPr>
        <w:tc>
          <w:tcPr>
            <w:tcW w:w="5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6EA5EB36" w14:textId="77777777" w:rsidR="00E11F71" w:rsidRPr="006C4698" w:rsidRDefault="00E11F71" w:rsidP="000A39B3">
            <w:pPr>
              <w:spacing w:after="0" w:line="276" w:lineRule="auto"/>
              <w:ind w:firstLine="0"/>
              <w:rPr>
                <w:rFonts w:eastAsia="Times New Roman" w:cs="Times New Roman"/>
                <w:color w:val="000000"/>
              </w:rPr>
            </w:pPr>
            <w:r w:rsidRPr="006C4698">
              <w:rPr>
                <w:rFonts w:eastAsia="Times New Roman" w:cs="Times New Roman"/>
                <w:color w:val="000000"/>
              </w:rPr>
              <w:t>1. Կանխատեսվածից 2.0-2.6 տոկոսային կետով ավելի ցածր իրական ՀՆԱ-ի աճ</w:t>
            </w:r>
          </w:p>
        </w:tc>
        <w:tc>
          <w:tcPr>
            <w:tcW w:w="14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6E3D5ED7"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-10.1</w:t>
            </w: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436C516C"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-14.1</w:t>
            </w:r>
          </w:p>
        </w:tc>
        <w:tc>
          <w:tcPr>
            <w:tcW w:w="13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2D7C64B1"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-18.3</w:t>
            </w:r>
          </w:p>
        </w:tc>
      </w:tr>
      <w:tr w:rsidR="00E11F71" w:rsidRPr="006C4698" w14:paraId="2DFADC45" w14:textId="77777777" w:rsidTr="000A39B3">
        <w:trPr>
          <w:trHeight w:val="675"/>
          <w:jc w:val="center"/>
        </w:trPr>
        <w:tc>
          <w:tcPr>
            <w:tcW w:w="5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77165228" w14:textId="77777777" w:rsidR="00E11F71" w:rsidRPr="006C4698" w:rsidRDefault="00E11F71" w:rsidP="000A39B3">
            <w:pPr>
              <w:spacing w:after="0" w:line="276" w:lineRule="auto"/>
              <w:ind w:firstLine="0"/>
              <w:rPr>
                <w:rFonts w:eastAsia="Times New Roman" w:cs="Times New Roman"/>
                <w:color w:val="000000"/>
              </w:rPr>
            </w:pPr>
            <w:r w:rsidRPr="006C4698">
              <w:rPr>
                <w:rFonts w:eastAsia="Times New Roman" w:cs="Times New Roman"/>
                <w:color w:val="000000"/>
              </w:rPr>
              <w:t>2. 1.5 տոկոսային կետով ավելի ցածր գնաճի ռիսկ</w:t>
            </w:r>
          </w:p>
        </w:tc>
        <w:tc>
          <w:tcPr>
            <w:tcW w:w="14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2E5AB2EE"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3.4</w:t>
            </w: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688F2B9A"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4.3</w:t>
            </w:r>
          </w:p>
        </w:tc>
        <w:tc>
          <w:tcPr>
            <w:tcW w:w="13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5788964D"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5.1</w:t>
            </w:r>
          </w:p>
        </w:tc>
      </w:tr>
      <w:tr w:rsidR="00E11F71" w:rsidRPr="006C4698" w14:paraId="0A446B7E" w14:textId="77777777" w:rsidTr="000A39B3">
        <w:trPr>
          <w:trHeight w:val="675"/>
          <w:jc w:val="center"/>
        </w:trPr>
        <w:tc>
          <w:tcPr>
            <w:tcW w:w="5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BE103CF" w14:textId="77777777" w:rsidR="00E11F71" w:rsidRPr="006C4698" w:rsidRDefault="00E11F71" w:rsidP="000A39B3">
            <w:pPr>
              <w:spacing w:after="0" w:line="276" w:lineRule="auto"/>
              <w:ind w:firstLine="0"/>
              <w:rPr>
                <w:rFonts w:eastAsia="Times New Roman" w:cs="Times New Roman"/>
                <w:color w:val="000000"/>
              </w:rPr>
            </w:pPr>
            <w:r w:rsidRPr="006C4698">
              <w:rPr>
                <w:rFonts w:eastAsia="Times New Roman" w:cs="Times New Roman"/>
                <w:color w:val="000000"/>
              </w:rPr>
              <w:t>3. Փոխարժեքի առավելագույնը 5.0 տոկոսով արժեզրկման ռիսկ</w:t>
            </w:r>
          </w:p>
        </w:tc>
        <w:tc>
          <w:tcPr>
            <w:tcW w:w="14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525BCD47"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6.9</w:t>
            </w: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26DEF5A9"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7.4</w:t>
            </w:r>
          </w:p>
        </w:tc>
        <w:tc>
          <w:tcPr>
            <w:tcW w:w="13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52831834"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14.9</w:t>
            </w:r>
          </w:p>
        </w:tc>
      </w:tr>
      <w:tr w:rsidR="00E11F71" w:rsidRPr="006C4698" w14:paraId="2817727A" w14:textId="77777777" w:rsidTr="000A39B3">
        <w:trPr>
          <w:trHeight w:val="780"/>
          <w:jc w:val="center"/>
        </w:trPr>
        <w:tc>
          <w:tcPr>
            <w:tcW w:w="5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7DDC8A20" w14:textId="77777777" w:rsidR="00E11F71" w:rsidRPr="006C4698" w:rsidRDefault="00E11F71" w:rsidP="000A39B3">
            <w:pPr>
              <w:spacing w:after="0" w:line="276" w:lineRule="auto"/>
              <w:ind w:firstLine="0"/>
              <w:rPr>
                <w:rFonts w:eastAsia="Times New Roman" w:cs="Times New Roman"/>
                <w:color w:val="000000"/>
              </w:rPr>
            </w:pPr>
            <w:r w:rsidRPr="006C4698">
              <w:rPr>
                <w:rFonts w:eastAsia="Times New Roman" w:cs="Times New Roman"/>
                <w:color w:val="000000"/>
              </w:rPr>
              <w:t>4. Ներմուծման 10.8-17.4 տոկոսով նվազման ռիսկ</w:t>
            </w:r>
          </w:p>
        </w:tc>
        <w:tc>
          <w:tcPr>
            <w:tcW w:w="14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10ABE729"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-15.5</w:t>
            </w: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2DCFDB59"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-22.7</w:t>
            </w:r>
          </w:p>
        </w:tc>
        <w:tc>
          <w:tcPr>
            <w:tcW w:w="13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1A1EBBCD"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-35.9</w:t>
            </w:r>
          </w:p>
        </w:tc>
      </w:tr>
      <w:tr w:rsidR="00E11F71" w:rsidRPr="006C4698" w14:paraId="73636C55" w14:textId="77777777" w:rsidTr="000A39B3">
        <w:trPr>
          <w:trHeight w:val="675"/>
          <w:jc w:val="center"/>
        </w:trPr>
        <w:tc>
          <w:tcPr>
            <w:tcW w:w="5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268F8558" w14:textId="77777777" w:rsidR="00E11F71" w:rsidRPr="006C4698" w:rsidRDefault="00E11F71" w:rsidP="000A39B3">
            <w:pPr>
              <w:spacing w:after="0" w:line="276" w:lineRule="auto"/>
              <w:ind w:firstLine="0"/>
              <w:rPr>
                <w:rFonts w:eastAsia="Times New Roman" w:cs="Times New Roman"/>
                <w:color w:val="000000"/>
              </w:rPr>
            </w:pPr>
            <w:r w:rsidRPr="006C4698">
              <w:rPr>
                <w:rFonts w:eastAsia="Times New Roman" w:cs="Times New Roman"/>
                <w:color w:val="000000"/>
              </w:rPr>
              <w:t xml:space="preserve">5. ԵՄ բյուջետային աջակցության </w:t>
            </w:r>
            <w:proofErr w:type="gramStart"/>
            <w:r w:rsidRPr="006C4698">
              <w:rPr>
                <w:rFonts w:eastAsia="Times New Roman" w:cs="Times New Roman"/>
                <w:color w:val="000000"/>
              </w:rPr>
              <w:t>դրամաշնորհների  չստացման</w:t>
            </w:r>
            <w:proofErr w:type="gramEnd"/>
            <w:r w:rsidRPr="006C4698">
              <w:rPr>
                <w:rFonts w:eastAsia="Times New Roman" w:cs="Times New Roman"/>
                <w:color w:val="000000"/>
              </w:rPr>
              <w:t xml:space="preserve"> ռիսկեր</w:t>
            </w:r>
          </w:p>
        </w:tc>
        <w:tc>
          <w:tcPr>
            <w:tcW w:w="14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6AFB3E55"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2.2</w:t>
            </w: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43933A04"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2.6</w:t>
            </w:r>
          </w:p>
        </w:tc>
        <w:tc>
          <w:tcPr>
            <w:tcW w:w="13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02257E1A" w14:textId="77777777" w:rsidR="00E11F71" w:rsidRPr="006C4698" w:rsidRDefault="00E11F71" w:rsidP="000A39B3">
            <w:pPr>
              <w:spacing w:after="0" w:line="276" w:lineRule="auto"/>
              <w:ind w:firstLine="0"/>
              <w:jc w:val="right"/>
              <w:rPr>
                <w:rFonts w:eastAsia="Times New Roman" w:cs="Times New Roman"/>
                <w:color w:val="000000"/>
              </w:rPr>
            </w:pPr>
            <w:r w:rsidRPr="006C4698">
              <w:rPr>
                <w:rFonts w:eastAsia="Times New Roman" w:cs="Times New Roman"/>
                <w:color w:val="000000"/>
              </w:rPr>
              <w:t>0.0</w:t>
            </w:r>
          </w:p>
        </w:tc>
      </w:tr>
      <w:tr w:rsidR="00E11F71" w:rsidRPr="006C4698" w14:paraId="2E7D1BFE" w14:textId="77777777" w:rsidTr="000A39B3">
        <w:trPr>
          <w:trHeight w:val="631"/>
          <w:jc w:val="center"/>
        </w:trPr>
        <w:tc>
          <w:tcPr>
            <w:tcW w:w="52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483FDE42" w14:textId="77777777" w:rsidR="00E11F71" w:rsidRPr="006C4698" w:rsidRDefault="00E11F71" w:rsidP="000A39B3">
            <w:pPr>
              <w:spacing w:after="0" w:line="276" w:lineRule="auto"/>
              <w:ind w:firstLine="0"/>
              <w:rPr>
                <w:rFonts w:eastAsia="Times New Roman" w:cs="Times New Roman"/>
                <w:b/>
                <w:bCs/>
                <w:color w:val="000000"/>
              </w:rPr>
            </w:pPr>
            <w:r w:rsidRPr="006C4698">
              <w:rPr>
                <w:rFonts w:eastAsia="Times New Roman" w:cs="Times New Roman"/>
                <w:b/>
                <w:bCs/>
                <w:color w:val="000000"/>
              </w:rPr>
              <w:lastRenderedPageBreak/>
              <w:t>Ընդամենը</w:t>
            </w:r>
          </w:p>
        </w:tc>
        <w:tc>
          <w:tcPr>
            <w:tcW w:w="148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553E719A" w14:textId="77777777" w:rsidR="00E11F71" w:rsidRPr="006C4698" w:rsidRDefault="00E11F71" w:rsidP="000A39B3">
            <w:pPr>
              <w:spacing w:after="0" w:line="276" w:lineRule="auto"/>
              <w:ind w:firstLine="0"/>
              <w:jc w:val="right"/>
              <w:rPr>
                <w:rFonts w:eastAsia="Times New Roman" w:cs="Times New Roman"/>
                <w:b/>
                <w:bCs/>
                <w:color w:val="000000"/>
              </w:rPr>
            </w:pPr>
            <w:r w:rsidRPr="006C4698">
              <w:rPr>
                <w:rFonts w:eastAsia="Times New Roman" w:cs="Times New Roman"/>
                <w:b/>
                <w:bCs/>
                <w:color w:val="000000"/>
              </w:rPr>
              <w:t>-13.0</w:t>
            </w:r>
          </w:p>
        </w:tc>
        <w:tc>
          <w:tcPr>
            <w:tcW w:w="15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579902CD" w14:textId="77777777" w:rsidR="00E11F71" w:rsidRPr="006C4698" w:rsidRDefault="00E11F71" w:rsidP="000A39B3">
            <w:pPr>
              <w:spacing w:after="0" w:line="276" w:lineRule="auto"/>
              <w:ind w:firstLine="0"/>
              <w:jc w:val="right"/>
              <w:rPr>
                <w:rFonts w:eastAsia="Times New Roman" w:cs="Times New Roman"/>
                <w:b/>
                <w:bCs/>
                <w:color w:val="000000"/>
              </w:rPr>
            </w:pPr>
            <w:r w:rsidRPr="006C4698">
              <w:rPr>
                <w:rFonts w:eastAsia="Times New Roman" w:cs="Times New Roman"/>
                <w:b/>
                <w:bCs/>
                <w:color w:val="000000"/>
              </w:rPr>
              <w:t>-22.5</w:t>
            </w:r>
          </w:p>
        </w:tc>
        <w:tc>
          <w:tcPr>
            <w:tcW w:w="132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noWrap/>
            <w:vAlign w:val="center"/>
            <w:hideMark/>
          </w:tcPr>
          <w:p w14:paraId="240D54DB" w14:textId="77777777" w:rsidR="00E11F71" w:rsidRPr="006C4698" w:rsidRDefault="00E11F71" w:rsidP="000A39B3">
            <w:pPr>
              <w:spacing w:after="0" w:line="276" w:lineRule="auto"/>
              <w:ind w:firstLine="0"/>
              <w:jc w:val="right"/>
              <w:rPr>
                <w:rFonts w:eastAsia="Times New Roman" w:cs="Times New Roman"/>
                <w:b/>
                <w:bCs/>
                <w:color w:val="000000"/>
              </w:rPr>
            </w:pPr>
            <w:r w:rsidRPr="006C4698">
              <w:rPr>
                <w:rFonts w:eastAsia="Times New Roman" w:cs="Times New Roman"/>
                <w:b/>
                <w:bCs/>
                <w:color w:val="000000"/>
              </w:rPr>
              <w:t>-34.2</w:t>
            </w:r>
          </w:p>
        </w:tc>
      </w:tr>
    </w:tbl>
    <w:p w14:paraId="10A7AF3A" w14:textId="77777777" w:rsidR="00E11F71" w:rsidRPr="00E040C1" w:rsidRDefault="00E11F71" w:rsidP="00E11F71">
      <w:pPr>
        <w:spacing w:after="120" w:line="276" w:lineRule="auto"/>
        <w:ind w:firstLine="720"/>
        <w:rPr>
          <w:rFonts w:cs="Sylfaen"/>
          <w:lang w:val="hy-AM"/>
        </w:rPr>
      </w:pPr>
      <w:r w:rsidRPr="00E040C1">
        <w:rPr>
          <w:rFonts w:cs="Sylfaen"/>
          <w:lang w:val="hy-AM"/>
        </w:rPr>
        <w:t xml:space="preserve">Աղյուսակ </w:t>
      </w:r>
      <w:r>
        <w:rPr>
          <w:rFonts w:cs="Sylfaen"/>
          <w:lang w:val="sk-SK"/>
        </w:rPr>
        <w:t>3.</w:t>
      </w:r>
      <w:r w:rsidR="00CD7613">
        <w:rPr>
          <w:rFonts w:cs="Sylfaen"/>
          <w:lang w:val="sk-SK"/>
        </w:rPr>
        <w:t>2.1</w:t>
      </w:r>
      <w:r>
        <w:rPr>
          <w:rFonts w:cs="Sylfaen"/>
          <w:lang w:val="sk-SK"/>
        </w:rPr>
        <w:t>-</w:t>
      </w:r>
      <w:r w:rsidRPr="00E040C1">
        <w:rPr>
          <w:rFonts w:cs="Sylfaen"/>
          <w:lang w:val="hy-AM"/>
        </w:rPr>
        <w:t xml:space="preserve">ում ցույց են տրված գնահատված լրացուցիչ ռիսկերը, որոնք կհանգեցնեն լրացուցիչ ֆինանսավորման պահանջի առաջացման: Ակնհայտորեն երևում է, որ գնաճի տատանումների հետևանքով կնվազի նախատեսված ֆինանսավորման պահանջը և համապատասխանաբար կփոփոխվեն նաև պետական բյուջեի ծախսերը` նվազման ուղղությամբ: </w:t>
      </w:r>
    </w:p>
    <w:p w14:paraId="0BF9F048" w14:textId="77777777" w:rsidR="00E11F71" w:rsidRDefault="00E11F71" w:rsidP="00E11F71">
      <w:pPr>
        <w:spacing w:after="120" w:line="276" w:lineRule="auto"/>
        <w:ind w:firstLine="720"/>
        <w:rPr>
          <w:rFonts w:cs="Sylfaen"/>
          <w:lang w:val="hy-AM"/>
        </w:rPr>
      </w:pPr>
      <w:r w:rsidRPr="00E040C1">
        <w:rPr>
          <w:rFonts w:cs="Sylfaen"/>
          <w:lang w:val="hy-AM"/>
        </w:rPr>
        <w:t xml:space="preserve">Հաշվի առնելով մակրոտնտեսական ցուցանիշների կանխատեսվող մակարդակից վերոնշյալ հնարավոր շեղումների ռիսկերի գնահատականները` ՀՀ պետական բյուջեի եկամուտների հավաքագրման և ծախսերի կատարման տեսանկյունից 2021-2023 թվականներին ՀՀ պետական բյուջեի դեֆիցիտի լրացուցիչ ֆինանսավորման պահանջը կկազմի շուրջ 13.0–34.0 մլրդ ՀՀ դրամ կամ ՀՆԱ-ի 0.2-0.4%-ը: </w:t>
      </w:r>
    </w:p>
    <w:p w14:paraId="0E83B414" w14:textId="77777777" w:rsidR="00E11F71" w:rsidRDefault="00E11F71" w:rsidP="00E11F71">
      <w:pPr>
        <w:spacing w:before="0" w:after="200" w:line="276" w:lineRule="auto"/>
        <w:ind w:firstLine="0"/>
        <w:jc w:val="left"/>
        <w:rPr>
          <w:rFonts w:cs="Sylfaen"/>
          <w:lang w:val="hy-AM"/>
        </w:rPr>
      </w:pPr>
      <w:r>
        <w:rPr>
          <w:rFonts w:cs="Sylfaen"/>
          <w:lang w:val="hy-AM"/>
        </w:rPr>
        <w:br w:type="page"/>
      </w:r>
    </w:p>
    <w:p w14:paraId="6DA02666" w14:textId="77777777" w:rsidR="00E11F71" w:rsidRPr="00C76568" w:rsidRDefault="00E11F71" w:rsidP="009E6C48">
      <w:pPr>
        <w:pStyle w:val="Heading3"/>
        <w:numPr>
          <w:ilvl w:val="0"/>
          <w:numId w:val="0"/>
        </w:numPr>
        <w:spacing w:before="0" w:after="120"/>
        <w:rPr>
          <w:rFonts w:eastAsia="Times New Roman" w:cs="Times New Roman"/>
          <w:caps w:val="0"/>
          <w:color w:val="1F497D" w:themeColor="text2"/>
          <w:sz w:val="28"/>
          <w:szCs w:val="28"/>
        </w:rPr>
      </w:pPr>
      <w:bookmarkStart w:id="382" w:name="_Hlk45793805"/>
      <w:bookmarkStart w:id="383" w:name="_Toc45838561"/>
      <w:bookmarkStart w:id="384" w:name="_Toc46154386"/>
      <w:bookmarkEnd w:id="382"/>
      <w:r w:rsidRPr="00C76568">
        <w:rPr>
          <w:rFonts w:eastAsia="Times New Roman" w:cs="Times New Roman"/>
          <w:caps w:val="0"/>
          <w:color w:val="1F497D" w:themeColor="text2"/>
          <w:sz w:val="28"/>
          <w:szCs w:val="28"/>
        </w:rPr>
        <w:lastRenderedPageBreak/>
        <w:t>4. ՀՀ ԿԱՌԱՎԱՐՈՒԹՅԱՆ ՊԱՐՏՔԻ ԿԱՅՈՒՆՈՒԹՅԱՆ ՎԵՐԼՈՒԾՈՒԹՅՈՒՆԸ</w:t>
      </w:r>
      <w:r w:rsidR="00C76568" w:rsidRPr="00EB1197">
        <w:rPr>
          <w:rFonts w:eastAsia="Times New Roman" w:cs="Times New Roman"/>
          <w:caps w:val="0"/>
          <w:color w:val="1F497D" w:themeColor="text2"/>
          <w:sz w:val="28"/>
          <w:szCs w:val="28"/>
        </w:rPr>
        <w:t xml:space="preserve"> </w:t>
      </w:r>
      <w:r w:rsidRPr="00C76568">
        <w:rPr>
          <w:rFonts w:eastAsia="Times New Roman" w:cs="Times New Roman"/>
          <w:caps w:val="0"/>
          <w:color w:val="1F497D" w:themeColor="text2"/>
          <w:sz w:val="16"/>
        </w:rPr>
        <w:footnoteReference w:id="19"/>
      </w:r>
      <w:bookmarkEnd w:id="383"/>
      <w:bookmarkEnd w:id="384"/>
    </w:p>
    <w:p w14:paraId="33EE0DAB" w14:textId="63AAF0F0" w:rsidR="00E11F71" w:rsidRPr="00D74F21" w:rsidRDefault="00E11F71" w:rsidP="00E11F71">
      <w:pPr>
        <w:spacing w:before="0" w:after="120" w:line="276" w:lineRule="auto"/>
        <w:ind w:firstLine="720"/>
        <w:rPr>
          <w:i/>
          <w:lang w:val="hy-AM"/>
        </w:rPr>
      </w:pPr>
      <w:r w:rsidRPr="00D74F21">
        <w:rPr>
          <w:i/>
          <w:lang w:val="hy-AM"/>
        </w:rPr>
        <w:t>Միջնաժամկետ հատվածում ՀՀ կառավարության պարտքը գնահատվում է կայուն և ցածր ռիսկային</w:t>
      </w:r>
      <w:r>
        <w:rPr>
          <w:i/>
          <w:lang w:val="hy-AM"/>
        </w:rPr>
        <w:t>՝</w:t>
      </w:r>
      <w:r w:rsidRPr="00D74F21">
        <w:rPr>
          <w:i/>
          <w:lang w:val="hy-AM"/>
        </w:rPr>
        <w:t xml:space="preserve"> շնորհիվ </w:t>
      </w:r>
      <w:r>
        <w:rPr>
          <w:i/>
          <w:lang w:val="hy-AM"/>
        </w:rPr>
        <w:t>ծրագրված</w:t>
      </w:r>
      <w:r w:rsidRPr="00D74F21">
        <w:rPr>
          <w:i/>
          <w:lang w:val="hy-AM"/>
        </w:rPr>
        <w:t xml:space="preserve"> հարկաբյուջետային </w:t>
      </w:r>
      <w:r>
        <w:rPr>
          <w:i/>
          <w:lang w:val="hy-AM"/>
        </w:rPr>
        <w:t>ճշգրտման</w:t>
      </w:r>
      <w:r w:rsidRPr="00D74F21">
        <w:rPr>
          <w:i/>
          <w:lang w:val="hy-AM"/>
        </w:rPr>
        <w:t>։ Այնուամենայնիվ, ՀՀ կառավարության պարտքի պորտֆելը շարունակում է մնալ խոցելի՝ պայմանավորված արտարժութային և ոչ ռեզիդե</w:t>
      </w:r>
      <w:r w:rsidR="007724F4">
        <w:rPr>
          <w:i/>
          <w:lang w:val="hy-AM"/>
        </w:rPr>
        <w:t>ն</w:t>
      </w:r>
      <w:r w:rsidRPr="00D74F21">
        <w:rPr>
          <w:i/>
          <w:lang w:val="hy-AM"/>
        </w:rPr>
        <w:t xml:space="preserve">տների նկատմամբ պարտքի բարձր </w:t>
      </w:r>
      <w:r>
        <w:rPr>
          <w:i/>
          <w:lang w:val="hy-AM"/>
        </w:rPr>
        <w:t>մասնաբաժիններով</w:t>
      </w:r>
      <w:r w:rsidRPr="00D74F21">
        <w:rPr>
          <w:i/>
          <w:lang w:val="hy-AM"/>
        </w:rPr>
        <w:t>։ Միևնույն ժամանակ, պարտքը ձևավորող գործոնների պատմական տատանողականությ</w:t>
      </w:r>
      <w:r>
        <w:rPr>
          <w:i/>
          <w:lang w:val="hy-AM"/>
        </w:rPr>
        <w:t>ունը և մակրոտնտեսական շրջանակի կանխատեսվող ռիսկերը</w:t>
      </w:r>
      <w:r w:rsidRPr="00D74F21">
        <w:rPr>
          <w:i/>
          <w:lang w:val="hy-AM"/>
        </w:rPr>
        <w:t xml:space="preserve">  </w:t>
      </w:r>
      <w:r>
        <w:rPr>
          <w:i/>
          <w:lang w:val="hy-AM"/>
        </w:rPr>
        <w:t>պարտքի կանխատեսումների համար էական անորոշություններ են ապահովում, ընդ որում՝ ռիսկերի շեղվածությունը պարտքի աճի ուղղությամբ է։</w:t>
      </w:r>
    </w:p>
    <w:p w14:paraId="4E8F2147" w14:textId="444C60A1" w:rsidR="00E11F71" w:rsidRPr="00D74F21" w:rsidRDefault="00E11F71" w:rsidP="00E11F71">
      <w:pPr>
        <w:spacing w:before="0" w:after="120" w:line="276" w:lineRule="auto"/>
        <w:ind w:firstLine="720"/>
        <w:rPr>
          <w:lang w:val="hy-AM"/>
        </w:rPr>
      </w:pPr>
      <w:r w:rsidRPr="00D74F21">
        <w:rPr>
          <w:b/>
          <w:lang w:val="hy-AM"/>
        </w:rPr>
        <w:t>2021-2023թթ</w:t>
      </w:r>
      <w:r w:rsidRPr="00D74F21">
        <w:rPr>
          <w:rFonts w:ascii="Cambria Math" w:hAnsi="Cambria Math" w:cs="Cambria Math"/>
          <w:b/>
          <w:lang w:val="hy-AM"/>
        </w:rPr>
        <w:t>․</w:t>
      </w:r>
      <w:r w:rsidRPr="00D74F21">
        <w:rPr>
          <w:b/>
          <w:lang w:val="hy-AM"/>
        </w:rPr>
        <w:t xml:space="preserve"> միջնաժամկետ ծախսերի ծրագրում ՀՀ կառավարության պարտքի և ՀՀ պետական բյուջեի համախառն ֆինանսավորման կարիքի ռիսկերը գնահատվում են ցածր մակարդակի, ինչն ապահովվում է միջնաժամկետ հատվածում </w:t>
      </w:r>
      <w:r>
        <w:rPr>
          <w:b/>
          <w:lang w:val="hy-AM"/>
        </w:rPr>
        <w:t>ծրագրված</w:t>
      </w:r>
      <w:r w:rsidRPr="00D74F21">
        <w:rPr>
          <w:b/>
          <w:lang w:val="hy-AM"/>
        </w:rPr>
        <w:t xml:space="preserve"> հարկաբյուջետային </w:t>
      </w:r>
      <w:r>
        <w:rPr>
          <w:b/>
          <w:lang w:val="hy-AM"/>
        </w:rPr>
        <w:t>ճշգրտման</w:t>
      </w:r>
      <w:r w:rsidRPr="00D74F21">
        <w:rPr>
          <w:b/>
          <w:lang w:val="hy-AM"/>
        </w:rPr>
        <w:t xml:space="preserve"> քաղաքականության արդյունքում։ </w:t>
      </w:r>
      <w:r w:rsidRPr="00D74F21">
        <w:rPr>
          <w:lang w:val="hy-AM"/>
        </w:rPr>
        <w:t xml:space="preserve">Սթրես թեստերի շրջանակներում ՀՀ կառավարության պարտքը ամենաշատը զգայուն է փոխարժեքի </w:t>
      </w:r>
      <w:r>
        <w:rPr>
          <w:lang w:val="hy-AM"/>
        </w:rPr>
        <w:t>և տնտեսական աճի շոկերի նկատմամբ</w:t>
      </w:r>
      <w:r w:rsidRPr="00D74F21">
        <w:rPr>
          <w:lang w:val="hy-AM"/>
        </w:rPr>
        <w:t>, որ</w:t>
      </w:r>
      <w:r>
        <w:rPr>
          <w:lang w:val="hy-AM"/>
        </w:rPr>
        <w:t>ոնցից</w:t>
      </w:r>
      <w:r w:rsidRPr="00831AF6">
        <w:rPr>
          <w:lang w:val="hy-AM"/>
        </w:rPr>
        <w:t xml:space="preserve"> </w:t>
      </w:r>
      <w:r>
        <w:rPr>
          <w:lang w:val="hy-AM"/>
        </w:rPr>
        <w:t xml:space="preserve">  առաջինի</w:t>
      </w:r>
      <w:r w:rsidRPr="003922B4">
        <w:rPr>
          <w:lang w:val="hy-AM"/>
        </w:rPr>
        <w:t xml:space="preserve"> ի հայտ գալու</w:t>
      </w:r>
      <w:r w:rsidRPr="00D74F21">
        <w:rPr>
          <w:lang w:val="hy-AM"/>
        </w:rPr>
        <w:t xml:space="preserve"> պարագայում 2021թ</w:t>
      </w:r>
      <w:r w:rsidRPr="00D74F21">
        <w:rPr>
          <w:rFonts w:ascii="Cambria Math" w:hAnsi="Cambria Math"/>
          <w:lang w:val="hy-AM"/>
        </w:rPr>
        <w:t>․</w:t>
      </w:r>
      <w:r w:rsidRPr="00D74F21">
        <w:rPr>
          <w:lang w:val="hy-AM"/>
        </w:rPr>
        <w:t>-ին</w:t>
      </w:r>
      <w:r w:rsidRPr="003922B4">
        <w:rPr>
          <w:lang w:val="hy-AM"/>
        </w:rPr>
        <w:t xml:space="preserve"> կառավարության պարտք/ՀՆԱ հարաբերակցությունը</w:t>
      </w:r>
      <w:r w:rsidRPr="00D74F21">
        <w:rPr>
          <w:lang w:val="hy-AM"/>
        </w:rPr>
        <w:t xml:space="preserve"> հասնում է 64% մակարդակին, սակայն միջնաժամկետ </w:t>
      </w:r>
      <w:r>
        <w:rPr>
          <w:lang w:val="hy-AM"/>
        </w:rPr>
        <w:t xml:space="preserve">հեռանկարում </w:t>
      </w:r>
      <w:r w:rsidRPr="00A457F4">
        <w:rPr>
          <w:lang w:val="hy-AM"/>
        </w:rPr>
        <w:t>(</w:t>
      </w:r>
      <w:r>
        <w:rPr>
          <w:lang w:val="hy-AM"/>
        </w:rPr>
        <w:t xml:space="preserve">մինչև </w:t>
      </w:r>
      <w:r w:rsidRPr="00A457F4">
        <w:rPr>
          <w:lang w:val="hy-AM"/>
        </w:rPr>
        <w:t>2025</w:t>
      </w:r>
      <w:r>
        <w:rPr>
          <w:lang w:val="hy-AM"/>
        </w:rPr>
        <w:t>թ-ը</w:t>
      </w:r>
      <w:r w:rsidRPr="00A457F4">
        <w:rPr>
          <w:lang w:val="hy-AM"/>
        </w:rPr>
        <w:t>)</w:t>
      </w:r>
      <w:r w:rsidRPr="00D74F21">
        <w:rPr>
          <w:lang w:val="hy-AM"/>
        </w:rPr>
        <w:t xml:space="preserve"> վերադառնում է ՀՀ հարկաբյուջետային կանոններով սահմանված 60% սահմանային շեմից ներքև՝ կանխատեսվող ողջ ժամանակահատվածում ցածր մնալով պարտքի ռիսկայնության 70% շեմից։</w:t>
      </w:r>
      <w:r w:rsidRPr="00831AF6">
        <w:rPr>
          <w:lang w:val="hy-AM"/>
        </w:rPr>
        <w:t xml:space="preserve"> </w:t>
      </w:r>
      <w:r>
        <w:rPr>
          <w:lang w:val="hy-AM"/>
        </w:rPr>
        <w:t>Տնտեսական աճի շոկի դեպքում կառավարության պարտք</w:t>
      </w:r>
      <w:r w:rsidRPr="00831AF6">
        <w:rPr>
          <w:lang w:val="hy-AM"/>
        </w:rPr>
        <w:t>/</w:t>
      </w:r>
      <w:r>
        <w:rPr>
          <w:lang w:val="hy-AM"/>
        </w:rPr>
        <w:t xml:space="preserve">ՀՆԱ հարաբերակցությունը առավելագույն մակարդակին է հասնում </w:t>
      </w:r>
      <w:r w:rsidRPr="00831AF6">
        <w:rPr>
          <w:lang w:val="hy-AM"/>
        </w:rPr>
        <w:t>2022</w:t>
      </w:r>
      <w:r>
        <w:rPr>
          <w:lang w:val="hy-AM"/>
        </w:rPr>
        <w:t xml:space="preserve">թ-ին՝ </w:t>
      </w:r>
      <w:r w:rsidRPr="00831AF6">
        <w:rPr>
          <w:lang w:val="hy-AM"/>
        </w:rPr>
        <w:t>62%</w:t>
      </w:r>
      <w:r>
        <w:rPr>
          <w:lang w:val="hy-AM"/>
        </w:rPr>
        <w:t xml:space="preserve">, և կրկին նվազում </w:t>
      </w:r>
      <w:r w:rsidRPr="00831AF6">
        <w:rPr>
          <w:lang w:val="hy-AM"/>
        </w:rPr>
        <w:t xml:space="preserve">60% </w:t>
      </w:r>
      <w:r>
        <w:rPr>
          <w:lang w:val="hy-AM"/>
        </w:rPr>
        <w:t>շեմից։</w:t>
      </w:r>
      <w:r w:rsidRPr="00D74F21">
        <w:rPr>
          <w:lang w:val="hy-AM"/>
        </w:rPr>
        <w:t xml:space="preserve"> ՀՀ պետական բյուջեի համախառն ֆինանսավորման կարիքը կանխատեսվող ժամա</w:t>
      </w:r>
      <w:r w:rsidR="007724F4">
        <w:rPr>
          <w:lang w:val="hy-AM"/>
        </w:rPr>
        <w:t>նա</w:t>
      </w:r>
      <w:r w:rsidRPr="00D74F21">
        <w:rPr>
          <w:lang w:val="hy-AM"/>
        </w:rPr>
        <w:t>կահատվածում</w:t>
      </w:r>
      <w:r w:rsidRPr="003922B4">
        <w:rPr>
          <w:lang w:val="hy-AM"/>
        </w:rPr>
        <w:t xml:space="preserve"> իրականացված սթրես թեստերից ոչ մեկի դեպքում</w:t>
      </w:r>
      <w:r w:rsidRPr="00D74F21">
        <w:rPr>
          <w:lang w:val="hy-AM"/>
        </w:rPr>
        <w:t xml:space="preserve"> չի գերազանցում ՀՆԱ</w:t>
      </w:r>
      <w:r w:rsidRPr="003922B4">
        <w:rPr>
          <w:lang w:val="hy-AM"/>
        </w:rPr>
        <w:t>-ի</w:t>
      </w:r>
      <w:r w:rsidRPr="00D74F21">
        <w:rPr>
          <w:lang w:val="hy-AM"/>
        </w:rPr>
        <w:t xml:space="preserve"> 10%-ը, մինչդեռ ռիսկայնության ընդունված սահմանաչափը զարգացող երկրների համար 15% է։ </w:t>
      </w:r>
    </w:p>
    <w:p w14:paraId="63FC778F" w14:textId="4123E6D7" w:rsidR="00E11F71" w:rsidRPr="00D74F21" w:rsidRDefault="00E11F71" w:rsidP="00E11F71">
      <w:pPr>
        <w:spacing w:before="0" w:after="120" w:line="276" w:lineRule="auto"/>
        <w:ind w:firstLine="720"/>
        <w:rPr>
          <w:lang w:val="hy-AM"/>
        </w:rPr>
      </w:pPr>
      <w:r w:rsidRPr="00D74F21">
        <w:rPr>
          <w:b/>
          <w:lang w:val="hy-AM"/>
        </w:rPr>
        <w:t xml:space="preserve">ՀՀ կառավարության պարտքի պորտֆելի խոցելիության աղբյուրների մեջ բարձր ռիսկայնություն ազդանշող գործոններ կան, որոնց գծով ռիսկերը կմեղմվեն միջնաժամկետ հատվածում։ </w:t>
      </w:r>
      <w:r w:rsidRPr="00D74F21">
        <w:rPr>
          <w:lang w:val="hy-AM"/>
        </w:rPr>
        <w:t xml:space="preserve">Մասնավորապես, ՀՀ կառավարության պարտքի կառուցվածքում արտարժութային և ոչ ռեզիդենտների նկատմամբ պարտքի մասնաբաժինները բարձր ռիսկայնության տիրույթում են եղել </w:t>
      </w:r>
      <w:r w:rsidRPr="00D74F21">
        <w:rPr>
          <w:lang w:val="hy-AM"/>
        </w:rPr>
        <w:lastRenderedPageBreak/>
        <w:t>2020թ-ի հունիսի դրությամբ՝ կազմելով համապատասխանաբար 77.9% և 76.0%: Ծրագրվում է մինչև 2023թ</w:t>
      </w:r>
      <w:r w:rsidRPr="00D74F21">
        <w:rPr>
          <w:rFonts w:ascii="Cambria Math" w:hAnsi="Cambria Math"/>
          <w:lang w:val="hy-AM"/>
        </w:rPr>
        <w:t>․</w:t>
      </w:r>
      <w:r w:rsidRPr="00D74F21">
        <w:rPr>
          <w:lang w:val="hy-AM"/>
        </w:rPr>
        <w:t xml:space="preserve">-ը նշված մասնաբաժինները նվազեցնել մինչև 63.6% և 62.4%, ինչը էականորեն կմեղմի պարտքի պորտֆելի խոցելիության ռիսկերը։ Միևնույն ժամանակ, ՀՀ կառավարության պարտքի  համար </w:t>
      </w:r>
      <w:r>
        <w:rPr>
          <w:lang w:val="hy-AM"/>
        </w:rPr>
        <w:t>միջազ</w:t>
      </w:r>
      <w:r w:rsidR="007724F4">
        <w:rPr>
          <w:lang w:val="hy-AM"/>
        </w:rPr>
        <w:t>գ</w:t>
      </w:r>
      <w:r>
        <w:rPr>
          <w:lang w:val="hy-AM"/>
        </w:rPr>
        <w:t xml:space="preserve">ային </w:t>
      </w:r>
      <w:r w:rsidRPr="00D74F21">
        <w:rPr>
          <w:lang w:val="hy-AM"/>
        </w:rPr>
        <w:t>ֆինանսական շուկայի գնահատականը</w:t>
      </w:r>
      <w:r>
        <w:rPr>
          <w:lang w:val="hy-AM"/>
        </w:rPr>
        <w:t xml:space="preserve"> </w:t>
      </w:r>
      <w:r w:rsidRPr="0019347B">
        <w:rPr>
          <w:lang w:val="hy-AM"/>
        </w:rPr>
        <w:t>(</w:t>
      </w:r>
      <w:r>
        <w:rPr>
          <w:lang w:val="hy-AM"/>
        </w:rPr>
        <w:t>ՀՀ երկրի ռիսկի հավելավճար՝ արտարժութային պարտատոմսերի եկամտաբերությունների սփրեդը</w:t>
      </w:r>
      <w:r w:rsidRPr="0019347B">
        <w:rPr>
          <w:lang w:val="hy-AM"/>
        </w:rPr>
        <w:t>)</w:t>
      </w:r>
      <w:r w:rsidRPr="00D74F21">
        <w:rPr>
          <w:lang w:val="hy-AM"/>
        </w:rPr>
        <w:t xml:space="preserve"> 2020թ</w:t>
      </w:r>
      <w:r w:rsidRPr="00D74F21">
        <w:rPr>
          <w:rFonts w:ascii="Cambria Math" w:hAnsi="Cambria Math" w:cs="Cambria Math"/>
          <w:lang w:val="hy-AM"/>
        </w:rPr>
        <w:t>․</w:t>
      </w:r>
      <w:r w:rsidRPr="00D74F21">
        <w:rPr>
          <w:lang w:val="hy-AM"/>
        </w:rPr>
        <w:t xml:space="preserve">-ի հունիսի վերջի դրությամբ միջին ռիսկայնության տիրույթում է պահպանվել՝ չնայած կորոնավիրուսի համավարակի պայմաններում զարգացող երկրների ռիսկայնության գնահատականների վատթարացմանը և այդ թվում՝ ՀՀ արտարժութային պարտատոմսերի եկամտաբերությունների աճին։  </w:t>
      </w:r>
    </w:p>
    <w:p w14:paraId="67838FD3" w14:textId="6BC61091" w:rsidR="00E11F71" w:rsidRPr="0019347B" w:rsidRDefault="00E11F71" w:rsidP="00E11F71">
      <w:pPr>
        <w:spacing w:before="0" w:after="120" w:line="276" w:lineRule="auto"/>
        <w:ind w:firstLine="720"/>
        <w:rPr>
          <w:b/>
          <w:lang w:val="hy-AM"/>
        </w:rPr>
      </w:pPr>
      <w:r w:rsidRPr="00D74F21">
        <w:rPr>
          <w:b/>
          <w:lang w:val="hy-AM"/>
        </w:rPr>
        <w:t>ՀՀ կառավարության պարտքի կանխատեսումները ենթակա են էական անորոշության</w:t>
      </w:r>
      <w:r>
        <w:rPr>
          <w:b/>
          <w:lang w:val="hy-AM"/>
        </w:rPr>
        <w:t>, իսկ կանխատեսումներից շեղ</w:t>
      </w:r>
      <w:r w:rsidR="007724F4">
        <w:rPr>
          <w:b/>
          <w:lang w:val="hy-AM"/>
        </w:rPr>
        <w:t>մ</w:t>
      </w:r>
      <w:r>
        <w:rPr>
          <w:b/>
          <w:lang w:val="hy-AM"/>
        </w:rPr>
        <w:t>ան ռիսկերը դեպի վեր ուղղվածության են,</w:t>
      </w:r>
      <w:r w:rsidRPr="00D74F21">
        <w:rPr>
          <w:b/>
          <w:lang w:val="hy-AM"/>
        </w:rPr>
        <w:t xml:space="preserve"> ինչպես ցույց է տալիս պարտք ձևավորող գործոնների պատմական տատանողականությունների վրա հիմնվող՝ հավանականությունների բաշխման գրաֆիկը։ </w:t>
      </w:r>
      <w:r w:rsidRPr="00A457F4">
        <w:rPr>
          <w:lang w:val="hy-AM"/>
        </w:rPr>
        <w:t xml:space="preserve">Մակրոտնտեսական սցենարի ռիսկերի՝ բացասական </w:t>
      </w:r>
      <w:r w:rsidRPr="000D1EB8">
        <w:rPr>
          <w:lang w:val="hy-AM"/>
        </w:rPr>
        <w:t>ուղղվածությամբ շեղման չափը հաշվի առնելով, ՀՀ կառավարության պարտքի կանխատեսումների ռիսկերը դեպի վերև են՝ 2021թ</w:t>
      </w:r>
      <w:r w:rsidRPr="000D1EB8">
        <w:rPr>
          <w:rFonts w:ascii="Cambria Math" w:hAnsi="Cambria Math" w:cs="Cambria Math"/>
          <w:lang w:val="hy-AM"/>
        </w:rPr>
        <w:t>․</w:t>
      </w:r>
      <w:r w:rsidRPr="000D1EB8">
        <w:rPr>
          <w:lang w:val="hy-AM"/>
        </w:rPr>
        <w:t>-ի համար 10-ից 90% հավանականային միջակայքում ուրվագծելով ՀՆԱ-ում 48%-ից 45%, իսկ 2023թ</w:t>
      </w:r>
      <w:r w:rsidRPr="000D1EB8">
        <w:rPr>
          <w:rFonts w:ascii="Cambria Math" w:hAnsi="Cambria Math" w:cs="Cambria Math"/>
          <w:lang w:val="hy-AM"/>
        </w:rPr>
        <w:t>․</w:t>
      </w:r>
      <w:r w:rsidRPr="000D1EB8">
        <w:rPr>
          <w:lang w:val="hy-AM"/>
        </w:rPr>
        <w:t>-ին՝ 43%-ից 78% միջակայք</w:t>
      </w:r>
      <w:r>
        <w:rPr>
          <w:lang w:val="hy-AM"/>
        </w:rPr>
        <w:t xml:space="preserve">։ </w:t>
      </w:r>
      <w:r w:rsidRPr="0019347B">
        <w:rPr>
          <w:lang w:val="hy-AM"/>
        </w:rPr>
        <w:t xml:space="preserve">  </w:t>
      </w:r>
    </w:p>
    <w:p w14:paraId="3D317A8D" w14:textId="77777777" w:rsidR="00E11F71" w:rsidRPr="00800B4C" w:rsidRDefault="00E11F71" w:rsidP="00E11F71">
      <w:pPr>
        <w:pStyle w:val="Caption"/>
        <w:keepNext/>
        <w:rPr>
          <w:spacing w:val="0"/>
          <w:sz w:val="22"/>
          <w:lang w:val="hy-AM"/>
        </w:rPr>
      </w:pPr>
      <w:r w:rsidRPr="00800B4C">
        <w:rPr>
          <w:caps w:val="0"/>
          <w:spacing w:val="0"/>
          <w:sz w:val="22"/>
          <w:lang w:val="hy-AM"/>
        </w:rPr>
        <w:t>Գծապատկեր</w:t>
      </w:r>
      <w:r w:rsidRPr="00800B4C">
        <w:rPr>
          <w:spacing w:val="0"/>
          <w:sz w:val="22"/>
          <w:lang w:val="hy-AM"/>
        </w:rPr>
        <w:t xml:space="preserve"> </w:t>
      </w:r>
      <w:r w:rsidR="009E6C48">
        <w:rPr>
          <w:spacing w:val="0"/>
          <w:sz w:val="22"/>
          <w:lang w:val="hy-AM"/>
        </w:rPr>
        <w:t>4</w:t>
      </w:r>
      <w:r w:rsidRPr="00800B4C">
        <w:rPr>
          <w:spacing w:val="0"/>
          <w:sz w:val="22"/>
          <w:lang w:val="hy-AM"/>
        </w:rPr>
        <w:t>.</w:t>
      </w:r>
      <w:r w:rsidR="004A65FD" w:rsidRPr="00800B4C">
        <w:rPr>
          <w:spacing w:val="0"/>
          <w:sz w:val="22"/>
        </w:rPr>
        <w:fldChar w:fldCharType="begin"/>
      </w:r>
      <w:r w:rsidRPr="00800B4C">
        <w:rPr>
          <w:spacing w:val="0"/>
          <w:sz w:val="22"/>
          <w:lang w:val="hy-AM"/>
        </w:rPr>
        <w:instrText xml:space="preserve"> SEQ Գծապատկեր \* ARABIC </w:instrText>
      </w:r>
      <w:r w:rsidR="004A65FD" w:rsidRPr="00800B4C">
        <w:rPr>
          <w:spacing w:val="0"/>
          <w:sz w:val="22"/>
        </w:rPr>
        <w:fldChar w:fldCharType="separate"/>
      </w:r>
      <w:r w:rsidRPr="00800B4C">
        <w:rPr>
          <w:noProof/>
          <w:spacing w:val="0"/>
          <w:sz w:val="22"/>
          <w:lang w:val="hy-AM"/>
        </w:rPr>
        <w:t>1</w:t>
      </w:r>
      <w:r w:rsidR="004A65FD" w:rsidRPr="00800B4C">
        <w:rPr>
          <w:spacing w:val="0"/>
          <w:sz w:val="22"/>
        </w:rPr>
        <w:fldChar w:fldCharType="end"/>
      </w:r>
      <w:r w:rsidRPr="00800B4C">
        <w:rPr>
          <w:spacing w:val="0"/>
          <w:sz w:val="22"/>
          <w:lang w:val="hy-AM"/>
        </w:rPr>
        <w:t xml:space="preserve">. </w:t>
      </w:r>
      <w:r w:rsidRPr="003555BF">
        <w:rPr>
          <w:caps w:val="0"/>
          <w:spacing w:val="0"/>
          <w:sz w:val="22"/>
          <w:lang w:val="hy-AM"/>
        </w:rPr>
        <w:t>ՀՀ</w:t>
      </w:r>
      <w:r w:rsidRPr="00800B4C">
        <w:rPr>
          <w:caps w:val="0"/>
          <w:spacing w:val="0"/>
          <w:sz w:val="22"/>
          <w:lang w:val="hy-AM"/>
        </w:rPr>
        <w:t xml:space="preserve"> կառավարության պարտքի և համախառն ֆինանսավորման կարիքի սթրես թեստեր</w:t>
      </w:r>
      <w:r w:rsidRPr="00800B4C">
        <w:rPr>
          <w:spacing w:val="0"/>
          <w:sz w:val="22"/>
          <w:lang w:val="hy-AM"/>
        </w:rPr>
        <w:t>*</w:t>
      </w:r>
    </w:p>
    <w:p w14:paraId="2E375874" w14:textId="77777777" w:rsidR="00E11F71" w:rsidRDefault="00E11F71" w:rsidP="00E11F71">
      <w:pPr>
        <w:spacing w:after="0"/>
        <w:ind w:firstLine="0"/>
        <w:jc w:val="left"/>
        <w:rPr>
          <w:b/>
          <w:sz w:val="24"/>
          <w:szCs w:val="24"/>
          <w:lang w:val="hy-AM"/>
        </w:rPr>
      </w:pPr>
      <w:r>
        <w:rPr>
          <w:b/>
          <w:noProof/>
          <w:sz w:val="24"/>
          <w:szCs w:val="24"/>
        </w:rPr>
        <w:drawing>
          <wp:inline distT="0" distB="0" distL="0" distR="0" wp14:anchorId="30915927" wp14:editId="5315FAB8">
            <wp:extent cx="3168000" cy="2520000"/>
            <wp:effectExtent l="0" t="0" r="13970"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Pr>
          <w:b/>
          <w:noProof/>
          <w:sz w:val="24"/>
          <w:szCs w:val="24"/>
        </w:rPr>
        <w:drawing>
          <wp:inline distT="0" distB="0" distL="0" distR="0" wp14:anchorId="0D403E9C" wp14:editId="74AEB15F">
            <wp:extent cx="3168000" cy="2520000"/>
            <wp:effectExtent l="0" t="0" r="13970"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Pr>
          <w:b/>
          <w:noProof/>
          <w:sz w:val="24"/>
          <w:szCs w:val="24"/>
        </w:rPr>
        <w:drawing>
          <wp:inline distT="0" distB="0" distL="0" distR="0" wp14:anchorId="6CD78D62" wp14:editId="2457DCD1">
            <wp:extent cx="6335395" cy="504749"/>
            <wp:effectExtent l="0" t="0" r="8255"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1C491CD4" w14:textId="77777777" w:rsidR="00E11F71" w:rsidRDefault="00E11F71" w:rsidP="00E11F71">
      <w:pPr>
        <w:spacing w:after="0"/>
        <w:rPr>
          <w:i/>
          <w:sz w:val="20"/>
          <w:szCs w:val="24"/>
          <w:lang w:val="hy-AM"/>
        </w:rPr>
      </w:pPr>
      <w:r w:rsidRPr="002B6274">
        <w:rPr>
          <w:i/>
          <w:sz w:val="20"/>
          <w:szCs w:val="24"/>
          <w:lang w:val="hy-AM"/>
        </w:rPr>
        <w:t>* 2024 և 2025թթ</w:t>
      </w:r>
      <w:r w:rsidRPr="002B6274">
        <w:rPr>
          <w:rFonts w:ascii="Cambria Math" w:hAnsi="Cambria Math" w:cs="Cambria Math"/>
          <w:i/>
          <w:sz w:val="20"/>
          <w:szCs w:val="24"/>
          <w:lang w:val="hy-AM"/>
        </w:rPr>
        <w:t>․</w:t>
      </w:r>
      <w:r w:rsidRPr="002B6274">
        <w:rPr>
          <w:i/>
          <w:sz w:val="20"/>
          <w:szCs w:val="24"/>
          <w:lang w:val="hy-AM"/>
        </w:rPr>
        <w:t xml:space="preserve"> կանխատեսումները ձևավորվել են «MAC DSA» գործիքակազմի օգնությամբ՝</w:t>
      </w:r>
      <w:r w:rsidRPr="0054723D">
        <w:rPr>
          <w:i/>
          <w:sz w:val="20"/>
          <w:szCs w:val="24"/>
          <w:lang w:val="hy-AM"/>
        </w:rPr>
        <w:t xml:space="preserve"> պոտենցիալին մոտ տնտեսական աճի և</w:t>
      </w:r>
      <w:r w:rsidRPr="002B6274">
        <w:rPr>
          <w:i/>
          <w:sz w:val="20"/>
          <w:szCs w:val="24"/>
          <w:lang w:val="hy-AM"/>
        </w:rPr>
        <w:t xml:space="preserve"> 2023թ</w:t>
      </w:r>
      <w:r w:rsidRPr="002B6274">
        <w:rPr>
          <w:rFonts w:ascii="Cambria Math" w:hAnsi="Cambria Math" w:cs="Cambria Math"/>
          <w:i/>
          <w:sz w:val="20"/>
          <w:szCs w:val="24"/>
          <w:lang w:val="hy-AM"/>
        </w:rPr>
        <w:t>․</w:t>
      </w:r>
      <w:r w:rsidRPr="002B6274">
        <w:rPr>
          <w:i/>
          <w:sz w:val="20"/>
          <w:szCs w:val="24"/>
          <w:lang w:val="hy-AM"/>
        </w:rPr>
        <w:t>-ի համեմատ պետական բյուջեի անփոփոխ հարաբերական ցուցանիշների պայմաններում։</w:t>
      </w:r>
    </w:p>
    <w:p w14:paraId="3BE3BDD1" w14:textId="77777777" w:rsidR="00E11F71" w:rsidRPr="00CD7613" w:rsidRDefault="00E11F71" w:rsidP="00E11F71">
      <w:pPr>
        <w:pStyle w:val="Caption"/>
        <w:keepNext/>
        <w:spacing w:before="240" w:after="160"/>
        <w:rPr>
          <w:i/>
          <w:iCs/>
          <w:sz w:val="20"/>
          <w:szCs w:val="20"/>
          <w:lang w:val="hy-AM"/>
        </w:rPr>
      </w:pPr>
      <w:r w:rsidRPr="00CD7613">
        <w:rPr>
          <w:b/>
          <w:iCs/>
          <w:caps w:val="0"/>
          <w:sz w:val="20"/>
          <w:szCs w:val="20"/>
          <w:lang w:val="hy-AM"/>
        </w:rPr>
        <w:lastRenderedPageBreak/>
        <w:t xml:space="preserve">Աղյուսակ </w:t>
      </w:r>
      <w:r w:rsidR="009E6C48" w:rsidRPr="00CD7613">
        <w:rPr>
          <w:b/>
          <w:iCs/>
          <w:caps w:val="0"/>
          <w:sz w:val="20"/>
          <w:szCs w:val="20"/>
          <w:lang w:val="hy-AM"/>
        </w:rPr>
        <w:t>4</w:t>
      </w:r>
      <w:r w:rsidRPr="00CD7613">
        <w:rPr>
          <w:b/>
          <w:iCs/>
          <w:caps w:val="0"/>
          <w:sz w:val="20"/>
          <w:szCs w:val="20"/>
          <w:lang w:val="hy-AM"/>
        </w:rPr>
        <w:t>.</w:t>
      </w:r>
      <w:r w:rsidR="004A65FD" w:rsidRPr="00CD7613">
        <w:rPr>
          <w:b/>
          <w:iCs/>
          <w:sz w:val="20"/>
          <w:szCs w:val="20"/>
        </w:rPr>
        <w:fldChar w:fldCharType="begin"/>
      </w:r>
      <w:r w:rsidRPr="00CD7613">
        <w:rPr>
          <w:b/>
          <w:iCs/>
          <w:sz w:val="20"/>
          <w:szCs w:val="20"/>
          <w:lang w:val="hy-AM"/>
        </w:rPr>
        <w:instrText xml:space="preserve"> SEQ Աղյուսակ \* ARABIC </w:instrText>
      </w:r>
      <w:r w:rsidR="004A65FD" w:rsidRPr="00CD7613">
        <w:rPr>
          <w:b/>
          <w:iCs/>
          <w:sz w:val="20"/>
          <w:szCs w:val="20"/>
        </w:rPr>
        <w:fldChar w:fldCharType="separate"/>
      </w:r>
      <w:r w:rsidRPr="00CD7613">
        <w:rPr>
          <w:b/>
          <w:iCs/>
          <w:caps w:val="0"/>
          <w:noProof/>
          <w:sz w:val="20"/>
          <w:szCs w:val="20"/>
          <w:lang w:val="hy-AM"/>
        </w:rPr>
        <w:t>1</w:t>
      </w:r>
      <w:r w:rsidR="004A65FD" w:rsidRPr="00CD7613">
        <w:rPr>
          <w:b/>
          <w:iCs/>
          <w:sz w:val="20"/>
          <w:szCs w:val="20"/>
        </w:rPr>
        <w:fldChar w:fldCharType="end"/>
      </w:r>
      <w:r w:rsidRPr="00CD7613">
        <w:rPr>
          <w:i/>
          <w:iCs/>
          <w:caps w:val="0"/>
          <w:sz w:val="20"/>
          <w:szCs w:val="20"/>
          <w:lang w:val="hy-AM"/>
        </w:rPr>
        <w:t xml:space="preserve"> ՀՀ կառավարության պարտքի պորտֆելի ռիսկայնության ցուցանիշներ</w:t>
      </w:r>
    </w:p>
    <w:tbl>
      <w:tblPr>
        <w:tblStyle w:val="GridTable1Light-Accent11"/>
        <w:tblW w:w="10289" w:type="dxa"/>
        <w:tblLook w:val="04A0" w:firstRow="1" w:lastRow="0" w:firstColumn="1" w:lastColumn="0" w:noHBand="0" w:noVBand="1"/>
      </w:tblPr>
      <w:tblGrid>
        <w:gridCol w:w="3681"/>
        <w:gridCol w:w="1559"/>
        <w:gridCol w:w="1559"/>
        <w:gridCol w:w="1701"/>
        <w:gridCol w:w="1789"/>
      </w:tblGrid>
      <w:tr w:rsidR="00E11F71" w:rsidRPr="00770BA7" w14:paraId="7B78A648" w14:textId="77777777" w:rsidTr="000A39B3">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681" w:type="dxa"/>
            <w:vMerge w:val="restart"/>
            <w:shd w:val="clear" w:color="auto" w:fill="4F81BD" w:themeFill="accent1"/>
            <w:noWrap/>
            <w:hideMark/>
          </w:tcPr>
          <w:p w14:paraId="2AF5DBBC" w14:textId="77777777" w:rsidR="00E11F71" w:rsidRPr="009E11FF" w:rsidRDefault="00E11F71" w:rsidP="000A39B3">
            <w:pPr>
              <w:spacing w:before="0" w:after="0"/>
              <w:ind w:firstLine="0"/>
              <w:rPr>
                <w:rFonts w:eastAsia="Times New Roman" w:cs="Calibri"/>
                <w:color w:val="FFFFFF" w:themeColor="background1"/>
                <w:lang w:val="hy-AM"/>
              </w:rPr>
            </w:pPr>
            <w:r w:rsidRPr="009E11FF">
              <w:rPr>
                <w:rFonts w:ascii="Calibri" w:eastAsia="Times New Roman" w:hAnsi="Calibri" w:cs="Calibri"/>
                <w:color w:val="FFFFFF" w:themeColor="background1"/>
                <w:lang w:val="hy-AM"/>
              </w:rPr>
              <w:t> </w:t>
            </w:r>
          </w:p>
        </w:tc>
        <w:tc>
          <w:tcPr>
            <w:tcW w:w="4819" w:type="dxa"/>
            <w:gridSpan w:val="3"/>
            <w:shd w:val="clear" w:color="auto" w:fill="4F81BD" w:themeFill="accent1"/>
            <w:noWrap/>
            <w:vAlign w:val="center"/>
            <w:hideMark/>
          </w:tcPr>
          <w:p w14:paraId="34FB88D9" w14:textId="77777777" w:rsidR="00E11F71" w:rsidRPr="009E11FF" w:rsidRDefault="00E11F71" w:rsidP="000A39B3">
            <w:pPr>
              <w:spacing w:before="0" w:after="0"/>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themeColor="background1"/>
              </w:rPr>
            </w:pPr>
            <w:r w:rsidRPr="009E11FF">
              <w:rPr>
                <w:rFonts w:eastAsia="Times New Roman" w:cs="Calibri"/>
                <w:color w:val="FFFFFF" w:themeColor="background1"/>
              </w:rPr>
              <w:t>Շեմեր</w:t>
            </w:r>
          </w:p>
        </w:tc>
        <w:tc>
          <w:tcPr>
            <w:tcW w:w="1789" w:type="dxa"/>
            <w:vMerge w:val="restart"/>
            <w:shd w:val="clear" w:color="auto" w:fill="4F81BD" w:themeFill="accent1"/>
            <w:vAlign w:val="center"/>
            <w:hideMark/>
          </w:tcPr>
          <w:p w14:paraId="30BDC699" w14:textId="77777777" w:rsidR="00E11F71" w:rsidRPr="009E11FF" w:rsidRDefault="00E11F71" w:rsidP="000A39B3">
            <w:pPr>
              <w:spacing w:before="0" w:after="0"/>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themeColor="background1"/>
              </w:rPr>
            </w:pPr>
            <w:r w:rsidRPr="009E11FF">
              <w:rPr>
                <w:rFonts w:eastAsia="Times New Roman" w:cs="Calibri"/>
                <w:color w:val="FFFFFF" w:themeColor="background1"/>
              </w:rPr>
              <w:t>ՀՀ ցուցանիշ</w:t>
            </w:r>
          </w:p>
        </w:tc>
      </w:tr>
      <w:tr w:rsidR="00E11F71" w:rsidRPr="00770BA7" w14:paraId="00C0E099" w14:textId="77777777" w:rsidTr="000A39B3">
        <w:trPr>
          <w:trHeight w:val="420"/>
        </w:trPr>
        <w:tc>
          <w:tcPr>
            <w:cnfStyle w:val="001000000000" w:firstRow="0" w:lastRow="0" w:firstColumn="1" w:lastColumn="0" w:oddVBand="0" w:evenVBand="0" w:oddHBand="0" w:evenHBand="0" w:firstRowFirstColumn="0" w:firstRowLastColumn="0" w:lastRowFirstColumn="0" w:lastRowLastColumn="0"/>
            <w:tcW w:w="3681" w:type="dxa"/>
            <w:vMerge/>
            <w:hideMark/>
          </w:tcPr>
          <w:p w14:paraId="5E901C07" w14:textId="77777777" w:rsidR="00E11F71" w:rsidRPr="00770BA7" w:rsidRDefault="00E11F71" w:rsidP="000A39B3">
            <w:pPr>
              <w:spacing w:before="0" w:after="0"/>
              <w:ind w:firstLine="0"/>
              <w:rPr>
                <w:rFonts w:eastAsia="Times New Roman" w:cs="Calibri"/>
                <w:color w:val="000000"/>
              </w:rPr>
            </w:pPr>
          </w:p>
        </w:tc>
        <w:tc>
          <w:tcPr>
            <w:tcW w:w="1559" w:type="dxa"/>
            <w:shd w:val="clear" w:color="auto" w:fill="4F81BD" w:themeFill="accent1"/>
            <w:noWrap/>
            <w:vAlign w:val="center"/>
            <w:hideMark/>
          </w:tcPr>
          <w:p w14:paraId="59902CC1" w14:textId="77777777" w:rsidR="00E11F71" w:rsidRPr="009E11FF" w:rsidRDefault="00E11F71" w:rsidP="000A39B3">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FFFFFF" w:themeColor="background1"/>
              </w:rPr>
            </w:pPr>
            <w:r w:rsidRPr="009E11FF">
              <w:rPr>
                <w:rFonts w:eastAsia="Times New Roman" w:cs="Calibri"/>
                <w:b/>
                <w:color w:val="FFFFFF" w:themeColor="background1"/>
              </w:rPr>
              <w:t>Ցածր</w:t>
            </w:r>
          </w:p>
        </w:tc>
        <w:tc>
          <w:tcPr>
            <w:tcW w:w="1559" w:type="dxa"/>
            <w:shd w:val="clear" w:color="auto" w:fill="4F81BD" w:themeFill="accent1"/>
            <w:noWrap/>
            <w:vAlign w:val="center"/>
            <w:hideMark/>
          </w:tcPr>
          <w:p w14:paraId="0B11DDC1" w14:textId="77777777" w:rsidR="00E11F71" w:rsidRPr="009E11FF" w:rsidRDefault="00E11F71" w:rsidP="000A39B3">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FFFFFF" w:themeColor="background1"/>
              </w:rPr>
            </w:pPr>
            <w:r w:rsidRPr="009E11FF">
              <w:rPr>
                <w:rFonts w:eastAsia="Times New Roman" w:cs="Calibri"/>
                <w:b/>
                <w:color w:val="FFFFFF" w:themeColor="background1"/>
              </w:rPr>
              <w:t>Միջին</w:t>
            </w:r>
          </w:p>
        </w:tc>
        <w:tc>
          <w:tcPr>
            <w:tcW w:w="1701" w:type="dxa"/>
            <w:shd w:val="clear" w:color="auto" w:fill="4F81BD" w:themeFill="accent1"/>
            <w:noWrap/>
            <w:vAlign w:val="center"/>
            <w:hideMark/>
          </w:tcPr>
          <w:p w14:paraId="4774EF55" w14:textId="77777777" w:rsidR="00E11F71" w:rsidRPr="009E11FF" w:rsidRDefault="00E11F71" w:rsidP="000A39B3">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FFFFFF" w:themeColor="background1"/>
              </w:rPr>
            </w:pPr>
            <w:r w:rsidRPr="009E11FF">
              <w:rPr>
                <w:rFonts w:eastAsia="Times New Roman" w:cs="Calibri"/>
                <w:b/>
                <w:color w:val="FFFFFF" w:themeColor="background1"/>
              </w:rPr>
              <w:t>Բարձր</w:t>
            </w:r>
          </w:p>
        </w:tc>
        <w:tc>
          <w:tcPr>
            <w:tcW w:w="1789" w:type="dxa"/>
            <w:vMerge/>
            <w:hideMark/>
          </w:tcPr>
          <w:p w14:paraId="6C0E6EE3" w14:textId="77777777" w:rsidR="00E11F71" w:rsidRPr="00770BA7" w:rsidRDefault="00E11F71" w:rsidP="000A39B3">
            <w:pPr>
              <w:spacing w:before="0" w:after="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p>
        </w:tc>
      </w:tr>
      <w:tr w:rsidR="00E11F71" w:rsidRPr="00770BA7" w14:paraId="3452CFBD" w14:textId="77777777" w:rsidTr="000A39B3">
        <w:trPr>
          <w:trHeight w:val="624"/>
        </w:trPr>
        <w:tc>
          <w:tcPr>
            <w:cnfStyle w:val="001000000000" w:firstRow="0" w:lastRow="0" w:firstColumn="1" w:lastColumn="0" w:oddVBand="0" w:evenVBand="0" w:oddHBand="0" w:evenHBand="0" w:firstRowFirstColumn="0" w:firstRowLastColumn="0" w:lastRowFirstColumn="0" w:lastRowLastColumn="0"/>
            <w:tcW w:w="3681" w:type="dxa"/>
            <w:vAlign w:val="center"/>
            <w:hideMark/>
          </w:tcPr>
          <w:p w14:paraId="0274F0E1" w14:textId="77777777" w:rsidR="00E11F71" w:rsidRPr="00770BA7" w:rsidRDefault="00E11F71" w:rsidP="000A39B3">
            <w:pPr>
              <w:spacing w:before="0" w:after="0"/>
              <w:ind w:firstLine="0"/>
              <w:jc w:val="left"/>
              <w:rPr>
                <w:rFonts w:eastAsia="Times New Roman" w:cs="Calibri"/>
                <w:color w:val="000000"/>
              </w:rPr>
            </w:pPr>
            <w:r w:rsidRPr="00770BA7">
              <w:rPr>
                <w:rFonts w:eastAsia="Times New Roman" w:cs="Calibri"/>
                <w:color w:val="000000"/>
              </w:rPr>
              <w:t>ՀՀ երկրի ռիսկի հավելավճար, բազիսային կետ</w:t>
            </w:r>
            <w:r>
              <w:rPr>
                <w:rFonts w:eastAsia="Times New Roman" w:cs="Calibri"/>
                <w:color w:val="000000"/>
              </w:rPr>
              <w:t>*</w:t>
            </w:r>
          </w:p>
        </w:tc>
        <w:tc>
          <w:tcPr>
            <w:tcW w:w="1559" w:type="dxa"/>
            <w:noWrap/>
            <w:vAlign w:val="center"/>
            <w:hideMark/>
          </w:tcPr>
          <w:p w14:paraId="5B498A0E"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770BA7">
              <w:rPr>
                <w:rFonts w:eastAsia="Times New Roman" w:cs="Calibri"/>
                <w:color w:val="000000"/>
              </w:rPr>
              <w:t>&lt;200</w:t>
            </w:r>
          </w:p>
        </w:tc>
        <w:tc>
          <w:tcPr>
            <w:tcW w:w="1559" w:type="dxa"/>
            <w:noWrap/>
            <w:vAlign w:val="center"/>
            <w:hideMark/>
          </w:tcPr>
          <w:p w14:paraId="2F4227C5"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770BA7">
              <w:rPr>
                <w:rFonts w:eastAsia="Times New Roman" w:cs="Calibri"/>
                <w:color w:val="000000"/>
              </w:rPr>
              <w:t>200-600</w:t>
            </w:r>
          </w:p>
        </w:tc>
        <w:tc>
          <w:tcPr>
            <w:tcW w:w="1701" w:type="dxa"/>
            <w:noWrap/>
            <w:vAlign w:val="center"/>
            <w:hideMark/>
          </w:tcPr>
          <w:p w14:paraId="17FC7248"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770BA7">
              <w:rPr>
                <w:rFonts w:eastAsia="Times New Roman" w:cs="Calibri"/>
                <w:color w:val="000000"/>
              </w:rPr>
              <w:t>&gt;600</w:t>
            </w:r>
          </w:p>
        </w:tc>
        <w:tc>
          <w:tcPr>
            <w:tcW w:w="1789" w:type="dxa"/>
            <w:noWrap/>
            <w:vAlign w:val="center"/>
            <w:hideMark/>
          </w:tcPr>
          <w:p w14:paraId="4AB8F318"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770BA7">
              <w:rPr>
                <w:rFonts w:eastAsia="Times New Roman" w:cs="Calibri"/>
                <w:color w:val="000000"/>
              </w:rPr>
              <w:t>408.0</w:t>
            </w:r>
          </w:p>
        </w:tc>
      </w:tr>
      <w:tr w:rsidR="00E11F71" w:rsidRPr="00770BA7" w14:paraId="29F764CD" w14:textId="77777777" w:rsidTr="000A39B3">
        <w:trPr>
          <w:trHeight w:val="912"/>
        </w:trPr>
        <w:tc>
          <w:tcPr>
            <w:cnfStyle w:val="001000000000" w:firstRow="0" w:lastRow="0" w:firstColumn="1" w:lastColumn="0" w:oddVBand="0" w:evenVBand="0" w:oddHBand="0" w:evenHBand="0" w:firstRowFirstColumn="0" w:firstRowLastColumn="0" w:lastRowFirstColumn="0" w:lastRowLastColumn="0"/>
            <w:tcW w:w="3681" w:type="dxa"/>
            <w:vAlign w:val="center"/>
            <w:hideMark/>
          </w:tcPr>
          <w:p w14:paraId="67F84E57" w14:textId="77777777" w:rsidR="00E11F71" w:rsidRPr="00770BA7" w:rsidRDefault="00E11F71" w:rsidP="000A39B3">
            <w:pPr>
              <w:spacing w:before="0" w:after="0"/>
              <w:ind w:firstLine="0"/>
              <w:jc w:val="left"/>
              <w:rPr>
                <w:rFonts w:eastAsia="Times New Roman" w:cs="Calibri"/>
                <w:color w:val="000000"/>
              </w:rPr>
            </w:pPr>
            <w:r w:rsidRPr="00770BA7">
              <w:rPr>
                <w:rFonts w:eastAsia="Times New Roman" w:cs="Calibri"/>
                <w:color w:val="000000"/>
              </w:rPr>
              <w:t>Ոչ ռեզիդենտների նկատմամբ պարտքի կշիռ, % ընդհանուր պարտքում</w:t>
            </w:r>
            <w:r>
              <w:rPr>
                <w:rFonts w:eastAsia="Times New Roman" w:cs="Calibri"/>
                <w:color w:val="000000"/>
              </w:rPr>
              <w:t>**</w:t>
            </w:r>
          </w:p>
        </w:tc>
        <w:tc>
          <w:tcPr>
            <w:tcW w:w="1559" w:type="dxa"/>
            <w:noWrap/>
            <w:vAlign w:val="center"/>
            <w:hideMark/>
          </w:tcPr>
          <w:p w14:paraId="3BE240CA"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770BA7">
              <w:rPr>
                <w:rFonts w:eastAsia="Times New Roman" w:cs="Calibri"/>
                <w:color w:val="000000"/>
              </w:rPr>
              <w:t>&lt;15</w:t>
            </w:r>
          </w:p>
        </w:tc>
        <w:tc>
          <w:tcPr>
            <w:tcW w:w="1559" w:type="dxa"/>
            <w:noWrap/>
            <w:vAlign w:val="center"/>
            <w:hideMark/>
          </w:tcPr>
          <w:p w14:paraId="71DC4F69"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770BA7">
              <w:rPr>
                <w:rFonts w:eastAsia="Times New Roman" w:cs="Calibri"/>
                <w:color w:val="000000"/>
              </w:rPr>
              <w:t>15-45</w:t>
            </w:r>
          </w:p>
        </w:tc>
        <w:tc>
          <w:tcPr>
            <w:tcW w:w="1701" w:type="dxa"/>
            <w:noWrap/>
            <w:vAlign w:val="center"/>
            <w:hideMark/>
          </w:tcPr>
          <w:p w14:paraId="2BDF5AAB"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770BA7">
              <w:rPr>
                <w:rFonts w:eastAsia="Times New Roman" w:cs="Calibri"/>
                <w:color w:val="000000"/>
              </w:rPr>
              <w:t>&gt;45</w:t>
            </w:r>
          </w:p>
        </w:tc>
        <w:tc>
          <w:tcPr>
            <w:tcW w:w="1789" w:type="dxa"/>
            <w:noWrap/>
            <w:vAlign w:val="center"/>
            <w:hideMark/>
          </w:tcPr>
          <w:p w14:paraId="32A61EC6"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770BA7">
              <w:rPr>
                <w:rFonts w:eastAsia="Times New Roman" w:cs="Calibri"/>
                <w:color w:val="000000"/>
                <w:szCs w:val="20"/>
              </w:rPr>
              <w:t>76.0</w:t>
            </w:r>
          </w:p>
        </w:tc>
      </w:tr>
      <w:tr w:rsidR="00E11F71" w:rsidRPr="00770BA7" w14:paraId="0F5BD01F" w14:textId="77777777" w:rsidTr="000A39B3">
        <w:trPr>
          <w:trHeight w:val="744"/>
        </w:trPr>
        <w:tc>
          <w:tcPr>
            <w:cnfStyle w:val="001000000000" w:firstRow="0" w:lastRow="0" w:firstColumn="1" w:lastColumn="0" w:oddVBand="0" w:evenVBand="0" w:oddHBand="0" w:evenHBand="0" w:firstRowFirstColumn="0" w:firstRowLastColumn="0" w:lastRowFirstColumn="0" w:lastRowLastColumn="0"/>
            <w:tcW w:w="3681" w:type="dxa"/>
            <w:vAlign w:val="center"/>
            <w:hideMark/>
          </w:tcPr>
          <w:p w14:paraId="12E2E245" w14:textId="77777777" w:rsidR="00E11F71" w:rsidRPr="00770BA7" w:rsidRDefault="00E11F71" w:rsidP="000A39B3">
            <w:pPr>
              <w:spacing w:before="0" w:after="0"/>
              <w:ind w:firstLine="0"/>
              <w:jc w:val="left"/>
              <w:rPr>
                <w:rFonts w:eastAsia="Times New Roman" w:cs="Calibri"/>
                <w:color w:val="000000"/>
              </w:rPr>
            </w:pPr>
            <w:r w:rsidRPr="00770BA7">
              <w:rPr>
                <w:rFonts w:eastAsia="Times New Roman" w:cs="Calibri"/>
                <w:color w:val="000000"/>
              </w:rPr>
              <w:t>Արտարժութային պարտքի կշիռ, % ընդհանուր պարտքում</w:t>
            </w:r>
            <w:r>
              <w:rPr>
                <w:rFonts w:eastAsia="Times New Roman" w:cs="Calibri"/>
                <w:color w:val="000000"/>
              </w:rPr>
              <w:t>**</w:t>
            </w:r>
          </w:p>
        </w:tc>
        <w:tc>
          <w:tcPr>
            <w:tcW w:w="1559" w:type="dxa"/>
            <w:noWrap/>
            <w:vAlign w:val="center"/>
            <w:hideMark/>
          </w:tcPr>
          <w:p w14:paraId="250F23B8"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770BA7">
              <w:rPr>
                <w:rFonts w:eastAsia="Times New Roman" w:cs="Calibri"/>
                <w:color w:val="000000"/>
              </w:rPr>
              <w:t>&lt;20</w:t>
            </w:r>
          </w:p>
        </w:tc>
        <w:tc>
          <w:tcPr>
            <w:tcW w:w="1559" w:type="dxa"/>
            <w:noWrap/>
            <w:vAlign w:val="center"/>
            <w:hideMark/>
          </w:tcPr>
          <w:p w14:paraId="50DA1B97"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770BA7">
              <w:rPr>
                <w:rFonts w:eastAsia="Times New Roman" w:cs="Calibri"/>
                <w:color w:val="000000"/>
              </w:rPr>
              <w:t>20-60</w:t>
            </w:r>
          </w:p>
        </w:tc>
        <w:tc>
          <w:tcPr>
            <w:tcW w:w="1701" w:type="dxa"/>
            <w:noWrap/>
            <w:vAlign w:val="center"/>
            <w:hideMark/>
          </w:tcPr>
          <w:p w14:paraId="5A615036"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770BA7">
              <w:rPr>
                <w:rFonts w:eastAsia="Times New Roman" w:cs="Calibri"/>
                <w:color w:val="000000"/>
              </w:rPr>
              <w:t>&gt;60</w:t>
            </w:r>
          </w:p>
        </w:tc>
        <w:tc>
          <w:tcPr>
            <w:tcW w:w="1789" w:type="dxa"/>
            <w:noWrap/>
            <w:vAlign w:val="center"/>
            <w:hideMark/>
          </w:tcPr>
          <w:p w14:paraId="624F1815" w14:textId="77777777" w:rsidR="00E11F71" w:rsidRPr="00770BA7" w:rsidRDefault="00E11F71" w:rsidP="000A39B3">
            <w:pPr>
              <w:spacing w:before="0" w:after="0"/>
              <w:ind w:firstLine="0"/>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770BA7">
              <w:rPr>
                <w:rFonts w:eastAsia="Times New Roman" w:cs="Calibri"/>
                <w:color w:val="000000"/>
                <w:szCs w:val="20"/>
              </w:rPr>
              <w:t>77.9</w:t>
            </w:r>
          </w:p>
        </w:tc>
      </w:tr>
    </w:tbl>
    <w:p w14:paraId="504BFDB7" w14:textId="77777777" w:rsidR="00E11F71" w:rsidRPr="003708A4" w:rsidRDefault="00E11F71" w:rsidP="00E11F71">
      <w:pPr>
        <w:spacing w:after="0"/>
        <w:rPr>
          <w:sz w:val="20"/>
          <w:szCs w:val="24"/>
          <w:lang w:val="hy-AM"/>
        </w:rPr>
      </w:pPr>
      <w:r w:rsidRPr="003708A4">
        <w:rPr>
          <w:sz w:val="20"/>
          <w:szCs w:val="24"/>
        </w:rPr>
        <w:t>*</w:t>
      </w:r>
      <w:r w:rsidRPr="003708A4">
        <w:rPr>
          <w:sz w:val="20"/>
          <w:szCs w:val="24"/>
          <w:lang w:val="hy-AM"/>
        </w:rPr>
        <w:t xml:space="preserve">Հաշվարկված է </w:t>
      </w:r>
      <w:r>
        <w:rPr>
          <w:sz w:val="20"/>
          <w:szCs w:val="24"/>
          <w:lang w:val="hy-AM"/>
        </w:rPr>
        <w:t xml:space="preserve">որպես </w:t>
      </w:r>
      <w:r w:rsidRPr="003708A4">
        <w:rPr>
          <w:sz w:val="20"/>
          <w:szCs w:val="24"/>
        </w:rPr>
        <w:t>2020</w:t>
      </w:r>
      <w:r w:rsidRPr="003708A4">
        <w:rPr>
          <w:sz w:val="20"/>
          <w:szCs w:val="24"/>
          <w:lang w:val="hy-AM"/>
        </w:rPr>
        <w:t>թ</w:t>
      </w:r>
      <w:r w:rsidRPr="003708A4">
        <w:rPr>
          <w:rFonts w:ascii="Cambria Math" w:hAnsi="Cambria Math" w:cs="Cambria Math"/>
          <w:sz w:val="20"/>
          <w:szCs w:val="24"/>
          <w:lang w:val="hy-AM"/>
        </w:rPr>
        <w:t>․</w:t>
      </w:r>
      <w:r w:rsidRPr="003708A4">
        <w:rPr>
          <w:sz w:val="20"/>
          <w:szCs w:val="24"/>
          <w:lang w:val="hy-AM"/>
        </w:rPr>
        <w:t xml:space="preserve"> ապրիլ-հունիս ամիսների</w:t>
      </w:r>
      <w:r>
        <w:rPr>
          <w:sz w:val="20"/>
          <w:szCs w:val="24"/>
          <w:lang w:val="hy-AM"/>
        </w:rPr>
        <w:t>ն</w:t>
      </w:r>
      <w:r w:rsidRPr="003708A4">
        <w:rPr>
          <w:sz w:val="20"/>
          <w:szCs w:val="24"/>
          <w:lang w:val="hy-AM"/>
        </w:rPr>
        <w:t xml:space="preserve"> երկրորդային շուկայ</w:t>
      </w:r>
      <w:r>
        <w:rPr>
          <w:sz w:val="20"/>
          <w:szCs w:val="24"/>
          <w:lang w:val="hy-AM"/>
        </w:rPr>
        <w:t>ում</w:t>
      </w:r>
      <w:r w:rsidRPr="003708A4">
        <w:rPr>
          <w:sz w:val="20"/>
          <w:szCs w:val="24"/>
          <w:lang w:val="hy-AM"/>
        </w:rPr>
        <w:t xml:space="preserve"> </w:t>
      </w:r>
      <w:r w:rsidRPr="003708A4">
        <w:rPr>
          <w:sz w:val="20"/>
          <w:szCs w:val="24"/>
        </w:rPr>
        <w:t>2029</w:t>
      </w:r>
      <w:r w:rsidRPr="003708A4">
        <w:rPr>
          <w:sz w:val="20"/>
          <w:szCs w:val="24"/>
          <w:lang w:val="hy-AM"/>
        </w:rPr>
        <w:t xml:space="preserve"> և </w:t>
      </w:r>
      <w:r w:rsidRPr="003708A4">
        <w:rPr>
          <w:sz w:val="20"/>
          <w:szCs w:val="24"/>
        </w:rPr>
        <w:t>2025</w:t>
      </w:r>
      <w:r w:rsidRPr="003708A4">
        <w:rPr>
          <w:sz w:val="20"/>
          <w:szCs w:val="24"/>
          <w:lang w:val="hy-AM"/>
        </w:rPr>
        <w:t>թթ</w:t>
      </w:r>
      <w:r w:rsidRPr="003708A4">
        <w:rPr>
          <w:rFonts w:ascii="Cambria Math" w:hAnsi="Cambria Math" w:cs="Cambria Math"/>
          <w:sz w:val="20"/>
          <w:szCs w:val="24"/>
          <w:lang w:val="hy-AM"/>
        </w:rPr>
        <w:t>․</w:t>
      </w:r>
      <w:r w:rsidRPr="003708A4">
        <w:rPr>
          <w:sz w:val="20"/>
          <w:szCs w:val="24"/>
          <w:lang w:val="hy-AM"/>
        </w:rPr>
        <w:t xml:space="preserve"> մարվող ՀՀ եվրոբոնդերի </w:t>
      </w:r>
      <w:r>
        <w:rPr>
          <w:sz w:val="20"/>
          <w:szCs w:val="24"/>
          <w:lang w:val="hy-AM"/>
        </w:rPr>
        <w:t>եկամտաբերություններ</w:t>
      </w:r>
      <w:r w:rsidRPr="003708A4">
        <w:rPr>
          <w:sz w:val="20"/>
          <w:szCs w:val="24"/>
          <w:lang w:val="hy-AM"/>
        </w:rPr>
        <w:t>՝ ԱՄՆ գանձապետական պարտատոմսերի հետ միջին սփրեդ</w:t>
      </w:r>
      <w:r>
        <w:rPr>
          <w:sz w:val="20"/>
          <w:szCs w:val="24"/>
          <w:lang w:val="hy-AM"/>
        </w:rPr>
        <w:t>։</w:t>
      </w:r>
    </w:p>
    <w:p w14:paraId="0E514820" w14:textId="77777777" w:rsidR="00E11F71" w:rsidRDefault="00E11F71" w:rsidP="00E11F71">
      <w:pPr>
        <w:spacing w:after="0"/>
        <w:rPr>
          <w:sz w:val="20"/>
          <w:szCs w:val="24"/>
          <w:lang w:val="hy-AM"/>
        </w:rPr>
      </w:pPr>
      <w:r w:rsidRPr="00D74F21">
        <w:rPr>
          <w:sz w:val="20"/>
          <w:szCs w:val="24"/>
          <w:lang w:val="hy-AM"/>
        </w:rPr>
        <w:t>**2020</w:t>
      </w:r>
      <w:r w:rsidRPr="003708A4">
        <w:rPr>
          <w:sz w:val="20"/>
          <w:szCs w:val="24"/>
          <w:lang w:val="hy-AM"/>
        </w:rPr>
        <w:t>թ</w:t>
      </w:r>
      <w:r w:rsidRPr="003708A4">
        <w:rPr>
          <w:rFonts w:ascii="Cambria Math" w:hAnsi="Cambria Math" w:cs="Cambria Math"/>
          <w:sz w:val="20"/>
          <w:szCs w:val="24"/>
          <w:lang w:val="hy-AM"/>
        </w:rPr>
        <w:t>․</w:t>
      </w:r>
      <w:r w:rsidRPr="003708A4">
        <w:rPr>
          <w:sz w:val="20"/>
          <w:szCs w:val="24"/>
          <w:lang w:val="hy-AM"/>
        </w:rPr>
        <w:t xml:space="preserve"> հունիսի դրությամբ</w:t>
      </w:r>
      <w:r>
        <w:rPr>
          <w:sz w:val="20"/>
          <w:szCs w:val="24"/>
          <w:lang w:val="hy-AM"/>
        </w:rPr>
        <w:t>։</w:t>
      </w:r>
    </w:p>
    <w:p w14:paraId="5F48A3A7" w14:textId="77777777" w:rsidR="00E11F71" w:rsidRPr="00CD7613" w:rsidRDefault="00E11F71" w:rsidP="00E11F71">
      <w:pPr>
        <w:pStyle w:val="Caption"/>
        <w:keepNext/>
        <w:spacing w:before="120"/>
        <w:rPr>
          <w:i/>
          <w:iCs/>
          <w:sz w:val="20"/>
          <w:szCs w:val="20"/>
          <w:lang w:val="hy-AM"/>
        </w:rPr>
      </w:pPr>
      <w:r w:rsidRPr="00CD7613">
        <w:rPr>
          <w:b/>
          <w:iCs/>
          <w:caps w:val="0"/>
          <w:sz w:val="20"/>
          <w:szCs w:val="20"/>
          <w:lang w:val="hy-AM"/>
        </w:rPr>
        <w:t xml:space="preserve">Գծապատկեր </w:t>
      </w:r>
      <w:r w:rsidR="009E6C48" w:rsidRPr="00CD7613">
        <w:rPr>
          <w:b/>
          <w:iCs/>
          <w:caps w:val="0"/>
          <w:sz w:val="20"/>
          <w:szCs w:val="20"/>
          <w:lang w:val="hy-AM"/>
        </w:rPr>
        <w:t>4</w:t>
      </w:r>
      <w:r w:rsidRPr="00CD7613">
        <w:rPr>
          <w:b/>
          <w:iCs/>
          <w:caps w:val="0"/>
          <w:sz w:val="20"/>
          <w:szCs w:val="20"/>
          <w:lang w:val="hy-AM"/>
        </w:rPr>
        <w:t>.</w:t>
      </w:r>
      <w:r w:rsidR="004A65FD" w:rsidRPr="00CD7613">
        <w:rPr>
          <w:b/>
          <w:iCs/>
          <w:sz w:val="20"/>
          <w:szCs w:val="20"/>
        </w:rPr>
        <w:fldChar w:fldCharType="begin"/>
      </w:r>
      <w:r w:rsidRPr="00CD7613">
        <w:rPr>
          <w:b/>
          <w:iCs/>
          <w:sz w:val="20"/>
          <w:szCs w:val="20"/>
          <w:lang w:val="hy-AM"/>
        </w:rPr>
        <w:instrText xml:space="preserve"> SEQ Գծապատկեր \* ARABIC </w:instrText>
      </w:r>
      <w:r w:rsidR="004A65FD" w:rsidRPr="00CD7613">
        <w:rPr>
          <w:b/>
          <w:iCs/>
          <w:sz w:val="20"/>
          <w:szCs w:val="20"/>
        </w:rPr>
        <w:fldChar w:fldCharType="separate"/>
      </w:r>
      <w:r w:rsidRPr="00CD7613">
        <w:rPr>
          <w:b/>
          <w:iCs/>
          <w:caps w:val="0"/>
          <w:noProof/>
          <w:sz w:val="20"/>
          <w:szCs w:val="20"/>
          <w:lang w:val="hy-AM"/>
        </w:rPr>
        <w:t>2</w:t>
      </w:r>
      <w:r w:rsidR="004A65FD" w:rsidRPr="00CD7613">
        <w:rPr>
          <w:b/>
          <w:iCs/>
          <w:sz w:val="20"/>
          <w:szCs w:val="20"/>
        </w:rPr>
        <w:fldChar w:fldCharType="end"/>
      </w:r>
      <w:r w:rsidRPr="00CD7613">
        <w:rPr>
          <w:i/>
          <w:iCs/>
          <w:caps w:val="0"/>
          <w:sz w:val="20"/>
          <w:szCs w:val="20"/>
          <w:lang w:val="hy-AM"/>
        </w:rPr>
        <w:t xml:space="preserve"> ՀՀ կառավարության պարտքի կանխատեսումների հավանականությունների բաշխման գրաֆիկը </w:t>
      </w:r>
    </w:p>
    <w:p w14:paraId="00BB2812" w14:textId="77777777" w:rsidR="00E11F71" w:rsidRDefault="00E11F71" w:rsidP="00E11F71">
      <w:pPr>
        <w:ind w:firstLine="0"/>
        <w:jc w:val="center"/>
        <w:rPr>
          <w:lang w:val="hy-AM"/>
        </w:rPr>
      </w:pPr>
      <w:r>
        <w:rPr>
          <w:noProof/>
        </w:rPr>
        <w:drawing>
          <wp:inline distT="0" distB="0" distL="0" distR="0" wp14:anchorId="59BF0D46" wp14:editId="116D1DFC">
            <wp:extent cx="6576060" cy="2801722"/>
            <wp:effectExtent l="0" t="0" r="15240" b="17780"/>
            <wp:docPr id="35" name="Chart 35">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26FCEB52" w14:textId="77777777" w:rsidR="00E11F71" w:rsidRDefault="00E11F71">
      <w:pPr>
        <w:spacing w:before="0" w:after="200" w:line="276" w:lineRule="auto"/>
        <w:ind w:firstLine="0"/>
        <w:jc w:val="left"/>
        <w:rPr>
          <w:b/>
          <w:bCs/>
          <w:spacing w:val="24"/>
          <w:kern w:val="28"/>
          <w:lang w:val="it-IT"/>
        </w:rPr>
      </w:pPr>
      <w:r>
        <w:br w:type="page"/>
      </w:r>
    </w:p>
    <w:p w14:paraId="4FDC65C8" w14:textId="77777777" w:rsidR="00562068" w:rsidRPr="00C76568" w:rsidRDefault="00E11F71" w:rsidP="009E6C48">
      <w:pPr>
        <w:pStyle w:val="Heading3"/>
        <w:numPr>
          <w:ilvl w:val="0"/>
          <w:numId w:val="0"/>
        </w:numPr>
        <w:spacing w:before="0" w:after="120"/>
        <w:rPr>
          <w:rFonts w:eastAsia="Times New Roman" w:cs="Times New Roman"/>
          <w:caps w:val="0"/>
          <w:color w:val="1F497D" w:themeColor="text2"/>
          <w:sz w:val="28"/>
          <w:szCs w:val="28"/>
        </w:rPr>
      </w:pPr>
      <w:bookmarkStart w:id="385" w:name="_Toc46154387"/>
      <w:r w:rsidRPr="00C76568">
        <w:rPr>
          <w:rFonts w:eastAsia="Times New Roman" w:cs="Times New Roman"/>
          <w:caps w:val="0"/>
          <w:color w:val="1F497D" w:themeColor="text2"/>
          <w:sz w:val="28"/>
          <w:szCs w:val="28"/>
        </w:rPr>
        <w:lastRenderedPageBreak/>
        <w:t>5</w:t>
      </w:r>
      <w:r w:rsidR="003C6AB2" w:rsidRPr="00C76568">
        <w:rPr>
          <w:rFonts w:eastAsia="Times New Roman" w:cs="Times New Roman"/>
          <w:caps w:val="0"/>
          <w:color w:val="1F497D" w:themeColor="text2"/>
          <w:sz w:val="28"/>
          <w:szCs w:val="28"/>
        </w:rPr>
        <w:t xml:space="preserve">. </w:t>
      </w:r>
      <w:r w:rsidR="00562068" w:rsidRPr="00C76568">
        <w:rPr>
          <w:rFonts w:eastAsia="Times New Roman" w:cs="Times New Roman"/>
          <w:caps w:val="0"/>
          <w:color w:val="1F497D" w:themeColor="text2"/>
          <w:sz w:val="28"/>
          <w:szCs w:val="28"/>
        </w:rPr>
        <w:t>ԵՆԹԱԿԱՌՈՒՑՎԱԾՔԱՅԻՆ ՈԼՈՐՏՆԵՐՈՒՄ ՀԱՐԿԱԲՅՈՒՋԵՏԱՅԻՆ ՌԻՍԿԵՐԻ ԳՆԱՀԱՏԱԿԱՆԸ</w:t>
      </w:r>
      <w:bookmarkEnd w:id="372"/>
      <w:bookmarkEnd w:id="373"/>
      <w:bookmarkEnd w:id="374"/>
      <w:bookmarkEnd w:id="375"/>
      <w:bookmarkEnd w:id="385"/>
    </w:p>
    <w:p w14:paraId="55398973" w14:textId="77777777" w:rsidR="00562068" w:rsidRPr="003C6AB2" w:rsidRDefault="00562068" w:rsidP="00562068">
      <w:pPr>
        <w:spacing w:line="360" w:lineRule="auto"/>
        <w:rPr>
          <w:b/>
          <w:lang w:val="hy-AM"/>
        </w:rPr>
      </w:pPr>
    </w:p>
    <w:p w14:paraId="1B5AF691" w14:textId="77777777" w:rsidR="004442B5" w:rsidRPr="003C6AB2" w:rsidRDefault="004442B5" w:rsidP="00E2692E">
      <w:pPr>
        <w:spacing w:line="276" w:lineRule="auto"/>
        <w:rPr>
          <w:b/>
          <w:lang w:val="hy-AM"/>
        </w:rPr>
      </w:pPr>
      <w:bookmarkStart w:id="386" w:name="_Toc45838554"/>
      <w:r w:rsidRPr="003C6AB2">
        <w:rPr>
          <w:b/>
          <w:lang w:val="hy-AM"/>
        </w:rPr>
        <w:t>Ներածություն</w:t>
      </w:r>
    </w:p>
    <w:p w14:paraId="0AE9031B" w14:textId="77777777" w:rsidR="00FA2D14" w:rsidRPr="00FA2D14" w:rsidRDefault="00FA2D14" w:rsidP="00FA2D14">
      <w:pPr>
        <w:spacing w:line="276" w:lineRule="auto"/>
        <w:ind w:firstLine="720"/>
        <w:rPr>
          <w:lang w:val="hy-AM"/>
        </w:rPr>
      </w:pPr>
      <w:r w:rsidRPr="00FA2D14">
        <w:rPr>
          <w:lang w:val="hy-AM"/>
        </w:rPr>
        <w:t>Հարկաբյուջետային ռիսկերի գնահատման բարելավման նպատակով Ասիական Զարգացման Բանկի հետ համատեղ մշակվել է ֆիսկալ ռիսկերի կառավարման բարելավման 2019-2023 թվականների ճանապարհային քարտեզը, որով նախանշված նպատակների իրականացման համար կատարվել է նաև ենթակառուցված</w:t>
      </w:r>
      <w:r w:rsidRPr="00FA2D14">
        <w:rPr>
          <w:lang w:val="hy-AM"/>
        </w:rPr>
        <w:softHyphen/>
        <w:t>քային ոլորտներում, մասնավորապես, էներգետիկայի, տրանսպորտի և ջրային տնտեսու</w:t>
      </w:r>
      <w:r w:rsidRPr="00FA2D14">
        <w:rPr>
          <w:lang w:val="hy-AM"/>
        </w:rPr>
        <w:softHyphen/>
        <w:t>թյան ոլորտների թվով քսան կազմակերպությունների (Ընկերություններ) գործունեությանն առնչվող հար</w:t>
      </w:r>
      <w:r w:rsidRPr="00FA2D14">
        <w:rPr>
          <w:lang w:val="hy-AM"/>
        </w:rPr>
        <w:softHyphen/>
        <w:t>կա</w:t>
      </w:r>
      <w:r w:rsidRPr="00FA2D14">
        <w:rPr>
          <w:lang w:val="hy-AM"/>
        </w:rPr>
        <w:softHyphen/>
        <w:t>բյու</w:t>
      </w:r>
      <w:r w:rsidRPr="00FA2D14">
        <w:rPr>
          <w:lang w:val="hy-AM"/>
        </w:rPr>
        <w:softHyphen/>
        <w:t xml:space="preserve">ջետային ռիսկերի գնահատում: Այս համատեքստում, զուգահեռաբար, իր գործուն աջակցությունն է ցուցաբերել նաև Արժույթի միջազգային հիմնադրամը: </w:t>
      </w:r>
    </w:p>
    <w:p w14:paraId="420B2225" w14:textId="77777777" w:rsidR="004442B5" w:rsidRPr="00E23BBD" w:rsidRDefault="004442B5" w:rsidP="00E2692E">
      <w:pPr>
        <w:spacing w:line="276" w:lineRule="auto"/>
        <w:rPr>
          <w:rFonts w:eastAsia="Times New Roman" w:cs="Times New Roman"/>
          <w:b/>
          <w:lang w:val="hy-AM"/>
        </w:rPr>
      </w:pPr>
      <w:r w:rsidRPr="00E23BBD">
        <w:rPr>
          <w:b/>
          <w:lang w:val="hy-AM"/>
        </w:rPr>
        <w:t>Հարկաբյուջետային ռիսկերի գնահատման նպատակը</w:t>
      </w:r>
    </w:p>
    <w:p w14:paraId="4029CC51" w14:textId="77777777" w:rsidR="004442B5" w:rsidRPr="00E23BBD" w:rsidRDefault="004442B5" w:rsidP="00E2692E">
      <w:pPr>
        <w:spacing w:line="276" w:lineRule="auto"/>
        <w:ind w:firstLine="720"/>
        <w:rPr>
          <w:rFonts w:eastAsia="Times New Roman" w:cs="Times New Roman"/>
          <w:lang w:val="hy-AM"/>
        </w:rPr>
      </w:pPr>
      <w:r w:rsidRPr="00E23BBD">
        <w:rPr>
          <w:lang w:val="hy-AM"/>
        </w:rPr>
        <w:t>Հարկաբյուջետային ռիսկերի այս գնահատման նպատակն է ֆինանսական վիճակի վերլու</w:t>
      </w:r>
      <w:r w:rsidRPr="00E23BBD">
        <w:rPr>
          <w:lang w:val="hy-AM"/>
        </w:rPr>
        <w:softHyphen/>
      </w:r>
      <w:r w:rsidRPr="00E23BBD">
        <w:rPr>
          <w:lang w:val="hy-AM"/>
        </w:rPr>
        <w:softHyphen/>
        <w:t>ծության միջոցով գնահատել Ընկերությունների ֆինանսական վիճակի վատթարացման հա</w:t>
      </w:r>
      <w:r w:rsidRPr="00E23BBD">
        <w:rPr>
          <w:lang w:val="hy-AM"/>
        </w:rPr>
        <w:softHyphen/>
        <w:t>վանականությունը, որը կարող է հանգեցնել պետական բյուջեից Ընկերություններին չնախա</w:t>
      </w:r>
      <w:r w:rsidRPr="00E23BBD">
        <w:rPr>
          <w:lang w:val="hy-AM"/>
        </w:rPr>
        <w:softHyphen/>
        <w:t>տես</w:t>
      </w:r>
      <w:r w:rsidRPr="00E23BBD">
        <w:rPr>
          <w:lang w:val="hy-AM"/>
        </w:rPr>
        <w:softHyphen/>
        <w:t>ված փոխառությունների, սուբսիդիաների տրամադրման, սեփական կապիտալի համալրման  կամ այլ վճարումներ կատարելու անհրաժեշտության, ինչպես նաև Ընկերություն</w:t>
      </w:r>
      <w:r w:rsidRPr="00E23BBD">
        <w:rPr>
          <w:lang w:val="hy-AM"/>
        </w:rPr>
        <w:softHyphen/>
        <w:t>ների կողմից պե</w:t>
      </w:r>
      <w:r w:rsidRPr="00E23BBD">
        <w:rPr>
          <w:lang w:val="hy-AM"/>
        </w:rPr>
        <w:softHyphen/>
        <w:t>տա</w:t>
      </w:r>
      <w:r w:rsidRPr="00E23BBD">
        <w:rPr>
          <w:lang w:val="hy-AM"/>
        </w:rPr>
        <w:softHyphen/>
        <w:t>կան բյուջե կանխատեսված շահութաբաժինների, ստացված վարկային միջոցների օգտա</w:t>
      </w:r>
      <w:r w:rsidRPr="00E23BBD">
        <w:rPr>
          <w:lang w:val="hy-AM"/>
        </w:rPr>
        <w:softHyphen/>
        <w:t>գործ</w:t>
      </w:r>
      <w:r w:rsidRPr="00E23BBD">
        <w:rPr>
          <w:lang w:val="hy-AM"/>
        </w:rPr>
        <w:softHyphen/>
        <w:t xml:space="preserve">ման դիմաց հաշվարկված տոկոսների չվճարման և մայր գումարների չմարման։ </w:t>
      </w:r>
    </w:p>
    <w:p w14:paraId="1E902854" w14:textId="77777777" w:rsidR="004442B5" w:rsidRPr="00E23BBD" w:rsidRDefault="004442B5" w:rsidP="00E2692E">
      <w:pPr>
        <w:spacing w:line="276" w:lineRule="auto"/>
        <w:rPr>
          <w:rFonts w:eastAsia="Times New Roman" w:cs="Times New Roman"/>
          <w:b/>
          <w:lang w:val="hy-AM"/>
        </w:rPr>
      </w:pPr>
      <w:r w:rsidRPr="00E23BBD">
        <w:rPr>
          <w:b/>
          <w:lang w:val="hy-AM"/>
        </w:rPr>
        <w:t>Հարկաբյուջետային ռիսկերի գնահատման մեթոդաբանություն</w:t>
      </w:r>
    </w:p>
    <w:p w14:paraId="1B67DD62" w14:textId="77777777" w:rsidR="004442B5" w:rsidRPr="00774D7D" w:rsidRDefault="004442B5" w:rsidP="00E2692E">
      <w:pPr>
        <w:spacing w:line="276" w:lineRule="auto"/>
        <w:ind w:firstLine="720"/>
        <w:rPr>
          <w:lang w:val="hy-AM"/>
        </w:rPr>
      </w:pPr>
      <w:r w:rsidRPr="00E23BBD">
        <w:rPr>
          <w:lang w:val="hy-AM"/>
        </w:rPr>
        <w:t>Ընկերությունների կողմից ներկայացված ֆինանսական հաշվետվությունների հիման վրա հարկաբյուջետային ռիսկերի գնահատման համար կիրառվել է Արժույթի միջազգային հիմնադրամի (ԱՄՀ) կողմից հրապարակված՝ «Կորպորատիվ հատվածից առաջացող ֆիսկալ ռիսկերի կառավարման ուղեցույց»-ում (այսուհետ՝ ԱՄՀ ուղեցույց), ինչպես նաև Ասիական զարգացման բանկի խորհրդատուի հետ մշակված և ՀՀ ֆինանսների նախարարի 14.09.2018թ. N439-Ա հրամանով հաստատված Ֆիսկալ ռիսկերի գնահատման ձեռնարկ-ում  ներկայացված մեթոդաբա</w:t>
      </w:r>
      <w:r w:rsidRPr="00E23BBD">
        <w:rPr>
          <w:lang w:val="hy-AM"/>
        </w:rPr>
        <w:softHyphen/>
        <w:t>նությունը, որի համաձայն Ընկերությունների ֆինանսական վիճակի վատթարացման հավանականությունը կանխատեսելու համար հաշվարկվել է միջազգայնորեն այդ նպատակով ընդունված Է. Ալթմանի «Z-միավոր» կոչվող հսկիչ ցուցանիշը: Զուգահեռաբար Ընկերություն</w:t>
      </w:r>
      <w:r w:rsidRPr="00E23BBD">
        <w:rPr>
          <w:lang w:val="hy-AM"/>
        </w:rPr>
        <w:softHyphen/>
        <w:t>ների ֆինանսական հուսա</w:t>
      </w:r>
      <w:r w:rsidRPr="00E23BBD">
        <w:rPr>
          <w:lang w:val="hy-AM"/>
        </w:rPr>
        <w:softHyphen/>
        <w:t>լիության մասին լրացուցիչ տեղեկատվության ստացման, ինչպես նաև «Z-միավոր»-ի ստուգա</w:t>
      </w:r>
      <w:r w:rsidRPr="00E23BBD">
        <w:rPr>
          <w:lang w:val="hy-AM"/>
        </w:rPr>
        <w:softHyphen/>
        <w:t>ճշտման համար կիրառվել են լրացուցիչ ֆինանսական գործակիցներ (շահութաբերության, իրացվելիության, վճարունակության հաշվարկման համար), որոնք արտացոլում են կապը Ընկերությունների ֆինանսական հաշվետ</w:t>
      </w:r>
      <w:r w:rsidRPr="00E23BBD">
        <w:rPr>
          <w:lang w:val="hy-AM"/>
        </w:rPr>
        <w:softHyphen/>
        <w:t>վու</w:t>
      </w:r>
      <w:r w:rsidRPr="00E23BBD">
        <w:rPr>
          <w:lang w:val="hy-AM"/>
        </w:rPr>
        <w:softHyphen/>
      </w:r>
      <w:r w:rsidRPr="00E23BBD">
        <w:rPr>
          <w:lang w:val="hy-AM"/>
        </w:rPr>
        <w:softHyphen/>
        <w:t>թյուն</w:t>
      </w:r>
      <w:r w:rsidRPr="00E23BBD">
        <w:rPr>
          <w:lang w:val="hy-AM"/>
        </w:rPr>
        <w:softHyphen/>
        <w:t>ների տարբեր հոդ</w:t>
      </w:r>
      <w:r w:rsidRPr="00E23BBD">
        <w:rPr>
          <w:lang w:val="hy-AM"/>
        </w:rPr>
        <w:softHyphen/>
        <w:t xml:space="preserve">վածների միջև: </w:t>
      </w:r>
    </w:p>
    <w:p w14:paraId="7AA4BB49" w14:textId="77777777" w:rsidR="004442B5" w:rsidRPr="00E23BBD" w:rsidRDefault="004442B5" w:rsidP="00E2692E">
      <w:pPr>
        <w:spacing w:line="276" w:lineRule="auto"/>
        <w:ind w:firstLine="720"/>
        <w:rPr>
          <w:rFonts w:eastAsia="Times New Roman" w:cs="Times New Roman"/>
          <w:b/>
          <w:lang w:val="hy-AM"/>
        </w:rPr>
      </w:pPr>
      <w:r w:rsidRPr="00E23BBD">
        <w:rPr>
          <w:b/>
          <w:lang w:val="hy-AM"/>
        </w:rPr>
        <w:lastRenderedPageBreak/>
        <w:t>Էներգետիկայի ոլորտի պետական մասնակցությամբ ընկերություններ</w:t>
      </w:r>
    </w:p>
    <w:p w14:paraId="1CB1D2B0" w14:textId="77777777" w:rsidR="004442B5" w:rsidRPr="00E23BBD" w:rsidRDefault="004442B5" w:rsidP="00E2692E">
      <w:pPr>
        <w:spacing w:after="0" w:line="276" w:lineRule="auto"/>
        <w:rPr>
          <w:lang w:val="hy-AM"/>
        </w:rPr>
      </w:pPr>
      <w:r w:rsidRPr="00E23BBD">
        <w:rPr>
          <w:lang w:val="hy-AM"/>
        </w:rPr>
        <w:t xml:space="preserve"> </w:t>
      </w:r>
      <w:r w:rsidRPr="00E23BBD">
        <w:rPr>
          <w:lang w:val="hy-AM"/>
        </w:rPr>
        <w:tab/>
        <w:t xml:space="preserve"> Էներգետիկայի ոլորտի դիտանցման ենթարկված </w:t>
      </w:r>
      <w:r w:rsidRPr="00A35CD3">
        <w:rPr>
          <w:lang w:val="hy-AM"/>
        </w:rPr>
        <w:t>թվով ութ</w:t>
      </w:r>
      <w:r w:rsidRPr="00E23BBD">
        <w:rPr>
          <w:lang w:val="hy-AM"/>
        </w:rPr>
        <w:t xml:space="preserve"> պետական մասնակցությամբ ընկերություն</w:t>
      </w:r>
      <w:r w:rsidRPr="00E23BBD">
        <w:rPr>
          <w:lang w:val="hy-AM"/>
        </w:rPr>
        <w:softHyphen/>
        <w:t>ների (Ընկերություններ) գործունեության արդյունքում հարկա</w:t>
      </w:r>
      <w:r w:rsidRPr="00E23BBD">
        <w:rPr>
          <w:lang w:val="hy-AM"/>
        </w:rPr>
        <w:softHyphen/>
        <w:t>բյուջե</w:t>
      </w:r>
      <w:r w:rsidRPr="00E23BBD">
        <w:rPr>
          <w:lang w:val="hy-AM"/>
        </w:rPr>
        <w:softHyphen/>
      </w:r>
      <w:r w:rsidRPr="00E23BBD">
        <w:rPr>
          <w:lang w:val="hy-AM"/>
        </w:rPr>
        <w:softHyphen/>
        <w:t>տային ռիսկերն են.</w:t>
      </w:r>
    </w:p>
    <w:p w14:paraId="6CEC6474" w14:textId="77777777" w:rsidR="004442B5" w:rsidRPr="00E23BBD" w:rsidRDefault="004442B5" w:rsidP="00E2692E">
      <w:pPr>
        <w:spacing w:after="0" w:line="276" w:lineRule="auto"/>
        <w:ind w:firstLine="720"/>
        <w:rPr>
          <w:rFonts w:eastAsia="Times New Roman" w:cs="Times New Roman"/>
          <w:lang w:val="hy-AM"/>
        </w:rPr>
      </w:pPr>
      <w:r w:rsidRPr="00E23BBD">
        <w:rPr>
          <w:lang w:val="hy-AM"/>
        </w:rPr>
        <w:t>● Ընկերությունների ֆինանսական վիճակի վատթարացման դեպքում որպես ժամանակավոր օգնություն չնախատեսված բյուջետային վարկերի տրամադրման կամ սեփական կապիտալի համալրման համար բյուջետային հատկացումների անհրաժեշտության առաջացում,</w:t>
      </w:r>
    </w:p>
    <w:p w14:paraId="43D6B106" w14:textId="77777777" w:rsidR="004442B5" w:rsidRPr="00E23BBD" w:rsidRDefault="004442B5" w:rsidP="00E2692E">
      <w:pPr>
        <w:spacing w:after="0" w:line="276" w:lineRule="auto"/>
        <w:ind w:firstLine="720"/>
        <w:rPr>
          <w:rFonts w:eastAsia="Times New Roman" w:cs="Times New Roman"/>
          <w:lang w:val="hy-AM"/>
        </w:rPr>
      </w:pPr>
      <w:r w:rsidRPr="00E23BBD">
        <w:rPr>
          <w:lang w:val="hy-AM"/>
        </w:rPr>
        <w:t xml:space="preserve">● Ընկերություններին չնախատեսված </w:t>
      </w:r>
      <w:r w:rsidRPr="002655AD">
        <w:rPr>
          <w:lang w:val="hy-AM"/>
        </w:rPr>
        <w:t>սուբսիդիաների</w:t>
      </w:r>
      <w:r w:rsidRPr="00E23BBD">
        <w:rPr>
          <w:lang w:val="hy-AM"/>
        </w:rPr>
        <w:t xml:space="preserve"> տրամադրում կամ այլ վճարումներ կատարելու անհրաժեշտություն,</w:t>
      </w:r>
    </w:p>
    <w:p w14:paraId="1E5208D3" w14:textId="77777777" w:rsidR="004442B5" w:rsidRPr="00E23BBD" w:rsidRDefault="004442B5" w:rsidP="00E2692E">
      <w:pPr>
        <w:spacing w:after="0" w:line="276" w:lineRule="auto"/>
        <w:ind w:firstLine="720"/>
        <w:rPr>
          <w:rFonts w:eastAsia="Times New Roman" w:cs="Times New Roman"/>
          <w:lang w:val="hy-AM"/>
        </w:rPr>
      </w:pPr>
      <w:r w:rsidRPr="00E23BBD">
        <w:rPr>
          <w:lang w:val="hy-AM"/>
        </w:rPr>
        <w:t xml:space="preserve">● Ընկերություններից պետական բյուջեի մուտքերի կազմում նախատեսված շահութաբաժինների չստացում, </w:t>
      </w:r>
    </w:p>
    <w:p w14:paraId="4C2951BB" w14:textId="77777777" w:rsidR="004442B5" w:rsidRPr="00E23BBD" w:rsidRDefault="004442B5" w:rsidP="00E2692E">
      <w:pPr>
        <w:spacing w:after="0" w:line="276" w:lineRule="auto"/>
        <w:ind w:firstLine="720"/>
        <w:rPr>
          <w:rFonts w:eastAsia="Times New Roman" w:cs="Times New Roman"/>
          <w:lang w:val="hy-AM"/>
        </w:rPr>
      </w:pPr>
      <w:r w:rsidRPr="00E23BBD">
        <w:rPr>
          <w:lang w:val="hy-AM"/>
        </w:rPr>
        <w:t xml:space="preserve">● ՀՀ պետական բյուջեից Ընկերություններին տրամադրված վարկային միջոցների օգտագործման դիմաց հաշվարկված տոկոսների չվճարում և մայր գումարների չմարում: </w:t>
      </w:r>
    </w:p>
    <w:p w14:paraId="68314CEC" w14:textId="77777777" w:rsidR="004442B5" w:rsidRPr="00E23BBD" w:rsidRDefault="004442B5" w:rsidP="00E2692E">
      <w:pPr>
        <w:spacing w:after="0" w:line="276" w:lineRule="auto"/>
        <w:ind w:firstLine="720"/>
        <w:rPr>
          <w:rFonts w:eastAsia="Times New Roman" w:cs="Times New Roman"/>
          <w:lang w:val="hy-AM"/>
        </w:rPr>
      </w:pPr>
      <w:r w:rsidRPr="00E23BBD">
        <w:rPr>
          <w:lang w:val="hy-AM"/>
        </w:rPr>
        <w:t>201</w:t>
      </w:r>
      <w:r w:rsidRPr="00A35CD3">
        <w:rPr>
          <w:lang w:val="hy-AM"/>
        </w:rPr>
        <w:t>9</w:t>
      </w:r>
      <w:r w:rsidRPr="00E23BBD">
        <w:rPr>
          <w:lang w:val="hy-AM"/>
        </w:rPr>
        <w:t xml:space="preserve">թ. ընթացքում (այսուհետ` հաշվետու ժամանակաշրջան) էներգետիկայի ոլորտի (այսուհետ` Ոլորտ) Ընկերությունների հիմնական գործունեությունից ստացված հանրագումարային եկամուտները կազմել են </w:t>
      </w:r>
      <w:r w:rsidRPr="00A35CD3">
        <w:rPr>
          <w:lang w:val="hy-AM"/>
        </w:rPr>
        <w:t>111,9</w:t>
      </w:r>
      <w:r w:rsidRPr="00E23BBD">
        <w:rPr>
          <w:lang w:val="hy-AM"/>
        </w:rPr>
        <w:t xml:space="preserve"> մլրդ դրամ 201</w:t>
      </w:r>
      <w:r w:rsidRPr="00A35CD3">
        <w:rPr>
          <w:lang w:val="hy-AM"/>
        </w:rPr>
        <w:t>8</w:t>
      </w:r>
      <w:r w:rsidRPr="00E23BBD">
        <w:rPr>
          <w:lang w:val="hy-AM"/>
        </w:rPr>
        <w:t>թ. (այսուհետ` նախորդ ժամանա</w:t>
      </w:r>
      <w:r w:rsidRPr="00E23BBD">
        <w:rPr>
          <w:lang w:val="hy-AM"/>
        </w:rPr>
        <w:softHyphen/>
        <w:t xml:space="preserve">կաշրջան) </w:t>
      </w:r>
      <w:r w:rsidRPr="00A35CD3">
        <w:rPr>
          <w:lang w:val="hy-AM"/>
        </w:rPr>
        <w:t>124,7</w:t>
      </w:r>
      <w:r w:rsidRPr="00E23BBD">
        <w:rPr>
          <w:lang w:val="hy-AM"/>
        </w:rPr>
        <w:t xml:space="preserve"> մլրդ դրամի դիմաց, կամ </w:t>
      </w:r>
      <w:r w:rsidRPr="00A35CD3">
        <w:rPr>
          <w:lang w:val="hy-AM"/>
        </w:rPr>
        <w:t>12,8</w:t>
      </w:r>
      <w:r w:rsidRPr="00E23BBD">
        <w:rPr>
          <w:lang w:val="hy-AM"/>
        </w:rPr>
        <w:t xml:space="preserve"> մլրդ դրամով </w:t>
      </w:r>
      <w:r w:rsidRPr="00A35CD3">
        <w:rPr>
          <w:lang w:val="hy-AM"/>
        </w:rPr>
        <w:t>պակաս</w:t>
      </w:r>
      <w:r w:rsidRPr="00E23BBD">
        <w:rPr>
          <w:lang w:val="hy-AM"/>
        </w:rPr>
        <w:t xml:space="preserve"> (10.</w:t>
      </w:r>
      <w:r w:rsidRPr="00A35CD3">
        <w:rPr>
          <w:lang w:val="hy-AM"/>
        </w:rPr>
        <w:t>3</w:t>
      </w:r>
      <w:r w:rsidRPr="00E23BBD">
        <w:rPr>
          <w:lang w:val="hy-AM"/>
        </w:rPr>
        <w:t xml:space="preserve">%-ով)։ Հաշվետու ժամանակաշրջանում այդ Ընկերությունների հանրագումարային ծախսերը կազմել են </w:t>
      </w:r>
      <w:r w:rsidRPr="00A35CD3">
        <w:rPr>
          <w:lang w:val="hy-AM"/>
        </w:rPr>
        <w:t xml:space="preserve">108,9 </w:t>
      </w:r>
      <w:r w:rsidRPr="00E23BBD">
        <w:rPr>
          <w:lang w:val="hy-AM"/>
        </w:rPr>
        <w:t>մլրդ դրամ` նախորդ ժամանակաշրջանի 122,8</w:t>
      </w:r>
      <w:r w:rsidRPr="00A35CD3">
        <w:rPr>
          <w:lang w:val="hy-AM"/>
        </w:rPr>
        <w:t xml:space="preserve"> </w:t>
      </w:r>
      <w:r w:rsidRPr="00E23BBD">
        <w:rPr>
          <w:lang w:val="hy-AM"/>
        </w:rPr>
        <w:t>մլրդ</w:t>
      </w:r>
      <w:r w:rsidRPr="00A35CD3">
        <w:rPr>
          <w:lang w:val="hy-AM"/>
        </w:rPr>
        <w:t xml:space="preserve"> </w:t>
      </w:r>
      <w:r w:rsidRPr="00E23BBD">
        <w:rPr>
          <w:lang w:val="hy-AM"/>
        </w:rPr>
        <w:t xml:space="preserve">դրամի դիմաց` կամ  </w:t>
      </w:r>
      <w:r w:rsidRPr="00A35CD3">
        <w:rPr>
          <w:lang w:val="hy-AM"/>
        </w:rPr>
        <w:t>13,9</w:t>
      </w:r>
      <w:r w:rsidRPr="00E23BBD">
        <w:rPr>
          <w:lang w:val="hy-AM"/>
        </w:rPr>
        <w:t xml:space="preserve"> մլրդ դրամով  </w:t>
      </w:r>
      <w:r w:rsidRPr="00A35CD3">
        <w:rPr>
          <w:lang w:val="hy-AM"/>
        </w:rPr>
        <w:t xml:space="preserve">պակաս </w:t>
      </w:r>
      <w:r w:rsidRPr="00E23BBD">
        <w:rPr>
          <w:lang w:val="hy-AM"/>
        </w:rPr>
        <w:t>(</w:t>
      </w:r>
      <w:r w:rsidRPr="00A35CD3">
        <w:rPr>
          <w:lang w:val="hy-AM"/>
        </w:rPr>
        <w:t>11,3</w:t>
      </w:r>
      <w:r w:rsidRPr="00E23BBD">
        <w:rPr>
          <w:lang w:val="hy-AM"/>
        </w:rPr>
        <w:t>%-ով):</w:t>
      </w:r>
    </w:p>
    <w:p w14:paraId="4660D958" w14:textId="77777777" w:rsidR="004442B5" w:rsidRPr="00E23BBD" w:rsidRDefault="004442B5" w:rsidP="00E2692E">
      <w:pPr>
        <w:spacing w:after="0" w:line="276" w:lineRule="auto"/>
        <w:ind w:firstLine="709"/>
        <w:rPr>
          <w:rFonts w:eastAsia="Times New Roman" w:cs="Times New Roman"/>
          <w:lang w:val="hy-AM"/>
        </w:rPr>
      </w:pPr>
      <w:r w:rsidRPr="00E23BBD">
        <w:rPr>
          <w:lang w:val="hy-AM"/>
        </w:rPr>
        <w:t xml:space="preserve">Ընկերությունների հանրագումարային </w:t>
      </w:r>
      <w:r w:rsidRPr="00A35CD3">
        <w:rPr>
          <w:lang w:val="hy-AM"/>
        </w:rPr>
        <w:t>111,9</w:t>
      </w:r>
      <w:r w:rsidRPr="00E23BBD">
        <w:rPr>
          <w:lang w:val="hy-AM"/>
        </w:rPr>
        <w:t xml:space="preserve"> մլրդ դրամ ընդհանուր եկամուտների և </w:t>
      </w:r>
      <w:r w:rsidRPr="00A35CD3">
        <w:rPr>
          <w:lang w:val="hy-AM"/>
        </w:rPr>
        <w:t>108,9</w:t>
      </w:r>
      <w:r w:rsidRPr="00E23BBD">
        <w:rPr>
          <w:lang w:val="hy-AM"/>
        </w:rPr>
        <w:t xml:space="preserve"> մլրդ դրամ ընդհանուր ծախսերի արդյունքում հաշվետու ժամանակաշրջանում շահույթը կազմել է </w:t>
      </w:r>
      <w:r w:rsidRPr="00A35CD3">
        <w:rPr>
          <w:lang w:val="hy-AM"/>
        </w:rPr>
        <w:t>3,0</w:t>
      </w:r>
      <w:r w:rsidRPr="00E23BBD">
        <w:rPr>
          <w:lang w:val="hy-AM"/>
        </w:rPr>
        <w:t xml:space="preserve"> մլրդ դրամ, իսկ զուտ շահույթը կազմել է </w:t>
      </w:r>
      <w:r w:rsidRPr="00A35CD3">
        <w:rPr>
          <w:lang w:val="hy-AM"/>
        </w:rPr>
        <w:t>2,6</w:t>
      </w:r>
      <w:r w:rsidRPr="00E23BBD">
        <w:rPr>
          <w:lang w:val="hy-AM"/>
        </w:rPr>
        <w:t xml:space="preserve"> մլրդ դրամ, նախորդ ժամանակաշրջանի </w:t>
      </w:r>
      <w:r w:rsidRPr="00A35CD3">
        <w:rPr>
          <w:lang w:val="hy-AM"/>
        </w:rPr>
        <w:t>2,9</w:t>
      </w:r>
      <w:r w:rsidRPr="00E23BBD">
        <w:rPr>
          <w:lang w:val="hy-AM"/>
        </w:rPr>
        <w:t xml:space="preserve"> մլրդ դրամի դիմաց (տես աղյուսակ </w:t>
      </w:r>
      <w:r w:rsidRPr="00BE7F99">
        <w:rPr>
          <w:lang w:val="hy-AM"/>
        </w:rPr>
        <w:t>5.</w:t>
      </w:r>
      <w:r w:rsidRPr="00E23BBD">
        <w:rPr>
          <w:lang w:val="hy-AM"/>
        </w:rPr>
        <w:t xml:space="preserve">1): </w:t>
      </w:r>
    </w:p>
    <w:p w14:paraId="0C7ED61F" w14:textId="77777777" w:rsidR="00D52FE2" w:rsidRDefault="00D52FE2" w:rsidP="004442B5">
      <w:pPr>
        <w:spacing w:after="0" w:line="240" w:lineRule="auto"/>
        <w:ind w:firstLine="709"/>
        <w:rPr>
          <w:b/>
          <w:sz w:val="20"/>
          <w:szCs w:val="20"/>
          <w:lang w:val="hy-AM"/>
        </w:rPr>
      </w:pPr>
    </w:p>
    <w:p w14:paraId="78E90BDF" w14:textId="77777777" w:rsidR="004442B5" w:rsidRPr="004442B5" w:rsidRDefault="004442B5" w:rsidP="004442B5">
      <w:pPr>
        <w:spacing w:after="0" w:line="240" w:lineRule="auto"/>
        <w:ind w:firstLine="709"/>
        <w:rPr>
          <w:rFonts w:eastAsia="Times New Roman" w:cs="Times New Roman"/>
          <w:i/>
          <w:sz w:val="20"/>
          <w:szCs w:val="20"/>
          <w:lang w:val="hy-AM"/>
        </w:rPr>
      </w:pPr>
      <w:r w:rsidRPr="004442B5">
        <w:rPr>
          <w:b/>
          <w:sz w:val="20"/>
          <w:szCs w:val="20"/>
          <w:lang w:val="hy-AM"/>
        </w:rPr>
        <w:t xml:space="preserve">Աղյուսակ </w:t>
      </w:r>
      <w:r w:rsidRPr="00BE7F99">
        <w:rPr>
          <w:b/>
          <w:sz w:val="20"/>
          <w:szCs w:val="20"/>
          <w:lang w:val="hy-AM"/>
        </w:rPr>
        <w:t>5.</w:t>
      </w:r>
      <w:r w:rsidRPr="004442B5">
        <w:rPr>
          <w:b/>
          <w:sz w:val="20"/>
          <w:szCs w:val="20"/>
          <w:lang w:val="hy-AM"/>
        </w:rPr>
        <w:t xml:space="preserve">1 </w:t>
      </w:r>
      <w:r w:rsidRPr="004442B5">
        <w:rPr>
          <w:i/>
          <w:sz w:val="20"/>
          <w:szCs w:val="20"/>
          <w:lang w:val="hy-AM"/>
        </w:rPr>
        <w:t>Էներգետիկայի ոլորտի պետական մասնակցությամբ ընկերությունների հանրագումարային զուտ շահույթը (վնասը) ըստ տարիների</w:t>
      </w:r>
    </w:p>
    <w:p w14:paraId="1F795516" w14:textId="77777777" w:rsidR="004442B5" w:rsidRPr="007E1ABF" w:rsidRDefault="004442B5" w:rsidP="004442B5">
      <w:pPr>
        <w:spacing w:after="0" w:line="360" w:lineRule="auto"/>
        <w:jc w:val="right"/>
        <w:rPr>
          <w:rFonts w:eastAsia="Times New Roman" w:cs="Times New Roman"/>
          <w:i/>
          <w:sz w:val="18"/>
          <w:szCs w:val="18"/>
        </w:rPr>
      </w:pPr>
      <w:r w:rsidRPr="00E23BBD">
        <w:rPr>
          <w:i/>
          <w:sz w:val="18"/>
          <w:szCs w:val="18"/>
          <w:lang w:val="hy-AM"/>
        </w:rPr>
        <w:t xml:space="preserve">       </w:t>
      </w:r>
      <w:r w:rsidRPr="00A35CD3">
        <w:rPr>
          <w:i/>
          <w:sz w:val="18"/>
          <w:szCs w:val="18"/>
        </w:rPr>
        <w:t xml:space="preserve">հազ. դրամ                                                                                                                        </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655"/>
        <w:gridCol w:w="1655"/>
        <w:gridCol w:w="1656"/>
      </w:tblGrid>
      <w:tr w:rsidR="00E2692E" w:rsidRPr="00A35CD3" w14:paraId="1920D1AE" w14:textId="77777777" w:rsidTr="00E2692E">
        <w:trPr>
          <w:trHeight w:val="449"/>
          <w:tblHeader/>
        </w:trPr>
        <w:tc>
          <w:tcPr>
            <w:tcW w:w="5524" w:type="dxa"/>
            <w:vMerge w:val="restart"/>
            <w:tcBorders>
              <w:top w:val="single" w:sz="4" w:space="0" w:color="auto"/>
              <w:left w:val="single" w:sz="4" w:space="0" w:color="auto"/>
              <w:right w:val="single" w:sz="4" w:space="0" w:color="auto"/>
            </w:tcBorders>
            <w:shd w:val="clear" w:color="auto" w:fill="0070C0"/>
            <w:vAlign w:val="center"/>
          </w:tcPr>
          <w:p w14:paraId="0CC1F633" w14:textId="77777777" w:rsidR="00E2692E" w:rsidRPr="00E2692E" w:rsidRDefault="00E2692E" w:rsidP="002C7EE3">
            <w:pPr>
              <w:spacing w:line="360" w:lineRule="auto"/>
              <w:rPr>
                <w:color w:val="FFFFFF" w:themeColor="background1"/>
                <w:sz w:val="20"/>
                <w:szCs w:val="20"/>
              </w:rPr>
            </w:pPr>
          </w:p>
        </w:tc>
        <w:tc>
          <w:tcPr>
            <w:tcW w:w="1655"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080EC7C4" w14:textId="77777777" w:rsidR="00E2692E" w:rsidRPr="00E2692E" w:rsidRDefault="00E2692E" w:rsidP="002C7EE3">
            <w:pPr>
              <w:spacing w:line="360" w:lineRule="auto"/>
              <w:ind w:firstLine="0"/>
              <w:jc w:val="center"/>
              <w:rPr>
                <w:color w:val="FFFFFF" w:themeColor="background1"/>
                <w:sz w:val="20"/>
                <w:szCs w:val="20"/>
              </w:rPr>
            </w:pPr>
            <w:r w:rsidRPr="00E2692E">
              <w:rPr>
                <w:color w:val="FFFFFF" w:themeColor="background1"/>
                <w:sz w:val="20"/>
                <w:szCs w:val="20"/>
              </w:rPr>
              <w:t>2017թ.</w:t>
            </w:r>
          </w:p>
        </w:tc>
        <w:tc>
          <w:tcPr>
            <w:tcW w:w="1655" w:type="dxa"/>
            <w:tcBorders>
              <w:top w:val="single" w:sz="4" w:space="0" w:color="auto"/>
              <w:left w:val="single" w:sz="4" w:space="0" w:color="auto"/>
              <w:bottom w:val="single" w:sz="4" w:space="0" w:color="auto"/>
              <w:right w:val="single" w:sz="4" w:space="0" w:color="auto"/>
            </w:tcBorders>
            <w:shd w:val="clear" w:color="auto" w:fill="0070C0"/>
            <w:noWrap/>
            <w:vAlign w:val="center"/>
          </w:tcPr>
          <w:p w14:paraId="3A125763" w14:textId="77777777" w:rsidR="00E2692E" w:rsidRPr="00E2692E" w:rsidRDefault="00E2692E" w:rsidP="002C7EE3">
            <w:pPr>
              <w:spacing w:line="360" w:lineRule="auto"/>
              <w:ind w:firstLine="0"/>
              <w:jc w:val="center"/>
              <w:rPr>
                <w:color w:val="FFFFFF" w:themeColor="background1"/>
                <w:sz w:val="20"/>
                <w:szCs w:val="20"/>
              </w:rPr>
            </w:pPr>
            <w:r w:rsidRPr="00E2692E">
              <w:rPr>
                <w:color w:val="FFFFFF" w:themeColor="background1"/>
                <w:sz w:val="20"/>
                <w:szCs w:val="20"/>
              </w:rPr>
              <w:t>2018թ.</w:t>
            </w:r>
          </w:p>
        </w:tc>
        <w:tc>
          <w:tcPr>
            <w:tcW w:w="1656" w:type="dxa"/>
            <w:tcBorders>
              <w:top w:val="single" w:sz="4" w:space="0" w:color="auto"/>
              <w:left w:val="single" w:sz="4" w:space="0" w:color="auto"/>
              <w:bottom w:val="single" w:sz="4" w:space="0" w:color="auto"/>
              <w:right w:val="single" w:sz="4" w:space="0" w:color="auto"/>
            </w:tcBorders>
            <w:shd w:val="clear" w:color="auto" w:fill="0070C0"/>
            <w:vAlign w:val="center"/>
          </w:tcPr>
          <w:p w14:paraId="6CAF38BE" w14:textId="77777777" w:rsidR="00E2692E" w:rsidRPr="00E2692E" w:rsidRDefault="00E2692E" w:rsidP="002C7EE3">
            <w:pPr>
              <w:spacing w:line="360" w:lineRule="auto"/>
              <w:jc w:val="center"/>
              <w:rPr>
                <w:color w:val="FFFFFF" w:themeColor="background1"/>
                <w:sz w:val="20"/>
                <w:szCs w:val="20"/>
              </w:rPr>
            </w:pPr>
            <w:r w:rsidRPr="00E2692E">
              <w:rPr>
                <w:color w:val="FFFFFF" w:themeColor="background1"/>
                <w:sz w:val="20"/>
                <w:szCs w:val="20"/>
              </w:rPr>
              <w:t>2019թ.</w:t>
            </w:r>
          </w:p>
        </w:tc>
      </w:tr>
      <w:tr w:rsidR="00E2692E" w:rsidRPr="00A35CD3" w14:paraId="62D6A881" w14:textId="77777777" w:rsidTr="00E2692E">
        <w:trPr>
          <w:trHeight w:val="341"/>
          <w:tblHeader/>
        </w:trPr>
        <w:tc>
          <w:tcPr>
            <w:tcW w:w="5524" w:type="dxa"/>
            <w:vMerge/>
            <w:tcBorders>
              <w:left w:val="single" w:sz="4" w:space="0" w:color="auto"/>
              <w:bottom w:val="single" w:sz="4" w:space="0" w:color="auto"/>
              <w:right w:val="single" w:sz="4" w:space="0" w:color="auto"/>
            </w:tcBorders>
            <w:shd w:val="clear" w:color="auto" w:fill="0070C0"/>
            <w:vAlign w:val="center"/>
            <w:hideMark/>
          </w:tcPr>
          <w:p w14:paraId="1B18AF0B" w14:textId="77777777" w:rsidR="00E2692E" w:rsidRPr="00E2692E" w:rsidRDefault="00E2692E" w:rsidP="002C7EE3">
            <w:pPr>
              <w:spacing w:line="360" w:lineRule="auto"/>
              <w:rPr>
                <w:color w:val="FFFFFF" w:themeColor="background1"/>
                <w:sz w:val="20"/>
                <w:szCs w:val="20"/>
              </w:rPr>
            </w:pPr>
          </w:p>
        </w:tc>
        <w:tc>
          <w:tcPr>
            <w:tcW w:w="1655"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1D0000A1" w14:textId="77777777" w:rsidR="00E2692E" w:rsidRPr="00E2692E" w:rsidRDefault="00E2692E" w:rsidP="002C7EE3">
            <w:pPr>
              <w:spacing w:line="360" w:lineRule="auto"/>
              <w:ind w:firstLine="0"/>
              <w:jc w:val="center"/>
              <w:rPr>
                <w:color w:val="FFFFFF" w:themeColor="background1"/>
                <w:sz w:val="20"/>
                <w:szCs w:val="20"/>
              </w:rPr>
            </w:pPr>
            <w:r w:rsidRPr="00E2692E">
              <w:rPr>
                <w:color w:val="FFFFFF" w:themeColor="background1"/>
                <w:sz w:val="20"/>
                <w:szCs w:val="20"/>
              </w:rPr>
              <w:t>Փաստ.</w:t>
            </w:r>
          </w:p>
        </w:tc>
        <w:tc>
          <w:tcPr>
            <w:tcW w:w="1655"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2424ECD8" w14:textId="77777777" w:rsidR="00E2692E" w:rsidRPr="00E2692E" w:rsidRDefault="00E2692E" w:rsidP="002C7EE3">
            <w:pPr>
              <w:spacing w:line="360" w:lineRule="auto"/>
              <w:ind w:firstLine="0"/>
              <w:jc w:val="center"/>
              <w:rPr>
                <w:color w:val="FFFFFF" w:themeColor="background1"/>
                <w:sz w:val="20"/>
                <w:szCs w:val="20"/>
              </w:rPr>
            </w:pPr>
            <w:r w:rsidRPr="00E2692E">
              <w:rPr>
                <w:color w:val="FFFFFF" w:themeColor="background1"/>
                <w:sz w:val="20"/>
                <w:szCs w:val="20"/>
              </w:rPr>
              <w:t>Փաստ.</w:t>
            </w:r>
          </w:p>
        </w:tc>
        <w:tc>
          <w:tcPr>
            <w:tcW w:w="165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79ED178" w14:textId="77777777" w:rsidR="00E2692E" w:rsidRPr="00E2692E" w:rsidRDefault="00E2692E" w:rsidP="002C7EE3">
            <w:pPr>
              <w:spacing w:line="360" w:lineRule="auto"/>
              <w:jc w:val="center"/>
              <w:rPr>
                <w:color w:val="FFFFFF" w:themeColor="background1"/>
                <w:sz w:val="20"/>
                <w:szCs w:val="20"/>
              </w:rPr>
            </w:pPr>
            <w:r w:rsidRPr="00E2692E">
              <w:rPr>
                <w:color w:val="FFFFFF" w:themeColor="background1"/>
                <w:sz w:val="20"/>
                <w:szCs w:val="20"/>
              </w:rPr>
              <w:t>Փաստ.</w:t>
            </w:r>
          </w:p>
        </w:tc>
      </w:tr>
      <w:tr w:rsidR="004442B5" w:rsidRPr="00A35CD3" w14:paraId="11330C24" w14:textId="77777777" w:rsidTr="00E2692E">
        <w:trPr>
          <w:trHeight w:val="876"/>
        </w:trPr>
        <w:tc>
          <w:tcPr>
            <w:tcW w:w="5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0B5ABE" w14:textId="77777777" w:rsidR="004442B5" w:rsidRPr="00E2692E" w:rsidRDefault="004442B5" w:rsidP="002C7EE3">
            <w:pPr>
              <w:spacing w:line="240" w:lineRule="auto"/>
              <w:ind w:firstLine="34"/>
              <w:jc w:val="left"/>
              <w:rPr>
                <w:b/>
                <w:sz w:val="20"/>
                <w:szCs w:val="20"/>
              </w:rPr>
            </w:pPr>
            <w:r w:rsidRPr="00E2692E">
              <w:rPr>
                <w:b/>
                <w:sz w:val="20"/>
                <w:szCs w:val="20"/>
              </w:rPr>
              <w:t>Էներգետիկայի ոլորտի պետական մասնակցու</w:t>
            </w:r>
            <w:r w:rsidRPr="00E2692E">
              <w:rPr>
                <w:b/>
                <w:sz w:val="20"/>
                <w:szCs w:val="20"/>
              </w:rPr>
              <w:softHyphen/>
              <w:t>թյամբ ընկերությունների հանրագումարային շահույ</w:t>
            </w:r>
            <w:r w:rsidRPr="00E2692E">
              <w:rPr>
                <w:b/>
                <w:sz w:val="20"/>
                <w:szCs w:val="20"/>
              </w:rPr>
              <w:softHyphen/>
              <w:t>թը հարկումից հետո</w:t>
            </w:r>
          </w:p>
        </w:tc>
        <w:tc>
          <w:tcPr>
            <w:tcW w:w="16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EA50ADC" w14:textId="77777777" w:rsidR="004442B5" w:rsidRPr="00E2692E" w:rsidRDefault="004442B5" w:rsidP="002C7EE3">
            <w:pPr>
              <w:spacing w:line="360" w:lineRule="auto"/>
              <w:ind w:firstLine="0"/>
              <w:jc w:val="center"/>
              <w:rPr>
                <w:rFonts w:eastAsia="Times New Roman" w:cs="Times New Roman"/>
                <w:b/>
                <w:sz w:val="20"/>
                <w:szCs w:val="20"/>
              </w:rPr>
            </w:pPr>
            <w:r w:rsidRPr="00E2692E">
              <w:rPr>
                <w:b/>
                <w:sz w:val="20"/>
                <w:szCs w:val="20"/>
              </w:rPr>
              <w:t>(5,214,707.0)</w:t>
            </w:r>
          </w:p>
        </w:tc>
        <w:tc>
          <w:tcPr>
            <w:tcW w:w="16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C9E599D" w14:textId="77777777" w:rsidR="004442B5" w:rsidRPr="00E2692E" w:rsidRDefault="004442B5" w:rsidP="002C7EE3">
            <w:pPr>
              <w:spacing w:line="360" w:lineRule="auto"/>
              <w:ind w:firstLine="0"/>
              <w:jc w:val="center"/>
              <w:rPr>
                <w:rFonts w:eastAsia="Times New Roman" w:cs="Times New Roman"/>
                <w:b/>
                <w:sz w:val="20"/>
                <w:szCs w:val="20"/>
              </w:rPr>
            </w:pPr>
            <w:r w:rsidRPr="00E2692E">
              <w:rPr>
                <w:b/>
                <w:sz w:val="20"/>
                <w:szCs w:val="20"/>
              </w:rPr>
              <w:t>2,877,833.8</w:t>
            </w:r>
          </w:p>
        </w:tc>
        <w:tc>
          <w:tcPr>
            <w:tcW w:w="16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E09EA6" w14:textId="77777777" w:rsidR="004442B5" w:rsidRPr="00E2692E" w:rsidRDefault="004442B5" w:rsidP="002C7EE3">
            <w:pPr>
              <w:ind w:firstLine="0"/>
              <w:jc w:val="center"/>
              <w:rPr>
                <w:rFonts w:eastAsia="Times New Roman" w:cs="Times New Roman"/>
                <w:b/>
                <w:sz w:val="20"/>
                <w:szCs w:val="20"/>
                <w:lang w:val="hy-AM"/>
              </w:rPr>
            </w:pPr>
            <w:r w:rsidRPr="00E2692E">
              <w:rPr>
                <w:b/>
                <w:sz w:val="20"/>
                <w:szCs w:val="20"/>
              </w:rPr>
              <w:t>2,579,309.</w:t>
            </w:r>
            <w:r w:rsidRPr="00E2692E">
              <w:rPr>
                <w:b/>
                <w:sz w:val="20"/>
                <w:szCs w:val="20"/>
                <w:lang w:val="hy-AM"/>
              </w:rPr>
              <w:t>3</w:t>
            </w:r>
          </w:p>
        </w:tc>
      </w:tr>
      <w:tr w:rsidR="004442B5" w:rsidRPr="00A35CD3" w14:paraId="6D56EF05" w14:textId="77777777" w:rsidTr="00E2692E">
        <w:trPr>
          <w:trHeight w:val="325"/>
        </w:trPr>
        <w:tc>
          <w:tcPr>
            <w:tcW w:w="5524" w:type="dxa"/>
            <w:tcBorders>
              <w:top w:val="single" w:sz="4" w:space="0" w:color="auto"/>
              <w:left w:val="single" w:sz="4" w:space="0" w:color="auto"/>
              <w:bottom w:val="single" w:sz="4" w:space="0" w:color="auto"/>
              <w:right w:val="single" w:sz="4" w:space="0" w:color="auto"/>
            </w:tcBorders>
            <w:vAlign w:val="bottom"/>
            <w:hideMark/>
          </w:tcPr>
          <w:p w14:paraId="6E657FA4" w14:textId="77777777" w:rsidR="004442B5" w:rsidRPr="00E2692E" w:rsidRDefault="004442B5" w:rsidP="002C7EE3">
            <w:pPr>
              <w:spacing w:line="240" w:lineRule="auto"/>
              <w:ind w:left="227" w:firstLine="34"/>
              <w:jc w:val="left"/>
              <w:rPr>
                <w:sz w:val="20"/>
                <w:szCs w:val="20"/>
              </w:rPr>
            </w:pPr>
            <w:r w:rsidRPr="00E2692E">
              <w:rPr>
                <w:sz w:val="20"/>
                <w:szCs w:val="20"/>
              </w:rPr>
              <w:t>«Հայկական ատոմակայան ՓԲԸ</w:t>
            </w:r>
          </w:p>
        </w:tc>
        <w:tc>
          <w:tcPr>
            <w:tcW w:w="1655" w:type="dxa"/>
            <w:tcBorders>
              <w:top w:val="single" w:sz="4" w:space="0" w:color="auto"/>
              <w:left w:val="single" w:sz="4" w:space="0" w:color="auto"/>
              <w:bottom w:val="single" w:sz="4" w:space="0" w:color="auto"/>
              <w:right w:val="single" w:sz="4" w:space="0" w:color="auto"/>
            </w:tcBorders>
            <w:noWrap/>
            <w:vAlign w:val="center"/>
            <w:hideMark/>
          </w:tcPr>
          <w:p w14:paraId="46DEAA1E" w14:textId="77777777" w:rsidR="004442B5" w:rsidRPr="00E2692E" w:rsidRDefault="004442B5" w:rsidP="002C7EE3">
            <w:pPr>
              <w:spacing w:line="360" w:lineRule="auto"/>
              <w:ind w:firstLine="0"/>
              <w:jc w:val="center"/>
              <w:rPr>
                <w:sz w:val="20"/>
                <w:szCs w:val="20"/>
              </w:rPr>
            </w:pPr>
            <w:r w:rsidRPr="00E2692E">
              <w:rPr>
                <w:sz w:val="20"/>
                <w:szCs w:val="20"/>
              </w:rPr>
              <w:t>(3,682,342.0)</w:t>
            </w:r>
          </w:p>
        </w:tc>
        <w:tc>
          <w:tcPr>
            <w:tcW w:w="1655" w:type="dxa"/>
            <w:tcBorders>
              <w:top w:val="single" w:sz="4" w:space="0" w:color="auto"/>
              <w:left w:val="single" w:sz="4" w:space="0" w:color="auto"/>
              <w:bottom w:val="single" w:sz="4" w:space="0" w:color="auto"/>
              <w:right w:val="single" w:sz="4" w:space="0" w:color="auto"/>
            </w:tcBorders>
            <w:noWrap/>
            <w:vAlign w:val="center"/>
            <w:hideMark/>
          </w:tcPr>
          <w:p w14:paraId="67311E55" w14:textId="77777777" w:rsidR="004442B5" w:rsidRPr="00E2692E" w:rsidRDefault="004442B5" w:rsidP="002C7EE3">
            <w:pPr>
              <w:spacing w:line="360" w:lineRule="auto"/>
              <w:ind w:firstLine="0"/>
              <w:jc w:val="center"/>
              <w:rPr>
                <w:sz w:val="20"/>
                <w:szCs w:val="20"/>
              </w:rPr>
            </w:pPr>
            <w:r w:rsidRPr="00E2692E">
              <w:rPr>
                <w:sz w:val="20"/>
                <w:szCs w:val="20"/>
              </w:rPr>
              <w:t>(2,765,702.0)</w:t>
            </w:r>
          </w:p>
        </w:tc>
        <w:tc>
          <w:tcPr>
            <w:tcW w:w="1656" w:type="dxa"/>
            <w:tcBorders>
              <w:top w:val="single" w:sz="4" w:space="0" w:color="auto"/>
              <w:left w:val="single" w:sz="4" w:space="0" w:color="auto"/>
              <w:bottom w:val="single" w:sz="4" w:space="0" w:color="auto"/>
              <w:right w:val="single" w:sz="4" w:space="0" w:color="auto"/>
            </w:tcBorders>
            <w:vAlign w:val="center"/>
            <w:hideMark/>
          </w:tcPr>
          <w:p w14:paraId="6265901F" w14:textId="77777777" w:rsidR="004442B5" w:rsidRPr="00E2692E" w:rsidRDefault="004442B5" w:rsidP="002C7EE3">
            <w:pPr>
              <w:ind w:firstLine="0"/>
              <w:jc w:val="center"/>
              <w:rPr>
                <w:sz w:val="20"/>
                <w:szCs w:val="20"/>
              </w:rPr>
            </w:pPr>
            <w:r w:rsidRPr="00E2692E">
              <w:rPr>
                <w:sz w:val="20"/>
                <w:szCs w:val="20"/>
              </w:rPr>
              <w:t>(2,521,168.0)</w:t>
            </w:r>
          </w:p>
        </w:tc>
      </w:tr>
      <w:tr w:rsidR="004442B5" w:rsidRPr="00A35CD3" w14:paraId="2EA81E38" w14:textId="77777777" w:rsidTr="001B57F3">
        <w:trPr>
          <w:trHeight w:val="213"/>
        </w:trPr>
        <w:tc>
          <w:tcPr>
            <w:tcW w:w="5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1C7306" w14:textId="77777777" w:rsidR="004442B5" w:rsidRPr="00E2692E" w:rsidRDefault="004442B5" w:rsidP="002C7EE3">
            <w:pPr>
              <w:spacing w:line="240" w:lineRule="auto"/>
              <w:ind w:left="227" w:firstLine="34"/>
              <w:jc w:val="left"/>
              <w:rPr>
                <w:sz w:val="20"/>
                <w:szCs w:val="20"/>
              </w:rPr>
            </w:pPr>
            <w:r w:rsidRPr="00E2692E">
              <w:rPr>
                <w:sz w:val="20"/>
                <w:szCs w:val="20"/>
              </w:rPr>
              <w:t>«Բարձրավոլտ էլեկտրական ցանցեր ՓԲԸ</w:t>
            </w:r>
          </w:p>
        </w:tc>
        <w:tc>
          <w:tcPr>
            <w:tcW w:w="16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D758FB6" w14:textId="77777777" w:rsidR="004442B5" w:rsidRPr="00E2692E" w:rsidRDefault="004442B5" w:rsidP="002C7EE3">
            <w:pPr>
              <w:spacing w:line="360" w:lineRule="auto"/>
              <w:ind w:firstLine="0"/>
              <w:jc w:val="center"/>
              <w:rPr>
                <w:sz w:val="20"/>
                <w:szCs w:val="20"/>
              </w:rPr>
            </w:pPr>
            <w:r w:rsidRPr="00E2692E">
              <w:rPr>
                <w:sz w:val="20"/>
                <w:szCs w:val="20"/>
              </w:rPr>
              <w:t>5,621,887.0</w:t>
            </w:r>
          </w:p>
        </w:tc>
        <w:tc>
          <w:tcPr>
            <w:tcW w:w="16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2170D7D" w14:textId="77777777" w:rsidR="004442B5" w:rsidRPr="00E2692E" w:rsidRDefault="004442B5" w:rsidP="002C7EE3">
            <w:pPr>
              <w:spacing w:line="360" w:lineRule="auto"/>
              <w:ind w:firstLine="0"/>
              <w:jc w:val="center"/>
              <w:rPr>
                <w:sz w:val="20"/>
                <w:szCs w:val="20"/>
              </w:rPr>
            </w:pPr>
            <w:r w:rsidRPr="00E2692E">
              <w:rPr>
                <w:sz w:val="20"/>
                <w:szCs w:val="20"/>
              </w:rPr>
              <w:t>3,370,279.0</w:t>
            </w:r>
          </w:p>
        </w:tc>
        <w:tc>
          <w:tcPr>
            <w:tcW w:w="16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6D3C1E" w14:textId="77777777" w:rsidR="004442B5" w:rsidRPr="00E2692E" w:rsidRDefault="004442B5" w:rsidP="002C7EE3">
            <w:pPr>
              <w:ind w:firstLine="0"/>
              <w:jc w:val="center"/>
              <w:rPr>
                <w:sz w:val="20"/>
                <w:szCs w:val="20"/>
              </w:rPr>
            </w:pPr>
            <w:r w:rsidRPr="00E2692E">
              <w:rPr>
                <w:sz w:val="20"/>
                <w:szCs w:val="20"/>
              </w:rPr>
              <w:t>3,783,925.0</w:t>
            </w:r>
          </w:p>
        </w:tc>
      </w:tr>
      <w:tr w:rsidR="004442B5" w:rsidRPr="00A35CD3" w14:paraId="68287F69" w14:textId="77777777" w:rsidTr="00E2692E">
        <w:trPr>
          <w:trHeight w:val="773"/>
        </w:trPr>
        <w:tc>
          <w:tcPr>
            <w:tcW w:w="5524" w:type="dxa"/>
            <w:tcBorders>
              <w:top w:val="single" w:sz="4" w:space="0" w:color="auto"/>
              <w:left w:val="single" w:sz="4" w:space="0" w:color="auto"/>
              <w:bottom w:val="single" w:sz="4" w:space="0" w:color="auto"/>
              <w:right w:val="single" w:sz="4" w:space="0" w:color="auto"/>
            </w:tcBorders>
            <w:vAlign w:val="center"/>
            <w:hideMark/>
          </w:tcPr>
          <w:p w14:paraId="029C2396" w14:textId="77777777" w:rsidR="004442B5" w:rsidRPr="00E2692E" w:rsidRDefault="004442B5" w:rsidP="002C7EE3">
            <w:pPr>
              <w:spacing w:line="240" w:lineRule="auto"/>
              <w:ind w:left="227" w:firstLine="34"/>
              <w:jc w:val="left"/>
              <w:rPr>
                <w:sz w:val="20"/>
                <w:szCs w:val="20"/>
              </w:rPr>
            </w:pPr>
            <w:r w:rsidRPr="00E2692E">
              <w:rPr>
                <w:sz w:val="20"/>
                <w:szCs w:val="20"/>
              </w:rPr>
              <w:lastRenderedPageBreak/>
              <w:t>«Երևանի ջերմաէլեկտրակենտրոն (ՋԷԿ)» ՓԲԸ</w:t>
            </w:r>
          </w:p>
        </w:tc>
        <w:tc>
          <w:tcPr>
            <w:tcW w:w="1655" w:type="dxa"/>
            <w:tcBorders>
              <w:top w:val="single" w:sz="4" w:space="0" w:color="auto"/>
              <w:left w:val="single" w:sz="4" w:space="0" w:color="auto"/>
              <w:bottom w:val="single" w:sz="4" w:space="0" w:color="auto"/>
              <w:right w:val="single" w:sz="4" w:space="0" w:color="auto"/>
            </w:tcBorders>
            <w:noWrap/>
            <w:vAlign w:val="center"/>
            <w:hideMark/>
          </w:tcPr>
          <w:p w14:paraId="3B0DF1C8" w14:textId="77777777" w:rsidR="004442B5" w:rsidRPr="00E2692E" w:rsidRDefault="004442B5" w:rsidP="002C7EE3">
            <w:pPr>
              <w:spacing w:line="360" w:lineRule="auto"/>
              <w:ind w:firstLine="0"/>
              <w:jc w:val="center"/>
              <w:rPr>
                <w:sz w:val="20"/>
                <w:szCs w:val="20"/>
              </w:rPr>
            </w:pPr>
            <w:r w:rsidRPr="00E2692E">
              <w:rPr>
                <w:sz w:val="20"/>
                <w:szCs w:val="20"/>
              </w:rPr>
              <w:t>(7,123,321.0)</w:t>
            </w:r>
          </w:p>
        </w:tc>
        <w:tc>
          <w:tcPr>
            <w:tcW w:w="1655" w:type="dxa"/>
            <w:tcBorders>
              <w:top w:val="single" w:sz="4" w:space="0" w:color="auto"/>
              <w:left w:val="single" w:sz="4" w:space="0" w:color="auto"/>
              <w:bottom w:val="single" w:sz="4" w:space="0" w:color="auto"/>
              <w:right w:val="single" w:sz="4" w:space="0" w:color="auto"/>
            </w:tcBorders>
            <w:noWrap/>
            <w:vAlign w:val="center"/>
            <w:hideMark/>
          </w:tcPr>
          <w:p w14:paraId="210159A8" w14:textId="77777777" w:rsidR="004442B5" w:rsidRPr="00E2692E" w:rsidRDefault="004442B5" w:rsidP="002C7EE3">
            <w:pPr>
              <w:spacing w:line="360" w:lineRule="auto"/>
              <w:ind w:firstLine="0"/>
              <w:jc w:val="center"/>
              <w:rPr>
                <w:sz w:val="20"/>
                <w:szCs w:val="20"/>
              </w:rPr>
            </w:pPr>
            <w:r w:rsidRPr="00E2692E">
              <w:rPr>
                <w:sz w:val="20"/>
                <w:szCs w:val="20"/>
              </w:rPr>
              <w:t>2,206,620.8</w:t>
            </w:r>
          </w:p>
        </w:tc>
        <w:tc>
          <w:tcPr>
            <w:tcW w:w="1656" w:type="dxa"/>
            <w:tcBorders>
              <w:top w:val="single" w:sz="4" w:space="0" w:color="auto"/>
              <w:left w:val="single" w:sz="4" w:space="0" w:color="auto"/>
              <w:bottom w:val="single" w:sz="4" w:space="0" w:color="auto"/>
              <w:right w:val="single" w:sz="4" w:space="0" w:color="auto"/>
            </w:tcBorders>
            <w:vAlign w:val="center"/>
            <w:hideMark/>
          </w:tcPr>
          <w:p w14:paraId="4BD93DE6" w14:textId="77777777" w:rsidR="004442B5" w:rsidRPr="00E2692E" w:rsidRDefault="004442B5" w:rsidP="002C7EE3">
            <w:pPr>
              <w:ind w:firstLine="0"/>
              <w:jc w:val="center"/>
              <w:rPr>
                <w:sz w:val="20"/>
                <w:szCs w:val="20"/>
                <w:lang w:val="hy-AM"/>
              </w:rPr>
            </w:pPr>
            <w:r w:rsidRPr="00E2692E">
              <w:rPr>
                <w:sz w:val="20"/>
                <w:szCs w:val="20"/>
              </w:rPr>
              <w:t>1,262,087.</w:t>
            </w:r>
            <w:r w:rsidRPr="00E2692E">
              <w:rPr>
                <w:sz w:val="20"/>
                <w:szCs w:val="20"/>
                <w:lang w:val="hy-AM"/>
              </w:rPr>
              <w:t>3</w:t>
            </w:r>
          </w:p>
        </w:tc>
      </w:tr>
      <w:tr w:rsidR="004442B5" w:rsidRPr="00A35CD3" w14:paraId="4D20F364" w14:textId="77777777" w:rsidTr="001B57F3">
        <w:trPr>
          <w:trHeight w:val="698"/>
        </w:trPr>
        <w:tc>
          <w:tcPr>
            <w:tcW w:w="552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ACDDB2" w14:textId="77777777" w:rsidR="004442B5" w:rsidRPr="00E2692E" w:rsidRDefault="004442B5" w:rsidP="002C7EE3">
            <w:pPr>
              <w:spacing w:line="240" w:lineRule="auto"/>
              <w:ind w:left="227" w:firstLine="34"/>
              <w:jc w:val="left"/>
              <w:rPr>
                <w:sz w:val="20"/>
                <w:szCs w:val="20"/>
              </w:rPr>
            </w:pPr>
            <w:r w:rsidRPr="00E2692E">
              <w:rPr>
                <w:sz w:val="20"/>
                <w:szCs w:val="20"/>
              </w:rPr>
              <w:t>«Էլեկտրաէներգետիկական համակարգի օպերատոր</w:t>
            </w:r>
            <w:proofErr w:type="gramStart"/>
            <w:r w:rsidRPr="00E2692E">
              <w:rPr>
                <w:sz w:val="20"/>
                <w:szCs w:val="20"/>
              </w:rPr>
              <w:t xml:space="preserve">» </w:t>
            </w:r>
            <w:r w:rsidRPr="00E2692E">
              <w:rPr>
                <w:rFonts w:ascii="Calibri" w:hAnsi="Calibri" w:cs="Calibri"/>
                <w:sz w:val="20"/>
                <w:szCs w:val="20"/>
              </w:rPr>
              <w:t> </w:t>
            </w:r>
            <w:r w:rsidRPr="00E2692E">
              <w:rPr>
                <w:sz w:val="20"/>
                <w:szCs w:val="20"/>
              </w:rPr>
              <w:t>ՓԲԸ</w:t>
            </w:r>
            <w:proofErr w:type="gramEnd"/>
          </w:p>
        </w:tc>
        <w:tc>
          <w:tcPr>
            <w:tcW w:w="16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6C1EDDA" w14:textId="77777777" w:rsidR="004442B5" w:rsidRPr="00E2692E" w:rsidRDefault="004442B5" w:rsidP="002C7EE3">
            <w:pPr>
              <w:spacing w:line="360" w:lineRule="auto"/>
              <w:ind w:firstLine="0"/>
              <w:jc w:val="center"/>
              <w:rPr>
                <w:sz w:val="20"/>
                <w:szCs w:val="20"/>
              </w:rPr>
            </w:pPr>
            <w:r w:rsidRPr="00E2692E">
              <w:rPr>
                <w:sz w:val="20"/>
                <w:szCs w:val="20"/>
              </w:rPr>
              <w:t>1,242.0</w:t>
            </w:r>
          </w:p>
        </w:tc>
        <w:tc>
          <w:tcPr>
            <w:tcW w:w="16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8CE8528" w14:textId="77777777" w:rsidR="004442B5" w:rsidRPr="00E2692E" w:rsidRDefault="004442B5" w:rsidP="002C7EE3">
            <w:pPr>
              <w:spacing w:line="360" w:lineRule="auto"/>
              <w:ind w:firstLine="0"/>
              <w:jc w:val="center"/>
              <w:rPr>
                <w:sz w:val="20"/>
                <w:szCs w:val="20"/>
              </w:rPr>
            </w:pPr>
            <w:r w:rsidRPr="00E2692E">
              <w:rPr>
                <w:sz w:val="20"/>
                <w:szCs w:val="20"/>
              </w:rPr>
              <w:t>5,740.0</w:t>
            </w:r>
          </w:p>
        </w:tc>
        <w:tc>
          <w:tcPr>
            <w:tcW w:w="16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D73BE1" w14:textId="77777777" w:rsidR="004442B5" w:rsidRPr="00E2692E" w:rsidRDefault="004442B5" w:rsidP="002C7EE3">
            <w:pPr>
              <w:ind w:firstLine="0"/>
              <w:jc w:val="center"/>
              <w:rPr>
                <w:sz w:val="20"/>
                <w:szCs w:val="20"/>
              </w:rPr>
            </w:pPr>
            <w:r w:rsidRPr="00E2692E">
              <w:rPr>
                <w:sz w:val="20"/>
                <w:szCs w:val="20"/>
              </w:rPr>
              <w:t>17,908.0</w:t>
            </w:r>
          </w:p>
        </w:tc>
      </w:tr>
      <w:tr w:rsidR="004442B5" w:rsidRPr="00A35CD3" w14:paraId="33A02E7D" w14:textId="77777777" w:rsidTr="00E2692E">
        <w:trPr>
          <w:trHeight w:val="300"/>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04261634" w14:textId="77777777" w:rsidR="004442B5" w:rsidRPr="00E2692E" w:rsidRDefault="004442B5" w:rsidP="002C7EE3">
            <w:pPr>
              <w:spacing w:line="240" w:lineRule="auto"/>
              <w:ind w:left="227" w:firstLine="34"/>
              <w:jc w:val="left"/>
              <w:rPr>
                <w:sz w:val="20"/>
                <w:szCs w:val="20"/>
              </w:rPr>
            </w:pPr>
            <w:r w:rsidRPr="00E2692E">
              <w:rPr>
                <w:sz w:val="20"/>
                <w:szCs w:val="20"/>
              </w:rPr>
              <w:t>«Էներգակարգաբերում» ՓԲԸ</w:t>
            </w:r>
            <w:r w:rsidRPr="00E2692E">
              <w:rPr>
                <w:sz w:val="20"/>
                <w:szCs w:val="20"/>
              </w:rPr>
              <w:footnoteReference w:id="20"/>
            </w:r>
          </w:p>
        </w:tc>
        <w:tc>
          <w:tcPr>
            <w:tcW w:w="1655" w:type="dxa"/>
            <w:tcBorders>
              <w:top w:val="single" w:sz="4" w:space="0" w:color="auto"/>
              <w:left w:val="single" w:sz="4" w:space="0" w:color="auto"/>
              <w:bottom w:val="single" w:sz="4" w:space="0" w:color="auto"/>
              <w:right w:val="single" w:sz="4" w:space="0" w:color="auto"/>
            </w:tcBorders>
            <w:noWrap/>
            <w:vAlign w:val="center"/>
            <w:hideMark/>
          </w:tcPr>
          <w:p w14:paraId="442E7852" w14:textId="77777777" w:rsidR="004442B5" w:rsidRPr="00E2692E" w:rsidRDefault="004442B5" w:rsidP="002C7EE3">
            <w:pPr>
              <w:spacing w:line="360" w:lineRule="auto"/>
              <w:ind w:firstLine="0"/>
              <w:jc w:val="center"/>
              <w:rPr>
                <w:sz w:val="20"/>
                <w:szCs w:val="20"/>
              </w:rPr>
            </w:pPr>
            <w:r w:rsidRPr="00E2692E">
              <w:rPr>
                <w:sz w:val="20"/>
                <w:szCs w:val="20"/>
              </w:rPr>
              <w:t>2,848.0</w:t>
            </w:r>
          </w:p>
        </w:tc>
        <w:tc>
          <w:tcPr>
            <w:tcW w:w="1655" w:type="dxa"/>
            <w:tcBorders>
              <w:top w:val="single" w:sz="4" w:space="0" w:color="auto"/>
              <w:left w:val="single" w:sz="4" w:space="0" w:color="auto"/>
              <w:bottom w:val="single" w:sz="4" w:space="0" w:color="auto"/>
              <w:right w:val="single" w:sz="4" w:space="0" w:color="auto"/>
            </w:tcBorders>
            <w:noWrap/>
            <w:vAlign w:val="center"/>
            <w:hideMark/>
          </w:tcPr>
          <w:p w14:paraId="45CABACE" w14:textId="77777777" w:rsidR="004442B5" w:rsidRPr="00E2692E" w:rsidRDefault="004442B5" w:rsidP="002C7EE3">
            <w:pPr>
              <w:spacing w:line="360" w:lineRule="auto"/>
              <w:ind w:firstLine="0"/>
              <w:jc w:val="center"/>
              <w:rPr>
                <w:sz w:val="20"/>
                <w:szCs w:val="20"/>
              </w:rPr>
            </w:pPr>
            <w:r w:rsidRPr="00E2692E">
              <w:rPr>
                <w:sz w:val="20"/>
                <w:szCs w:val="20"/>
              </w:rPr>
              <w:t>6,449.0</w:t>
            </w:r>
          </w:p>
        </w:tc>
        <w:tc>
          <w:tcPr>
            <w:tcW w:w="1656" w:type="dxa"/>
            <w:tcBorders>
              <w:top w:val="single" w:sz="4" w:space="0" w:color="auto"/>
              <w:left w:val="single" w:sz="4" w:space="0" w:color="auto"/>
              <w:bottom w:val="single" w:sz="4" w:space="0" w:color="auto"/>
              <w:right w:val="single" w:sz="4" w:space="0" w:color="auto"/>
            </w:tcBorders>
            <w:vAlign w:val="center"/>
            <w:hideMark/>
          </w:tcPr>
          <w:p w14:paraId="0D6D4296" w14:textId="77777777" w:rsidR="004442B5" w:rsidRPr="00E2692E" w:rsidRDefault="004442B5" w:rsidP="002C7EE3">
            <w:pPr>
              <w:ind w:firstLine="0"/>
              <w:jc w:val="center"/>
              <w:rPr>
                <w:sz w:val="20"/>
                <w:szCs w:val="20"/>
              </w:rPr>
            </w:pPr>
            <w:r w:rsidRPr="00E2692E">
              <w:rPr>
                <w:sz w:val="20"/>
                <w:szCs w:val="20"/>
              </w:rPr>
              <w:t>-</w:t>
            </w:r>
          </w:p>
        </w:tc>
      </w:tr>
      <w:tr w:rsidR="004442B5" w:rsidRPr="00A35CD3" w14:paraId="034BD276" w14:textId="77777777" w:rsidTr="001B57F3">
        <w:trPr>
          <w:trHeight w:val="197"/>
        </w:trPr>
        <w:tc>
          <w:tcPr>
            <w:tcW w:w="552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23243B84" w14:textId="77777777" w:rsidR="004442B5" w:rsidRPr="00E2692E" w:rsidRDefault="004442B5" w:rsidP="002C7EE3">
            <w:pPr>
              <w:spacing w:line="240" w:lineRule="auto"/>
              <w:ind w:left="227" w:firstLine="34"/>
              <w:jc w:val="left"/>
              <w:rPr>
                <w:sz w:val="20"/>
                <w:szCs w:val="20"/>
              </w:rPr>
            </w:pPr>
            <w:r w:rsidRPr="00E2692E">
              <w:rPr>
                <w:sz w:val="20"/>
                <w:szCs w:val="20"/>
              </w:rPr>
              <w:t>«Հաշվարկային կենտրոն» ՓԲԸ</w:t>
            </w:r>
          </w:p>
        </w:tc>
        <w:tc>
          <w:tcPr>
            <w:tcW w:w="16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00C0315" w14:textId="77777777" w:rsidR="004442B5" w:rsidRPr="00E2692E" w:rsidRDefault="004442B5" w:rsidP="002C7EE3">
            <w:pPr>
              <w:spacing w:line="360" w:lineRule="auto"/>
              <w:ind w:firstLine="0"/>
              <w:jc w:val="center"/>
              <w:rPr>
                <w:sz w:val="20"/>
                <w:szCs w:val="20"/>
              </w:rPr>
            </w:pPr>
            <w:r w:rsidRPr="00E2692E">
              <w:rPr>
                <w:sz w:val="20"/>
                <w:szCs w:val="20"/>
              </w:rPr>
              <w:t>25,315.0</w:t>
            </w:r>
          </w:p>
        </w:tc>
        <w:tc>
          <w:tcPr>
            <w:tcW w:w="16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7DF0516" w14:textId="77777777" w:rsidR="004442B5" w:rsidRPr="00E2692E" w:rsidRDefault="004442B5" w:rsidP="002C7EE3">
            <w:pPr>
              <w:spacing w:line="360" w:lineRule="auto"/>
              <w:ind w:firstLine="0"/>
              <w:jc w:val="center"/>
              <w:rPr>
                <w:sz w:val="20"/>
                <w:szCs w:val="20"/>
              </w:rPr>
            </w:pPr>
            <w:r w:rsidRPr="00E2692E">
              <w:rPr>
                <w:sz w:val="20"/>
                <w:szCs w:val="20"/>
              </w:rPr>
              <w:t>31,990.0</w:t>
            </w:r>
          </w:p>
        </w:tc>
        <w:tc>
          <w:tcPr>
            <w:tcW w:w="16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D2E945" w14:textId="77777777" w:rsidR="004442B5" w:rsidRPr="00E2692E" w:rsidRDefault="004442B5" w:rsidP="002C7EE3">
            <w:pPr>
              <w:ind w:firstLine="0"/>
              <w:jc w:val="center"/>
              <w:rPr>
                <w:sz w:val="20"/>
                <w:szCs w:val="20"/>
              </w:rPr>
            </w:pPr>
            <w:r w:rsidRPr="00E2692E">
              <w:rPr>
                <w:sz w:val="20"/>
                <w:szCs w:val="20"/>
              </w:rPr>
              <w:t>15,133.0</w:t>
            </w:r>
          </w:p>
        </w:tc>
      </w:tr>
      <w:tr w:rsidR="004442B5" w:rsidRPr="00A35CD3" w14:paraId="23685386" w14:textId="77777777" w:rsidTr="00E2692E">
        <w:trPr>
          <w:trHeight w:val="161"/>
        </w:trPr>
        <w:tc>
          <w:tcPr>
            <w:tcW w:w="5524" w:type="dxa"/>
            <w:tcBorders>
              <w:top w:val="single" w:sz="4" w:space="0" w:color="auto"/>
              <w:left w:val="single" w:sz="4" w:space="0" w:color="auto"/>
              <w:bottom w:val="single" w:sz="4" w:space="0" w:color="auto"/>
              <w:right w:val="single" w:sz="4" w:space="0" w:color="auto"/>
            </w:tcBorders>
            <w:noWrap/>
            <w:vAlign w:val="bottom"/>
            <w:hideMark/>
          </w:tcPr>
          <w:p w14:paraId="0ED5BCE8" w14:textId="77777777" w:rsidR="004442B5" w:rsidRPr="00E2692E" w:rsidRDefault="004442B5" w:rsidP="002C7EE3">
            <w:pPr>
              <w:spacing w:line="240" w:lineRule="auto"/>
              <w:ind w:left="227" w:firstLine="34"/>
              <w:jc w:val="left"/>
              <w:rPr>
                <w:sz w:val="20"/>
                <w:szCs w:val="20"/>
              </w:rPr>
            </w:pPr>
            <w:r w:rsidRPr="00E2692E">
              <w:rPr>
                <w:sz w:val="20"/>
                <w:szCs w:val="20"/>
              </w:rPr>
              <w:t>«Հայատոմ» ՓԲԸ</w:t>
            </w:r>
          </w:p>
        </w:tc>
        <w:tc>
          <w:tcPr>
            <w:tcW w:w="1655" w:type="dxa"/>
            <w:tcBorders>
              <w:top w:val="single" w:sz="4" w:space="0" w:color="auto"/>
              <w:left w:val="single" w:sz="4" w:space="0" w:color="auto"/>
              <w:bottom w:val="single" w:sz="4" w:space="0" w:color="auto"/>
              <w:right w:val="single" w:sz="4" w:space="0" w:color="auto"/>
            </w:tcBorders>
            <w:noWrap/>
            <w:vAlign w:val="center"/>
            <w:hideMark/>
          </w:tcPr>
          <w:p w14:paraId="38BCC110" w14:textId="77777777" w:rsidR="004442B5" w:rsidRPr="00E2692E" w:rsidRDefault="004442B5" w:rsidP="002C7EE3">
            <w:pPr>
              <w:spacing w:line="360" w:lineRule="auto"/>
              <w:ind w:firstLine="0"/>
              <w:jc w:val="center"/>
              <w:rPr>
                <w:sz w:val="20"/>
                <w:szCs w:val="20"/>
              </w:rPr>
            </w:pPr>
            <w:r w:rsidRPr="00E2692E">
              <w:rPr>
                <w:sz w:val="20"/>
                <w:szCs w:val="20"/>
              </w:rPr>
              <w:t>(48,096.0)</w:t>
            </w:r>
          </w:p>
        </w:tc>
        <w:tc>
          <w:tcPr>
            <w:tcW w:w="1655" w:type="dxa"/>
            <w:tcBorders>
              <w:top w:val="single" w:sz="4" w:space="0" w:color="auto"/>
              <w:left w:val="single" w:sz="4" w:space="0" w:color="auto"/>
              <w:bottom w:val="single" w:sz="4" w:space="0" w:color="auto"/>
              <w:right w:val="single" w:sz="4" w:space="0" w:color="auto"/>
            </w:tcBorders>
            <w:noWrap/>
            <w:vAlign w:val="center"/>
            <w:hideMark/>
          </w:tcPr>
          <w:p w14:paraId="3C4756CF" w14:textId="77777777" w:rsidR="004442B5" w:rsidRPr="00E2692E" w:rsidRDefault="004442B5" w:rsidP="002C7EE3">
            <w:pPr>
              <w:spacing w:line="360" w:lineRule="auto"/>
              <w:ind w:firstLine="0"/>
              <w:jc w:val="center"/>
              <w:rPr>
                <w:sz w:val="20"/>
                <w:szCs w:val="20"/>
              </w:rPr>
            </w:pPr>
            <w:r w:rsidRPr="00E2692E">
              <w:rPr>
                <w:sz w:val="20"/>
                <w:szCs w:val="20"/>
              </w:rPr>
              <w:t>11,872.0</w:t>
            </w:r>
          </w:p>
        </w:tc>
        <w:tc>
          <w:tcPr>
            <w:tcW w:w="1656" w:type="dxa"/>
            <w:tcBorders>
              <w:top w:val="single" w:sz="4" w:space="0" w:color="auto"/>
              <w:left w:val="single" w:sz="4" w:space="0" w:color="auto"/>
              <w:bottom w:val="single" w:sz="4" w:space="0" w:color="auto"/>
              <w:right w:val="single" w:sz="4" w:space="0" w:color="auto"/>
            </w:tcBorders>
            <w:vAlign w:val="center"/>
            <w:hideMark/>
          </w:tcPr>
          <w:p w14:paraId="17DA0E6E" w14:textId="77777777" w:rsidR="004442B5" w:rsidRPr="00E2692E" w:rsidRDefault="004442B5" w:rsidP="002C7EE3">
            <w:pPr>
              <w:ind w:firstLine="0"/>
              <w:jc w:val="center"/>
              <w:rPr>
                <w:sz w:val="20"/>
                <w:szCs w:val="20"/>
              </w:rPr>
            </w:pPr>
            <w:r w:rsidRPr="00E2692E">
              <w:rPr>
                <w:sz w:val="20"/>
                <w:szCs w:val="20"/>
              </w:rPr>
              <w:t>11,468.0</w:t>
            </w:r>
          </w:p>
        </w:tc>
      </w:tr>
      <w:tr w:rsidR="004442B5" w:rsidRPr="00A35CD3" w14:paraId="736209FE" w14:textId="77777777" w:rsidTr="001B57F3">
        <w:trPr>
          <w:trHeight w:val="253"/>
        </w:trPr>
        <w:tc>
          <w:tcPr>
            <w:tcW w:w="552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7459130B" w14:textId="77777777" w:rsidR="004442B5" w:rsidRPr="00A35CD3" w:rsidRDefault="004442B5" w:rsidP="002C7EE3">
            <w:pPr>
              <w:spacing w:line="240" w:lineRule="auto"/>
              <w:ind w:left="227" w:firstLine="34"/>
              <w:jc w:val="left"/>
            </w:pPr>
            <w:r w:rsidRPr="00A35CD3">
              <w:t>«Անալիտիկ» ՓԲԸ</w:t>
            </w:r>
          </w:p>
        </w:tc>
        <w:tc>
          <w:tcPr>
            <w:tcW w:w="16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83C8542" w14:textId="77777777" w:rsidR="004442B5" w:rsidRPr="00A35CD3" w:rsidRDefault="004442B5" w:rsidP="002C7EE3">
            <w:pPr>
              <w:spacing w:line="360" w:lineRule="auto"/>
              <w:ind w:firstLine="0"/>
              <w:jc w:val="center"/>
            </w:pPr>
            <w:r w:rsidRPr="00A35CD3">
              <w:t>9,353.0</w:t>
            </w:r>
          </w:p>
        </w:tc>
        <w:tc>
          <w:tcPr>
            <w:tcW w:w="16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4D0FCFB" w14:textId="77777777" w:rsidR="004442B5" w:rsidRPr="00A35CD3" w:rsidRDefault="004442B5" w:rsidP="002C7EE3">
            <w:pPr>
              <w:spacing w:line="360" w:lineRule="auto"/>
              <w:ind w:firstLine="0"/>
              <w:jc w:val="center"/>
            </w:pPr>
            <w:r w:rsidRPr="00A35CD3">
              <w:t>10,585.0</w:t>
            </w:r>
          </w:p>
        </w:tc>
        <w:tc>
          <w:tcPr>
            <w:tcW w:w="16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861861" w14:textId="77777777" w:rsidR="004442B5" w:rsidRPr="00A35CD3" w:rsidRDefault="004442B5" w:rsidP="002C7EE3">
            <w:pPr>
              <w:ind w:firstLine="0"/>
              <w:jc w:val="center"/>
            </w:pPr>
            <w:r w:rsidRPr="00A35CD3">
              <w:t>9,956.0</w:t>
            </w:r>
          </w:p>
        </w:tc>
      </w:tr>
    </w:tbl>
    <w:p w14:paraId="13263D6D" w14:textId="77777777" w:rsidR="004442B5" w:rsidRPr="00227565" w:rsidRDefault="004442B5" w:rsidP="00E2692E">
      <w:pPr>
        <w:spacing w:line="276" w:lineRule="auto"/>
        <w:ind w:firstLine="709"/>
        <w:rPr>
          <w:rFonts w:eastAsia="Calibri" w:cs="Arial"/>
          <w:b/>
          <w:lang w:val="hy-AM"/>
        </w:rPr>
      </w:pPr>
      <w:r w:rsidRPr="00A35CD3">
        <w:t>Հաշվետու ժամանակաշրջանում նախորդ ժամանակաշրջանի նկատմամբ Ընկերություն</w:t>
      </w:r>
      <w:r w:rsidRPr="00A35CD3">
        <w:softHyphen/>
        <w:t xml:space="preserve">ների հանրագումարային սեփական կապիտալը </w:t>
      </w:r>
      <w:r w:rsidRPr="00A35CD3">
        <w:rPr>
          <w:lang w:val="hy-AM"/>
        </w:rPr>
        <w:t>նվազել</w:t>
      </w:r>
      <w:r w:rsidRPr="00A35CD3">
        <w:t xml:space="preserve"> է </w:t>
      </w:r>
      <w:r w:rsidRPr="00A35CD3">
        <w:rPr>
          <w:lang w:val="hy-AM"/>
        </w:rPr>
        <w:t>մոտ 2</w:t>
      </w:r>
      <w:r w:rsidRPr="00A35CD3">
        <w:t>.</w:t>
      </w:r>
      <w:r w:rsidRPr="00A35CD3">
        <w:rPr>
          <w:lang w:val="hy-AM"/>
        </w:rPr>
        <w:t>0</w:t>
      </w:r>
      <w:r w:rsidRPr="00A35CD3">
        <w:t xml:space="preserve"> մլրդ դրամով (</w:t>
      </w:r>
      <w:r w:rsidRPr="00A35CD3">
        <w:rPr>
          <w:lang w:val="hy-AM"/>
        </w:rPr>
        <w:t>2</w:t>
      </w:r>
      <w:r w:rsidRPr="00A35CD3">
        <w:t>.</w:t>
      </w:r>
      <w:r w:rsidRPr="00A35CD3">
        <w:rPr>
          <w:lang w:val="hy-AM"/>
        </w:rPr>
        <w:t>3</w:t>
      </w:r>
      <w:r w:rsidRPr="00A35CD3">
        <w:t xml:space="preserve">%-ով) </w:t>
      </w:r>
      <w:r w:rsidRPr="00A35CD3">
        <w:rPr>
          <w:rFonts w:eastAsia="Calibri" w:cs="Sylfaen"/>
        </w:rPr>
        <w:t>և</w:t>
      </w:r>
      <w:r w:rsidRPr="00A35CD3">
        <w:rPr>
          <w:rFonts w:eastAsia="Calibri" w:cs="Arial"/>
        </w:rPr>
        <w:t xml:space="preserve"> </w:t>
      </w:r>
      <w:r w:rsidRPr="00A35CD3">
        <w:rPr>
          <w:rFonts w:eastAsia="Calibri" w:cs="Sylfaen"/>
        </w:rPr>
        <w:t>կազմել</w:t>
      </w:r>
      <w:r w:rsidRPr="00A35CD3">
        <w:rPr>
          <w:rFonts w:eastAsia="Calibri" w:cs="Arial"/>
          <w:b/>
        </w:rPr>
        <w:t xml:space="preserve"> </w:t>
      </w:r>
      <w:r w:rsidRPr="00A35CD3">
        <w:rPr>
          <w:rFonts w:eastAsia="Calibri" w:cs="Arial"/>
        </w:rPr>
        <w:t xml:space="preserve">83.2 </w:t>
      </w:r>
      <w:r w:rsidRPr="00A35CD3">
        <w:rPr>
          <w:rFonts w:eastAsia="Calibri" w:cs="Sylfaen"/>
        </w:rPr>
        <w:t>մլրդ</w:t>
      </w:r>
      <w:r w:rsidRPr="00A35CD3">
        <w:rPr>
          <w:rFonts w:eastAsia="Calibri" w:cs="Arial"/>
        </w:rPr>
        <w:t xml:space="preserve"> </w:t>
      </w:r>
      <w:r w:rsidRPr="00A35CD3">
        <w:rPr>
          <w:rFonts w:eastAsia="Calibri" w:cs="Sylfaen"/>
        </w:rPr>
        <w:t>դրամ</w:t>
      </w:r>
      <w:r w:rsidRPr="00A35CD3">
        <w:rPr>
          <w:rFonts w:eastAsia="Calibri" w:cs="Arial"/>
        </w:rPr>
        <w:t>:</w:t>
      </w:r>
      <w:r w:rsidRPr="00A35CD3">
        <w:rPr>
          <w:rFonts w:eastAsia="Calibri"/>
        </w:rPr>
        <w:t xml:space="preserve"> </w:t>
      </w:r>
      <w:r w:rsidRPr="00A35CD3">
        <w:t>Ընդ որում Ընկերությունների հանրագումարային պարտավորությունները 4.</w:t>
      </w:r>
      <w:r w:rsidRPr="00A35CD3">
        <w:rPr>
          <w:lang w:val="hy-AM"/>
        </w:rPr>
        <w:t>6</w:t>
      </w:r>
      <w:r w:rsidRPr="00A35CD3">
        <w:t xml:space="preserve"> անգամ գերազանցում են սեփական կապիտալի հանրագումարային մեծությանը (տես աղյուսակ </w:t>
      </w:r>
      <w:r w:rsidR="00E2692E">
        <w:t>5.</w:t>
      </w:r>
      <w:r w:rsidRPr="00A35CD3">
        <w:t xml:space="preserve">2): </w:t>
      </w:r>
      <w:r w:rsidRPr="00A35CD3">
        <w:rPr>
          <w:lang w:val="hy-AM"/>
        </w:rPr>
        <w:t xml:space="preserve"> </w:t>
      </w:r>
    </w:p>
    <w:p w14:paraId="3D0F44A8" w14:textId="77777777" w:rsidR="00E2692E" w:rsidRDefault="00E2692E" w:rsidP="00E2692E">
      <w:pPr>
        <w:spacing w:after="0" w:line="276" w:lineRule="auto"/>
        <w:ind w:firstLine="720"/>
        <w:rPr>
          <w:b/>
          <w:sz w:val="20"/>
          <w:szCs w:val="20"/>
          <w:lang w:val="hy-AM"/>
        </w:rPr>
      </w:pPr>
    </w:p>
    <w:p w14:paraId="0DC9B481" w14:textId="77777777" w:rsidR="004442B5" w:rsidRPr="00E2692E" w:rsidRDefault="004442B5" w:rsidP="004442B5">
      <w:pPr>
        <w:spacing w:after="0" w:line="240" w:lineRule="auto"/>
        <w:ind w:firstLine="720"/>
        <w:rPr>
          <w:b/>
          <w:sz w:val="20"/>
          <w:szCs w:val="20"/>
          <w:lang w:val="hy-AM"/>
        </w:rPr>
      </w:pPr>
      <w:r w:rsidRPr="00E2692E">
        <w:rPr>
          <w:b/>
          <w:sz w:val="20"/>
          <w:szCs w:val="20"/>
          <w:lang w:val="hy-AM"/>
        </w:rPr>
        <w:t xml:space="preserve">Աղյուսակ </w:t>
      </w:r>
      <w:r w:rsidR="00E2692E" w:rsidRPr="00BE7F99">
        <w:rPr>
          <w:b/>
          <w:sz w:val="20"/>
          <w:szCs w:val="20"/>
          <w:lang w:val="hy-AM"/>
        </w:rPr>
        <w:t>5.</w:t>
      </w:r>
      <w:r w:rsidRPr="00E2692E">
        <w:rPr>
          <w:b/>
          <w:sz w:val="20"/>
          <w:szCs w:val="20"/>
          <w:lang w:val="hy-AM"/>
        </w:rPr>
        <w:t xml:space="preserve">2 </w:t>
      </w:r>
      <w:r w:rsidRPr="00E2692E">
        <w:rPr>
          <w:i/>
          <w:sz w:val="20"/>
          <w:szCs w:val="20"/>
          <w:lang w:val="hy-AM"/>
        </w:rPr>
        <w:t xml:space="preserve">Էներգետիկայի ոլորտի պետական մասնակցությամբ ընկերությունների հանրագումարային հաշվապահական հաշվեկշիռը 2017թ. դեկտեմբերի 31-ի, 2018թ. դեկտեմբերի 31-ի և 2019թ. դեկտեմբերի 31-ի դրությամբ                                                                                                                       </w:t>
      </w:r>
    </w:p>
    <w:p w14:paraId="0E1E79AE" w14:textId="77777777" w:rsidR="004442B5" w:rsidRPr="00827C34" w:rsidRDefault="004442B5" w:rsidP="004442B5">
      <w:pPr>
        <w:spacing w:after="0" w:line="240" w:lineRule="auto"/>
        <w:jc w:val="center"/>
        <w:rPr>
          <w:i/>
          <w:sz w:val="18"/>
          <w:szCs w:val="18"/>
        </w:rPr>
      </w:pPr>
      <w:r w:rsidRPr="00227565">
        <w:rPr>
          <w:i/>
          <w:sz w:val="18"/>
          <w:szCs w:val="18"/>
          <w:lang w:val="hy-AM"/>
        </w:rPr>
        <w:t xml:space="preserve">                                                                                                                                          </w:t>
      </w:r>
      <w:r w:rsidRPr="00E23BBD">
        <w:rPr>
          <w:i/>
          <w:sz w:val="18"/>
          <w:szCs w:val="18"/>
        </w:rPr>
        <w:t>հազ. դրամ</w:t>
      </w:r>
    </w:p>
    <w:tbl>
      <w:tblPr>
        <w:tblpPr w:leftFromText="180" w:rightFromText="180" w:bottomFromText="160" w:vertAnchor="text" w:horzAnchor="margin" w:tblpY="267"/>
        <w:tblW w:w="10173" w:type="dxa"/>
        <w:tblLook w:val="04A0" w:firstRow="1" w:lastRow="0" w:firstColumn="1" w:lastColumn="0" w:noHBand="0" w:noVBand="1"/>
      </w:tblPr>
      <w:tblGrid>
        <w:gridCol w:w="4757"/>
        <w:gridCol w:w="1806"/>
        <w:gridCol w:w="1804"/>
        <w:gridCol w:w="1806"/>
      </w:tblGrid>
      <w:tr w:rsidR="00E2692E" w:rsidRPr="00A35CD3" w14:paraId="5852AAE5" w14:textId="77777777" w:rsidTr="00E2692E">
        <w:trPr>
          <w:trHeight w:val="191"/>
          <w:tblHeader/>
        </w:trPr>
        <w:tc>
          <w:tcPr>
            <w:tcW w:w="4757" w:type="dxa"/>
            <w:tcBorders>
              <w:top w:val="single" w:sz="4" w:space="0" w:color="auto"/>
              <w:left w:val="single" w:sz="4" w:space="0" w:color="auto"/>
              <w:bottom w:val="single" w:sz="4" w:space="0" w:color="auto"/>
              <w:right w:val="single" w:sz="4" w:space="0" w:color="auto"/>
            </w:tcBorders>
            <w:shd w:val="clear" w:color="auto" w:fill="4F81BD" w:themeFill="accent1"/>
          </w:tcPr>
          <w:p w14:paraId="422EC042" w14:textId="77777777" w:rsidR="00E2692E" w:rsidRPr="00E2692E" w:rsidRDefault="00E2692E" w:rsidP="00E2692E">
            <w:pPr>
              <w:spacing w:line="360" w:lineRule="auto"/>
              <w:ind w:firstLine="0"/>
              <w:jc w:val="left"/>
              <w:rPr>
                <w:sz w:val="20"/>
                <w:szCs w:val="20"/>
              </w:rPr>
            </w:pPr>
            <w:r w:rsidRPr="00E2692E">
              <w:rPr>
                <w:color w:val="FFFFFF" w:themeColor="background1"/>
                <w:sz w:val="20"/>
                <w:szCs w:val="20"/>
              </w:rPr>
              <w:lastRenderedPageBreak/>
              <w:t>Հաշվեկշռային հոդվածներ</w:t>
            </w:r>
          </w:p>
        </w:tc>
        <w:tc>
          <w:tcPr>
            <w:tcW w:w="1806" w:type="dxa"/>
            <w:tcBorders>
              <w:top w:val="single" w:sz="4" w:space="0" w:color="auto"/>
              <w:left w:val="nil"/>
              <w:bottom w:val="single" w:sz="4" w:space="0" w:color="auto"/>
              <w:right w:val="single" w:sz="4" w:space="0" w:color="auto"/>
            </w:tcBorders>
            <w:shd w:val="clear" w:color="auto" w:fill="4F81BD" w:themeFill="accent1"/>
            <w:noWrap/>
          </w:tcPr>
          <w:p w14:paraId="169278B9" w14:textId="77777777" w:rsidR="00E2692E" w:rsidRPr="00E2692E" w:rsidRDefault="00E2692E" w:rsidP="00E2692E">
            <w:pPr>
              <w:spacing w:line="360" w:lineRule="auto"/>
              <w:ind w:firstLine="0"/>
              <w:jc w:val="center"/>
              <w:rPr>
                <w:sz w:val="20"/>
                <w:szCs w:val="20"/>
              </w:rPr>
            </w:pPr>
            <w:r w:rsidRPr="00E2692E">
              <w:rPr>
                <w:color w:val="FFFFFF" w:themeColor="background1"/>
                <w:sz w:val="20"/>
                <w:szCs w:val="20"/>
              </w:rPr>
              <w:t>2017թ.</w:t>
            </w:r>
          </w:p>
        </w:tc>
        <w:tc>
          <w:tcPr>
            <w:tcW w:w="1804" w:type="dxa"/>
            <w:tcBorders>
              <w:top w:val="single" w:sz="4" w:space="0" w:color="auto"/>
              <w:left w:val="nil"/>
              <w:bottom w:val="single" w:sz="4" w:space="0" w:color="auto"/>
              <w:right w:val="single" w:sz="4" w:space="0" w:color="auto"/>
            </w:tcBorders>
            <w:shd w:val="clear" w:color="auto" w:fill="4F81BD" w:themeFill="accent1"/>
            <w:noWrap/>
          </w:tcPr>
          <w:p w14:paraId="0C2E1565" w14:textId="77777777" w:rsidR="00E2692E" w:rsidRPr="00E2692E" w:rsidRDefault="00E2692E" w:rsidP="00E2692E">
            <w:pPr>
              <w:spacing w:line="360" w:lineRule="auto"/>
              <w:ind w:firstLine="0"/>
              <w:jc w:val="center"/>
              <w:rPr>
                <w:sz w:val="20"/>
                <w:szCs w:val="20"/>
              </w:rPr>
            </w:pPr>
            <w:r w:rsidRPr="00E2692E">
              <w:rPr>
                <w:color w:val="FFFFFF" w:themeColor="background1"/>
                <w:sz w:val="20"/>
                <w:szCs w:val="20"/>
              </w:rPr>
              <w:t>2018թ.</w:t>
            </w:r>
          </w:p>
        </w:tc>
        <w:tc>
          <w:tcPr>
            <w:tcW w:w="1806" w:type="dxa"/>
            <w:tcBorders>
              <w:top w:val="single" w:sz="4" w:space="0" w:color="auto"/>
              <w:left w:val="single" w:sz="4" w:space="0" w:color="auto"/>
              <w:bottom w:val="single" w:sz="4" w:space="0" w:color="auto"/>
              <w:right w:val="single" w:sz="4" w:space="0" w:color="auto"/>
            </w:tcBorders>
            <w:shd w:val="clear" w:color="auto" w:fill="4F81BD" w:themeFill="accent1"/>
            <w:noWrap/>
          </w:tcPr>
          <w:p w14:paraId="5EF78268" w14:textId="77777777" w:rsidR="00E2692E" w:rsidRPr="00E2692E" w:rsidRDefault="00E2692E" w:rsidP="00E2692E">
            <w:pPr>
              <w:ind w:firstLine="0"/>
              <w:jc w:val="center"/>
              <w:rPr>
                <w:sz w:val="20"/>
                <w:szCs w:val="20"/>
              </w:rPr>
            </w:pPr>
            <w:r w:rsidRPr="00E2692E">
              <w:rPr>
                <w:color w:val="FFFFFF" w:themeColor="background1"/>
                <w:sz w:val="20"/>
                <w:szCs w:val="20"/>
              </w:rPr>
              <w:t>2019թ.</w:t>
            </w:r>
          </w:p>
        </w:tc>
      </w:tr>
      <w:tr w:rsidR="004442B5" w:rsidRPr="00A35CD3" w14:paraId="2ADD0665" w14:textId="77777777" w:rsidTr="00FF692C">
        <w:trPr>
          <w:trHeight w:val="191"/>
          <w:tblHeader/>
        </w:trPr>
        <w:tc>
          <w:tcPr>
            <w:tcW w:w="4757" w:type="dxa"/>
            <w:tcBorders>
              <w:top w:val="nil"/>
              <w:left w:val="single" w:sz="8" w:space="0" w:color="auto"/>
              <w:bottom w:val="single" w:sz="4" w:space="0" w:color="auto"/>
              <w:right w:val="single" w:sz="4" w:space="0" w:color="auto"/>
            </w:tcBorders>
            <w:shd w:val="clear" w:color="auto" w:fill="C6D9F1" w:themeFill="text2" w:themeFillTint="33"/>
            <w:vAlign w:val="center"/>
            <w:hideMark/>
          </w:tcPr>
          <w:p w14:paraId="7672E83B" w14:textId="77777777" w:rsidR="004442B5" w:rsidRPr="00E2692E" w:rsidRDefault="004442B5" w:rsidP="00C85113">
            <w:pPr>
              <w:spacing w:line="360" w:lineRule="auto"/>
              <w:ind w:firstLine="0"/>
              <w:jc w:val="left"/>
              <w:rPr>
                <w:sz w:val="20"/>
                <w:szCs w:val="20"/>
              </w:rPr>
            </w:pPr>
            <w:r w:rsidRPr="00E2692E">
              <w:rPr>
                <w:sz w:val="20"/>
                <w:szCs w:val="20"/>
              </w:rPr>
              <w:t>1. Ընդամենը ակտիվներ</w:t>
            </w:r>
          </w:p>
        </w:tc>
        <w:tc>
          <w:tcPr>
            <w:tcW w:w="1806" w:type="dxa"/>
            <w:tcBorders>
              <w:top w:val="nil"/>
              <w:left w:val="nil"/>
              <w:bottom w:val="single" w:sz="4" w:space="0" w:color="auto"/>
              <w:right w:val="single" w:sz="4" w:space="0" w:color="auto"/>
            </w:tcBorders>
            <w:shd w:val="clear" w:color="auto" w:fill="C6D9F1" w:themeFill="text2" w:themeFillTint="33"/>
            <w:noWrap/>
            <w:vAlign w:val="center"/>
            <w:hideMark/>
          </w:tcPr>
          <w:p w14:paraId="314425DB" w14:textId="77777777" w:rsidR="004442B5" w:rsidRPr="00E2692E" w:rsidRDefault="004442B5" w:rsidP="00C85113">
            <w:pPr>
              <w:spacing w:line="360" w:lineRule="auto"/>
              <w:ind w:firstLine="0"/>
              <w:jc w:val="center"/>
              <w:rPr>
                <w:sz w:val="20"/>
                <w:szCs w:val="20"/>
              </w:rPr>
            </w:pPr>
            <w:r w:rsidRPr="00E2692E">
              <w:rPr>
                <w:sz w:val="20"/>
                <w:szCs w:val="20"/>
              </w:rPr>
              <w:t>374,591,875.0</w:t>
            </w:r>
          </w:p>
        </w:tc>
        <w:tc>
          <w:tcPr>
            <w:tcW w:w="1804" w:type="dxa"/>
            <w:tcBorders>
              <w:top w:val="nil"/>
              <w:left w:val="nil"/>
              <w:bottom w:val="single" w:sz="4" w:space="0" w:color="auto"/>
              <w:right w:val="single" w:sz="8" w:space="0" w:color="auto"/>
            </w:tcBorders>
            <w:shd w:val="clear" w:color="auto" w:fill="C6D9F1" w:themeFill="text2" w:themeFillTint="33"/>
            <w:noWrap/>
            <w:vAlign w:val="center"/>
            <w:hideMark/>
          </w:tcPr>
          <w:p w14:paraId="1E6D174E" w14:textId="77777777" w:rsidR="004442B5" w:rsidRPr="00E2692E" w:rsidRDefault="004442B5" w:rsidP="00C85113">
            <w:pPr>
              <w:spacing w:line="360" w:lineRule="auto"/>
              <w:ind w:firstLine="0"/>
              <w:jc w:val="center"/>
              <w:rPr>
                <w:sz w:val="20"/>
                <w:szCs w:val="20"/>
              </w:rPr>
            </w:pPr>
            <w:r w:rsidRPr="00E2692E">
              <w:rPr>
                <w:sz w:val="20"/>
                <w:szCs w:val="20"/>
              </w:rPr>
              <w:t>435,287,267.9</w:t>
            </w:r>
          </w:p>
        </w:tc>
        <w:tc>
          <w:tcPr>
            <w:tcW w:w="180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A23CF85" w14:textId="77777777" w:rsidR="004442B5" w:rsidRPr="00E2692E" w:rsidRDefault="004442B5" w:rsidP="00C85113">
            <w:pPr>
              <w:ind w:firstLine="0"/>
              <w:jc w:val="center"/>
              <w:rPr>
                <w:sz w:val="20"/>
                <w:szCs w:val="20"/>
              </w:rPr>
            </w:pPr>
            <w:r w:rsidRPr="00E2692E">
              <w:rPr>
                <w:sz w:val="20"/>
                <w:szCs w:val="20"/>
              </w:rPr>
              <w:t>466,665,802.2</w:t>
            </w:r>
          </w:p>
        </w:tc>
      </w:tr>
      <w:tr w:rsidR="004442B5" w:rsidRPr="00A35CD3" w14:paraId="0BC656C4" w14:textId="77777777" w:rsidTr="00E2692E">
        <w:trPr>
          <w:trHeight w:val="187"/>
          <w:tblHeader/>
        </w:trPr>
        <w:tc>
          <w:tcPr>
            <w:tcW w:w="4757" w:type="dxa"/>
            <w:tcBorders>
              <w:top w:val="nil"/>
              <w:left w:val="single" w:sz="8" w:space="0" w:color="auto"/>
              <w:bottom w:val="single" w:sz="4" w:space="0" w:color="auto"/>
              <w:right w:val="single" w:sz="4" w:space="0" w:color="auto"/>
            </w:tcBorders>
            <w:vAlign w:val="bottom"/>
            <w:hideMark/>
          </w:tcPr>
          <w:p w14:paraId="7C4B2BCD" w14:textId="77777777" w:rsidR="004442B5" w:rsidRPr="00E2692E" w:rsidRDefault="004442B5" w:rsidP="00C85113">
            <w:pPr>
              <w:spacing w:line="360" w:lineRule="auto"/>
              <w:ind w:firstLine="0"/>
              <w:jc w:val="left"/>
              <w:rPr>
                <w:sz w:val="20"/>
                <w:szCs w:val="20"/>
              </w:rPr>
            </w:pPr>
            <w:r w:rsidRPr="00E2692E">
              <w:rPr>
                <w:sz w:val="20"/>
                <w:szCs w:val="20"/>
              </w:rPr>
              <w:t xml:space="preserve"> </w:t>
            </w:r>
            <w:r w:rsidRPr="00E2692E">
              <w:rPr>
                <w:sz w:val="20"/>
                <w:szCs w:val="20"/>
                <w:lang w:val="hy-AM"/>
              </w:rPr>
              <w:t xml:space="preserve">  </w:t>
            </w:r>
            <w:r w:rsidRPr="00E2692E">
              <w:rPr>
                <w:sz w:val="20"/>
                <w:szCs w:val="20"/>
              </w:rPr>
              <w:t>- Ընթացիկ ակտիվներ</w:t>
            </w:r>
          </w:p>
        </w:tc>
        <w:tc>
          <w:tcPr>
            <w:tcW w:w="1806" w:type="dxa"/>
            <w:tcBorders>
              <w:top w:val="nil"/>
              <w:left w:val="nil"/>
              <w:bottom w:val="single" w:sz="4" w:space="0" w:color="auto"/>
              <w:right w:val="single" w:sz="4" w:space="0" w:color="auto"/>
            </w:tcBorders>
            <w:noWrap/>
            <w:vAlign w:val="center"/>
            <w:hideMark/>
          </w:tcPr>
          <w:p w14:paraId="6ADC52E1" w14:textId="77777777" w:rsidR="004442B5" w:rsidRPr="00E2692E" w:rsidRDefault="004442B5" w:rsidP="00C85113">
            <w:pPr>
              <w:spacing w:line="360" w:lineRule="auto"/>
              <w:ind w:firstLine="0"/>
              <w:jc w:val="center"/>
              <w:rPr>
                <w:sz w:val="20"/>
                <w:szCs w:val="20"/>
              </w:rPr>
            </w:pPr>
            <w:r w:rsidRPr="00E2692E">
              <w:rPr>
                <w:sz w:val="20"/>
                <w:szCs w:val="20"/>
              </w:rPr>
              <w:t>81,579,395.0</w:t>
            </w:r>
          </w:p>
        </w:tc>
        <w:tc>
          <w:tcPr>
            <w:tcW w:w="1804" w:type="dxa"/>
            <w:tcBorders>
              <w:top w:val="nil"/>
              <w:left w:val="nil"/>
              <w:bottom w:val="single" w:sz="4" w:space="0" w:color="auto"/>
              <w:right w:val="single" w:sz="8" w:space="0" w:color="auto"/>
            </w:tcBorders>
            <w:noWrap/>
            <w:vAlign w:val="center"/>
            <w:hideMark/>
          </w:tcPr>
          <w:p w14:paraId="216461E0" w14:textId="77777777" w:rsidR="004442B5" w:rsidRPr="00E2692E" w:rsidRDefault="004442B5" w:rsidP="00C85113">
            <w:pPr>
              <w:spacing w:line="360" w:lineRule="auto"/>
              <w:ind w:firstLine="0"/>
              <w:jc w:val="center"/>
              <w:rPr>
                <w:sz w:val="20"/>
                <w:szCs w:val="20"/>
              </w:rPr>
            </w:pPr>
            <w:r w:rsidRPr="00E2692E">
              <w:rPr>
                <w:sz w:val="20"/>
                <w:szCs w:val="20"/>
              </w:rPr>
              <w:t>79,960,062.9</w:t>
            </w:r>
          </w:p>
        </w:tc>
        <w:tc>
          <w:tcPr>
            <w:tcW w:w="1806" w:type="dxa"/>
            <w:tcBorders>
              <w:top w:val="nil"/>
              <w:left w:val="single" w:sz="4" w:space="0" w:color="auto"/>
              <w:bottom w:val="single" w:sz="4" w:space="0" w:color="auto"/>
              <w:right w:val="single" w:sz="4" w:space="0" w:color="auto"/>
            </w:tcBorders>
            <w:noWrap/>
            <w:vAlign w:val="center"/>
            <w:hideMark/>
          </w:tcPr>
          <w:p w14:paraId="230B83A7" w14:textId="77777777" w:rsidR="004442B5" w:rsidRPr="00E2692E" w:rsidRDefault="004442B5" w:rsidP="00C85113">
            <w:pPr>
              <w:ind w:firstLine="0"/>
              <w:jc w:val="center"/>
              <w:rPr>
                <w:sz w:val="20"/>
                <w:szCs w:val="20"/>
              </w:rPr>
            </w:pPr>
            <w:r w:rsidRPr="00E2692E">
              <w:rPr>
                <w:sz w:val="20"/>
                <w:szCs w:val="20"/>
              </w:rPr>
              <w:t>84,423,033.2</w:t>
            </w:r>
          </w:p>
        </w:tc>
      </w:tr>
      <w:tr w:rsidR="004442B5" w:rsidRPr="00A35CD3" w14:paraId="29A7DA3E" w14:textId="77777777" w:rsidTr="00E2692E">
        <w:trPr>
          <w:trHeight w:val="187"/>
          <w:tblHeader/>
        </w:trPr>
        <w:tc>
          <w:tcPr>
            <w:tcW w:w="4757" w:type="dxa"/>
            <w:tcBorders>
              <w:top w:val="nil"/>
              <w:left w:val="single" w:sz="8" w:space="0" w:color="auto"/>
              <w:bottom w:val="single" w:sz="4" w:space="0" w:color="auto"/>
              <w:right w:val="single" w:sz="4" w:space="0" w:color="auto"/>
            </w:tcBorders>
            <w:vAlign w:val="bottom"/>
            <w:hideMark/>
          </w:tcPr>
          <w:p w14:paraId="52FB606A" w14:textId="77777777" w:rsidR="004442B5" w:rsidRPr="00E2692E" w:rsidRDefault="004442B5" w:rsidP="00C85113">
            <w:pPr>
              <w:spacing w:line="360" w:lineRule="auto"/>
              <w:ind w:firstLine="0"/>
              <w:jc w:val="left"/>
              <w:rPr>
                <w:sz w:val="20"/>
                <w:szCs w:val="20"/>
              </w:rPr>
            </w:pPr>
            <w:r w:rsidRPr="00E2692E">
              <w:rPr>
                <w:sz w:val="20"/>
                <w:szCs w:val="20"/>
                <w:lang w:val="hy-AM"/>
              </w:rPr>
              <w:t xml:space="preserve">  </w:t>
            </w:r>
            <w:r w:rsidRPr="00E2692E">
              <w:rPr>
                <w:sz w:val="20"/>
                <w:szCs w:val="20"/>
              </w:rPr>
              <w:t xml:space="preserve"> - Ոչ ընթացիկ ակտիվներ</w:t>
            </w:r>
          </w:p>
        </w:tc>
        <w:tc>
          <w:tcPr>
            <w:tcW w:w="1806" w:type="dxa"/>
            <w:tcBorders>
              <w:top w:val="nil"/>
              <w:left w:val="nil"/>
              <w:bottom w:val="single" w:sz="4" w:space="0" w:color="auto"/>
              <w:right w:val="single" w:sz="4" w:space="0" w:color="auto"/>
            </w:tcBorders>
            <w:noWrap/>
            <w:vAlign w:val="center"/>
            <w:hideMark/>
          </w:tcPr>
          <w:p w14:paraId="10AE99BA" w14:textId="77777777" w:rsidR="004442B5" w:rsidRPr="00E2692E" w:rsidRDefault="004442B5" w:rsidP="00C85113">
            <w:pPr>
              <w:spacing w:line="360" w:lineRule="auto"/>
              <w:ind w:firstLine="0"/>
              <w:jc w:val="center"/>
              <w:rPr>
                <w:sz w:val="20"/>
                <w:szCs w:val="20"/>
              </w:rPr>
            </w:pPr>
            <w:r w:rsidRPr="00E2692E">
              <w:rPr>
                <w:sz w:val="20"/>
                <w:szCs w:val="20"/>
              </w:rPr>
              <w:t>293,012,480.0</w:t>
            </w:r>
          </w:p>
        </w:tc>
        <w:tc>
          <w:tcPr>
            <w:tcW w:w="1804" w:type="dxa"/>
            <w:tcBorders>
              <w:top w:val="nil"/>
              <w:left w:val="nil"/>
              <w:bottom w:val="single" w:sz="4" w:space="0" w:color="auto"/>
              <w:right w:val="single" w:sz="8" w:space="0" w:color="auto"/>
            </w:tcBorders>
            <w:noWrap/>
            <w:vAlign w:val="center"/>
            <w:hideMark/>
          </w:tcPr>
          <w:p w14:paraId="154C3889" w14:textId="77777777" w:rsidR="004442B5" w:rsidRPr="00E2692E" w:rsidRDefault="004442B5" w:rsidP="00C85113">
            <w:pPr>
              <w:spacing w:line="360" w:lineRule="auto"/>
              <w:ind w:firstLine="0"/>
              <w:jc w:val="center"/>
              <w:rPr>
                <w:sz w:val="20"/>
                <w:szCs w:val="20"/>
              </w:rPr>
            </w:pPr>
            <w:r w:rsidRPr="00E2692E">
              <w:rPr>
                <w:sz w:val="20"/>
                <w:szCs w:val="20"/>
              </w:rPr>
              <w:t>355,327,205.0</w:t>
            </w:r>
          </w:p>
        </w:tc>
        <w:tc>
          <w:tcPr>
            <w:tcW w:w="1806" w:type="dxa"/>
            <w:tcBorders>
              <w:top w:val="nil"/>
              <w:left w:val="single" w:sz="4" w:space="0" w:color="auto"/>
              <w:bottom w:val="single" w:sz="4" w:space="0" w:color="auto"/>
              <w:right w:val="single" w:sz="4" w:space="0" w:color="auto"/>
            </w:tcBorders>
            <w:noWrap/>
            <w:vAlign w:val="center"/>
            <w:hideMark/>
          </w:tcPr>
          <w:p w14:paraId="28218995" w14:textId="77777777" w:rsidR="004442B5" w:rsidRPr="00E2692E" w:rsidRDefault="004442B5" w:rsidP="00C85113">
            <w:pPr>
              <w:ind w:firstLine="0"/>
              <w:jc w:val="center"/>
              <w:rPr>
                <w:sz w:val="20"/>
                <w:szCs w:val="20"/>
              </w:rPr>
            </w:pPr>
            <w:r w:rsidRPr="00E2692E">
              <w:rPr>
                <w:sz w:val="20"/>
                <w:szCs w:val="20"/>
              </w:rPr>
              <w:t>382,242,768.9</w:t>
            </w:r>
          </w:p>
        </w:tc>
      </w:tr>
      <w:tr w:rsidR="004442B5" w:rsidRPr="00A35CD3" w14:paraId="0D03D117" w14:textId="77777777" w:rsidTr="00FF692C">
        <w:trPr>
          <w:trHeight w:val="187"/>
          <w:tblHeader/>
        </w:trPr>
        <w:tc>
          <w:tcPr>
            <w:tcW w:w="475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14:paraId="276C5072" w14:textId="77777777" w:rsidR="004442B5" w:rsidRPr="00E2692E" w:rsidRDefault="004442B5" w:rsidP="00C85113">
            <w:pPr>
              <w:spacing w:line="360" w:lineRule="auto"/>
              <w:ind w:firstLine="0"/>
              <w:jc w:val="left"/>
              <w:rPr>
                <w:sz w:val="20"/>
                <w:szCs w:val="20"/>
              </w:rPr>
            </w:pPr>
            <w:r w:rsidRPr="00E2692E">
              <w:rPr>
                <w:sz w:val="20"/>
                <w:szCs w:val="20"/>
              </w:rPr>
              <w:t>2. Ընդամենը պարտավորություններ</w:t>
            </w:r>
          </w:p>
        </w:tc>
        <w:tc>
          <w:tcPr>
            <w:tcW w:w="180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0156E9AE" w14:textId="77777777" w:rsidR="004442B5" w:rsidRPr="00E2692E" w:rsidRDefault="004442B5" w:rsidP="00C85113">
            <w:pPr>
              <w:spacing w:line="360" w:lineRule="auto"/>
              <w:ind w:firstLine="0"/>
              <w:jc w:val="center"/>
              <w:rPr>
                <w:sz w:val="20"/>
                <w:szCs w:val="20"/>
              </w:rPr>
            </w:pPr>
            <w:r w:rsidRPr="00E2692E">
              <w:rPr>
                <w:sz w:val="20"/>
                <w:szCs w:val="20"/>
              </w:rPr>
              <w:t>292,908,638.0</w:t>
            </w:r>
          </w:p>
        </w:tc>
        <w:tc>
          <w:tcPr>
            <w:tcW w:w="180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E4F5787" w14:textId="77777777" w:rsidR="004442B5" w:rsidRPr="00E2692E" w:rsidRDefault="004442B5" w:rsidP="00C85113">
            <w:pPr>
              <w:spacing w:line="360" w:lineRule="auto"/>
              <w:ind w:firstLine="0"/>
              <w:jc w:val="center"/>
              <w:rPr>
                <w:sz w:val="20"/>
                <w:szCs w:val="20"/>
              </w:rPr>
            </w:pPr>
            <w:r w:rsidRPr="00E2692E">
              <w:rPr>
                <w:sz w:val="20"/>
                <w:szCs w:val="20"/>
              </w:rPr>
              <w:t>350,159,009.6</w:t>
            </w:r>
          </w:p>
        </w:tc>
        <w:tc>
          <w:tcPr>
            <w:tcW w:w="1806"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44DDD366" w14:textId="77777777" w:rsidR="004442B5" w:rsidRPr="00E2692E" w:rsidRDefault="004442B5" w:rsidP="00C85113">
            <w:pPr>
              <w:ind w:firstLine="0"/>
              <w:jc w:val="center"/>
              <w:rPr>
                <w:sz w:val="20"/>
                <w:szCs w:val="20"/>
              </w:rPr>
            </w:pPr>
            <w:r w:rsidRPr="00E2692E">
              <w:rPr>
                <w:sz w:val="20"/>
                <w:szCs w:val="20"/>
              </w:rPr>
              <w:t>383,500,663.1</w:t>
            </w:r>
          </w:p>
        </w:tc>
      </w:tr>
      <w:tr w:rsidR="004442B5" w:rsidRPr="00A35CD3" w14:paraId="3721211A" w14:textId="77777777" w:rsidTr="00E2692E">
        <w:trPr>
          <w:trHeight w:val="187"/>
          <w:tblHeader/>
        </w:trPr>
        <w:tc>
          <w:tcPr>
            <w:tcW w:w="4757" w:type="dxa"/>
            <w:tcBorders>
              <w:top w:val="single" w:sz="4" w:space="0" w:color="auto"/>
              <w:left w:val="single" w:sz="4" w:space="0" w:color="auto"/>
              <w:bottom w:val="single" w:sz="4" w:space="0" w:color="auto"/>
              <w:right w:val="single" w:sz="4" w:space="0" w:color="auto"/>
            </w:tcBorders>
            <w:vAlign w:val="bottom"/>
            <w:hideMark/>
          </w:tcPr>
          <w:p w14:paraId="66791B72" w14:textId="77777777" w:rsidR="004442B5" w:rsidRPr="00E2692E" w:rsidRDefault="004442B5" w:rsidP="00C85113">
            <w:pPr>
              <w:spacing w:line="360" w:lineRule="auto"/>
              <w:ind w:firstLine="0"/>
              <w:jc w:val="left"/>
              <w:rPr>
                <w:sz w:val="20"/>
                <w:szCs w:val="20"/>
              </w:rPr>
            </w:pPr>
            <w:r w:rsidRPr="00E2692E">
              <w:rPr>
                <w:sz w:val="20"/>
                <w:szCs w:val="20"/>
                <w:lang w:val="hy-AM"/>
              </w:rPr>
              <w:t xml:space="preserve"> </w:t>
            </w:r>
            <w:r w:rsidRPr="00E2692E">
              <w:rPr>
                <w:sz w:val="20"/>
                <w:szCs w:val="20"/>
              </w:rPr>
              <w:t xml:space="preserve"> - Ընթացիկ պարտավորություններ</w:t>
            </w:r>
          </w:p>
        </w:tc>
        <w:tc>
          <w:tcPr>
            <w:tcW w:w="1806" w:type="dxa"/>
            <w:tcBorders>
              <w:top w:val="single" w:sz="4" w:space="0" w:color="auto"/>
              <w:left w:val="nil"/>
              <w:bottom w:val="single" w:sz="4" w:space="0" w:color="auto"/>
              <w:right w:val="single" w:sz="4" w:space="0" w:color="auto"/>
            </w:tcBorders>
            <w:noWrap/>
            <w:vAlign w:val="center"/>
            <w:hideMark/>
          </w:tcPr>
          <w:p w14:paraId="4F1ED82D" w14:textId="77777777" w:rsidR="004442B5" w:rsidRPr="00E2692E" w:rsidRDefault="004442B5" w:rsidP="00C85113">
            <w:pPr>
              <w:spacing w:line="360" w:lineRule="auto"/>
              <w:ind w:firstLine="0"/>
              <w:jc w:val="center"/>
              <w:rPr>
                <w:sz w:val="20"/>
                <w:szCs w:val="20"/>
              </w:rPr>
            </w:pPr>
            <w:r w:rsidRPr="00E2692E">
              <w:rPr>
                <w:sz w:val="20"/>
                <w:szCs w:val="20"/>
              </w:rPr>
              <w:t>74,564,883.0</w:t>
            </w:r>
          </w:p>
        </w:tc>
        <w:tc>
          <w:tcPr>
            <w:tcW w:w="1804" w:type="dxa"/>
            <w:tcBorders>
              <w:top w:val="single" w:sz="4" w:space="0" w:color="auto"/>
              <w:left w:val="nil"/>
              <w:bottom w:val="single" w:sz="4" w:space="0" w:color="auto"/>
              <w:right w:val="single" w:sz="4" w:space="0" w:color="auto"/>
            </w:tcBorders>
            <w:noWrap/>
            <w:vAlign w:val="center"/>
            <w:hideMark/>
          </w:tcPr>
          <w:p w14:paraId="6D582889" w14:textId="77777777" w:rsidR="004442B5" w:rsidRPr="00E2692E" w:rsidRDefault="004442B5" w:rsidP="00C85113">
            <w:pPr>
              <w:spacing w:line="360" w:lineRule="auto"/>
              <w:ind w:firstLine="0"/>
              <w:jc w:val="center"/>
              <w:rPr>
                <w:sz w:val="20"/>
                <w:szCs w:val="20"/>
              </w:rPr>
            </w:pPr>
            <w:r w:rsidRPr="00E2692E">
              <w:rPr>
                <w:sz w:val="20"/>
                <w:szCs w:val="20"/>
              </w:rPr>
              <w:t>66,335,523.5</w:t>
            </w:r>
          </w:p>
        </w:tc>
        <w:tc>
          <w:tcPr>
            <w:tcW w:w="1806" w:type="dxa"/>
            <w:tcBorders>
              <w:top w:val="nil"/>
              <w:left w:val="single" w:sz="4" w:space="0" w:color="auto"/>
              <w:bottom w:val="single" w:sz="4" w:space="0" w:color="auto"/>
              <w:right w:val="single" w:sz="4" w:space="0" w:color="auto"/>
            </w:tcBorders>
            <w:noWrap/>
            <w:vAlign w:val="center"/>
            <w:hideMark/>
          </w:tcPr>
          <w:p w14:paraId="6A180914" w14:textId="77777777" w:rsidR="004442B5" w:rsidRPr="00E2692E" w:rsidRDefault="004442B5" w:rsidP="00C85113">
            <w:pPr>
              <w:ind w:firstLine="0"/>
              <w:jc w:val="center"/>
              <w:rPr>
                <w:sz w:val="20"/>
                <w:szCs w:val="20"/>
              </w:rPr>
            </w:pPr>
            <w:r w:rsidRPr="00E2692E">
              <w:rPr>
                <w:sz w:val="20"/>
                <w:szCs w:val="20"/>
              </w:rPr>
              <w:t>66,024,817.6</w:t>
            </w:r>
          </w:p>
        </w:tc>
      </w:tr>
      <w:tr w:rsidR="004442B5" w:rsidRPr="00A35CD3" w14:paraId="5A751C42" w14:textId="77777777" w:rsidTr="00E2692E">
        <w:trPr>
          <w:trHeight w:val="187"/>
          <w:tblHeader/>
        </w:trPr>
        <w:tc>
          <w:tcPr>
            <w:tcW w:w="4757" w:type="dxa"/>
            <w:tcBorders>
              <w:top w:val="single" w:sz="4" w:space="0" w:color="auto"/>
              <w:left w:val="single" w:sz="4" w:space="0" w:color="auto"/>
              <w:bottom w:val="single" w:sz="4" w:space="0" w:color="auto"/>
              <w:right w:val="single" w:sz="4" w:space="0" w:color="auto"/>
            </w:tcBorders>
            <w:vAlign w:val="bottom"/>
            <w:hideMark/>
          </w:tcPr>
          <w:p w14:paraId="0CFFBE50" w14:textId="77777777" w:rsidR="004442B5" w:rsidRPr="00E2692E" w:rsidRDefault="004442B5" w:rsidP="00C85113">
            <w:pPr>
              <w:spacing w:line="360" w:lineRule="auto"/>
              <w:ind w:firstLine="0"/>
              <w:jc w:val="left"/>
              <w:rPr>
                <w:sz w:val="20"/>
                <w:szCs w:val="20"/>
              </w:rPr>
            </w:pPr>
            <w:r w:rsidRPr="00E2692E">
              <w:rPr>
                <w:sz w:val="20"/>
                <w:szCs w:val="20"/>
              </w:rPr>
              <w:t xml:space="preserve"> </w:t>
            </w:r>
            <w:r w:rsidRPr="00E2692E">
              <w:rPr>
                <w:sz w:val="20"/>
                <w:szCs w:val="20"/>
                <w:lang w:val="hy-AM"/>
              </w:rPr>
              <w:t xml:space="preserve"> </w:t>
            </w:r>
            <w:r w:rsidRPr="00E2692E">
              <w:rPr>
                <w:sz w:val="20"/>
                <w:szCs w:val="20"/>
              </w:rPr>
              <w:t>- Ոչ ընթացիկ պարտավորություններ</w:t>
            </w:r>
          </w:p>
        </w:tc>
        <w:tc>
          <w:tcPr>
            <w:tcW w:w="1806" w:type="dxa"/>
            <w:tcBorders>
              <w:top w:val="single" w:sz="4" w:space="0" w:color="auto"/>
              <w:left w:val="nil"/>
              <w:bottom w:val="single" w:sz="4" w:space="0" w:color="auto"/>
              <w:right w:val="single" w:sz="4" w:space="0" w:color="auto"/>
            </w:tcBorders>
            <w:noWrap/>
            <w:vAlign w:val="center"/>
            <w:hideMark/>
          </w:tcPr>
          <w:p w14:paraId="4A34AAB3" w14:textId="77777777" w:rsidR="004442B5" w:rsidRPr="00E2692E" w:rsidRDefault="004442B5" w:rsidP="00C85113">
            <w:pPr>
              <w:spacing w:line="360" w:lineRule="auto"/>
              <w:ind w:firstLine="0"/>
              <w:jc w:val="center"/>
              <w:rPr>
                <w:sz w:val="20"/>
                <w:szCs w:val="20"/>
              </w:rPr>
            </w:pPr>
            <w:r w:rsidRPr="00E2692E">
              <w:rPr>
                <w:sz w:val="20"/>
                <w:szCs w:val="20"/>
              </w:rPr>
              <w:t>218,343,755.0</w:t>
            </w:r>
          </w:p>
        </w:tc>
        <w:tc>
          <w:tcPr>
            <w:tcW w:w="1804" w:type="dxa"/>
            <w:tcBorders>
              <w:top w:val="single" w:sz="4" w:space="0" w:color="auto"/>
              <w:left w:val="nil"/>
              <w:bottom w:val="single" w:sz="4" w:space="0" w:color="auto"/>
              <w:right w:val="single" w:sz="4" w:space="0" w:color="auto"/>
            </w:tcBorders>
            <w:noWrap/>
            <w:vAlign w:val="center"/>
            <w:hideMark/>
          </w:tcPr>
          <w:p w14:paraId="6185723D" w14:textId="77777777" w:rsidR="004442B5" w:rsidRPr="00E2692E" w:rsidRDefault="004442B5" w:rsidP="00C85113">
            <w:pPr>
              <w:spacing w:line="360" w:lineRule="auto"/>
              <w:ind w:firstLine="0"/>
              <w:jc w:val="center"/>
              <w:rPr>
                <w:sz w:val="20"/>
                <w:szCs w:val="20"/>
              </w:rPr>
            </w:pPr>
            <w:r w:rsidRPr="00E2692E">
              <w:rPr>
                <w:sz w:val="20"/>
                <w:szCs w:val="20"/>
              </w:rPr>
              <w:t>283,823,486.1</w:t>
            </w:r>
          </w:p>
        </w:tc>
        <w:tc>
          <w:tcPr>
            <w:tcW w:w="1806" w:type="dxa"/>
            <w:tcBorders>
              <w:top w:val="nil"/>
              <w:left w:val="single" w:sz="4" w:space="0" w:color="auto"/>
              <w:bottom w:val="single" w:sz="4" w:space="0" w:color="auto"/>
              <w:right w:val="single" w:sz="4" w:space="0" w:color="auto"/>
            </w:tcBorders>
            <w:noWrap/>
            <w:vAlign w:val="center"/>
            <w:hideMark/>
          </w:tcPr>
          <w:p w14:paraId="577C6680" w14:textId="77777777" w:rsidR="004442B5" w:rsidRPr="00E2692E" w:rsidRDefault="004442B5" w:rsidP="00C85113">
            <w:pPr>
              <w:ind w:firstLine="0"/>
              <w:jc w:val="center"/>
              <w:rPr>
                <w:sz w:val="20"/>
                <w:szCs w:val="20"/>
              </w:rPr>
            </w:pPr>
            <w:r w:rsidRPr="00E2692E">
              <w:rPr>
                <w:sz w:val="20"/>
                <w:szCs w:val="20"/>
              </w:rPr>
              <w:t>317,475,845.5</w:t>
            </w:r>
          </w:p>
        </w:tc>
      </w:tr>
      <w:tr w:rsidR="004442B5" w:rsidRPr="00A35CD3" w14:paraId="35DA2D28" w14:textId="77777777" w:rsidTr="00FF692C">
        <w:trPr>
          <w:trHeight w:val="187"/>
          <w:tblHeader/>
        </w:trPr>
        <w:tc>
          <w:tcPr>
            <w:tcW w:w="475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hideMark/>
          </w:tcPr>
          <w:p w14:paraId="59C9EF0F" w14:textId="77777777" w:rsidR="004442B5" w:rsidRPr="00E2692E" w:rsidRDefault="004442B5" w:rsidP="00C85113">
            <w:pPr>
              <w:spacing w:after="0" w:line="360" w:lineRule="auto"/>
              <w:ind w:firstLine="0"/>
              <w:jc w:val="left"/>
              <w:rPr>
                <w:sz w:val="20"/>
                <w:szCs w:val="20"/>
              </w:rPr>
            </w:pPr>
            <w:r w:rsidRPr="00E2692E">
              <w:rPr>
                <w:sz w:val="20"/>
                <w:szCs w:val="20"/>
              </w:rPr>
              <w:t>3. Սեփական կապիտալ (զուտ ակտիվներ)</w:t>
            </w:r>
          </w:p>
        </w:tc>
        <w:tc>
          <w:tcPr>
            <w:tcW w:w="1806"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32E4FF8C" w14:textId="77777777" w:rsidR="004442B5" w:rsidRPr="00E2692E" w:rsidRDefault="004442B5" w:rsidP="00C85113">
            <w:pPr>
              <w:spacing w:after="0" w:line="360" w:lineRule="auto"/>
              <w:ind w:firstLine="0"/>
              <w:jc w:val="center"/>
              <w:rPr>
                <w:sz w:val="20"/>
                <w:szCs w:val="20"/>
              </w:rPr>
            </w:pPr>
            <w:r w:rsidRPr="00E2692E">
              <w:rPr>
                <w:sz w:val="20"/>
                <w:szCs w:val="20"/>
              </w:rPr>
              <w:t>81,683,237.0</w:t>
            </w:r>
          </w:p>
        </w:tc>
        <w:tc>
          <w:tcPr>
            <w:tcW w:w="180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162C6352" w14:textId="77777777" w:rsidR="004442B5" w:rsidRPr="00E2692E" w:rsidRDefault="004442B5" w:rsidP="00C85113">
            <w:pPr>
              <w:spacing w:after="0" w:line="360" w:lineRule="auto"/>
              <w:ind w:firstLine="0"/>
              <w:jc w:val="center"/>
              <w:rPr>
                <w:sz w:val="20"/>
                <w:szCs w:val="20"/>
              </w:rPr>
            </w:pPr>
            <w:r w:rsidRPr="00E2692E">
              <w:rPr>
                <w:sz w:val="20"/>
                <w:szCs w:val="20"/>
              </w:rPr>
              <w:t>85,128,259.0</w:t>
            </w:r>
          </w:p>
        </w:tc>
        <w:tc>
          <w:tcPr>
            <w:tcW w:w="1806"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3FEB02E0" w14:textId="77777777" w:rsidR="004442B5" w:rsidRPr="00E2692E" w:rsidRDefault="004442B5" w:rsidP="00C85113">
            <w:pPr>
              <w:spacing w:after="0"/>
              <w:ind w:firstLine="0"/>
              <w:jc w:val="center"/>
              <w:rPr>
                <w:sz w:val="20"/>
                <w:szCs w:val="20"/>
              </w:rPr>
            </w:pPr>
            <w:r w:rsidRPr="00E2692E">
              <w:rPr>
                <w:sz w:val="20"/>
                <w:szCs w:val="20"/>
              </w:rPr>
              <w:t>83,165,139.0</w:t>
            </w:r>
          </w:p>
        </w:tc>
      </w:tr>
    </w:tbl>
    <w:p w14:paraId="0E0332F2" w14:textId="77777777" w:rsidR="004442B5" w:rsidRDefault="004442B5" w:rsidP="004442B5">
      <w:pPr>
        <w:spacing w:after="0" w:line="276" w:lineRule="auto"/>
        <w:ind w:firstLine="0"/>
      </w:pPr>
    </w:p>
    <w:p w14:paraId="2BC63878" w14:textId="77777777" w:rsidR="004442B5" w:rsidRPr="003A3567" w:rsidRDefault="004442B5" w:rsidP="00E2692E">
      <w:pPr>
        <w:spacing w:after="0" w:line="276" w:lineRule="auto"/>
        <w:ind w:firstLine="0"/>
        <w:rPr>
          <w:lang w:val="hy-AM"/>
        </w:rPr>
      </w:pPr>
      <w:r>
        <w:t xml:space="preserve">          </w:t>
      </w:r>
      <w:r w:rsidRPr="003A3567">
        <w:rPr>
          <w:lang w:val="hy-AM"/>
        </w:rPr>
        <w:t>Վարկային պարտավորությունների հետ կապված անհրաժեշտ է նշել, որ Ընկերություն</w:t>
      </w:r>
      <w:r w:rsidRPr="003A3567">
        <w:rPr>
          <w:lang w:val="hy-AM"/>
        </w:rPr>
        <w:softHyphen/>
        <w:t>ները չունեն ժամկետանց վարկային պարտավորություններ, ինչպես նաև ՀՀ կառավարության կողմից բյուջետային երաշխիքներ չեն ստացել: Ընդ որում «Երևանի ՋԷԿ», «Բարձրավոլտ էլեկտրական ցանցեր» և «Հայկական ատոմային էլեկտրակայան»</w:t>
      </w:r>
      <w:r w:rsidRPr="003A3567">
        <w:rPr>
          <w:rFonts w:ascii="Courier New" w:hAnsi="Courier New" w:cs="Courier New"/>
          <w:lang w:val="hy-AM"/>
        </w:rPr>
        <w:t> </w:t>
      </w:r>
      <w:r w:rsidRPr="003A3567">
        <w:rPr>
          <w:lang w:val="hy-AM"/>
        </w:rPr>
        <w:t>ՓԲԸ-ները հանդիսանում են միջազգային կազմակերպությունների և օտարերկրյա պետությունների աջակցությամբ իրակա</w:t>
      </w:r>
      <w:r w:rsidRPr="003A3567">
        <w:rPr>
          <w:lang w:val="hy-AM"/>
        </w:rPr>
        <w:softHyphen/>
        <w:t>նացվող նպատակային վարկային ծրագրերի շրջանակներում ենթավարկային պայմանագրերով Ոլորտին տրամադրված վարկային միջոցների խոշորագույն ստացողներից:</w:t>
      </w:r>
    </w:p>
    <w:p w14:paraId="6E71232A" w14:textId="77777777" w:rsidR="004442B5" w:rsidRPr="003A3567" w:rsidRDefault="004442B5" w:rsidP="00E2692E">
      <w:pPr>
        <w:spacing w:after="0" w:line="276" w:lineRule="auto"/>
        <w:ind w:firstLine="720"/>
        <w:rPr>
          <w:lang w:val="hy-AM"/>
        </w:rPr>
      </w:pPr>
      <w:r w:rsidRPr="003A3567">
        <w:rPr>
          <w:lang w:val="hy-AM"/>
        </w:rPr>
        <w:t xml:space="preserve">Ընկերությունները ներգրավված չեն այնպիսի տեղական կամ միջազգային դատական վարույթներում, որոնք կարող են էական ազդեցություն ունենալ այդ Ընկերությունների ֆինանսական վիճակի վրա: </w:t>
      </w:r>
    </w:p>
    <w:p w14:paraId="055EFEB8" w14:textId="77777777" w:rsidR="004442B5" w:rsidRPr="00A35CD3" w:rsidRDefault="004442B5" w:rsidP="00E2692E">
      <w:pPr>
        <w:spacing w:after="0" w:line="276" w:lineRule="auto"/>
        <w:ind w:firstLine="720"/>
        <w:rPr>
          <w:lang w:val="hy-AM"/>
        </w:rPr>
      </w:pPr>
      <w:r w:rsidRPr="003A3567">
        <w:rPr>
          <w:lang w:val="hy-AM"/>
        </w:rPr>
        <w:t xml:space="preserve">Հաշվետու ժամանակաշրջանում որոշ Ընկերությունների ֆինանսական կատարողականի փոքր-ինչ բարելավման արդյունքում ստացված շահութաբաժինները կազմել են </w:t>
      </w:r>
      <w:r w:rsidRPr="00A35CD3">
        <w:rPr>
          <w:lang w:val="hy-AM"/>
        </w:rPr>
        <w:t>49</w:t>
      </w:r>
      <w:r w:rsidRPr="003A3567">
        <w:rPr>
          <w:lang w:val="hy-AM"/>
        </w:rPr>
        <w:t>.</w:t>
      </w:r>
      <w:r w:rsidRPr="00A35CD3">
        <w:rPr>
          <w:lang w:val="hy-AM"/>
        </w:rPr>
        <w:t>5</w:t>
      </w:r>
      <w:r w:rsidRPr="003A3567">
        <w:rPr>
          <w:lang w:val="hy-AM"/>
        </w:rPr>
        <w:t xml:space="preserve"> մլն դրամ` կանխատեսվող </w:t>
      </w:r>
      <w:r w:rsidRPr="00A35CD3">
        <w:rPr>
          <w:lang w:val="hy-AM"/>
        </w:rPr>
        <w:t>36</w:t>
      </w:r>
      <w:r w:rsidRPr="003A3567">
        <w:rPr>
          <w:lang w:val="hy-AM"/>
        </w:rPr>
        <w:t>.</w:t>
      </w:r>
      <w:r w:rsidRPr="00A35CD3">
        <w:rPr>
          <w:lang w:val="hy-AM"/>
        </w:rPr>
        <w:t>0</w:t>
      </w:r>
      <w:r w:rsidRPr="003A3567">
        <w:rPr>
          <w:lang w:val="hy-AM"/>
        </w:rPr>
        <w:t xml:space="preserve"> մլն դրամի փոխարեն: Հետևաբար, 201</w:t>
      </w:r>
      <w:r w:rsidRPr="00A35CD3">
        <w:rPr>
          <w:lang w:val="hy-AM"/>
        </w:rPr>
        <w:t>9</w:t>
      </w:r>
      <w:r w:rsidRPr="003A3567">
        <w:rPr>
          <w:lang w:val="hy-AM"/>
        </w:rPr>
        <w:t>թ. փաստացի շահութա</w:t>
      </w:r>
      <w:r w:rsidRPr="003A3567">
        <w:rPr>
          <w:lang w:val="hy-AM"/>
        </w:rPr>
        <w:softHyphen/>
        <w:t xml:space="preserve">բաժինների գումարը 13.4 մլն դրամով </w:t>
      </w:r>
      <w:r w:rsidRPr="00A35CD3">
        <w:rPr>
          <w:lang w:val="hy-AM"/>
        </w:rPr>
        <w:t>գերազանցել</w:t>
      </w:r>
      <w:r w:rsidRPr="003A3567">
        <w:rPr>
          <w:lang w:val="hy-AM"/>
        </w:rPr>
        <w:t xml:space="preserve"> է կանխատեսվող ցուցանիշը, </w:t>
      </w:r>
      <w:r w:rsidRPr="00A35CD3">
        <w:rPr>
          <w:lang w:val="hy-AM"/>
        </w:rPr>
        <w:t xml:space="preserve">որը պայմանավորված է </w:t>
      </w:r>
      <w:r w:rsidRPr="003A3567">
        <w:rPr>
          <w:lang w:val="hy-AM"/>
        </w:rPr>
        <w:t>«Հաշվարկային կենտրոն» ՓԲԸ</w:t>
      </w:r>
      <w:r w:rsidRPr="00A35CD3">
        <w:rPr>
          <w:lang w:val="hy-AM"/>
        </w:rPr>
        <w:t>-ի մոտ 3 անգամ ավել շահութաբաժնի վճարմամբ։</w:t>
      </w:r>
    </w:p>
    <w:p w14:paraId="285E8115" w14:textId="77777777" w:rsidR="004442B5" w:rsidRPr="003A3567" w:rsidRDefault="004442B5" w:rsidP="00E2692E">
      <w:pPr>
        <w:spacing w:line="276" w:lineRule="auto"/>
        <w:rPr>
          <w:lang w:val="hy-AM"/>
        </w:rPr>
      </w:pPr>
      <w:r w:rsidRPr="003A3567">
        <w:rPr>
          <w:lang w:val="hy-AM"/>
        </w:rPr>
        <w:t xml:space="preserve">  </w:t>
      </w:r>
      <w:r w:rsidRPr="003A3567">
        <w:rPr>
          <w:lang w:val="hy-AM"/>
        </w:rPr>
        <w:tab/>
        <w:t xml:space="preserve">Ընկերությունների հարկաբյուջետային ռիսկերի գնահատման համար կիրառված ֆինանսական գործակիցների ամփոփ արդյունքները և պրակտիկայում ընդունված թույլատրելի սահմանային նորմաները ներկայացված են աղյուսակում: </w:t>
      </w:r>
    </w:p>
    <w:p w14:paraId="4C8ACADC" w14:textId="77777777" w:rsidR="00E2692E" w:rsidRDefault="00E2692E" w:rsidP="004442B5">
      <w:pPr>
        <w:spacing w:line="240" w:lineRule="auto"/>
        <w:rPr>
          <w:b/>
          <w:sz w:val="20"/>
          <w:szCs w:val="20"/>
          <w:lang w:val="hy-AM"/>
        </w:rPr>
      </w:pPr>
    </w:p>
    <w:p w14:paraId="039537A9" w14:textId="77777777" w:rsidR="00E2692E" w:rsidRDefault="00E2692E" w:rsidP="004442B5">
      <w:pPr>
        <w:spacing w:line="240" w:lineRule="auto"/>
        <w:rPr>
          <w:b/>
          <w:sz w:val="20"/>
          <w:szCs w:val="20"/>
          <w:lang w:val="hy-AM"/>
        </w:rPr>
      </w:pPr>
    </w:p>
    <w:p w14:paraId="0E850ACA" w14:textId="77777777" w:rsidR="004442B5" w:rsidRPr="00E2692E" w:rsidRDefault="004442B5" w:rsidP="004442B5">
      <w:pPr>
        <w:spacing w:line="240" w:lineRule="auto"/>
        <w:rPr>
          <w:i/>
          <w:sz w:val="20"/>
          <w:szCs w:val="20"/>
          <w:lang w:val="hy-AM"/>
        </w:rPr>
      </w:pPr>
      <w:r w:rsidRPr="00E2692E">
        <w:rPr>
          <w:b/>
          <w:sz w:val="20"/>
          <w:szCs w:val="20"/>
          <w:lang w:val="hy-AM"/>
        </w:rPr>
        <w:t xml:space="preserve">Աղյուսակ </w:t>
      </w:r>
      <w:r w:rsidR="00E2692E" w:rsidRPr="00BE7F99">
        <w:rPr>
          <w:b/>
          <w:sz w:val="20"/>
          <w:szCs w:val="20"/>
          <w:lang w:val="hy-AM"/>
        </w:rPr>
        <w:t>5.</w:t>
      </w:r>
      <w:r w:rsidRPr="00E2692E">
        <w:rPr>
          <w:b/>
          <w:sz w:val="20"/>
          <w:szCs w:val="20"/>
          <w:lang w:val="hy-AM"/>
        </w:rPr>
        <w:t xml:space="preserve">3 </w:t>
      </w:r>
      <w:r w:rsidRPr="00E2692E">
        <w:rPr>
          <w:i/>
          <w:sz w:val="20"/>
          <w:szCs w:val="20"/>
          <w:lang w:val="hy-AM"/>
        </w:rPr>
        <w:t xml:space="preserve">Էներգետիկայի ոլորտի պետական ընկերությունների հանրագումարային ֆինանսական ցուցանիշները </w:t>
      </w:r>
    </w:p>
    <w:p w14:paraId="20FBAA4C" w14:textId="77777777" w:rsidR="004442B5" w:rsidRPr="00227565" w:rsidRDefault="004442B5" w:rsidP="004442B5">
      <w:pPr>
        <w:spacing w:line="240" w:lineRule="auto"/>
        <w:rPr>
          <w:b/>
          <w:lang w:val="hy-AM"/>
        </w:rPr>
      </w:pPr>
    </w:p>
    <w:tbl>
      <w:tblPr>
        <w:tblW w:w="10348" w:type="dxa"/>
        <w:tblInd w:w="-34" w:type="dxa"/>
        <w:tblLook w:val="04A0" w:firstRow="1" w:lastRow="0" w:firstColumn="1" w:lastColumn="0" w:noHBand="0" w:noVBand="1"/>
      </w:tblPr>
      <w:tblGrid>
        <w:gridCol w:w="4111"/>
        <w:gridCol w:w="1134"/>
        <w:gridCol w:w="1134"/>
        <w:gridCol w:w="1136"/>
        <w:gridCol w:w="2833"/>
      </w:tblGrid>
      <w:tr w:rsidR="004442B5" w:rsidRPr="00622F6D" w14:paraId="2482D7C1" w14:textId="77777777" w:rsidTr="00C85113">
        <w:trPr>
          <w:trHeight w:val="393"/>
          <w:tblHeader/>
        </w:trPr>
        <w:tc>
          <w:tcPr>
            <w:tcW w:w="4111" w:type="dxa"/>
            <w:tcBorders>
              <w:top w:val="single" w:sz="4" w:space="0" w:color="auto"/>
              <w:left w:val="single" w:sz="12" w:space="0" w:color="auto"/>
              <w:bottom w:val="single" w:sz="4" w:space="0" w:color="auto"/>
              <w:right w:val="single" w:sz="4" w:space="0" w:color="auto"/>
            </w:tcBorders>
            <w:shd w:val="clear" w:color="auto" w:fill="0070C0"/>
            <w:vAlign w:val="center"/>
            <w:hideMark/>
          </w:tcPr>
          <w:p w14:paraId="71C0E0F3" w14:textId="77777777" w:rsidR="004442B5" w:rsidRPr="00E2692E" w:rsidRDefault="004442B5" w:rsidP="00C85113">
            <w:pPr>
              <w:spacing w:line="360" w:lineRule="auto"/>
              <w:ind w:firstLine="34"/>
              <w:rPr>
                <w:color w:val="FFFFFF" w:themeColor="background1"/>
                <w:sz w:val="20"/>
                <w:szCs w:val="20"/>
              </w:rPr>
            </w:pPr>
            <w:r w:rsidRPr="00E2692E">
              <w:rPr>
                <w:color w:val="FFFFFF" w:themeColor="background1"/>
                <w:sz w:val="20"/>
                <w:szCs w:val="20"/>
              </w:rPr>
              <w:t>Ցուցանիշ</w:t>
            </w:r>
          </w:p>
        </w:tc>
        <w:tc>
          <w:tcPr>
            <w:tcW w:w="1134"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F82C517" w14:textId="77777777" w:rsidR="004442B5" w:rsidRPr="00E2692E" w:rsidRDefault="004442B5" w:rsidP="00C85113">
            <w:pPr>
              <w:spacing w:line="360" w:lineRule="auto"/>
              <w:ind w:firstLine="34"/>
              <w:jc w:val="center"/>
              <w:rPr>
                <w:rFonts w:eastAsia="Times New Roman" w:cs="Times New Roman"/>
                <w:color w:val="FFFFFF" w:themeColor="background1"/>
                <w:sz w:val="20"/>
                <w:szCs w:val="20"/>
              </w:rPr>
            </w:pPr>
            <w:r w:rsidRPr="00E2692E">
              <w:rPr>
                <w:color w:val="FFFFFF" w:themeColor="background1"/>
                <w:sz w:val="20"/>
                <w:szCs w:val="20"/>
              </w:rPr>
              <w:t>201</w:t>
            </w:r>
            <w:r w:rsidRPr="00E2692E">
              <w:rPr>
                <w:color w:val="FFFFFF" w:themeColor="background1"/>
                <w:sz w:val="20"/>
                <w:szCs w:val="20"/>
                <w:lang w:val="hy-AM"/>
              </w:rPr>
              <w:t>7</w:t>
            </w:r>
            <w:r w:rsidRPr="00E2692E">
              <w:rPr>
                <w:color w:val="FFFFFF" w:themeColor="background1"/>
                <w:sz w:val="20"/>
                <w:szCs w:val="20"/>
              </w:rPr>
              <w:t>թ.</w:t>
            </w:r>
          </w:p>
        </w:tc>
        <w:tc>
          <w:tcPr>
            <w:tcW w:w="1134"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6CFABBE" w14:textId="77777777" w:rsidR="004442B5" w:rsidRPr="00E2692E" w:rsidRDefault="004442B5" w:rsidP="00C85113">
            <w:pPr>
              <w:spacing w:line="360" w:lineRule="auto"/>
              <w:ind w:firstLine="34"/>
              <w:jc w:val="center"/>
              <w:rPr>
                <w:rFonts w:eastAsia="Times New Roman" w:cs="Times New Roman"/>
                <w:color w:val="FFFFFF" w:themeColor="background1"/>
                <w:sz w:val="20"/>
                <w:szCs w:val="20"/>
              </w:rPr>
            </w:pPr>
            <w:r w:rsidRPr="00E2692E">
              <w:rPr>
                <w:color w:val="FFFFFF" w:themeColor="background1"/>
                <w:sz w:val="20"/>
                <w:szCs w:val="20"/>
              </w:rPr>
              <w:t>201</w:t>
            </w:r>
            <w:r w:rsidRPr="00E2692E">
              <w:rPr>
                <w:color w:val="FFFFFF" w:themeColor="background1"/>
                <w:sz w:val="20"/>
                <w:szCs w:val="20"/>
                <w:lang w:val="hy-AM"/>
              </w:rPr>
              <w:t>8</w:t>
            </w:r>
            <w:r w:rsidRPr="00E2692E">
              <w:rPr>
                <w:color w:val="FFFFFF" w:themeColor="background1"/>
                <w:sz w:val="20"/>
                <w:szCs w:val="20"/>
              </w:rPr>
              <w:t>թ.</w:t>
            </w:r>
          </w:p>
        </w:tc>
        <w:tc>
          <w:tcPr>
            <w:tcW w:w="1136"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7FC6E32" w14:textId="77777777" w:rsidR="004442B5" w:rsidRPr="00E2692E" w:rsidRDefault="004442B5" w:rsidP="00C85113">
            <w:pPr>
              <w:spacing w:line="360" w:lineRule="auto"/>
              <w:ind w:firstLine="34"/>
              <w:jc w:val="center"/>
              <w:rPr>
                <w:rFonts w:eastAsia="Times New Roman" w:cs="Times New Roman"/>
                <w:color w:val="FFFFFF" w:themeColor="background1"/>
                <w:sz w:val="20"/>
                <w:szCs w:val="20"/>
              </w:rPr>
            </w:pPr>
            <w:r w:rsidRPr="00E2692E">
              <w:rPr>
                <w:color w:val="FFFFFF" w:themeColor="background1"/>
                <w:sz w:val="20"/>
                <w:szCs w:val="20"/>
              </w:rPr>
              <w:t>201</w:t>
            </w:r>
            <w:r w:rsidRPr="00E2692E">
              <w:rPr>
                <w:color w:val="FFFFFF" w:themeColor="background1"/>
                <w:sz w:val="20"/>
                <w:szCs w:val="20"/>
                <w:lang w:val="hy-AM"/>
              </w:rPr>
              <w:t>9</w:t>
            </w:r>
            <w:r w:rsidRPr="00E2692E">
              <w:rPr>
                <w:color w:val="FFFFFF" w:themeColor="background1"/>
                <w:sz w:val="20"/>
                <w:szCs w:val="20"/>
              </w:rPr>
              <w:t>թ.</w:t>
            </w:r>
          </w:p>
        </w:tc>
        <w:tc>
          <w:tcPr>
            <w:tcW w:w="2833" w:type="dxa"/>
            <w:tcBorders>
              <w:top w:val="single" w:sz="4" w:space="0" w:color="auto"/>
              <w:left w:val="single" w:sz="4" w:space="0" w:color="auto"/>
              <w:bottom w:val="single" w:sz="4" w:space="0" w:color="auto"/>
              <w:right w:val="single" w:sz="12" w:space="0" w:color="auto"/>
            </w:tcBorders>
            <w:shd w:val="clear" w:color="auto" w:fill="0070C0"/>
            <w:vAlign w:val="center"/>
            <w:hideMark/>
          </w:tcPr>
          <w:p w14:paraId="7A1C234A" w14:textId="77777777" w:rsidR="004442B5" w:rsidRPr="00E2692E" w:rsidRDefault="004442B5" w:rsidP="00C85113">
            <w:pPr>
              <w:spacing w:line="360" w:lineRule="auto"/>
              <w:ind w:firstLine="34"/>
              <w:rPr>
                <w:color w:val="FFFFFF" w:themeColor="background1"/>
                <w:sz w:val="20"/>
                <w:szCs w:val="20"/>
              </w:rPr>
            </w:pPr>
            <w:r w:rsidRPr="00E2692E">
              <w:rPr>
                <w:color w:val="FFFFFF" w:themeColor="background1"/>
                <w:sz w:val="20"/>
                <w:szCs w:val="20"/>
              </w:rPr>
              <w:t>Թույլատրելի սահմանային նորմա</w:t>
            </w:r>
          </w:p>
        </w:tc>
      </w:tr>
      <w:tr w:rsidR="004442B5" w:rsidRPr="00A35CD3" w14:paraId="22EDDC52" w14:textId="77777777" w:rsidTr="001B57F3">
        <w:trPr>
          <w:trHeight w:val="578"/>
        </w:trPr>
        <w:tc>
          <w:tcPr>
            <w:tcW w:w="4111" w:type="dxa"/>
            <w:tcBorders>
              <w:top w:val="single" w:sz="4" w:space="0" w:color="auto"/>
              <w:left w:val="single" w:sz="12" w:space="0" w:color="auto"/>
              <w:bottom w:val="single" w:sz="4" w:space="0" w:color="auto"/>
              <w:right w:val="single" w:sz="4" w:space="0" w:color="auto"/>
            </w:tcBorders>
            <w:shd w:val="clear" w:color="auto" w:fill="C6D9F1" w:themeFill="text2" w:themeFillTint="33"/>
            <w:hideMark/>
          </w:tcPr>
          <w:p w14:paraId="4A9BC2FB" w14:textId="77777777" w:rsidR="004442B5" w:rsidRPr="00E2692E" w:rsidRDefault="004442B5" w:rsidP="00C85113">
            <w:pPr>
              <w:spacing w:line="360" w:lineRule="auto"/>
              <w:ind w:firstLine="34"/>
              <w:rPr>
                <w:sz w:val="20"/>
                <w:szCs w:val="20"/>
              </w:rPr>
            </w:pPr>
            <w:r w:rsidRPr="00E2692E">
              <w:rPr>
                <w:sz w:val="20"/>
                <w:szCs w:val="20"/>
              </w:rPr>
              <w:t>Ծախսերի վերականգնման գործակից</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493F60B" w14:textId="77777777" w:rsidR="004442B5" w:rsidRPr="00E2692E" w:rsidRDefault="004442B5" w:rsidP="00C85113">
            <w:pPr>
              <w:ind w:firstLine="34"/>
              <w:jc w:val="center"/>
              <w:rPr>
                <w:bCs/>
                <w:color w:val="000000"/>
                <w:sz w:val="20"/>
                <w:szCs w:val="20"/>
              </w:rPr>
            </w:pPr>
            <w:r w:rsidRPr="00E2692E">
              <w:rPr>
                <w:bCs/>
                <w:color w:val="000000"/>
                <w:sz w:val="20"/>
                <w:szCs w:val="20"/>
              </w:rPr>
              <w:t>1.1</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B52DC30" w14:textId="77777777" w:rsidR="004442B5" w:rsidRPr="00E2692E" w:rsidRDefault="004442B5" w:rsidP="00C85113">
            <w:pPr>
              <w:ind w:firstLine="34"/>
              <w:jc w:val="center"/>
              <w:rPr>
                <w:bCs/>
                <w:color w:val="000000"/>
                <w:sz w:val="20"/>
                <w:szCs w:val="20"/>
              </w:rPr>
            </w:pPr>
            <w:r w:rsidRPr="00E2692E">
              <w:rPr>
                <w:bCs/>
                <w:color w:val="000000"/>
                <w:sz w:val="20"/>
                <w:szCs w:val="20"/>
              </w:rPr>
              <w:t>1.0</w:t>
            </w:r>
          </w:p>
        </w:tc>
        <w:tc>
          <w:tcPr>
            <w:tcW w:w="11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4D5EF42" w14:textId="77777777" w:rsidR="004442B5" w:rsidRPr="00E2692E" w:rsidRDefault="004442B5" w:rsidP="00C85113">
            <w:pPr>
              <w:ind w:firstLine="34"/>
              <w:jc w:val="center"/>
              <w:rPr>
                <w:bCs/>
                <w:color w:val="000000"/>
                <w:sz w:val="20"/>
                <w:szCs w:val="20"/>
              </w:rPr>
            </w:pPr>
            <w:r w:rsidRPr="00E2692E">
              <w:rPr>
                <w:sz w:val="20"/>
                <w:szCs w:val="20"/>
              </w:rPr>
              <w:t>1.0</w:t>
            </w:r>
          </w:p>
        </w:tc>
        <w:tc>
          <w:tcPr>
            <w:tcW w:w="2833" w:type="dxa"/>
            <w:tcBorders>
              <w:top w:val="single" w:sz="4" w:space="0" w:color="auto"/>
              <w:left w:val="single" w:sz="4" w:space="0" w:color="auto"/>
              <w:bottom w:val="single" w:sz="4" w:space="0" w:color="auto"/>
              <w:right w:val="single" w:sz="12" w:space="0" w:color="auto"/>
            </w:tcBorders>
            <w:shd w:val="clear" w:color="auto" w:fill="C6D9F1" w:themeFill="text2" w:themeFillTint="33"/>
            <w:hideMark/>
          </w:tcPr>
          <w:p w14:paraId="5E489E4D" w14:textId="77777777" w:rsidR="004442B5" w:rsidRPr="00E2692E" w:rsidRDefault="004442B5" w:rsidP="00C85113">
            <w:pPr>
              <w:spacing w:line="360" w:lineRule="auto"/>
              <w:ind w:firstLine="34"/>
              <w:rPr>
                <w:sz w:val="20"/>
                <w:szCs w:val="20"/>
              </w:rPr>
            </w:pPr>
            <w:r w:rsidRPr="00E2692E">
              <w:rPr>
                <w:sz w:val="20"/>
                <w:szCs w:val="20"/>
              </w:rPr>
              <w:t>Առնվազն 1</w:t>
            </w:r>
          </w:p>
        </w:tc>
      </w:tr>
      <w:tr w:rsidR="004442B5" w:rsidRPr="00A35CD3" w14:paraId="231A23B6" w14:textId="77777777" w:rsidTr="00C85113">
        <w:trPr>
          <w:trHeight w:val="471"/>
        </w:trPr>
        <w:tc>
          <w:tcPr>
            <w:tcW w:w="4111" w:type="dxa"/>
            <w:tcBorders>
              <w:top w:val="single" w:sz="4" w:space="0" w:color="auto"/>
              <w:left w:val="single" w:sz="12" w:space="0" w:color="auto"/>
              <w:bottom w:val="single" w:sz="4" w:space="0" w:color="auto"/>
              <w:right w:val="single" w:sz="4" w:space="0" w:color="auto"/>
            </w:tcBorders>
            <w:hideMark/>
          </w:tcPr>
          <w:p w14:paraId="1A2A024B" w14:textId="77777777" w:rsidR="004442B5" w:rsidRPr="00E2692E" w:rsidRDefault="004442B5" w:rsidP="00C85113">
            <w:pPr>
              <w:spacing w:line="360" w:lineRule="auto"/>
              <w:ind w:firstLine="34"/>
              <w:rPr>
                <w:sz w:val="20"/>
                <w:szCs w:val="20"/>
              </w:rPr>
            </w:pPr>
            <w:r w:rsidRPr="00E2692E">
              <w:rPr>
                <w:sz w:val="20"/>
                <w:szCs w:val="20"/>
              </w:rPr>
              <w:t xml:space="preserve">Զուտ շահույթի մարժա </w:t>
            </w:r>
            <w:proofErr w:type="gramStart"/>
            <w:r w:rsidRPr="00E2692E">
              <w:rPr>
                <w:sz w:val="20"/>
                <w:szCs w:val="20"/>
              </w:rPr>
              <w:t xml:space="preserve">   (</w:t>
            </w:r>
            <w:proofErr w:type="gramEnd"/>
            <w:r w:rsidRPr="00E2692E">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A6BC2E" w14:textId="77777777" w:rsidR="004442B5" w:rsidRPr="00E2692E" w:rsidRDefault="004442B5" w:rsidP="00C85113">
            <w:pPr>
              <w:ind w:firstLine="34"/>
              <w:jc w:val="center"/>
              <w:rPr>
                <w:bCs/>
                <w:color w:val="000000"/>
                <w:sz w:val="20"/>
                <w:szCs w:val="20"/>
              </w:rPr>
            </w:pPr>
            <w:r w:rsidRPr="00E2692E">
              <w:rPr>
                <w:bCs/>
                <w:color w:val="000000"/>
                <w:sz w:val="20"/>
                <w:szCs w:val="20"/>
              </w:rPr>
              <w:t>(4.6)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8E0EC0" w14:textId="77777777" w:rsidR="004442B5" w:rsidRPr="00E2692E" w:rsidRDefault="004442B5" w:rsidP="00C85113">
            <w:pPr>
              <w:ind w:firstLine="34"/>
              <w:jc w:val="center"/>
              <w:rPr>
                <w:bCs/>
                <w:color w:val="000000"/>
                <w:sz w:val="20"/>
                <w:szCs w:val="20"/>
              </w:rPr>
            </w:pPr>
            <w:r w:rsidRPr="00E2692E">
              <w:rPr>
                <w:bCs/>
                <w:color w:val="000000"/>
                <w:sz w:val="20"/>
                <w:szCs w:val="20"/>
              </w:rPr>
              <w:t>2.4</w:t>
            </w:r>
          </w:p>
        </w:tc>
        <w:tc>
          <w:tcPr>
            <w:tcW w:w="1136" w:type="dxa"/>
            <w:tcBorders>
              <w:top w:val="single" w:sz="4" w:space="0" w:color="auto"/>
              <w:left w:val="single" w:sz="4" w:space="0" w:color="auto"/>
              <w:bottom w:val="single" w:sz="4" w:space="0" w:color="auto"/>
              <w:right w:val="single" w:sz="4" w:space="0" w:color="auto"/>
            </w:tcBorders>
            <w:vAlign w:val="center"/>
            <w:hideMark/>
          </w:tcPr>
          <w:p w14:paraId="57D88DA7" w14:textId="77777777" w:rsidR="004442B5" w:rsidRPr="00E2692E" w:rsidRDefault="004442B5" w:rsidP="00C85113">
            <w:pPr>
              <w:ind w:firstLine="34"/>
              <w:jc w:val="center"/>
              <w:rPr>
                <w:bCs/>
                <w:color w:val="000000"/>
                <w:sz w:val="20"/>
                <w:szCs w:val="20"/>
              </w:rPr>
            </w:pPr>
            <w:r w:rsidRPr="00E2692E">
              <w:rPr>
                <w:sz w:val="20"/>
                <w:szCs w:val="20"/>
              </w:rPr>
              <w:t>2.4</w:t>
            </w:r>
          </w:p>
        </w:tc>
        <w:tc>
          <w:tcPr>
            <w:tcW w:w="2833" w:type="dxa"/>
            <w:tcBorders>
              <w:top w:val="single" w:sz="4" w:space="0" w:color="auto"/>
              <w:left w:val="single" w:sz="4" w:space="0" w:color="auto"/>
              <w:bottom w:val="single" w:sz="4" w:space="0" w:color="auto"/>
              <w:right w:val="single" w:sz="12" w:space="0" w:color="auto"/>
            </w:tcBorders>
            <w:hideMark/>
          </w:tcPr>
          <w:p w14:paraId="29BF1876" w14:textId="77777777" w:rsidR="004442B5" w:rsidRPr="00E2692E" w:rsidRDefault="004442B5" w:rsidP="00C85113">
            <w:pPr>
              <w:spacing w:line="360" w:lineRule="auto"/>
              <w:ind w:firstLine="34"/>
              <w:rPr>
                <w:sz w:val="20"/>
                <w:szCs w:val="20"/>
              </w:rPr>
            </w:pPr>
            <w:r w:rsidRPr="00E2692E">
              <w:rPr>
                <w:sz w:val="20"/>
                <w:szCs w:val="20"/>
              </w:rPr>
              <w:t>Առնվազն 8%</w:t>
            </w:r>
          </w:p>
        </w:tc>
      </w:tr>
      <w:tr w:rsidR="004442B5" w:rsidRPr="00A35CD3" w14:paraId="37A0EE26" w14:textId="77777777" w:rsidTr="001B57F3">
        <w:trPr>
          <w:trHeight w:val="407"/>
        </w:trPr>
        <w:tc>
          <w:tcPr>
            <w:tcW w:w="4111" w:type="dxa"/>
            <w:tcBorders>
              <w:top w:val="single" w:sz="4" w:space="0" w:color="auto"/>
              <w:left w:val="single" w:sz="12" w:space="0" w:color="auto"/>
              <w:bottom w:val="single" w:sz="4" w:space="0" w:color="auto"/>
              <w:right w:val="single" w:sz="4" w:space="0" w:color="auto"/>
            </w:tcBorders>
            <w:shd w:val="clear" w:color="auto" w:fill="C6D9F1" w:themeFill="text2" w:themeFillTint="33"/>
            <w:hideMark/>
          </w:tcPr>
          <w:p w14:paraId="3CD8C37A" w14:textId="77777777" w:rsidR="004442B5" w:rsidRPr="00E2692E" w:rsidRDefault="004442B5" w:rsidP="00C85113">
            <w:pPr>
              <w:spacing w:line="360" w:lineRule="auto"/>
              <w:ind w:firstLine="34"/>
              <w:rPr>
                <w:sz w:val="20"/>
                <w:szCs w:val="20"/>
              </w:rPr>
            </w:pPr>
            <w:r w:rsidRPr="00E2692E">
              <w:rPr>
                <w:sz w:val="20"/>
                <w:szCs w:val="20"/>
              </w:rPr>
              <w:t>Արագ իրացվելիության գործակից</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2CFE84C" w14:textId="77777777" w:rsidR="004442B5" w:rsidRPr="00E2692E" w:rsidRDefault="004442B5" w:rsidP="00C85113">
            <w:pPr>
              <w:ind w:firstLine="34"/>
              <w:jc w:val="center"/>
              <w:rPr>
                <w:bCs/>
                <w:color w:val="000000"/>
                <w:sz w:val="20"/>
                <w:szCs w:val="20"/>
              </w:rPr>
            </w:pPr>
            <w:r w:rsidRPr="00E2692E">
              <w:rPr>
                <w:bCs/>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0FA8AA" w14:textId="77777777" w:rsidR="004442B5" w:rsidRPr="00E2692E" w:rsidRDefault="004442B5" w:rsidP="00C85113">
            <w:pPr>
              <w:ind w:firstLine="34"/>
              <w:jc w:val="center"/>
              <w:rPr>
                <w:bCs/>
                <w:color w:val="000000"/>
                <w:sz w:val="20"/>
                <w:szCs w:val="20"/>
              </w:rPr>
            </w:pPr>
            <w:r w:rsidRPr="00E2692E">
              <w:rPr>
                <w:bCs/>
                <w:color w:val="000000"/>
                <w:sz w:val="20"/>
                <w:szCs w:val="20"/>
              </w:rPr>
              <w:t>0.3</w:t>
            </w:r>
          </w:p>
        </w:tc>
        <w:tc>
          <w:tcPr>
            <w:tcW w:w="11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CC661AB" w14:textId="77777777" w:rsidR="004442B5" w:rsidRPr="00E2692E" w:rsidRDefault="004442B5" w:rsidP="00C85113">
            <w:pPr>
              <w:ind w:firstLine="34"/>
              <w:jc w:val="center"/>
              <w:rPr>
                <w:bCs/>
                <w:color w:val="000000"/>
                <w:sz w:val="20"/>
                <w:szCs w:val="20"/>
              </w:rPr>
            </w:pPr>
            <w:r w:rsidRPr="00E2692E">
              <w:rPr>
                <w:bCs/>
                <w:color w:val="000000"/>
                <w:sz w:val="20"/>
                <w:szCs w:val="20"/>
              </w:rPr>
              <w:t>0</w:t>
            </w:r>
            <w:r w:rsidRPr="00E2692E">
              <w:rPr>
                <w:sz w:val="20"/>
                <w:szCs w:val="20"/>
              </w:rPr>
              <w:t>.</w:t>
            </w:r>
            <w:r w:rsidRPr="00E2692E">
              <w:rPr>
                <w:bCs/>
                <w:color w:val="000000"/>
                <w:sz w:val="20"/>
                <w:szCs w:val="20"/>
              </w:rPr>
              <w:t>4</w:t>
            </w:r>
          </w:p>
        </w:tc>
        <w:tc>
          <w:tcPr>
            <w:tcW w:w="2833" w:type="dxa"/>
            <w:tcBorders>
              <w:top w:val="single" w:sz="4" w:space="0" w:color="auto"/>
              <w:left w:val="single" w:sz="4" w:space="0" w:color="auto"/>
              <w:bottom w:val="single" w:sz="4" w:space="0" w:color="auto"/>
              <w:right w:val="single" w:sz="12" w:space="0" w:color="auto"/>
            </w:tcBorders>
            <w:shd w:val="clear" w:color="auto" w:fill="C6D9F1" w:themeFill="text2" w:themeFillTint="33"/>
            <w:hideMark/>
          </w:tcPr>
          <w:p w14:paraId="219DA3C8" w14:textId="77777777" w:rsidR="004442B5" w:rsidRPr="00E2692E" w:rsidRDefault="004442B5" w:rsidP="00C85113">
            <w:pPr>
              <w:spacing w:line="360" w:lineRule="auto"/>
              <w:ind w:firstLine="34"/>
              <w:rPr>
                <w:sz w:val="20"/>
                <w:szCs w:val="20"/>
              </w:rPr>
            </w:pPr>
            <w:r w:rsidRPr="00E2692E">
              <w:rPr>
                <w:sz w:val="20"/>
                <w:szCs w:val="20"/>
              </w:rPr>
              <w:t>Առնվազն 1</w:t>
            </w:r>
          </w:p>
        </w:tc>
      </w:tr>
      <w:tr w:rsidR="004442B5" w:rsidRPr="00A35CD3" w14:paraId="18A92D46" w14:textId="77777777" w:rsidTr="00C85113">
        <w:trPr>
          <w:trHeight w:val="227"/>
        </w:trPr>
        <w:tc>
          <w:tcPr>
            <w:tcW w:w="4111" w:type="dxa"/>
            <w:tcBorders>
              <w:top w:val="single" w:sz="4" w:space="0" w:color="auto"/>
              <w:left w:val="single" w:sz="12" w:space="0" w:color="auto"/>
              <w:bottom w:val="single" w:sz="4" w:space="0" w:color="auto"/>
              <w:right w:val="single" w:sz="4" w:space="0" w:color="auto"/>
            </w:tcBorders>
            <w:hideMark/>
          </w:tcPr>
          <w:p w14:paraId="33DCEE03" w14:textId="77777777" w:rsidR="004442B5" w:rsidRPr="00E2692E" w:rsidRDefault="004442B5" w:rsidP="00C85113">
            <w:pPr>
              <w:spacing w:line="240" w:lineRule="auto"/>
              <w:ind w:firstLine="34"/>
              <w:rPr>
                <w:sz w:val="20"/>
                <w:szCs w:val="20"/>
                <w:lang w:val="hy-AM"/>
              </w:rPr>
            </w:pPr>
            <w:r w:rsidRPr="00E2692E">
              <w:rPr>
                <w:sz w:val="20"/>
                <w:szCs w:val="20"/>
                <w:lang w:val="hy-AM"/>
              </w:rPr>
              <w:t>Դեբիտորական պարտքերի շրջանառություն</w:t>
            </w:r>
            <w:r w:rsidRPr="00E2692E">
              <w:rPr>
                <w:sz w:val="20"/>
                <w:szCs w:val="20"/>
              </w:rPr>
              <w:t xml:space="preserve"> (օր)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A3CA7F" w14:textId="77777777" w:rsidR="004442B5" w:rsidRPr="00E2692E" w:rsidRDefault="004442B5" w:rsidP="00C85113">
            <w:pPr>
              <w:ind w:firstLine="34"/>
              <w:jc w:val="center"/>
              <w:rPr>
                <w:bCs/>
                <w:color w:val="000000"/>
                <w:sz w:val="20"/>
                <w:szCs w:val="20"/>
              </w:rPr>
            </w:pPr>
            <w:r w:rsidRPr="00E2692E">
              <w:rPr>
                <w:bCs/>
                <w:color w:val="000000"/>
                <w:sz w:val="20"/>
                <w:szCs w:val="20"/>
              </w:rPr>
              <w:t>70.3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9C4912" w14:textId="77777777" w:rsidR="004442B5" w:rsidRPr="00E2692E" w:rsidRDefault="004442B5" w:rsidP="00C85113">
            <w:pPr>
              <w:ind w:firstLine="34"/>
              <w:jc w:val="center"/>
              <w:rPr>
                <w:bCs/>
                <w:color w:val="000000"/>
                <w:sz w:val="20"/>
                <w:szCs w:val="20"/>
              </w:rPr>
            </w:pPr>
            <w:r w:rsidRPr="00E2692E">
              <w:rPr>
                <w:bCs/>
                <w:color w:val="000000"/>
                <w:sz w:val="20"/>
                <w:szCs w:val="20"/>
              </w:rPr>
              <w:t>36.1</w:t>
            </w:r>
          </w:p>
        </w:tc>
        <w:tc>
          <w:tcPr>
            <w:tcW w:w="1136" w:type="dxa"/>
            <w:tcBorders>
              <w:top w:val="single" w:sz="4" w:space="0" w:color="auto"/>
              <w:left w:val="single" w:sz="4" w:space="0" w:color="auto"/>
              <w:bottom w:val="single" w:sz="4" w:space="0" w:color="auto"/>
              <w:right w:val="single" w:sz="4" w:space="0" w:color="auto"/>
            </w:tcBorders>
            <w:vAlign w:val="center"/>
            <w:hideMark/>
          </w:tcPr>
          <w:p w14:paraId="39AC16B3" w14:textId="77777777" w:rsidR="004442B5" w:rsidRPr="00E2692E" w:rsidRDefault="004442B5" w:rsidP="00C85113">
            <w:pPr>
              <w:ind w:firstLine="34"/>
              <w:jc w:val="center"/>
              <w:rPr>
                <w:bCs/>
                <w:color w:val="000000"/>
                <w:sz w:val="20"/>
                <w:szCs w:val="20"/>
                <w:lang w:val="hy-AM"/>
              </w:rPr>
            </w:pPr>
            <w:r w:rsidRPr="00E2692E">
              <w:rPr>
                <w:bCs/>
                <w:color w:val="000000"/>
                <w:sz w:val="20"/>
                <w:szCs w:val="20"/>
              </w:rPr>
              <w:t>48</w:t>
            </w:r>
            <w:r w:rsidRPr="00E2692E">
              <w:rPr>
                <w:sz w:val="20"/>
                <w:szCs w:val="20"/>
              </w:rPr>
              <w:t>.</w:t>
            </w:r>
            <w:r w:rsidRPr="00E2692E">
              <w:rPr>
                <w:bCs/>
                <w:color w:val="000000"/>
                <w:sz w:val="20"/>
                <w:szCs w:val="20"/>
                <w:lang w:val="hy-AM"/>
              </w:rPr>
              <w:t>5</w:t>
            </w:r>
          </w:p>
        </w:tc>
        <w:tc>
          <w:tcPr>
            <w:tcW w:w="2833" w:type="dxa"/>
            <w:tcBorders>
              <w:top w:val="single" w:sz="4" w:space="0" w:color="auto"/>
              <w:left w:val="single" w:sz="4" w:space="0" w:color="auto"/>
              <w:bottom w:val="single" w:sz="4" w:space="0" w:color="auto"/>
              <w:right w:val="single" w:sz="12" w:space="0" w:color="auto"/>
            </w:tcBorders>
            <w:vAlign w:val="center"/>
            <w:hideMark/>
          </w:tcPr>
          <w:p w14:paraId="19EF9EBB" w14:textId="77777777" w:rsidR="004442B5" w:rsidRPr="00E2692E" w:rsidRDefault="004442B5" w:rsidP="00C85113">
            <w:pPr>
              <w:spacing w:line="360" w:lineRule="auto"/>
              <w:ind w:firstLine="34"/>
              <w:rPr>
                <w:sz w:val="20"/>
                <w:szCs w:val="20"/>
              </w:rPr>
            </w:pPr>
            <w:r w:rsidRPr="00E2692E">
              <w:rPr>
                <w:sz w:val="20"/>
                <w:szCs w:val="20"/>
              </w:rPr>
              <w:t>Առավելագույնը՝ 60 օր</w:t>
            </w:r>
          </w:p>
        </w:tc>
      </w:tr>
      <w:tr w:rsidR="004442B5" w:rsidRPr="00A35CD3" w14:paraId="6D684612" w14:textId="77777777" w:rsidTr="001B57F3">
        <w:trPr>
          <w:trHeight w:val="438"/>
        </w:trPr>
        <w:tc>
          <w:tcPr>
            <w:tcW w:w="4111" w:type="dxa"/>
            <w:tcBorders>
              <w:top w:val="single" w:sz="4" w:space="0" w:color="auto"/>
              <w:left w:val="single" w:sz="12" w:space="0" w:color="auto"/>
              <w:bottom w:val="single" w:sz="4" w:space="0" w:color="auto"/>
              <w:right w:val="single" w:sz="4" w:space="0" w:color="auto"/>
            </w:tcBorders>
            <w:shd w:val="clear" w:color="auto" w:fill="C6D9F1" w:themeFill="text2" w:themeFillTint="33"/>
            <w:hideMark/>
          </w:tcPr>
          <w:p w14:paraId="2D3A98E4" w14:textId="77777777" w:rsidR="004442B5" w:rsidRPr="00E2692E" w:rsidRDefault="004442B5" w:rsidP="00C85113">
            <w:pPr>
              <w:spacing w:line="360" w:lineRule="auto"/>
              <w:ind w:firstLine="34"/>
              <w:rPr>
                <w:sz w:val="20"/>
                <w:szCs w:val="20"/>
              </w:rPr>
            </w:pPr>
            <w:r w:rsidRPr="00E2692E">
              <w:rPr>
                <w:sz w:val="20"/>
                <w:szCs w:val="20"/>
              </w:rPr>
              <w:t>Պարտքի սպասարկման գործակից</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C084117" w14:textId="77777777" w:rsidR="004442B5" w:rsidRPr="00E2692E" w:rsidRDefault="004442B5" w:rsidP="00C85113">
            <w:pPr>
              <w:ind w:firstLine="34"/>
              <w:jc w:val="center"/>
              <w:rPr>
                <w:bCs/>
                <w:color w:val="000000"/>
                <w:sz w:val="20"/>
                <w:szCs w:val="20"/>
              </w:rPr>
            </w:pPr>
            <w:r w:rsidRPr="00E2692E">
              <w:rPr>
                <w:bCs/>
                <w:color w:val="000000"/>
                <w:sz w:val="20"/>
                <w:szCs w:val="20"/>
              </w:rPr>
              <w:t>0.1</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3B5D62A" w14:textId="77777777" w:rsidR="004442B5" w:rsidRPr="00E2692E" w:rsidRDefault="004442B5" w:rsidP="00C85113">
            <w:pPr>
              <w:ind w:firstLine="34"/>
              <w:jc w:val="center"/>
              <w:rPr>
                <w:bCs/>
                <w:color w:val="000000"/>
                <w:sz w:val="20"/>
                <w:szCs w:val="20"/>
              </w:rPr>
            </w:pPr>
            <w:r w:rsidRPr="00E2692E">
              <w:rPr>
                <w:bCs/>
                <w:color w:val="000000"/>
                <w:sz w:val="20"/>
                <w:szCs w:val="20"/>
              </w:rPr>
              <w:t>0.3</w:t>
            </w:r>
          </w:p>
        </w:tc>
        <w:tc>
          <w:tcPr>
            <w:tcW w:w="11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E5D5B0" w14:textId="77777777" w:rsidR="004442B5" w:rsidRPr="00E2692E" w:rsidRDefault="004442B5" w:rsidP="00C85113">
            <w:pPr>
              <w:ind w:firstLine="34"/>
              <w:jc w:val="center"/>
              <w:rPr>
                <w:color w:val="000000"/>
                <w:sz w:val="20"/>
                <w:szCs w:val="20"/>
              </w:rPr>
            </w:pPr>
            <w:r w:rsidRPr="00E2692E">
              <w:rPr>
                <w:sz w:val="20"/>
                <w:szCs w:val="20"/>
              </w:rPr>
              <w:t>0.3</w:t>
            </w:r>
          </w:p>
        </w:tc>
        <w:tc>
          <w:tcPr>
            <w:tcW w:w="2833" w:type="dxa"/>
            <w:tcBorders>
              <w:top w:val="single" w:sz="4" w:space="0" w:color="auto"/>
              <w:left w:val="single" w:sz="4" w:space="0" w:color="auto"/>
              <w:bottom w:val="single" w:sz="4" w:space="0" w:color="auto"/>
              <w:right w:val="single" w:sz="12" w:space="0" w:color="auto"/>
            </w:tcBorders>
            <w:shd w:val="clear" w:color="auto" w:fill="C6D9F1" w:themeFill="text2" w:themeFillTint="33"/>
            <w:hideMark/>
          </w:tcPr>
          <w:p w14:paraId="39437EE7" w14:textId="77777777" w:rsidR="004442B5" w:rsidRPr="00E2692E" w:rsidRDefault="004442B5" w:rsidP="00C85113">
            <w:pPr>
              <w:spacing w:line="360" w:lineRule="auto"/>
              <w:ind w:firstLine="34"/>
              <w:rPr>
                <w:sz w:val="20"/>
                <w:szCs w:val="20"/>
              </w:rPr>
            </w:pPr>
            <w:r w:rsidRPr="00E2692E">
              <w:rPr>
                <w:sz w:val="20"/>
                <w:szCs w:val="20"/>
              </w:rPr>
              <w:t>Առավելագույնը 0.5</w:t>
            </w:r>
          </w:p>
        </w:tc>
      </w:tr>
      <w:tr w:rsidR="004442B5" w:rsidRPr="00A35CD3" w14:paraId="1F98D8DB" w14:textId="77777777" w:rsidTr="00C85113">
        <w:trPr>
          <w:trHeight w:val="305"/>
        </w:trPr>
        <w:tc>
          <w:tcPr>
            <w:tcW w:w="4111" w:type="dxa"/>
            <w:tcBorders>
              <w:top w:val="single" w:sz="4" w:space="0" w:color="auto"/>
              <w:left w:val="single" w:sz="12" w:space="0" w:color="auto"/>
              <w:bottom w:val="single" w:sz="4" w:space="0" w:color="auto"/>
              <w:right w:val="single" w:sz="4" w:space="0" w:color="auto"/>
            </w:tcBorders>
            <w:hideMark/>
          </w:tcPr>
          <w:p w14:paraId="54551ECB" w14:textId="77777777" w:rsidR="004442B5" w:rsidRPr="00E2692E" w:rsidRDefault="004442B5" w:rsidP="00C85113">
            <w:pPr>
              <w:spacing w:line="360" w:lineRule="auto"/>
              <w:ind w:firstLine="34"/>
              <w:rPr>
                <w:sz w:val="20"/>
                <w:szCs w:val="20"/>
              </w:rPr>
            </w:pPr>
            <w:r w:rsidRPr="00E2692E">
              <w:rPr>
                <w:sz w:val="20"/>
                <w:szCs w:val="20"/>
              </w:rPr>
              <w:t>Վերաֆինանսավորման գործակից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8B2E22" w14:textId="77777777" w:rsidR="004442B5" w:rsidRPr="00E2692E" w:rsidRDefault="004442B5" w:rsidP="00C85113">
            <w:pPr>
              <w:ind w:firstLine="34"/>
              <w:jc w:val="center"/>
              <w:rPr>
                <w:bCs/>
                <w:color w:val="000000"/>
                <w:sz w:val="20"/>
                <w:szCs w:val="20"/>
              </w:rPr>
            </w:pPr>
            <w:r w:rsidRPr="00E2692E">
              <w:rPr>
                <w:bCs/>
                <w:color w:val="000000"/>
                <w:sz w:val="20"/>
                <w:szCs w:val="20"/>
              </w:rPr>
              <w:t>3.1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75A6C4" w14:textId="77777777" w:rsidR="004442B5" w:rsidRPr="00E2692E" w:rsidRDefault="004442B5" w:rsidP="00C85113">
            <w:pPr>
              <w:ind w:firstLine="34"/>
              <w:jc w:val="center"/>
              <w:rPr>
                <w:bCs/>
                <w:color w:val="000000"/>
                <w:sz w:val="20"/>
                <w:szCs w:val="20"/>
              </w:rPr>
            </w:pPr>
            <w:r w:rsidRPr="00E2692E">
              <w:rPr>
                <w:bCs/>
                <w:color w:val="000000"/>
                <w:sz w:val="20"/>
                <w:szCs w:val="20"/>
              </w:rPr>
              <w:t>3.9</w:t>
            </w:r>
          </w:p>
        </w:tc>
        <w:tc>
          <w:tcPr>
            <w:tcW w:w="1136" w:type="dxa"/>
            <w:tcBorders>
              <w:top w:val="single" w:sz="4" w:space="0" w:color="auto"/>
              <w:left w:val="single" w:sz="4" w:space="0" w:color="auto"/>
              <w:bottom w:val="single" w:sz="4" w:space="0" w:color="auto"/>
              <w:right w:val="single" w:sz="4" w:space="0" w:color="auto"/>
            </w:tcBorders>
            <w:vAlign w:val="center"/>
            <w:hideMark/>
          </w:tcPr>
          <w:p w14:paraId="7A8B93ED" w14:textId="77777777" w:rsidR="004442B5" w:rsidRPr="00E2692E" w:rsidRDefault="004442B5" w:rsidP="00C85113">
            <w:pPr>
              <w:ind w:firstLine="34"/>
              <w:jc w:val="center"/>
              <w:rPr>
                <w:bCs/>
                <w:color w:val="000000"/>
                <w:sz w:val="20"/>
                <w:szCs w:val="20"/>
                <w:lang w:val="hy-AM"/>
              </w:rPr>
            </w:pPr>
            <w:r w:rsidRPr="00E2692E">
              <w:rPr>
                <w:bCs/>
                <w:color w:val="000000"/>
                <w:sz w:val="20"/>
                <w:szCs w:val="20"/>
                <w:lang w:val="hy-AM"/>
              </w:rPr>
              <w:t>2</w:t>
            </w:r>
            <w:r w:rsidRPr="00E2692E">
              <w:rPr>
                <w:sz w:val="20"/>
                <w:szCs w:val="20"/>
              </w:rPr>
              <w:t>.</w:t>
            </w:r>
            <w:r w:rsidRPr="00E2692E">
              <w:rPr>
                <w:bCs/>
                <w:color w:val="000000"/>
                <w:sz w:val="20"/>
                <w:szCs w:val="20"/>
                <w:lang w:val="hy-AM"/>
              </w:rPr>
              <w:t>7</w:t>
            </w:r>
          </w:p>
        </w:tc>
        <w:tc>
          <w:tcPr>
            <w:tcW w:w="2833" w:type="dxa"/>
            <w:tcBorders>
              <w:top w:val="single" w:sz="4" w:space="0" w:color="auto"/>
              <w:left w:val="single" w:sz="4" w:space="0" w:color="auto"/>
              <w:bottom w:val="single" w:sz="4" w:space="0" w:color="auto"/>
              <w:right w:val="single" w:sz="12" w:space="0" w:color="auto"/>
            </w:tcBorders>
            <w:hideMark/>
          </w:tcPr>
          <w:p w14:paraId="57B6EC6C" w14:textId="77777777" w:rsidR="004442B5" w:rsidRPr="00E2692E" w:rsidRDefault="004442B5" w:rsidP="00C85113">
            <w:pPr>
              <w:spacing w:line="360" w:lineRule="auto"/>
              <w:ind w:firstLine="34"/>
              <w:rPr>
                <w:sz w:val="20"/>
                <w:szCs w:val="20"/>
              </w:rPr>
            </w:pPr>
            <w:r w:rsidRPr="00E2692E">
              <w:rPr>
                <w:sz w:val="20"/>
                <w:szCs w:val="20"/>
              </w:rPr>
              <w:t>Առավելագույնը 1</w:t>
            </w:r>
          </w:p>
        </w:tc>
      </w:tr>
      <w:tr w:rsidR="004442B5" w:rsidRPr="007724F4" w14:paraId="5622DFE0" w14:textId="77777777" w:rsidTr="001B57F3">
        <w:trPr>
          <w:trHeight w:val="936"/>
        </w:trPr>
        <w:tc>
          <w:tcPr>
            <w:tcW w:w="4111" w:type="dxa"/>
            <w:tcBorders>
              <w:top w:val="single" w:sz="4" w:space="0" w:color="auto"/>
              <w:left w:val="single" w:sz="12" w:space="0" w:color="auto"/>
              <w:bottom w:val="single" w:sz="12" w:space="0" w:color="auto"/>
              <w:right w:val="single" w:sz="4" w:space="0" w:color="auto"/>
            </w:tcBorders>
            <w:shd w:val="clear" w:color="auto" w:fill="C6D9F1" w:themeFill="text2" w:themeFillTint="33"/>
            <w:hideMark/>
          </w:tcPr>
          <w:p w14:paraId="45C4196F" w14:textId="77777777" w:rsidR="004442B5" w:rsidRPr="00E2692E" w:rsidRDefault="004442B5" w:rsidP="00C85113">
            <w:pPr>
              <w:spacing w:line="360" w:lineRule="auto"/>
              <w:ind w:firstLine="34"/>
              <w:rPr>
                <w:sz w:val="20"/>
                <w:szCs w:val="20"/>
              </w:rPr>
            </w:pPr>
            <w:r w:rsidRPr="00E2692E">
              <w:rPr>
                <w:sz w:val="20"/>
                <w:szCs w:val="20"/>
              </w:rPr>
              <w:t>Z- միավոր</w:t>
            </w:r>
          </w:p>
        </w:tc>
        <w:tc>
          <w:tcPr>
            <w:tcW w:w="1134" w:type="dxa"/>
            <w:tcBorders>
              <w:top w:val="single" w:sz="4" w:space="0" w:color="auto"/>
              <w:left w:val="single" w:sz="4" w:space="0" w:color="auto"/>
              <w:bottom w:val="single" w:sz="12" w:space="0" w:color="auto"/>
              <w:right w:val="single" w:sz="4" w:space="0" w:color="auto"/>
            </w:tcBorders>
            <w:shd w:val="clear" w:color="auto" w:fill="C6D9F1" w:themeFill="text2" w:themeFillTint="33"/>
            <w:vAlign w:val="center"/>
            <w:hideMark/>
          </w:tcPr>
          <w:p w14:paraId="0F1082EE" w14:textId="77777777" w:rsidR="004442B5" w:rsidRPr="00E2692E" w:rsidRDefault="004442B5" w:rsidP="00C85113">
            <w:pPr>
              <w:ind w:firstLine="34"/>
              <w:jc w:val="center"/>
              <w:rPr>
                <w:bCs/>
                <w:color w:val="000000"/>
                <w:sz w:val="20"/>
                <w:szCs w:val="20"/>
              </w:rPr>
            </w:pPr>
            <w:r w:rsidRPr="00E2692E">
              <w:rPr>
                <w:bCs/>
                <w:color w:val="000000"/>
                <w:sz w:val="20"/>
                <w:szCs w:val="20"/>
              </w:rPr>
              <w:t>0.72</w:t>
            </w:r>
          </w:p>
        </w:tc>
        <w:tc>
          <w:tcPr>
            <w:tcW w:w="1134" w:type="dxa"/>
            <w:tcBorders>
              <w:top w:val="single" w:sz="4" w:space="0" w:color="auto"/>
              <w:left w:val="single" w:sz="4" w:space="0" w:color="auto"/>
              <w:bottom w:val="single" w:sz="12" w:space="0" w:color="auto"/>
              <w:right w:val="single" w:sz="4" w:space="0" w:color="auto"/>
            </w:tcBorders>
            <w:shd w:val="clear" w:color="auto" w:fill="C6D9F1" w:themeFill="text2" w:themeFillTint="33"/>
            <w:vAlign w:val="center"/>
            <w:hideMark/>
          </w:tcPr>
          <w:p w14:paraId="077BA281" w14:textId="77777777" w:rsidR="004442B5" w:rsidRPr="00E2692E" w:rsidRDefault="004442B5" w:rsidP="00C85113">
            <w:pPr>
              <w:ind w:firstLine="34"/>
              <w:jc w:val="center"/>
              <w:rPr>
                <w:bCs/>
                <w:color w:val="000000"/>
                <w:sz w:val="20"/>
                <w:szCs w:val="20"/>
              </w:rPr>
            </w:pPr>
            <w:r w:rsidRPr="00E2692E">
              <w:rPr>
                <w:bCs/>
                <w:color w:val="000000"/>
                <w:sz w:val="20"/>
                <w:szCs w:val="20"/>
              </w:rPr>
              <w:t>0.8</w:t>
            </w:r>
          </w:p>
        </w:tc>
        <w:tc>
          <w:tcPr>
            <w:tcW w:w="1136" w:type="dxa"/>
            <w:tcBorders>
              <w:top w:val="single" w:sz="4" w:space="0" w:color="auto"/>
              <w:left w:val="single" w:sz="4" w:space="0" w:color="auto"/>
              <w:bottom w:val="single" w:sz="12" w:space="0" w:color="auto"/>
              <w:right w:val="single" w:sz="4" w:space="0" w:color="auto"/>
            </w:tcBorders>
            <w:shd w:val="clear" w:color="auto" w:fill="C6D9F1" w:themeFill="text2" w:themeFillTint="33"/>
            <w:vAlign w:val="center"/>
            <w:hideMark/>
          </w:tcPr>
          <w:p w14:paraId="2D15F1A0" w14:textId="77777777" w:rsidR="004442B5" w:rsidRPr="00E2692E" w:rsidRDefault="004442B5" w:rsidP="00C85113">
            <w:pPr>
              <w:ind w:firstLine="34"/>
              <w:jc w:val="center"/>
              <w:rPr>
                <w:bCs/>
                <w:color w:val="000000"/>
                <w:sz w:val="20"/>
                <w:szCs w:val="20"/>
                <w:lang w:val="hy-AM"/>
              </w:rPr>
            </w:pPr>
            <w:r w:rsidRPr="00E2692E">
              <w:rPr>
                <w:bCs/>
                <w:color w:val="000000"/>
                <w:sz w:val="20"/>
                <w:szCs w:val="20"/>
              </w:rPr>
              <w:t>0</w:t>
            </w:r>
            <w:r w:rsidRPr="00E2692E">
              <w:rPr>
                <w:sz w:val="20"/>
                <w:szCs w:val="20"/>
              </w:rPr>
              <w:t>.</w:t>
            </w:r>
            <w:r w:rsidRPr="00E2692E">
              <w:rPr>
                <w:sz w:val="20"/>
                <w:szCs w:val="20"/>
                <w:lang w:val="hy-AM"/>
              </w:rPr>
              <w:t>8</w:t>
            </w:r>
          </w:p>
        </w:tc>
        <w:tc>
          <w:tcPr>
            <w:tcW w:w="2833" w:type="dxa"/>
            <w:tcBorders>
              <w:top w:val="single" w:sz="4" w:space="0" w:color="auto"/>
              <w:left w:val="single" w:sz="4" w:space="0" w:color="auto"/>
              <w:bottom w:val="single" w:sz="12" w:space="0" w:color="auto"/>
              <w:right w:val="single" w:sz="12" w:space="0" w:color="auto"/>
            </w:tcBorders>
            <w:shd w:val="clear" w:color="auto" w:fill="C6D9F1" w:themeFill="text2" w:themeFillTint="33"/>
            <w:hideMark/>
          </w:tcPr>
          <w:p w14:paraId="3DE35AE5" w14:textId="77777777" w:rsidR="004442B5" w:rsidRPr="00E2692E" w:rsidRDefault="004442B5" w:rsidP="00C85113">
            <w:pPr>
              <w:spacing w:line="240" w:lineRule="auto"/>
              <w:ind w:firstLine="34"/>
              <w:rPr>
                <w:sz w:val="20"/>
                <w:szCs w:val="20"/>
                <w:lang w:val="hy-AM"/>
              </w:rPr>
            </w:pPr>
            <w:r w:rsidRPr="00E2692E">
              <w:rPr>
                <w:sz w:val="20"/>
                <w:szCs w:val="20"/>
                <w:lang w:val="hy-AM"/>
              </w:rPr>
              <w:t>Ապահով գոտի Z&gt;2.6, Գորշ գոտի 1.1&lt;Z&lt;2.6, Ծանր գոտի Z&lt;1.1</w:t>
            </w:r>
          </w:p>
        </w:tc>
      </w:tr>
    </w:tbl>
    <w:p w14:paraId="12F388AB" w14:textId="77777777" w:rsidR="004442B5" w:rsidRPr="003E11FF" w:rsidRDefault="004442B5" w:rsidP="004442B5">
      <w:pPr>
        <w:spacing w:line="240" w:lineRule="auto"/>
        <w:rPr>
          <w:b/>
          <w:sz w:val="20"/>
          <w:szCs w:val="20"/>
          <w:lang w:val="hy-AM"/>
        </w:rPr>
      </w:pPr>
    </w:p>
    <w:p w14:paraId="23CEB801" w14:textId="77777777" w:rsidR="004442B5" w:rsidRPr="007A3698" w:rsidRDefault="004442B5" w:rsidP="007A3698">
      <w:pPr>
        <w:spacing w:after="0" w:line="276" w:lineRule="auto"/>
        <w:ind w:firstLine="720"/>
        <w:rPr>
          <w:lang w:val="hy-AM"/>
        </w:rPr>
      </w:pPr>
      <w:r w:rsidRPr="007A3698">
        <w:rPr>
          <w:lang w:val="hy-AM"/>
        </w:rPr>
        <w:t xml:space="preserve">Ինչպես երևում է աղյուսակից, հաշվետու ժամանակաշրջանում սնանկացման կանխատեսման Ալթմանի Z-միավորը վկայում է Ընկերությունների ֆինանսական վիճակի վատթարացման նշանակալի հավանականության մասին (գործակիցը` Z=0.8, գտնվում է սահմանված ծանր գոտում` Z&lt;1.1): </w:t>
      </w:r>
    </w:p>
    <w:p w14:paraId="4C75B476" w14:textId="77777777" w:rsidR="004442B5" w:rsidRPr="007A3698" w:rsidRDefault="004442B5" w:rsidP="007A3698">
      <w:pPr>
        <w:spacing w:after="0" w:line="276" w:lineRule="auto"/>
        <w:ind w:firstLine="720"/>
        <w:rPr>
          <w:lang w:val="hy-AM"/>
        </w:rPr>
      </w:pPr>
      <w:r w:rsidRPr="007A3698">
        <w:rPr>
          <w:lang w:val="hy-AM"/>
        </w:rPr>
        <w:t>Ստուգաճշտող լրացուցիչ ֆինանսական վեց գործակիցներից երեքը չեն համապատասխանում միջազգային պրակտիկայում ընդունված թույլատրելի սահմանային նորմային և վկայում են ֆինանսական վիճակի վատթարացման բարձր հավանականության մասին:</w:t>
      </w:r>
    </w:p>
    <w:p w14:paraId="5A98F240" w14:textId="77777777" w:rsidR="004442B5" w:rsidRPr="007A3698" w:rsidRDefault="004442B5" w:rsidP="007A3698">
      <w:pPr>
        <w:spacing w:after="0" w:line="276" w:lineRule="auto"/>
        <w:ind w:firstLine="720"/>
        <w:rPr>
          <w:lang w:val="hy-AM"/>
        </w:rPr>
      </w:pPr>
      <w:r w:rsidRPr="007A3698">
        <w:rPr>
          <w:lang w:val="hy-AM"/>
        </w:rPr>
        <w:t>Զուտ շահույթի մարժան բնութագրում է բիզնեսի գործառնական արդյունավետությունը: Այն հաշվետու ժամանակաշրջանում 2.4% է, որը Ոլորտի որոշ Ընկերու</w:t>
      </w:r>
      <w:r w:rsidRPr="007A3698">
        <w:rPr>
          <w:lang w:val="hy-AM"/>
        </w:rPr>
        <w:softHyphen/>
        <w:t>թյունների վնասով աշխատելու արդյունք է և դեռևս ցածր է միջազգային պրակտի</w:t>
      </w:r>
      <w:r w:rsidRPr="007A3698">
        <w:rPr>
          <w:lang w:val="hy-AM"/>
        </w:rPr>
        <w:softHyphen/>
        <w:t>կայում կիրառ</w:t>
      </w:r>
      <w:r w:rsidRPr="007A3698">
        <w:rPr>
          <w:lang w:val="hy-AM"/>
        </w:rPr>
        <w:softHyphen/>
        <w:t>վող շեմային մակարդակից:</w:t>
      </w:r>
    </w:p>
    <w:p w14:paraId="389263DB" w14:textId="2876711B" w:rsidR="004442B5" w:rsidRPr="007A3698" w:rsidRDefault="004442B5" w:rsidP="007A3698">
      <w:pPr>
        <w:spacing w:after="0" w:line="276" w:lineRule="auto"/>
        <w:ind w:firstLine="720"/>
        <w:rPr>
          <w:lang w:val="hy-AM"/>
        </w:rPr>
      </w:pPr>
      <w:r w:rsidRPr="007A3698">
        <w:rPr>
          <w:lang w:val="hy-AM"/>
        </w:rPr>
        <w:t>Արագ իրացվելիության գործակիցը հաշվետու ժամանակաշրջանում նախորդ ժամանակաշրջանի նկատմամբ աճել է 0.1 կետով և կազմել 0.4, դեռևս ցածր մնալով միջազգային պրակտիկայում կիրառվող շեմային մակարդակից, որը փաստում է, որ որոշ Ընկերությու</w:t>
      </w:r>
      <w:r w:rsidR="007724F4">
        <w:rPr>
          <w:lang w:val="hy-AM"/>
        </w:rPr>
        <w:t>ն</w:t>
      </w:r>
      <w:r w:rsidRPr="007A3698">
        <w:rPr>
          <w:lang w:val="hy-AM"/>
        </w:rPr>
        <w:t>ներ կարող են արագ իրացվելի ընթացիկ ակտիվների հաշվին մարել ընթացիկ պարտավորությունների ընդամենը 40 տո</w:t>
      </w:r>
      <w:r w:rsidRPr="007A3698">
        <w:rPr>
          <w:lang w:val="hy-AM"/>
        </w:rPr>
        <w:softHyphen/>
        <w:t>կոսը:</w:t>
      </w:r>
    </w:p>
    <w:p w14:paraId="630DA3E5" w14:textId="77777777" w:rsidR="004442B5" w:rsidRPr="007A3698" w:rsidRDefault="004442B5" w:rsidP="007A3698">
      <w:pPr>
        <w:spacing w:after="0" w:line="276" w:lineRule="auto"/>
        <w:ind w:firstLine="720"/>
        <w:rPr>
          <w:lang w:val="hy-AM"/>
        </w:rPr>
      </w:pPr>
      <w:r w:rsidRPr="007A3698">
        <w:rPr>
          <w:lang w:val="hy-AM"/>
        </w:rPr>
        <w:t xml:space="preserve">Դեբիտորական պարտքերի վերադարձելիության միջին ժամանակաշրջանի ցուցանիշը հաշվետու ժամանակաշրջանում նախորդ ժամանակաշրջանի ցուցանիշի նկատմամբ չնայած ցուցաբերել է աճման դինամիկա, այնուամենայնիվ հաշվետու տարում մնացել է սահմանային նորմայի միջակայքում (հաշվետու տարում նախորդ տարվա նկատմամբ առևտրային և այլ դեբիտորական պարտքերը նվազել են 2.3 մլրդ դրամով կամ 18.9%-ով): Այսինքն, Ոլորտի որոշ ընկերությունների </w:t>
      </w:r>
      <w:r w:rsidRPr="007A3698">
        <w:rPr>
          <w:lang w:val="hy-AM"/>
        </w:rPr>
        <w:lastRenderedPageBreak/>
        <w:t xml:space="preserve">դեբիտորական պարտքերի կուտակումը չնայած ցածր է սահմանված շեմից, այնուամենայնիվ, այն դեռևս բարելավման կարիք ունի: </w:t>
      </w:r>
    </w:p>
    <w:p w14:paraId="1D557224" w14:textId="77777777" w:rsidR="004442B5" w:rsidRPr="007A3698" w:rsidRDefault="004442B5" w:rsidP="007A3698">
      <w:pPr>
        <w:spacing w:after="0" w:line="276" w:lineRule="auto"/>
        <w:rPr>
          <w:lang w:val="hy-AM"/>
        </w:rPr>
      </w:pPr>
      <w:r w:rsidRPr="007A3698">
        <w:rPr>
          <w:lang w:val="hy-AM"/>
        </w:rPr>
        <w:tab/>
        <w:t>Վերաֆինանսավորման գործակիցը հաշվետու ժամանակաշրջանում նախորդ ժամանակաշրջանի նկատմամբ դրսևորել է նվազման դինամիկա և կազմել 2.7, որը դեռևս բավա</w:t>
      </w:r>
      <w:r w:rsidRPr="007A3698">
        <w:rPr>
          <w:lang w:val="hy-AM"/>
        </w:rPr>
        <w:softHyphen/>
        <w:t xml:space="preserve">կանին բարձր է միջազգային պրակտիկայում կիրառվող շեմային մակարդակից։ Դա փաստում է, որ որոշ Ընկերություներ ի վիճակի չեն գործառնություններից ստացվող դրամական հոսքերի հաշվին կատարել իրենց ընթացիկ պարտավորությունները: </w:t>
      </w:r>
    </w:p>
    <w:p w14:paraId="7208A2C5" w14:textId="77777777" w:rsidR="004442B5" w:rsidRPr="007A3698" w:rsidRDefault="004442B5" w:rsidP="007A3698">
      <w:pPr>
        <w:spacing w:line="276" w:lineRule="auto"/>
        <w:rPr>
          <w:lang w:val="hy-AM"/>
        </w:rPr>
      </w:pPr>
      <w:r w:rsidRPr="007A3698">
        <w:rPr>
          <w:lang w:val="hy-AM"/>
        </w:rPr>
        <w:t>Հաշվի առնելով, որ հաշվետու ժամանակաշրջանում Ընկերությունների համար հաշվարկված Z-միավորը վկայում է Ընկերու</w:t>
      </w:r>
      <w:r w:rsidRPr="007A3698">
        <w:rPr>
          <w:lang w:val="hy-AM"/>
        </w:rPr>
        <w:softHyphen/>
        <w:t>թյունների ֆինանսական վիճակի վատթարանալու բարձր հավանականության մասին, այս դեպքում, անկախ լրացուցիչ գործակիցներից, Ընկերությունների ֆինանսական վիճակի վատթարացման հավանականությունը նշանակալի է:</w:t>
      </w:r>
    </w:p>
    <w:p w14:paraId="50595BA6" w14:textId="77777777" w:rsidR="004442B5" w:rsidRPr="007A3698" w:rsidRDefault="004442B5" w:rsidP="007A3698">
      <w:pPr>
        <w:spacing w:line="276" w:lineRule="auto"/>
        <w:rPr>
          <w:b/>
          <w:lang w:val="hy-AM"/>
        </w:rPr>
      </w:pPr>
      <w:r w:rsidRPr="007A3698">
        <w:rPr>
          <w:b/>
          <w:lang w:val="hy-AM"/>
        </w:rPr>
        <w:t>3.1 Մասնավոր ընկերություններ</w:t>
      </w:r>
    </w:p>
    <w:p w14:paraId="0F1DC15B" w14:textId="77777777" w:rsidR="004442B5" w:rsidRPr="007A3698" w:rsidRDefault="004442B5" w:rsidP="007A3698">
      <w:pPr>
        <w:spacing w:after="0" w:line="276" w:lineRule="auto"/>
        <w:ind w:firstLine="720"/>
        <w:rPr>
          <w:lang w:val="hy-AM"/>
        </w:rPr>
      </w:pPr>
      <w:r w:rsidRPr="007A3698">
        <w:rPr>
          <w:lang w:val="hy-AM"/>
        </w:rPr>
        <w:t>Էներգետիկայի ոլորտի դիտանցման ենթարկվող մասնավոր Ընկերությունների գործունեության արդյունքում հարկա</w:t>
      </w:r>
      <w:r w:rsidRPr="007A3698">
        <w:rPr>
          <w:lang w:val="hy-AM"/>
        </w:rPr>
        <w:softHyphen/>
        <w:t>բյուջե</w:t>
      </w:r>
      <w:r w:rsidRPr="007A3698">
        <w:rPr>
          <w:lang w:val="hy-AM"/>
        </w:rPr>
        <w:softHyphen/>
      </w:r>
      <w:r w:rsidRPr="007A3698">
        <w:rPr>
          <w:lang w:val="hy-AM"/>
        </w:rPr>
        <w:softHyphen/>
        <w:t>տային ռիսկերն են.</w:t>
      </w:r>
    </w:p>
    <w:p w14:paraId="038F6F91" w14:textId="77777777" w:rsidR="004442B5" w:rsidRPr="007A3698" w:rsidRDefault="004442B5" w:rsidP="007A3698">
      <w:pPr>
        <w:spacing w:after="0" w:line="276" w:lineRule="auto"/>
        <w:ind w:firstLine="720"/>
        <w:rPr>
          <w:lang w:val="hy-AM"/>
        </w:rPr>
      </w:pPr>
      <w:r w:rsidRPr="007A3698">
        <w:rPr>
          <w:lang w:val="hy-AM"/>
        </w:rPr>
        <w:t>● ՀՀ պետական բյուջեից մասնավոր Ընկերություններին չնախատեսված փոխառություն</w:t>
      </w:r>
      <w:r w:rsidRPr="007A3698">
        <w:rPr>
          <w:lang w:val="hy-AM"/>
        </w:rPr>
        <w:softHyphen/>
        <w:t>ների տրամադրում կամ սեփական կապիտալի համալրում,</w:t>
      </w:r>
    </w:p>
    <w:p w14:paraId="30B7C74C" w14:textId="77777777" w:rsidR="004442B5" w:rsidRPr="007A3698" w:rsidRDefault="004442B5" w:rsidP="007A3698">
      <w:pPr>
        <w:spacing w:after="0" w:line="276" w:lineRule="auto"/>
        <w:ind w:firstLine="720"/>
        <w:rPr>
          <w:lang w:val="hy-AM"/>
        </w:rPr>
      </w:pPr>
      <w:r w:rsidRPr="007A3698">
        <w:rPr>
          <w:lang w:val="hy-AM"/>
        </w:rPr>
        <w:t>● Մասնավոր Ընկերություններին սուբսիդիաների տրամադրում կամ այլ վճարումներ կատարելու անհրաժեշտություն,</w:t>
      </w:r>
    </w:p>
    <w:p w14:paraId="15657C3D" w14:textId="77777777" w:rsidR="004442B5" w:rsidRPr="007A3698" w:rsidRDefault="004442B5" w:rsidP="007A3698">
      <w:pPr>
        <w:spacing w:after="0" w:line="276" w:lineRule="auto"/>
        <w:ind w:firstLine="720"/>
        <w:rPr>
          <w:lang w:val="hy-AM"/>
        </w:rPr>
      </w:pPr>
      <w:r w:rsidRPr="007A3698">
        <w:rPr>
          <w:lang w:val="hy-AM"/>
        </w:rPr>
        <w:t>● ՀՀ պետական բյուջեից մասնավոր Ընկերություններին տրամադրված վարկերի դիմաց տոկոսների չվճարում և մայր գումարների չմարում:</w:t>
      </w:r>
    </w:p>
    <w:p w14:paraId="715BEA87" w14:textId="77777777" w:rsidR="004442B5" w:rsidRPr="007A3698" w:rsidRDefault="004442B5" w:rsidP="007A3698">
      <w:pPr>
        <w:spacing w:after="0" w:line="276" w:lineRule="auto"/>
        <w:ind w:firstLine="720"/>
        <w:rPr>
          <w:lang w:val="hy-AM"/>
        </w:rPr>
      </w:pPr>
      <w:r w:rsidRPr="007A3698">
        <w:rPr>
          <w:lang w:val="hy-AM"/>
        </w:rPr>
        <w:t xml:space="preserve">Հաշվետու ժամանակաշրջանի ընթացքում էներգետիկայի ոլորտի դիտանցման ենթարկված մասնավոր ընկերությունների (թվով հինգ) հիմնական գործունեությունից ստացված հանրագումարային եկամուտները նախորդ ժամանակաշրջանի նկատմամբ ավելացել են 23.3 մլրդ դրամով և կազմել 463.1 մլրդ դրամ: </w:t>
      </w:r>
    </w:p>
    <w:p w14:paraId="6E4129FC" w14:textId="77777777" w:rsidR="004442B5" w:rsidRPr="007A3698" w:rsidRDefault="004442B5" w:rsidP="007A3698">
      <w:pPr>
        <w:spacing w:after="0" w:line="276" w:lineRule="auto"/>
        <w:ind w:firstLine="720"/>
        <w:rPr>
          <w:lang w:val="hy-AM"/>
        </w:rPr>
      </w:pPr>
      <w:r w:rsidRPr="007A3698">
        <w:rPr>
          <w:lang w:val="hy-AM"/>
        </w:rPr>
        <w:t>Հաշվետու ժամանակաշրջանում Ընկերությունների հան</w:t>
      </w:r>
      <w:r w:rsidRPr="007A3698">
        <w:rPr>
          <w:lang w:val="hy-AM"/>
        </w:rPr>
        <w:softHyphen/>
        <w:t xml:space="preserve">րագումարային ծախսերը կազմել են 436.3 մլրդ դրամ` նախորդ ժամանակաշրջանի 437.4 մլրդ դրամի դիմաց` նվազելով 1.1 մլրդ դրամով (0.25%-ով): </w:t>
      </w:r>
    </w:p>
    <w:p w14:paraId="54F4ACF2" w14:textId="77777777" w:rsidR="004442B5" w:rsidRPr="007A3698" w:rsidRDefault="004442B5" w:rsidP="007A3698">
      <w:pPr>
        <w:spacing w:after="0" w:line="276" w:lineRule="auto"/>
        <w:ind w:firstLine="720"/>
        <w:rPr>
          <w:lang w:val="hy-AM"/>
        </w:rPr>
      </w:pPr>
      <w:r w:rsidRPr="007A3698">
        <w:rPr>
          <w:lang w:val="hy-AM"/>
        </w:rPr>
        <w:t>Ընկերությունների 463.1 մլրդ դրամ ընդհանուր եկամուտների և 436.3 մլրդ դրամ ընդհա</w:t>
      </w:r>
      <w:r w:rsidRPr="007A3698">
        <w:rPr>
          <w:lang w:val="hy-AM"/>
        </w:rPr>
        <w:softHyphen/>
        <w:t xml:space="preserve">նուր ծախսերի արդյունքում հաշվետու ժամանակաշրջանում շահույթը կազմել է 26.8 մլրդ դրամ։ </w:t>
      </w:r>
    </w:p>
    <w:p w14:paraId="499B9841" w14:textId="77777777" w:rsidR="007A3698" w:rsidRDefault="007A3698" w:rsidP="004442B5">
      <w:pPr>
        <w:spacing w:after="0" w:line="240" w:lineRule="auto"/>
        <w:rPr>
          <w:b/>
          <w:sz w:val="20"/>
          <w:szCs w:val="20"/>
          <w:lang w:val="hy-AM"/>
        </w:rPr>
      </w:pPr>
    </w:p>
    <w:p w14:paraId="712CD55E" w14:textId="77777777" w:rsidR="004442B5" w:rsidRPr="00562068" w:rsidRDefault="004442B5" w:rsidP="004442B5">
      <w:pPr>
        <w:spacing w:after="0" w:line="240" w:lineRule="auto"/>
        <w:rPr>
          <w:b/>
          <w:lang w:val="hy-AM"/>
        </w:rPr>
      </w:pPr>
      <w:r w:rsidRPr="003E11FF">
        <w:rPr>
          <w:b/>
          <w:sz w:val="20"/>
          <w:szCs w:val="20"/>
          <w:lang w:val="hy-AM"/>
        </w:rPr>
        <w:t xml:space="preserve">Աղյուսակ </w:t>
      </w:r>
      <w:r w:rsidR="003E11FF" w:rsidRPr="00BE7F99">
        <w:rPr>
          <w:b/>
          <w:sz w:val="20"/>
          <w:szCs w:val="20"/>
          <w:lang w:val="hy-AM"/>
        </w:rPr>
        <w:t>5.</w:t>
      </w:r>
      <w:r w:rsidRPr="003E11FF">
        <w:rPr>
          <w:b/>
          <w:sz w:val="20"/>
          <w:szCs w:val="20"/>
          <w:lang w:val="hy-AM"/>
        </w:rPr>
        <w:t>4</w:t>
      </w:r>
      <w:r w:rsidRPr="00562068">
        <w:rPr>
          <w:b/>
          <w:lang w:val="hy-AM"/>
        </w:rPr>
        <w:t xml:space="preserve"> </w:t>
      </w:r>
      <w:r w:rsidRPr="003E11FF">
        <w:rPr>
          <w:i/>
          <w:sz w:val="20"/>
          <w:szCs w:val="20"/>
          <w:lang w:val="hy-AM"/>
        </w:rPr>
        <w:t>Էներգետիկայի ոլորտի մասնավոր ընկերությունների հանրագումարային զուտ շահույթն ըստ տարիների</w:t>
      </w:r>
      <w:r w:rsidRPr="00562068">
        <w:rPr>
          <w:b/>
          <w:lang w:val="hy-AM"/>
        </w:rPr>
        <w:t xml:space="preserve">                                                                                                              </w:t>
      </w:r>
    </w:p>
    <w:p w14:paraId="60027C98" w14:textId="77777777" w:rsidR="004442B5" w:rsidRDefault="004442B5" w:rsidP="004442B5">
      <w:pPr>
        <w:spacing w:after="0" w:line="240" w:lineRule="auto"/>
        <w:jc w:val="right"/>
        <w:rPr>
          <w:i/>
          <w:sz w:val="18"/>
          <w:szCs w:val="18"/>
        </w:rPr>
      </w:pPr>
      <w:r w:rsidRPr="00562068">
        <w:rPr>
          <w:lang w:val="hy-AM"/>
        </w:rPr>
        <w:t xml:space="preserve">                                                                                       </w:t>
      </w:r>
      <w:r>
        <w:rPr>
          <w:lang w:val="hy-AM"/>
        </w:rPr>
        <w:t xml:space="preserve">                     </w:t>
      </w:r>
      <w:r w:rsidRPr="0072558D">
        <w:rPr>
          <w:i/>
          <w:sz w:val="18"/>
          <w:szCs w:val="18"/>
          <w:lang w:val="hy-AM"/>
        </w:rPr>
        <w:t xml:space="preserve">հազ. </w:t>
      </w:r>
      <w:r>
        <w:rPr>
          <w:i/>
          <w:sz w:val="18"/>
          <w:szCs w:val="18"/>
        </w:rPr>
        <w:t>դ</w:t>
      </w:r>
      <w:r w:rsidRPr="0072558D">
        <w:rPr>
          <w:i/>
          <w:sz w:val="18"/>
          <w:szCs w:val="18"/>
          <w:lang w:val="hy-AM"/>
        </w:rPr>
        <w:t>րամ</w:t>
      </w:r>
    </w:p>
    <w:p w14:paraId="5A72C063" w14:textId="77777777" w:rsidR="004442B5" w:rsidRPr="0072558D" w:rsidRDefault="004442B5" w:rsidP="004442B5">
      <w:pPr>
        <w:spacing w:after="0" w:line="240" w:lineRule="auto"/>
        <w:jc w:val="right"/>
        <w:rPr>
          <w:i/>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1701"/>
        <w:gridCol w:w="1701"/>
        <w:gridCol w:w="1559"/>
      </w:tblGrid>
      <w:tr w:rsidR="004442B5" w:rsidRPr="004711B0" w14:paraId="252507A5" w14:textId="77777777" w:rsidTr="00C85113">
        <w:trPr>
          <w:trHeight w:val="431"/>
          <w:tblHeader/>
        </w:trPr>
        <w:tc>
          <w:tcPr>
            <w:tcW w:w="5245" w:type="dxa"/>
            <w:vMerge w:val="restart"/>
            <w:tcBorders>
              <w:top w:val="single" w:sz="4" w:space="0" w:color="auto"/>
              <w:left w:val="single" w:sz="4" w:space="0" w:color="auto"/>
              <w:bottom w:val="single" w:sz="4" w:space="0" w:color="auto"/>
              <w:right w:val="single" w:sz="4" w:space="0" w:color="auto"/>
            </w:tcBorders>
            <w:shd w:val="clear" w:color="auto" w:fill="0070C0"/>
            <w:vAlign w:val="center"/>
            <w:hideMark/>
          </w:tcPr>
          <w:p w14:paraId="7F4B88C0" w14:textId="77777777" w:rsidR="004442B5" w:rsidRPr="003E11FF" w:rsidRDefault="004442B5" w:rsidP="00C85113">
            <w:pPr>
              <w:spacing w:after="0" w:line="240" w:lineRule="auto"/>
              <w:ind w:firstLine="0"/>
              <w:jc w:val="center"/>
              <w:rPr>
                <w:b/>
                <w:color w:val="FFFFFF" w:themeColor="background1"/>
                <w:sz w:val="20"/>
                <w:szCs w:val="20"/>
              </w:rPr>
            </w:pPr>
            <w:r w:rsidRPr="003E11FF">
              <w:rPr>
                <w:b/>
                <w:color w:val="FFFFFF" w:themeColor="background1"/>
                <w:sz w:val="20"/>
                <w:szCs w:val="20"/>
              </w:rPr>
              <w:lastRenderedPageBreak/>
              <w:t>Մասնավոր ընկերություններ</w:t>
            </w:r>
          </w:p>
        </w:tc>
        <w:tc>
          <w:tcPr>
            <w:tcW w:w="170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FCA3872" w14:textId="77777777" w:rsidR="004442B5" w:rsidRPr="003E11FF" w:rsidRDefault="004442B5" w:rsidP="00C85113">
            <w:pPr>
              <w:spacing w:after="0" w:line="240" w:lineRule="auto"/>
              <w:ind w:firstLine="0"/>
              <w:jc w:val="center"/>
              <w:rPr>
                <w:rFonts w:cs="Times New Roman"/>
                <w:b/>
                <w:color w:val="FFFFFF" w:themeColor="background1"/>
                <w:sz w:val="20"/>
                <w:szCs w:val="20"/>
              </w:rPr>
            </w:pPr>
            <w:r w:rsidRPr="003E11FF">
              <w:rPr>
                <w:b/>
                <w:color w:val="FFFFFF" w:themeColor="background1"/>
                <w:sz w:val="20"/>
                <w:szCs w:val="20"/>
              </w:rPr>
              <w:t>201</w:t>
            </w:r>
            <w:r w:rsidRPr="003E11FF">
              <w:rPr>
                <w:b/>
                <w:color w:val="FFFFFF" w:themeColor="background1"/>
                <w:sz w:val="20"/>
                <w:szCs w:val="20"/>
                <w:lang w:val="hy-AM"/>
              </w:rPr>
              <w:t>7</w:t>
            </w:r>
            <w:r w:rsidRPr="003E11FF">
              <w:rPr>
                <w:b/>
                <w:color w:val="FFFFFF" w:themeColor="background1"/>
                <w:sz w:val="20"/>
                <w:szCs w:val="20"/>
              </w:rPr>
              <w:t>թ.</w:t>
            </w:r>
          </w:p>
        </w:tc>
        <w:tc>
          <w:tcPr>
            <w:tcW w:w="170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5BE42948" w14:textId="77777777" w:rsidR="004442B5" w:rsidRPr="003E11FF" w:rsidRDefault="004442B5" w:rsidP="00C85113">
            <w:pPr>
              <w:spacing w:after="0" w:line="240" w:lineRule="auto"/>
              <w:ind w:firstLine="0"/>
              <w:jc w:val="center"/>
              <w:rPr>
                <w:rFonts w:cs="Times New Roman"/>
                <w:b/>
                <w:color w:val="FFFFFF" w:themeColor="background1"/>
                <w:sz w:val="20"/>
                <w:szCs w:val="20"/>
              </w:rPr>
            </w:pPr>
            <w:r w:rsidRPr="003E11FF">
              <w:rPr>
                <w:b/>
                <w:color w:val="FFFFFF" w:themeColor="background1"/>
                <w:sz w:val="20"/>
                <w:szCs w:val="20"/>
              </w:rPr>
              <w:t>201</w:t>
            </w:r>
            <w:r w:rsidRPr="003E11FF">
              <w:rPr>
                <w:b/>
                <w:color w:val="FFFFFF" w:themeColor="background1"/>
                <w:sz w:val="20"/>
                <w:szCs w:val="20"/>
                <w:lang w:val="hy-AM"/>
              </w:rPr>
              <w:t>8</w:t>
            </w:r>
            <w:r w:rsidRPr="003E11FF">
              <w:rPr>
                <w:b/>
                <w:color w:val="FFFFFF" w:themeColor="background1"/>
                <w:sz w:val="20"/>
                <w:szCs w:val="20"/>
              </w:rPr>
              <w:t>թ.</w:t>
            </w:r>
          </w:p>
        </w:tc>
        <w:tc>
          <w:tcPr>
            <w:tcW w:w="1559"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5B108E04" w14:textId="77777777" w:rsidR="004442B5" w:rsidRPr="003E11FF" w:rsidRDefault="004442B5" w:rsidP="00C85113">
            <w:pPr>
              <w:spacing w:after="0" w:line="240" w:lineRule="auto"/>
              <w:ind w:firstLine="0"/>
              <w:jc w:val="center"/>
              <w:rPr>
                <w:rFonts w:cs="Times New Roman"/>
                <w:b/>
                <w:color w:val="FFFFFF" w:themeColor="background1"/>
                <w:sz w:val="20"/>
                <w:szCs w:val="20"/>
              </w:rPr>
            </w:pPr>
            <w:r w:rsidRPr="003E11FF">
              <w:rPr>
                <w:b/>
                <w:color w:val="FFFFFF" w:themeColor="background1"/>
                <w:sz w:val="20"/>
                <w:szCs w:val="20"/>
              </w:rPr>
              <w:t>201</w:t>
            </w:r>
            <w:r w:rsidRPr="003E11FF">
              <w:rPr>
                <w:b/>
                <w:color w:val="FFFFFF" w:themeColor="background1"/>
                <w:sz w:val="20"/>
                <w:szCs w:val="20"/>
                <w:lang w:val="hy-AM"/>
              </w:rPr>
              <w:t>9</w:t>
            </w:r>
            <w:r w:rsidRPr="003E11FF">
              <w:rPr>
                <w:b/>
                <w:color w:val="FFFFFF" w:themeColor="background1"/>
                <w:sz w:val="20"/>
                <w:szCs w:val="20"/>
              </w:rPr>
              <w:t>թ.</w:t>
            </w:r>
          </w:p>
        </w:tc>
      </w:tr>
      <w:tr w:rsidR="004442B5" w:rsidRPr="004711B0" w14:paraId="16A8E380" w14:textId="77777777" w:rsidTr="00C85113">
        <w:trPr>
          <w:trHeight w:val="442"/>
          <w:tblHeader/>
        </w:trPr>
        <w:tc>
          <w:tcPr>
            <w:tcW w:w="5245"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18A316C4" w14:textId="77777777" w:rsidR="004442B5" w:rsidRPr="003E11FF" w:rsidRDefault="004442B5" w:rsidP="00C85113">
            <w:pPr>
              <w:spacing w:line="360" w:lineRule="auto"/>
              <w:ind w:firstLine="0"/>
              <w:rPr>
                <w:b/>
                <w:color w:val="FFFFFF" w:themeColor="background1"/>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43AD1E2B" w14:textId="77777777" w:rsidR="004442B5" w:rsidRPr="003E11FF" w:rsidRDefault="004442B5" w:rsidP="00C85113">
            <w:pPr>
              <w:spacing w:line="360" w:lineRule="auto"/>
              <w:ind w:firstLine="0"/>
              <w:jc w:val="center"/>
              <w:rPr>
                <w:b/>
                <w:color w:val="FFFFFF" w:themeColor="background1"/>
                <w:sz w:val="20"/>
                <w:szCs w:val="20"/>
              </w:rPr>
            </w:pPr>
            <w:r w:rsidRPr="003E11FF">
              <w:rPr>
                <w:b/>
                <w:color w:val="FFFFFF" w:themeColor="background1"/>
                <w:sz w:val="20"/>
                <w:szCs w:val="20"/>
              </w:rPr>
              <w:t>Փաստ.</w:t>
            </w:r>
          </w:p>
        </w:tc>
        <w:tc>
          <w:tcPr>
            <w:tcW w:w="170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36B1D9A" w14:textId="77777777" w:rsidR="004442B5" w:rsidRPr="003E11FF" w:rsidRDefault="004442B5" w:rsidP="00C85113">
            <w:pPr>
              <w:spacing w:line="360" w:lineRule="auto"/>
              <w:ind w:firstLine="0"/>
              <w:jc w:val="center"/>
              <w:rPr>
                <w:b/>
                <w:color w:val="FFFFFF" w:themeColor="background1"/>
                <w:sz w:val="20"/>
                <w:szCs w:val="20"/>
              </w:rPr>
            </w:pPr>
            <w:r w:rsidRPr="003E11FF">
              <w:rPr>
                <w:b/>
                <w:color w:val="FFFFFF" w:themeColor="background1"/>
                <w:sz w:val="20"/>
                <w:szCs w:val="20"/>
              </w:rPr>
              <w:t>Փաստ.</w:t>
            </w:r>
          </w:p>
        </w:tc>
        <w:tc>
          <w:tcPr>
            <w:tcW w:w="1559" w:type="dxa"/>
            <w:tcBorders>
              <w:top w:val="single" w:sz="4" w:space="0" w:color="auto"/>
              <w:left w:val="single" w:sz="4" w:space="0" w:color="auto"/>
              <w:bottom w:val="single" w:sz="4" w:space="0" w:color="auto"/>
              <w:right w:val="single" w:sz="4" w:space="0" w:color="auto"/>
            </w:tcBorders>
            <w:shd w:val="clear" w:color="auto" w:fill="0070C0"/>
            <w:hideMark/>
          </w:tcPr>
          <w:p w14:paraId="1F5B8FD0" w14:textId="77777777" w:rsidR="004442B5" w:rsidRPr="003E11FF" w:rsidRDefault="004442B5" w:rsidP="00C85113">
            <w:pPr>
              <w:spacing w:line="360" w:lineRule="auto"/>
              <w:ind w:firstLine="0"/>
              <w:jc w:val="center"/>
              <w:rPr>
                <w:b/>
                <w:color w:val="FFFFFF" w:themeColor="background1"/>
                <w:sz w:val="20"/>
                <w:szCs w:val="20"/>
              </w:rPr>
            </w:pPr>
            <w:r w:rsidRPr="003E11FF">
              <w:rPr>
                <w:b/>
                <w:color w:val="FFFFFF" w:themeColor="background1"/>
                <w:sz w:val="20"/>
                <w:szCs w:val="20"/>
              </w:rPr>
              <w:t>Փաստ.</w:t>
            </w:r>
          </w:p>
        </w:tc>
      </w:tr>
      <w:tr w:rsidR="004442B5" w:rsidRPr="00A35CD3" w14:paraId="03C4A578" w14:textId="77777777" w:rsidTr="00C85113">
        <w:trPr>
          <w:trHeight w:val="307"/>
        </w:trPr>
        <w:tc>
          <w:tcPr>
            <w:tcW w:w="52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2C5D2B" w14:textId="77777777" w:rsidR="004442B5" w:rsidRPr="003E11FF" w:rsidRDefault="004442B5" w:rsidP="00C85113">
            <w:pPr>
              <w:spacing w:line="360" w:lineRule="auto"/>
              <w:ind w:firstLine="0"/>
              <w:jc w:val="left"/>
              <w:rPr>
                <w:sz w:val="20"/>
                <w:szCs w:val="20"/>
              </w:rPr>
            </w:pPr>
            <w:r w:rsidRPr="003E11FF">
              <w:rPr>
                <w:sz w:val="20"/>
                <w:szCs w:val="20"/>
              </w:rPr>
              <w:t>ԸՆԴԱՄԵՆԸ</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FF3941" w14:textId="77777777" w:rsidR="004442B5" w:rsidRPr="003E11FF" w:rsidRDefault="004442B5" w:rsidP="00C85113">
            <w:pPr>
              <w:ind w:firstLine="0"/>
              <w:jc w:val="center"/>
              <w:rPr>
                <w:color w:val="000000"/>
                <w:sz w:val="20"/>
                <w:szCs w:val="20"/>
              </w:rPr>
            </w:pPr>
            <w:r w:rsidRPr="003E11FF">
              <w:rPr>
                <w:color w:val="000000"/>
                <w:sz w:val="20"/>
                <w:szCs w:val="20"/>
              </w:rPr>
              <w:t>(1,298,881.0)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244250A" w14:textId="77777777" w:rsidR="004442B5" w:rsidRPr="003E11FF" w:rsidRDefault="004442B5" w:rsidP="00C85113">
            <w:pPr>
              <w:ind w:firstLine="0"/>
              <w:jc w:val="center"/>
              <w:rPr>
                <w:color w:val="000000"/>
                <w:sz w:val="20"/>
                <w:szCs w:val="20"/>
              </w:rPr>
            </w:pPr>
            <w:r w:rsidRPr="003E11FF">
              <w:rPr>
                <w:color w:val="000000"/>
                <w:sz w:val="20"/>
                <w:szCs w:val="20"/>
              </w:rPr>
              <w:t>16,154,475.0</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B4DD3D6" w14:textId="77777777" w:rsidR="004442B5" w:rsidRPr="003E11FF" w:rsidRDefault="004442B5" w:rsidP="00C85113">
            <w:pPr>
              <w:ind w:firstLine="0"/>
              <w:jc w:val="center"/>
              <w:rPr>
                <w:color w:val="000000"/>
                <w:sz w:val="20"/>
                <w:szCs w:val="20"/>
              </w:rPr>
            </w:pPr>
            <w:r w:rsidRPr="003E11FF">
              <w:rPr>
                <w:color w:val="000000"/>
                <w:sz w:val="20"/>
                <w:szCs w:val="20"/>
              </w:rPr>
              <w:t>14,830,506.0</w:t>
            </w:r>
          </w:p>
        </w:tc>
      </w:tr>
      <w:tr w:rsidR="004442B5" w:rsidRPr="00A35CD3" w14:paraId="70ECF15E" w14:textId="77777777" w:rsidTr="00C85113">
        <w:trPr>
          <w:trHeight w:val="360"/>
        </w:trPr>
        <w:tc>
          <w:tcPr>
            <w:tcW w:w="5245" w:type="dxa"/>
            <w:tcBorders>
              <w:top w:val="single" w:sz="4" w:space="0" w:color="auto"/>
              <w:left w:val="single" w:sz="4" w:space="0" w:color="auto"/>
              <w:bottom w:val="single" w:sz="4" w:space="0" w:color="auto"/>
              <w:right w:val="single" w:sz="4" w:space="0" w:color="auto"/>
            </w:tcBorders>
            <w:vAlign w:val="center"/>
            <w:hideMark/>
          </w:tcPr>
          <w:p w14:paraId="2A0C8F36" w14:textId="77777777" w:rsidR="004442B5" w:rsidRPr="003E11FF" w:rsidRDefault="004442B5" w:rsidP="00C85113">
            <w:pPr>
              <w:spacing w:line="360" w:lineRule="auto"/>
              <w:ind w:firstLine="0"/>
              <w:jc w:val="left"/>
              <w:rPr>
                <w:sz w:val="20"/>
                <w:szCs w:val="20"/>
              </w:rPr>
            </w:pPr>
            <w:r w:rsidRPr="003E11FF">
              <w:rPr>
                <w:sz w:val="20"/>
                <w:szCs w:val="20"/>
              </w:rPr>
              <w:t>1. «Հրազդան</w:t>
            </w:r>
            <w:r w:rsidRPr="003E11FF">
              <w:rPr>
                <w:rFonts w:ascii="Courier New" w:hAnsi="Courier New" w:cs="Courier New"/>
                <w:sz w:val="20"/>
                <w:szCs w:val="20"/>
              </w:rPr>
              <w:t> </w:t>
            </w:r>
            <w:r w:rsidRPr="003E11FF">
              <w:rPr>
                <w:sz w:val="20"/>
                <w:szCs w:val="20"/>
              </w:rPr>
              <w:t>ՋԷԿ»</w:t>
            </w:r>
            <w:r w:rsidRPr="003E11FF">
              <w:rPr>
                <w:rFonts w:ascii="Courier New" w:hAnsi="Courier New" w:cs="Courier New"/>
                <w:sz w:val="20"/>
                <w:szCs w:val="20"/>
              </w:rPr>
              <w:t> </w:t>
            </w:r>
            <w:r w:rsidRPr="003E11FF">
              <w:rPr>
                <w:sz w:val="20"/>
                <w:szCs w:val="20"/>
              </w:rPr>
              <w:t>ԲԲԸ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DEE14F" w14:textId="77777777" w:rsidR="004442B5" w:rsidRPr="003E11FF" w:rsidRDefault="004442B5" w:rsidP="00C85113">
            <w:pPr>
              <w:ind w:firstLine="0"/>
              <w:jc w:val="center"/>
              <w:rPr>
                <w:color w:val="000000"/>
                <w:sz w:val="20"/>
                <w:szCs w:val="20"/>
              </w:rPr>
            </w:pPr>
            <w:r w:rsidRPr="003E11FF">
              <w:rPr>
                <w:color w:val="000000"/>
                <w:sz w:val="20"/>
                <w:szCs w:val="20"/>
              </w:rPr>
              <w:t>1,248,326.0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76739C" w14:textId="77777777" w:rsidR="004442B5" w:rsidRPr="003E11FF" w:rsidRDefault="004442B5" w:rsidP="00C85113">
            <w:pPr>
              <w:ind w:firstLine="0"/>
              <w:jc w:val="center"/>
              <w:rPr>
                <w:color w:val="000000"/>
                <w:sz w:val="20"/>
                <w:szCs w:val="20"/>
              </w:rPr>
            </w:pPr>
            <w:r w:rsidRPr="003E11FF">
              <w:rPr>
                <w:color w:val="000000"/>
                <w:sz w:val="20"/>
                <w:szCs w:val="20"/>
              </w:rPr>
              <w:t>2,835,161.0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3DEE54" w14:textId="77777777" w:rsidR="004442B5" w:rsidRPr="003E11FF" w:rsidRDefault="004442B5" w:rsidP="00C85113">
            <w:pPr>
              <w:ind w:firstLine="0"/>
              <w:jc w:val="center"/>
              <w:rPr>
                <w:color w:val="000000"/>
                <w:sz w:val="20"/>
                <w:szCs w:val="20"/>
              </w:rPr>
            </w:pPr>
            <w:r w:rsidRPr="003E11FF">
              <w:rPr>
                <w:color w:val="000000"/>
                <w:sz w:val="20"/>
                <w:szCs w:val="20"/>
              </w:rPr>
              <w:t>2,382,469.0</w:t>
            </w:r>
          </w:p>
        </w:tc>
      </w:tr>
      <w:tr w:rsidR="004442B5" w:rsidRPr="00A35CD3" w14:paraId="24B6C6B4" w14:textId="77777777" w:rsidTr="001B57F3">
        <w:trPr>
          <w:trHeight w:val="375"/>
        </w:trPr>
        <w:tc>
          <w:tcPr>
            <w:tcW w:w="52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F48FB8" w14:textId="77777777" w:rsidR="004442B5" w:rsidRPr="003E11FF" w:rsidRDefault="004442B5" w:rsidP="00C85113">
            <w:pPr>
              <w:spacing w:line="360" w:lineRule="auto"/>
              <w:ind w:firstLine="0"/>
              <w:jc w:val="left"/>
              <w:rPr>
                <w:sz w:val="20"/>
                <w:szCs w:val="20"/>
              </w:rPr>
            </w:pPr>
            <w:r w:rsidRPr="003E11FF">
              <w:rPr>
                <w:sz w:val="20"/>
                <w:szCs w:val="20"/>
              </w:rPr>
              <w:t>2. «Գազպրոմ</w:t>
            </w:r>
            <w:r w:rsidRPr="003E11FF">
              <w:rPr>
                <w:rFonts w:ascii="Courier New" w:hAnsi="Courier New" w:cs="Courier New"/>
                <w:sz w:val="20"/>
                <w:szCs w:val="20"/>
              </w:rPr>
              <w:t> </w:t>
            </w:r>
            <w:r w:rsidRPr="003E11FF">
              <w:rPr>
                <w:sz w:val="20"/>
                <w:szCs w:val="20"/>
              </w:rPr>
              <w:t>Արմենիա»</w:t>
            </w:r>
            <w:r w:rsidRPr="003E11FF">
              <w:rPr>
                <w:rFonts w:ascii="Courier New" w:hAnsi="Courier New" w:cs="Courier New"/>
                <w:sz w:val="20"/>
                <w:szCs w:val="20"/>
              </w:rPr>
              <w:t> </w:t>
            </w:r>
            <w:r w:rsidRPr="003E11FF">
              <w:rPr>
                <w:sz w:val="20"/>
                <w:szCs w:val="20"/>
              </w:rPr>
              <w:t>ՓԲԸ</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3A6753" w14:textId="77777777" w:rsidR="004442B5" w:rsidRPr="003E11FF" w:rsidRDefault="004442B5" w:rsidP="00C85113">
            <w:pPr>
              <w:ind w:firstLine="0"/>
              <w:jc w:val="center"/>
              <w:rPr>
                <w:color w:val="000000"/>
                <w:sz w:val="20"/>
                <w:szCs w:val="20"/>
              </w:rPr>
            </w:pPr>
            <w:r w:rsidRPr="003E11FF">
              <w:rPr>
                <w:color w:val="000000"/>
                <w:sz w:val="20"/>
                <w:szCs w:val="20"/>
              </w:rPr>
              <w:t>(9,364,000.0)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9AC10F" w14:textId="77777777" w:rsidR="004442B5" w:rsidRPr="003E11FF" w:rsidRDefault="004442B5" w:rsidP="00C85113">
            <w:pPr>
              <w:ind w:firstLine="0"/>
              <w:jc w:val="center"/>
              <w:rPr>
                <w:color w:val="000000"/>
                <w:sz w:val="20"/>
                <w:szCs w:val="20"/>
              </w:rPr>
            </w:pPr>
            <w:r w:rsidRPr="003E11FF">
              <w:rPr>
                <w:color w:val="000000"/>
                <w:sz w:val="20"/>
                <w:szCs w:val="20"/>
              </w:rPr>
              <w:t>14,920,000.0</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FED111F" w14:textId="77777777" w:rsidR="004442B5" w:rsidRPr="003E11FF" w:rsidRDefault="004442B5" w:rsidP="00C85113">
            <w:pPr>
              <w:ind w:firstLine="0"/>
              <w:jc w:val="center"/>
              <w:rPr>
                <w:color w:val="000000"/>
                <w:sz w:val="20"/>
                <w:szCs w:val="20"/>
              </w:rPr>
            </w:pPr>
            <w:r w:rsidRPr="003E11FF">
              <w:rPr>
                <w:color w:val="000000"/>
                <w:sz w:val="20"/>
                <w:szCs w:val="20"/>
              </w:rPr>
              <w:t>524,000.0</w:t>
            </w:r>
          </w:p>
        </w:tc>
      </w:tr>
      <w:tr w:rsidR="004442B5" w:rsidRPr="00A35CD3" w14:paraId="7A5728DC" w14:textId="77777777" w:rsidTr="00C85113">
        <w:trPr>
          <w:trHeight w:val="375"/>
        </w:trPr>
        <w:tc>
          <w:tcPr>
            <w:tcW w:w="5245" w:type="dxa"/>
            <w:tcBorders>
              <w:top w:val="single" w:sz="4" w:space="0" w:color="auto"/>
              <w:left w:val="single" w:sz="4" w:space="0" w:color="auto"/>
              <w:bottom w:val="single" w:sz="4" w:space="0" w:color="auto"/>
              <w:right w:val="single" w:sz="4" w:space="0" w:color="auto"/>
            </w:tcBorders>
            <w:vAlign w:val="center"/>
            <w:hideMark/>
          </w:tcPr>
          <w:p w14:paraId="12F1A536" w14:textId="77777777" w:rsidR="004442B5" w:rsidRPr="003E11FF" w:rsidRDefault="004442B5" w:rsidP="00C85113">
            <w:pPr>
              <w:spacing w:line="360" w:lineRule="auto"/>
              <w:ind w:firstLine="0"/>
              <w:jc w:val="left"/>
              <w:rPr>
                <w:sz w:val="20"/>
                <w:szCs w:val="20"/>
              </w:rPr>
            </w:pPr>
            <w:r w:rsidRPr="003E11FF">
              <w:rPr>
                <w:sz w:val="20"/>
                <w:szCs w:val="20"/>
              </w:rPr>
              <w:t>2.1 «Տրանսգազ»</w:t>
            </w:r>
            <w:r w:rsidRPr="003E11FF">
              <w:rPr>
                <w:rFonts w:ascii="Courier New" w:hAnsi="Courier New" w:cs="Courier New"/>
                <w:sz w:val="20"/>
                <w:szCs w:val="20"/>
              </w:rPr>
              <w:t> </w:t>
            </w:r>
            <w:r w:rsidRPr="003E11FF">
              <w:rPr>
                <w:sz w:val="20"/>
                <w:szCs w:val="20"/>
              </w:rPr>
              <w:t>ՍՊԸ*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5BB679" w14:textId="77777777" w:rsidR="004442B5" w:rsidRPr="003E11FF" w:rsidRDefault="004442B5" w:rsidP="00C85113">
            <w:pPr>
              <w:ind w:firstLine="0"/>
              <w:jc w:val="center"/>
              <w:rPr>
                <w:color w:val="000000"/>
                <w:sz w:val="20"/>
                <w:szCs w:val="20"/>
              </w:rPr>
            </w:pPr>
            <w:r w:rsidRPr="003E11FF">
              <w:rPr>
                <w:color w:val="000000"/>
                <w:sz w:val="20"/>
                <w:szCs w:val="20"/>
              </w:rPr>
              <w:t>64,049.0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742016" w14:textId="77777777" w:rsidR="004442B5" w:rsidRPr="003E11FF" w:rsidRDefault="004442B5" w:rsidP="00C85113">
            <w:pPr>
              <w:ind w:firstLine="0"/>
              <w:jc w:val="center"/>
              <w:rPr>
                <w:color w:val="000000"/>
                <w:sz w:val="20"/>
                <w:szCs w:val="20"/>
              </w:rPr>
            </w:pPr>
            <w:r w:rsidRPr="003E11FF">
              <w:rPr>
                <w:color w:val="000000"/>
                <w:sz w:val="20"/>
                <w:szCs w:val="20"/>
              </w:rPr>
              <w:t>(5,811.0)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FFEDEB" w14:textId="77777777" w:rsidR="004442B5" w:rsidRPr="003E11FF" w:rsidRDefault="004442B5" w:rsidP="00C85113">
            <w:pPr>
              <w:ind w:firstLine="0"/>
              <w:jc w:val="center"/>
              <w:rPr>
                <w:color w:val="000000"/>
                <w:sz w:val="20"/>
                <w:szCs w:val="20"/>
              </w:rPr>
            </w:pPr>
            <w:r w:rsidRPr="003E11FF">
              <w:rPr>
                <w:color w:val="000000"/>
                <w:sz w:val="20"/>
                <w:szCs w:val="20"/>
              </w:rPr>
              <w:t>23,776.0</w:t>
            </w:r>
          </w:p>
        </w:tc>
      </w:tr>
      <w:tr w:rsidR="004442B5" w:rsidRPr="00A35CD3" w14:paraId="60D76692" w14:textId="77777777" w:rsidTr="001B57F3">
        <w:trPr>
          <w:trHeight w:val="261"/>
        </w:trPr>
        <w:tc>
          <w:tcPr>
            <w:tcW w:w="52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CC76D9D" w14:textId="77777777" w:rsidR="004442B5" w:rsidRPr="003E11FF" w:rsidRDefault="004442B5" w:rsidP="00C85113">
            <w:pPr>
              <w:spacing w:line="360" w:lineRule="auto"/>
              <w:ind w:firstLine="0"/>
              <w:jc w:val="left"/>
              <w:rPr>
                <w:sz w:val="20"/>
                <w:szCs w:val="20"/>
              </w:rPr>
            </w:pPr>
            <w:r w:rsidRPr="003E11FF">
              <w:rPr>
                <w:sz w:val="20"/>
                <w:szCs w:val="20"/>
              </w:rPr>
              <w:t>3.«Միջազգային</w:t>
            </w:r>
            <w:r w:rsidRPr="003E11FF">
              <w:rPr>
                <w:rFonts w:ascii="Courier New" w:hAnsi="Courier New" w:cs="Courier New"/>
                <w:sz w:val="20"/>
                <w:szCs w:val="20"/>
              </w:rPr>
              <w:t> </w:t>
            </w:r>
            <w:r w:rsidRPr="003E11FF">
              <w:rPr>
                <w:sz w:val="20"/>
                <w:szCs w:val="20"/>
              </w:rPr>
              <w:t>էներգետիկ</w:t>
            </w:r>
            <w:r w:rsidRPr="003E11FF">
              <w:rPr>
                <w:rFonts w:ascii="Courier New" w:hAnsi="Courier New" w:cs="Courier New"/>
                <w:sz w:val="20"/>
                <w:szCs w:val="20"/>
              </w:rPr>
              <w:t> </w:t>
            </w:r>
            <w:r w:rsidRPr="003E11FF">
              <w:rPr>
                <w:sz w:val="20"/>
                <w:szCs w:val="20"/>
              </w:rPr>
              <w:t>կորպորացիա» ՓԲԸ</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C51D3E" w14:textId="77777777" w:rsidR="004442B5" w:rsidRPr="003E11FF" w:rsidRDefault="004442B5" w:rsidP="00C85113">
            <w:pPr>
              <w:ind w:firstLine="0"/>
              <w:jc w:val="center"/>
              <w:rPr>
                <w:color w:val="000000"/>
                <w:sz w:val="20"/>
                <w:szCs w:val="20"/>
              </w:rPr>
            </w:pPr>
            <w:r w:rsidRPr="003E11FF">
              <w:rPr>
                <w:color w:val="000000"/>
                <w:sz w:val="20"/>
                <w:szCs w:val="20"/>
              </w:rPr>
              <w:t>98,744.0</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9FF9B14" w14:textId="77777777" w:rsidR="004442B5" w:rsidRPr="003E11FF" w:rsidRDefault="004442B5" w:rsidP="00C85113">
            <w:pPr>
              <w:ind w:firstLine="0"/>
              <w:jc w:val="center"/>
              <w:rPr>
                <w:color w:val="000000"/>
                <w:sz w:val="20"/>
                <w:szCs w:val="20"/>
              </w:rPr>
            </w:pPr>
            <w:r w:rsidRPr="003E11FF">
              <w:rPr>
                <w:color w:val="000000"/>
                <w:sz w:val="20"/>
                <w:szCs w:val="20"/>
              </w:rPr>
              <w:t>(12,353,723.0)</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ED3A04" w14:textId="77777777" w:rsidR="004442B5" w:rsidRPr="003E11FF" w:rsidRDefault="004442B5" w:rsidP="00C85113">
            <w:pPr>
              <w:ind w:firstLine="0"/>
              <w:jc w:val="center"/>
              <w:rPr>
                <w:color w:val="000000"/>
                <w:sz w:val="20"/>
                <w:szCs w:val="20"/>
              </w:rPr>
            </w:pPr>
            <w:r w:rsidRPr="003E11FF">
              <w:rPr>
                <w:color w:val="000000"/>
                <w:sz w:val="20"/>
                <w:szCs w:val="20"/>
              </w:rPr>
              <w:t>159,937.0</w:t>
            </w:r>
          </w:p>
        </w:tc>
      </w:tr>
      <w:tr w:rsidR="004442B5" w:rsidRPr="00A35CD3" w14:paraId="7AF847CB" w14:textId="77777777" w:rsidTr="00C85113">
        <w:trPr>
          <w:trHeight w:val="285"/>
        </w:trPr>
        <w:tc>
          <w:tcPr>
            <w:tcW w:w="5245" w:type="dxa"/>
            <w:tcBorders>
              <w:top w:val="single" w:sz="4" w:space="0" w:color="auto"/>
              <w:left w:val="single" w:sz="4" w:space="0" w:color="auto"/>
              <w:bottom w:val="single" w:sz="4" w:space="0" w:color="auto"/>
              <w:right w:val="single" w:sz="4" w:space="0" w:color="auto"/>
            </w:tcBorders>
            <w:vAlign w:val="center"/>
            <w:hideMark/>
          </w:tcPr>
          <w:p w14:paraId="4286D4F1" w14:textId="77777777" w:rsidR="004442B5" w:rsidRPr="003E11FF" w:rsidRDefault="004442B5" w:rsidP="00C85113">
            <w:pPr>
              <w:spacing w:line="360" w:lineRule="auto"/>
              <w:ind w:firstLine="0"/>
              <w:jc w:val="left"/>
              <w:rPr>
                <w:sz w:val="20"/>
                <w:szCs w:val="20"/>
              </w:rPr>
            </w:pPr>
            <w:r w:rsidRPr="003E11FF">
              <w:rPr>
                <w:sz w:val="20"/>
                <w:szCs w:val="20"/>
              </w:rPr>
              <w:t>4. «Հայաստանի</w:t>
            </w:r>
            <w:r w:rsidRPr="003E11FF">
              <w:rPr>
                <w:rFonts w:ascii="Courier New" w:hAnsi="Courier New" w:cs="Courier New"/>
                <w:sz w:val="20"/>
                <w:szCs w:val="20"/>
              </w:rPr>
              <w:t> </w:t>
            </w:r>
            <w:r w:rsidRPr="003E11FF">
              <w:rPr>
                <w:sz w:val="20"/>
                <w:szCs w:val="20"/>
              </w:rPr>
              <w:t>էլեկտրական</w:t>
            </w:r>
            <w:r w:rsidRPr="003E11FF">
              <w:rPr>
                <w:rFonts w:ascii="Courier New" w:hAnsi="Courier New" w:cs="Courier New"/>
                <w:sz w:val="20"/>
                <w:szCs w:val="20"/>
              </w:rPr>
              <w:t> </w:t>
            </w:r>
            <w:r w:rsidRPr="003E11FF">
              <w:rPr>
                <w:sz w:val="20"/>
                <w:szCs w:val="20"/>
              </w:rPr>
              <w:t>ցանցեր»</w:t>
            </w:r>
            <w:r w:rsidRPr="003E11FF">
              <w:rPr>
                <w:rFonts w:ascii="Courier New" w:hAnsi="Courier New" w:cs="Courier New"/>
                <w:sz w:val="20"/>
                <w:szCs w:val="20"/>
              </w:rPr>
              <w:t> </w:t>
            </w:r>
            <w:r w:rsidRPr="003E11FF">
              <w:rPr>
                <w:sz w:val="20"/>
                <w:szCs w:val="20"/>
              </w:rPr>
              <w:t>ՓԲԸ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A3FC97" w14:textId="77777777" w:rsidR="004442B5" w:rsidRPr="003E11FF" w:rsidRDefault="004442B5" w:rsidP="00C85113">
            <w:pPr>
              <w:ind w:firstLine="0"/>
              <w:jc w:val="center"/>
              <w:rPr>
                <w:color w:val="000000"/>
                <w:sz w:val="20"/>
                <w:szCs w:val="20"/>
              </w:rPr>
            </w:pPr>
            <w:r w:rsidRPr="003E11FF">
              <w:rPr>
                <w:color w:val="000000"/>
                <w:sz w:val="20"/>
                <w:szCs w:val="20"/>
              </w:rPr>
              <w:t>6,654,000.0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1DFAEF" w14:textId="77777777" w:rsidR="004442B5" w:rsidRPr="003E11FF" w:rsidRDefault="004442B5" w:rsidP="00C85113">
            <w:pPr>
              <w:ind w:firstLine="0"/>
              <w:jc w:val="center"/>
              <w:rPr>
                <w:color w:val="000000"/>
                <w:sz w:val="20"/>
                <w:szCs w:val="20"/>
              </w:rPr>
            </w:pPr>
            <w:r w:rsidRPr="003E11FF">
              <w:rPr>
                <w:color w:val="000000"/>
                <w:sz w:val="20"/>
                <w:szCs w:val="20"/>
              </w:rPr>
              <w:t>10,753,037.0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3060A4" w14:textId="77777777" w:rsidR="004442B5" w:rsidRPr="003E11FF" w:rsidRDefault="004442B5" w:rsidP="00C85113">
            <w:pPr>
              <w:ind w:firstLine="0"/>
              <w:jc w:val="center"/>
              <w:rPr>
                <w:color w:val="000000"/>
                <w:sz w:val="20"/>
                <w:szCs w:val="20"/>
              </w:rPr>
            </w:pPr>
            <w:r w:rsidRPr="003E11FF">
              <w:rPr>
                <w:color w:val="000000"/>
                <w:sz w:val="20"/>
                <w:szCs w:val="20"/>
              </w:rPr>
              <w:t>11,764,100.0</w:t>
            </w:r>
          </w:p>
        </w:tc>
      </w:tr>
    </w:tbl>
    <w:p w14:paraId="21E73D3F" w14:textId="77777777" w:rsidR="004442B5" w:rsidRPr="00A35CD3" w:rsidRDefault="004442B5" w:rsidP="004442B5">
      <w:pPr>
        <w:spacing w:after="0" w:line="240" w:lineRule="auto"/>
        <w:ind w:firstLine="708"/>
        <w:rPr>
          <w:sz w:val="18"/>
          <w:szCs w:val="18"/>
        </w:rPr>
      </w:pPr>
      <w:r w:rsidRPr="00A35CD3">
        <w:rPr>
          <w:sz w:val="18"/>
          <w:szCs w:val="18"/>
        </w:rPr>
        <w:t>*«Տրանսգազ»</w:t>
      </w:r>
      <w:r w:rsidRPr="00A35CD3">
        <w:rPr>
          <w:rFonts w:ascii="Courier New" w:hAnsi="Courier New" w:cs="Courier New"/>
          <w:sz w:val="18"/>
          <w:szCs w:val="18"/>
        </w:rPr>
        <w:t> </w:t>
      </w:r>
      <w:r w:rsidRPr="00A35CD3">
        <w:rPr>
          <w:sz w:val="18"/>
          <w:szCs w:val="18"/>
        </w:rPr>
        <w:t>ՍՊԸ-ի ցուցանիշները ներառված են «Գազպրոմ</w:t>
      </w:r>
      <w:r w:rsidRPr="00A35CD3">
        <w:rPr>
          <w:rFonts w:ascii="Courier New" w:hAnsi="Courier New" w:cs="Courier New"/>
          <w:sz w:val="18"/>
          <w:szCs w:val="18"/>
        </w:rPr>
        <w:t> </w:t>
      </w:r>
      <w:r w:rsidRPr="00A35CD3">
        <w:rPr>
          <w:sz w:val="18"/>
          <w:szCs w:val="18"/>
        </w:rPr>
        <w:t>Արմենիա»</w:t>
      </w:r>
      <w:r w:rsidRPr="00A35CD3">
        <w:rPr>
          <w:rFonts w:ascii="Courier New" w:hAnsi="Courier New" w:cs="Courier New"/>
          <w:sz w:val="18"/>
          <w:szCs w:val="18"/>
        </w:rPr>
        <w:t> </w:t>
      </w:r>
      <w:r w:rsidRPr="00A35CD3">
        <w:rPr>
          <w:sz w:val="18"/>
          <w:szCs w:val="18"/>
        </w:rPr>
        <w:t>ՓԲԸ-ի ցուցանիշներ</w:t>
      </w:r>
      <w:r w:rsidRPr="00A35CD3">
        <w:rPr>
          <w:sz w:val="18"/>
          <w:szCs w:val="18"/>
          <w:lang w:val="hy-AM"/>
        </w:rPr>
        <w:t>ում</w:t>
      </w:r>
      <w:r w:rsidRPr="00A35CD3">
        <w:rPr>
          <w:sz w:val="18"/>
          <w:szCs w:val="18"/>
        </w:rPr>
        <w:t>։</w:t>
      </w:r>
    </w:p>
    <w:p w14:paraId="3F254F29" w14:textId="77777777" w:rsidR="004442B5" w:rsidRPr="00A35CD3" w:rsidRDefault="004442B5" w:rsidP="004442B5">
      <w:pPr>
        <w:spacing w:after="0" w:line="240" w:lineRule="auto"/>
        <w:rPr>
          <w:sz w:val="18"/>
          <w:szCs w:val="18"/>
        </w:rPr>
      </w:pPr>
    </w:p>
    <w:p w14:paraId="155AB75B" w14:textId="77777777" w:rsidR="004442B5" w:rsidRPr="00A35CD3" w:rsidRDefault="004442B5" w:rsidP="003E11FF">
      <w:pPr>
        <w:spacing w:after="0" w:line="276" w:lineRule="auto"/>
        <w:ind w:firstLine="720"/>
      </w:pPr>
      <w:r w:rsidRPr="00A35CD3">
        <w:t>Վարկային պարտավորությունների հետ կապված անհրաժեշտ է նշել, որ Ընկերություն</w:t>
      </w:r>
      <w:r w:rsidRPr="00A35CD3">
        <w:softHyphen/>
        <w:t>ները չունեն ժամկետանց վարկային պարտավորություններ, ինչպես նաև ՀՀ կառավարության կողմից բյուջետային երաշխիքներ չեն ստացել: Ընդ որում «Հայաստանի էլեկտրական ցանցեր» և «Միջազգային էներգետիկ կորպորացիա»</w:t>
      </w:r>
      <w:r w:rsidRPr="00A35CD3">
        <w:rPr>
          <w:rFonts w:ascii="Courier New" w:hAnsi="Courier New" w:cs="Courier New"/>
        </w:rPr>
        <w:t> </w:t>
      </w:r>
      <w:r w:rsidRPr="00A35CD3">
        <w:t>ՓԲԸ-ները հանդիսանում են միջազգային կազմակերպությունների և օտարերկրյա պետությունների աջակցությամբ իրականացվող նպատակային վարկային ծրագրերի շրջանակներում ենթավարկային պայմանագրերով ոլորտին տրամադրված վարկային միջոցների խոշորագույն ստացողներից:</w:t>
      </w:r>
    </w:p>
    <w:p w14:paraId="5438E145" w14:textId="77777777" w:rsidR="004442B5" w:rsidRPr="00A35CD3" w:rsidRDefault="004442B5" w:rsidP="003E11FF">
      <w:pPr>
        <w:spacing w:after="0" w:line="276" w:lineRule="auto"/>
        <w:ind w:firstLine="720"/>
      </w:pPr>
      <w:r w:rsidRPr="00A35CD3">
        <w:t xml:space="preserve">Ընկերությունները ներգրավված չեն այնպիսի տեղական կամ միջազգային դատական վարույթներում, որոնք կարող են էական ազդեցություն ունենալ այդ Ընկերությունների ֆինանսական վիճակի վրա: </w:t>
      </w:r>
    </w:p>
    <w:p w14:paraId="2526EB49" w14:textId="77777777" w:rsidR="004442B5" w:rsidRPr="00A35CD3" w:rsidRDefault="004442B5" w:rsidP="003E11FF">
      <w:pPr>
        <w:spacing w:after="0" w:line="276" w:lineRule="auto"/>
        <w:ind w:firstLine="720"/>
      </w:pPr>
      <w:r w:rsidRPr="00A35CD3">
        <w:t>Ընկերությունների հարկաբյուջետային ռիսկերի գնահատման համար կիրառված ֆինանսական գործակիցների ամփոփ արդյունքները և պրակտիկայում ընդունված թույլատրելի սահմա</w:t>
      </w:r>
      <w:r w:rsidRPr="00A35CD3">
        <w:softHyphen/>
        <w:t>նային նորմաները ներկայացված են աղյուսակում:</w:t>
      </w:r>
    </w:p>
    <w:p w14:paraId="611D137A" w14:textId="77777777" w:rsidR="004442B5" w:rsidRPr="003E11FF" w:rsidRDefault="004442B5" w:rsidP="004442B5">
      <w:pPr>
        <w:spacing w:line="240" w:lineRule="auto"/>
        <w:rPr>
          <w:i/>
          <w:sz w:val="20"/>
          <w:szCs w:val="20"/>
        </w:rPr>
      </w:pPr>
      <w:r w:rsidRPr="003E11FF">
        <w:rPr>
          <w:b/>
          <w:sz w:val="20"/>
          <w:szCs w:val="20"/>
        </w:rPr>
        <w:t xml:space="preserve">Աղյուսակ </w:t>
      </w:r>
      <w:proofErr w:type="gramStart"/>
      <w:r w:rsidR="003E11FF" w:rsidRPr="003E11FF">
        <w:rPr>
          <w:b/>
          <w:sz w:val="20"/>
          <w:szCs w:val="20"/>
        </w:rPr>
        <w:t>5.</w:t>
      </w:r>
      <w:r w:rsidRPr="003E11FF">
        <w:rPr>
          <w:b/>
          <w:sz w:val="20"/>
          <w:szCs w:val="20"/>
        </w:rPr>
        <w:t xml:space="preserve">5  </w:t>
      </w:r>
      <w:r w:rsidRPr="003E11FF">
        <w:rPr>
          <w:i/>
          <w:sz w:val="20"/>
          <w:szCs w:val="20"/>
        </w:rPr>
        <w:t>Էներգետիկայի</w:t>
      </w:r>
      <w:proofErr w:type="gramEnd"/>
      <w:r w:rsidRPr="003E11FF">
        <w:rPr>
          <w:i/>
          <w:sz w:val="20"/>
          <w:szCs w:val="20"/>
        </w:rPr>
        <w:t xml:space="preserve"> ոլորտի մասնավոր ընկերությունների հանրագումարային ֆինանսական ցուցանիշները</w:t>
      </w:r>
    </w:p>
    <w:tbl>
      <w:tblPr>
        <w:tblW w:w="0" w:type="auto"/>
        <w:tblInd w:w="392" w:type="dxa"/>
        <w:tblLayout w:type="fixed"/>
        <w:tblLook w:val="04A0" w:firstRow="1" w:lastRow="0" w:firstColumn="1" w:lastColumn="0" w:noHBand="0" w:noVBand="1"/>
      </w:tblPr>
      <w:tblGrid>
        <w:gridCol w:w="3849"/>
        <w:gridCol w:w="1174"/>
        <w:gridCol w:w="1174"/>
        <w:gridCol w:w="1133"/>
        <w:gridCol w:w="2694"/>
      </w:tblGrid>
      <w:tr w:rsidR="004442B5" w:rsidRPr="004711B0" w14:paraId="4267A521" w14:textId="77777777" w:rsidTr="00C85113">
        <w:trPr>
          <w:trHeight w:val="269"/>
        </w:trPr>
        <w:tc>
          <w:tcPr>
            <w:tcW w:w="3849" w:type="dxa"/>
            <w:tcBorders>
              <w:top w:val="single" w:sz="4" w:space="0" w:color="auto"/>
              <w:left w:val="single" w:sz="12" w:space="0" w:color="auto"/>
              <w:bottom w:val="single" w:sz="4" w:space="0" w:color="auto"/>
              <w:right w:val="single" w:sz="4" w:space="0" w:color="auto"/>
            </w:tcBorders>
            <w:shd w:val="clear" w:color="auto" w:fill="0070C0"/>
            <w:vAlign w:val="center"/>
            <w:hideMark/>
          </w:tcPr>
          <w:p w14:paraId="338125DC" w14:textId="77777777" w:rsidR="004442B5" w:rsidRPr="003E11FF" w:rsidRDefault="004442B5" w:rsidP="00C85113">
            <w:pPr>
              <w:spacing w:line="360" w:lineRule="auto"/>
              <w:ind w:firstLine="34"/>
              <w:rPr>
                <w:b/>
                <w:color w:val="FFFFFF" w:themeColor="background1"/>
                <w:sz w:val="20"/>
                <w:szCs w:val="20"/>
              </w:rPr>
            </w:pPr>
            <w:r w:rsidRPr="003E11FF">
              <w:rPr>
                <w:b/>
                <w:color w:val="FFFFFF" w:themeColor="background1"/>
                <w:sz w:val="20"/>
                <w:szCs w:val="20"/>
              </w:rPr>
              <w:t>Ցուցանիշ</w:t>
            </w:r>
          </w:p>
        </w:tc>
        <w:tc>
          <w:tcPr>
            <w:tcW w:w="1174"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C962A08" w14:textId="77777777" w:rsidR="004442B5" w:rsidRPr="003E11FF" w:rsidRDefault="004442B5" w:rsidP="00C85113">
            <w:pPr>
              <w:spacing w:line="360" w:lineRule="auto"/>
              <w:ind w:firstLine="34"/>
              <w:jc w:val="center"/>
              <w:rPr>
                <w:rFonts w:cs="Times New Roman"/>
                <w:b/>
                <w:color w:val="FFFFFF" w:themeColor="background1"/>
                <w:sz w:val="20"/>
                <w:szCs w:val="20"/>
              </w:rPr>
            </w:pPr>
            <w:r w:rsidRPr="003E11FF">
              <w:rPr>
                <w:b/>
                <w:color w:val="FFFFFF" w:themeColor="background1"/>
                <w:sz w:val="20"/>
                <w:szCs w:val="20"/>
              </w:rPr>
              <w:t>2017թ.</w:t>
            </w:r>
          </w:p>
        </w:tc>
        <w:tc>
          <w:tcPr>
            <w:tcW w:w="1174"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7D76F31" w14:textId="77777777" w:rsidR="004442B5" w:rsidRPr="003E11FF" w:rsidRDefault="004442B5" w:rsidP="00C85113">
            <w:pPr>
              <w:spacing w:line="360" w:lineRule="auto"/>
              <w:ind w:firstLine="34"/>
              <w:jc w:val="center"/>
              <w:rPr>
                <w:rFonts w:cs="Times New Roman"/>
                <w:b/>
                <w:color w:val="FFFFFF" w:themeColor="background1"/>
                <w:sz w:val="20"/>
                <w:szCs w:val="20"/>
                <w:lang w:val="hy-AM"/>
              </w:rPr>
            </w:pPr>
            <w:r w:rsidRPr="003E11FF">
              <w:rPr>
                <w:b/>
                <w:color w:val="FFFFFF" w:themeColor="background1"/>
                <w:sz w:val="20"/>
                <w:szCs w:val="20"/>
              </w:rPr>
              <w:t>2018թ.</w:t>
            </w:r>
          </w:p>
        </w:tc>
        <w:tc>
          <w:tcPr>
            <w:tcW w:w="1133"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0ED16F10" w14:textId="77777777" w:rsidR="004442B5" w:rsidRPr="003E11FF" w:rsidRDefault="004442B5" w:rsidP="00C85113">
            <w:pPr>
              <w:spacing w:line="360" w:lineRule="auto"/>
              <w:ind w:firstLine="34"/>
              <w:jc w:val="center"/>
              <w:rPr>
                <w:rFonts w:cs="Times New Roman"/>
                <w:b/>
                <w:color w:val="FFFFFF" w:themeColor="background1"/>
                <w:sz w:val="20"/>
                <w:szCs w:val="20"/>
              </w:rPr>
            </w:pPr>
            <w:r w:rsidRPr="003E11FF">
              <w:rPr>
                <w:b/>
                <w:color w:val="FFFFFF" w:themeColor="background1"/>
                <w:sz w:val="20"/>
                <w:szCs w:val="20"/>
              </w:rPr>
              <w:t>2019թ.</w:t>
            </w:r>
          </w:p>
        </w:tc>
        <w:tc>
          <w:tcPr>
            <w:tcW w:w="2694" w:type="dxa"/>
            <w:tcBorders>
              <w:top w:val="single" w:sz="4" w:space="0" w:color="auto"/>
              <w:left w:val="single" w:sz="4" w:space="0" w:color="auto"/>
              <w:bottom w:val="single" w:sz="4" w:space="0" w:color="auto"/>
              <w:right w:val="single" w:sz="12" w:space="0" w:color="auto"/>
            </w:tcBorders>
            <w:shd w:val="clear" w:color="auto" w:fill="0070C0"/>
            <w:vAlign w:val="center"/>
            <w:hideMark/>
          </w:tcPr>
          <w:p w14:paraId="139E7E80" w14:textId="77777777" w:rsidR="004442B5" w:rsidRPr="003E11FF" w:rsidRDefault="004442B5" w:rsidP="00C85113">
            <w:pPr>
              <w:spacing w:line="360" w:lineRule="auto"/>
              <w:ind w:firstLine="34"/>
              <w:jc w:val="center"/>
              <w:rPr>
                <w:b/>
                <w:color w:val="FFFFFF" w:themeColor="background1"/>
                <w:sz w:val="20"/>
                <w:szCs w:val="20"/>
              </w:rPr>
            </w:pPr>
            <w:r w:rsidRPr="003E11FF">
              <w:rPr>
                <w:b/>
                <w:color w:val="FFFFFF" w:themeColor="background1"/>
                <w:sz w:val="20"/>
                <w:szCs w:val="20"/>
              </w:rPr>
              <w:t>Թույլատրելի սահմանային նորմա</w:t>
            </w:r>
          </w:p>
        </w:tc>
      </w:tr>
      <w:tr w:rsidR="004442B5" w:rsidRPr="00A35CD3" w14:paraId="183B09CB" w14:textId="77777777" w:rsidTr="001B57F3">
        <w:trPr>
          <w:trHeight w:val="247"/>
        </w:trPr>
        <w:tc>
          <w:tcPr>
            <w:tcW w:w="3849" w:type="dxa"/>
            <w:tcBorders>
              <w:top w:val="single" w:sz="4" w:space="0" w:color="auto"/>
              <w:left w:val="single" w:sz="12" w:space="0" w:color="auto"/>
              <w:bottom w:val="single" w:sz="4" w:space="0" w:color="auto"/>
              <w:right w:val="single" w:sz="4" w:space="0" w:color="auto"/>
            </w:tcBorders>
            <w:shd w:val="clear" w:color="auto" w:fill="C6D9F1" w:themeFill="text2" w:themeFillTint="33"/>
            <w:vAlign w:val="center"/>
            <w:hideMark/>
          </w:tcPr>
          <w:p w14:paraId="1D36B869" w14:textId="77777777" w:rsidR="004442B5" w:rsidRPr="003E11FF" w:rsidRDefault="004442B5" w:rsidP="00C85113">
            <w:pPr>
              <w:spacing w:line="240" w:lineRule="auto"/>
              <w:ind w:firstLine="34"/>
              <w:jc w:val="left"/>
              <w:rPr>
                <w:sz w:val="20"/>
                <w:szCs w:val="20"/>
              </w:rPr>
            </w:pPr>
            <w:r w:rsidRPr="003E11FF">
              <w:rPr>
                <w:sz w:val="20"/>
                <w:szCs w:val="20"/>
              </w:rPr>
              <w:t>Ծախսերի վերականգնման գործակից</w:t>
            </w:r>
          </w:p>
        </w:tc>
        <w:tc>
          <w:tcPr>
            <w:tcW w:w="117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74D4A51" w14:textId="77777777" w:rsidR="004442B5" w:rsidRPr="003E11FF" w:rsidRDefault="004442B5" w:rsidP="00C85113">
            <w:pPr>
              <w:ind w:firstLine="34"/>
              <w:jc w:val="center"/>
              <w:rPr>
                <w:bCs/>
                <w:color w:val="000000"/>
                <w:sz w:val="20"/>
                <w:szCs w:val="20"/>
              </w:rPr>
            </w:pPr>
            <w:r w:rsidRPr="003E11FF">
              <w:rPr>
                <w:bCs/>
                <w:color w:val="000000"/>
                <w:sz w:val="20"/>
                <w:szCs w:val="20"/>
              </w:rPr>
              <w:t>1.1</w:t>
            </w:r>
          </w:p>
        </w:tc>
        <w:tc>
          <w:tcPr>
            <w:tcW w:w="117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B28EBC7" w14:textId="77777777" w:rsidR="004442B5" w:rsidRPr="003E11FF" w:rsidRDefault="004442B5" w:rsidP="00C85113">
            <w:pPr>
              <w:ind w:firstLine="34"/>
              <w:jc w:val="center"/>
              <w:rPr>
                <w:bCs/>
                <w:color w:val="000000"/>
                <w:sz w:val="20"/>
                <w:szCs w:val="20"/>
              </w:rPr>
            </w:pPr>
            <w:r w:rsidRPr="003E11FF">
              <w:rPr>
                <w:bCs/>
                <w:color w:val="000000"/>
                <w:sz w:val="20"/>
                <w:szCs w:val="20"/>
              </w:rPr>
              <w:t>1.1</w:t>
            </w:r>
          </w:p>
        </w:tc>
        <w:tc>
          <w:tcPr>
            <w:tcW w:w="113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EA0FC6" w14:textId="77777777" w:rsidR="004442B5" w:rsidRPr="003E11FF" w:rsidRDefault="004442B5" w:rsidP="00C85113">
            <w:pPr>
              <w:ind w:firstLine="34"/>
              <w:jc w:val="center"/>
              <w:rPr>
                <w:bCs/>
                <w:color w:val="000000"/>
                <w:sz w:val="20"/>
                <w:szCs w:val="20"/>
              </w:rPr>
            </w:pPr>
            <w:r w:rsidRPr="003E11FF">
              <w:rPr>
                <w:bCs/>
                <w:color w:val="000000"/>
                <w:sz w:val="20"/>
                <w:szCs w:val="20"/>
              </w:rPr>
              <w:t>1</w:t>
            </w:r>
            <w:r w:rsidRPr="003E11FF">
              <w:rPr>
                <w:bCs/>
                <w:color w:val="000000"/>
                <w:sz w:val="20"/>
                <w:szCs w:val="20"/>
                <w:lang w:val="hy-AM"/>
              </w:rPr>
              <w:t>.</w:t>
            </w:r>
            <w:r w:rsidRPr="003E11FF">
              <w:rPr>
                <w:bCs/>
                <w:color w:val="000000"/>
                <w:sz w:val="20"/>
                <w:szCs w:val="20"/>
              </w:rPr>
              <w:t>1</w:t>
            </w:r>
          </w:p>
        </w:tc>
        <w:tc>
          <w:tcPr>
            <w:tcW w:w="2694" w:type="dxa"/>
            <w:tcBorders>
              <w:top w:val="single" w:sz="4" w:space="0" w:color="auto"/>
              <w:left w:val="single" w:sz="4" w:space="0" w:color="auto"/>
              <w:bottom w:val="single" w:sz="4" w:space="0" w:color="auto"/>
              <w:right w:val="single" w:sz="12" w:space="0" w:color="auto"/>
            </w:tcBorders>
            <w:shd w:val="clear" w:color="auto" w:fill="C6D9F1" w:themeFill="text2" w:themeFillTint="33"/>
            <w:vAlign w:val="center"/>
            <w:hideMark/>
          </w:tcPr>
          <w:p w14:paraId="5D6C2101" w14:textId="77777777" w:rsidR="004442B5" w:rsidRPr="003E11FF" w:rsidRDefault="004442B5" w:rsidP="00C85113">
            <w:pPr>
              <w:spacing w:line="360" w:lineRule="auto"/>
              <w:ind w:firstLine="34"/>
              <w:rPr>
                <w:sz w:val="20"/>
                <w:szCs w:val="20"/>
              </w:rPr>
            </w:pPr>
            <w:r w:rsidRPr="003E11FF">
              <w:rPr>
                <w:sz w:val="20"/>
                <w:szCs w:val="20"/>
              </w:rPr>
              <w:t>Առնվազն 1</w:t>
            </w:r>
          </w:p>
        </w:tc>
      </w:tr>
      <w:tr w:rsidR="004442B5" w:rsidRPr="00A35CD3" w14:paraId="38F21C46" w14:textId="77777777" w:rsidTr="00C85113">
        <w:trPr>
          <w:trHeight w:val="353"/>
        </w:trPr>
        <w:tc>
          <w:tcPr>
            <w:tcW w:w="3849" w:type="dxa"/>
            <w:tcBorders>
              <w:top w:val="single" w:sz="4" w:space="0" w:color="auto"/>
              <w:left w:val="single" w:sz="12" w:space="0" w:color="auto"/>
              <w:bottom w:val="single" w:sz="4" w:space="0" w:color="auto"/>
              <w:right w:val="single" w:sz="4" w:space="0" w:color="auto"/>
            </w:tcBorders>
            <w:vAlign w:val="center"/>
            <w:hideMark/>
          </w:tcPr>
          <w:p w14:paraId="2BF36FD6" w14:textId="77777777" w:rsidR="004442B5" w:rsidRPr="003E11FF" w:rsidRDefault="004442B5" w:rsidP="00C85113">
            <w:pPr>
              <w:spacing w:line="240" w:lineRule="auto"/>
              <w:ind w:firstLine="34"/>
              <w:jc w:val="left"/>
              <w:rPr>
                <w:sz w:val="20"/>
                <w:szCs w:val="20"/>
              </w:rPr>
            </w:pPr>
            <w:r w:rsidRPr="003E11FF">
              <w:rPr>
                <w:sz w:val="20"/>
                <w:szCs w:val="20"/>
              </w:rPr>
              <w:t xml:space="preserve">Զուտ շահույթի մարժա </w:t>
            </w:r>
            <w:proofErr w:type="gramStart"/>
            <w:r w:rsidRPr="003E11FF">
              <w:rPr>
                <w:sz w:val="20"/>
                <w:szCs w:val="20"/>
              </w:rPr>
              <w:t xml:space="preserve">   (</w:t>
            </w:r>
            <w:proofErr w:type="gramEnd"/>
            <w:r w:rsidRPr="003E11FF">
              <w:rPr>
                <w:sz w:val="20"/>
                <w:szCs w:val="20"/>
              </w:rPr>
              <w:t>%)</w:t>
            </w:r>
          </w:p>
        </w:tc>
        <w:tc>
          <w:tcPr>
            <w:tcW w:w="1174" w:type="dxa"/>
            <w:tcBorders>
              <w:top w:val="single" w:sz="4" w:space="0" w:color="auto"/>
              <w:left w:val="single" w:sz="4" w:space="0" w:color="auto"/>
              <w:bottom w:val="single" w:sz="4" w:space="0" w:color="auto"/>
              <w:right w:val="single" w:sz="4" w:space="0" w:color="auto"/>
            </w:tcBorders>
            <w:vAlign w:val="center"/>
            <w:hideMark/>
          </w:tcPr>
          <w:p w14:paraId="35163C56" w14:textId="77777777" w:rsidR="004442B5" w:rsidRPr="003E11FF" w:rsidRDefault="004442B5" w:rsidP="00C85113">
            <w:pPr>
              <w:ind w:firstLine="34"/>
              <w:jc w:val="center"/>
              <w:rPr>
                <w:bCs/>
                <w:color w:val="000000"/>
                <w:sz w:val="20"/>
                <w:szCs w:val="20"/>
              </w:rPr>
            </w:pPr>
            <w:r w:rsidRPr="003E11FF">
              <w:rPr>
                <w:bCs/>
                <w:color w:val="000000"/>
                <w:sz w:val="20"/>
                <w:szCs w:val="20"/>
              </w:rPr>
              <w:t>(0.3)</w:t>
            </w:r>
          </w:p>
        </w:tc>
        <w:tc>
          <w:tcPr>
            <w:tcW w:w="1174" w:type="dxa"/>
            <w:tcBorders>
              <w:top w:val="single" w:sz="4" w:space="0" w:color="auto"/>
              <w:left w:val="single" w:sz="4" w:space="0" w:color="auto"/>
              <w:bottom w:val="single" w:sz="4" w:space="0" w:color="auto"/>
              <w:right w:val="single" w:sz="4" w:space="0" w:color="auto"/>
            </w:tcBorders>
            <w:vAlign w:val="center"/>
            <w:hideMark/>
          </w:tcPr>
          <w:p w14:paraId="31156FAF" w14:textId="77777777" w:rsidR="004442B5" w:rsidRPr="003E11FF" w:rsidRDefault="004442B5" w:rsidP="00C85113">
            <w:pPr>
              <w:ind w:firstLine="34"/>
              <w:jc w:val="center"/>
              <w:rPr>
                <w:bCs/>
                <w:color w:val="000000"/>
                <w:sz w:val="20"/>
                <w:szCs w:val="20"/>
              </w:rPr>
            </w:pPr>
            <w:r w:rsidRPr="003E11FF">
              <w:rPr>
                <w:bCs/>
                <w:color w:val="000000"/>
                <w:sz w:val="20"/>
                <w:szCs w:val="20"/>
              </w:rPr>
              <w:t>3.7</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E6A4825" w14:textId="77777777" w:rsidR="004442B5" w:rsidRPr="003E11FF" w:rsidRDefault="004442B5" w:rsidP="00C85113">
            <w:pPr>
              <w:ind w:firstLine="34"/>
              <w:jc w:val="center"/>
              <w:rPr>
                <w:bCs/>
                <w:color w:val="000000"/>
                <w:sz w:val="20"/>
                <w:szCs w:val="20"/>
              </w:rPr>
            </w:pPr>
            <w:r w:rsidRPr="003E11FF">
              <w:rPr>
                <w:bCs/>
                <w:color w:val="000000"/>
                <w:sz w:val="20"/>
                <w:szCs w:val="20"/>
              </w:rPr>
              <w:t>3</w:t>
            </w:r>
            <w:r w:rsidRPr="003E11FF">
              <w:rPr>
                <w:bCs/>
                <w:color w:val="000000"/>
                <w:sz w:val="20"/>
                <w:szCs w:val="20"/>
                <w:lang w:val="hy-AM"/>
              </w:rPr>
              <w:t>.</w:t>
            </w:r>
            <w:r w:rsidRPr="003E11FF">
              <w:rPr>
                <w:bCs/>
                <w:color w:val="000000"/>
                <w:sz w:val="20"/>
                <w:szCs w:val="20"/>
              </w:rPr>
              <w:t>2</w:t>
            </w:r>
          </w:p>
        </w:tc>
        <w:tc>
          <w:tcPr>
            <w:tcW w:w="2694" w:type="dxa"/>
            <w:tcBorders>
              <w:top w:val="single" w:sz="4" w:space="0" w:color="auto"/>
              <w:left w:val="single" w:sz="4" w:space="0" w:color="auto"/>
              <w:bottom w:val="single" w:sz="4" w:space="0" w:color="auto"/>
              <w:right w:val="single" w:sz="12" w:space="0" w:color="auto"/>
            </w:tcBorders>
            <w:vAlign w:val="center"/>
            <w:hideMark/>
          </w:tcPr>
          <w:p w14:paraId="6E5E766D" w14:textId="77777777" w:rsidR="004442B5" w:rsidRPr="003E11FF" w:rsidRDefault="004442B5" w:rsidP="00C85113">
            <w:pPr>
              <w:spacing w:line="360" w:lineRule="auto"/>
              <w:ind w:firstLine="34"/>
              <w:rPr>
                <w:sz w:val="20"/>
                <w:szCs w:val="20"/>
              </w:rPr>
            </w:pPr>
            <w:r w:rsidRPr="003E11FF">
              <w:rPr>
                <w:sz w:val="20"/>
                <w:szCs w:val="20"/>
              </w:rPr>
              <w:t>Առնվազն 8%</w:t>
            </w:r>
          </w:p>
        </w:tc>
      </w:tr>
      <w:tr w:rsidR="004442B5" w:rsidRPr="00A35CD3" w14:paraId="1C0439AD" w14:textId="77777777" w:rsidTr="001B57F3">
        <w:trPr>
          <w:trHeight w:val="303"/>
        </w:trPr>
        <w:tc>
          <w:tcPr>
            <w:tcW w:w="3849" w:type="dxa"/>
            <w:tcBorders>
              <w:top w:val="single" w:sz="4" w:space="0" w:color="auto"/>
              <w:left w:val="single" w:sz="12" w:space="0" w:color="auto"/>
              <w:bottom w:val="single" w:sz="4" w:space="0" w:color="auto"/>
              <w:right w:val="single" w:sz="4" w:space="0" w:color="auto"/>
            </w:tcBorders>
            <w:shd w:val="clear" w:color="auto" w:fill="C6D9F1" w:themeFill="text2" w:themeFillTint="33"/>
            <w:vAlign w:val="center"/>
            <w:hideMark/>
          </w:tcPr>
          <w:p w14:paraId="3B3379D4" w14:textId="77777777" w:rsidR="004442B5" w:rsidRPr="003E11FF" w:rsidRDefault="004442B5" w:rsidP="00C85113">
            <w:pPr>
              <w:spacing w:line="240" w:lineRule="auto"/>
              <w:ind w:firstLine="34"/>
              <w:jc w:val="left"/>
              <w:rPr>
                <w:sz w:val="20"/>
                <w:szCs w:val="20"/>
              </w:rPr>
            </w:pPr>
            <w:r w:rsidRPr="003E11FF">
              <w:rPr>
                <w:sz w:val="20"/>
                <w:szCs w:val="20"/>
              </w:rPr>
              <w:t>Արագ իրացվելիության գործակից</w:t>
            </w:r>
          </w:p>
        </w:tc>
        <w:tc>
          <w:tcPr>
            <w:tcW w:w="117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D59009" w14:textId="77777777" w:rsidR="004442B5" w:rsidRPr="003E11FF" w:rsidRDefault="004442B5" w:rsidP="00C85113">
            <w:pPr>
              <w:ind w:firstLine="34"/>
              <w:jc w:val="center"/>
              <w:rPr>
                <w:bCs/>
                <w:color w:val="000000"/>
                <w:sz w:val="20"/>
                <w:szCs w:val="20"/>
              </w:rPr>
            </w:pPr>
            <w:r w:rsidRPr="003E11FF">
              <w:rPr>
                <w:bCs/>
                <w:color w:val="000000"/>
                <w:sz w:val="20"/>
                <w:szCs w:val="20"/>
              </w:rPr>
              <w:t>0.4</w:t>
            </w:r>
          </w:p>
        </w:tc>
        <w:tc>
          <w:tcPr>
            <w:tcW w:w="117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C0370D3" w14:textId="77777777" w:rsidR="004442B5" w:rsidRPr="003E11FF" w:rsidRDefault="004442B5" w:rsidP="00C85113">
            <w:pPr>
              <w:ind w:firstLine="34"/>
              <w:jc w:val="center"/>
              <w:rPr>
                <w:bCs/>
                <w:color w:val="000000"/>
                <w:sz w:val="20"/>
                <w:szCs w:val="20"/>
              </w:rPr>
            </w:pPr>
            <w:r w:rsidRPr="003E11FF">
              <w:rPr>
                <w:bCs/>
                <w:color w:val="000000"/>
                <w:sz w:val="20"/>
                <w:szCs w:val="20"/>
              </w:rPr>
              <w:t>2.8</w:t>
            </w:r>
          </w:p>
        </w:tc>
        <w:tc>
          <w:tcPr>
            <w:tcW w:w="113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0C3A67" w14:textId="77777777" w:rsidR="004442B5" w:rsidRPr="003E11FF" w:rsidRDefault="004442B5" w:rsidP="00C85113">
            <w:pPr>
              <w:ind w:firstLine="34"/>
              <w:jc w:val="center"/>
              <w:rPr>
                <w:bCs/>
                <w:color w:val="000000"/>
                <w:sz w:val="20"/>
                <w:szCs w:val="20"/>
              </w:rPr>
            </w:pPr>
            <w:r w:rsidRPr="003E11FF">
              <w:rPr>
                <w:bCs/>
                <w:color w:val="000000"/>
                <w:sz w:val="20"/>
                <w:szCs w:val="20"/>
              </w:rPr>
              <w:t>2</w:t>
            </w:r>
            <w:r w:rsidRPr="003E11FF">
              <w:rPr>
                <w:bCs/>
                <w:color w:val="000000"/>
                <w:sz w:val="20"/>
                <w:szCs w:val="20"/>
                <w:lang w:val="hy-AM"/>
              </w:rPr>
              <w:t>.</w:t>
            </w:r>
            <w:r w:rsidRPr="003E11FF">
              <w:rPr>
                <w:bCs/>
                <w:color w:val="000000"/>
                <w:sz w:val="20"/>
                <w:szCs w:val="20"/>
              </w:rPr>
              <w:t>8</w:t>
            </w:r>
          </w:p>
        </w:tc>
        <w:tc>
          <w:tcPr>
            <w:tcW w:w="2694" w:type="dxa"/>
            <w:tcBorders>
              <w:top w:val="single" w:sz="4" w:space="0" w:color="auto"/>
              <w:left w:val="single" w:sz="4" w:space="0" w:color="auto"/>
              <w:bottom w:val="single" w:sz="4" w:space="0" w:color="auto"/>
              <w:right w:val="single" w:sz="12" w:space="0" w:color="auto"/>
            </w:tcBorders>
            <w:shd w:val="clear" w:color="auto" w:fill="C6D9F1" w:themeFill="text2" w:themeFillTint="33"/>
            <w:vAlign w:val="center"/>
            <w:hideMark/>
          </w:tcPr>
          <w:p w14:paraId="6F293C89" w14:textId="77777777" w:rsidR="004442B5" w:rsidRPr="003E11FF" w:rsidRDefault="004442B5" w:rsidP="00C85113">
            <w:pPr>
              <w:spacing w:line="360" w:lineRule="auto"/>
              <w:ind w:firstLine="34"/>
              <w:rPr>
                <w:sz w:val="20"/>
                <w:szCs w:val="20"/>
              </w:rPr>
            </w:pPr>
            <w:r w:rsidRPr="003E11FF">
              <w:rPr>
                <w:sz w:val="20"/>
                <w:szCs w:val="20"/>
              </w:rPr>
              <w:t>Առնվազն 1</w:t>
            </w:r>
          </w:p>
        </w:tc>
      </w:tr>
      <w:tr w:rsidR="004442B5" w:rsidRPr="00A35CD3" w14:paraId="3763156C" w14:textId="77777777" w:rsidTr="00C85113">
        <w:trPr>
          <w:trHeight w:val="763"/>
        </w:trPr>
        <w:tc>
          <w:tcPr>
            <w:tcW w:w="3849" w:type="dxa"/>
            <w:tcBorders>
              <w:top w:val="single" w:sz="4" w:space="0" w:color="auto"/>
              <w:left w:val="single" w:sz="12" w:space="0" w:color="auto"/>
              <w:bottom w:val="single" w:sz="4" w:space="0" w:color="auto"/>
              <w:right w:val="single" w:sz="4" w:space="0" w:color="auto"/>
            </w:tcBorders>
            <w:vAlign w:val="center"/>
            <w:hideMark/>
          </w:tcPr>
          <w:p w14:paraId="69255685" w14:textId="77777777" w:rsidR="004442B5" w:rsidRPr="003E11FF" w:rsidRDefault="004442B5" w:rsidP="00C85113">
            <w:pPr>
              <w:spacing w:line="240" w:lineRule="auto"/>
              <w:ind w:firstLine="34"/>
              <w:jc w:val="left"/>
              <w:rPr>
                <w:sz w:val="20"/>
                <w:szCs w:val="20"/>
              </w:rPr>
            </w:pPr>
            <w:r w:rsidRPr="003E11FF">
              <w:rPr>
                <w:sz w:val="20"/>
                <w:szCs w:val="20"/>
              </w:rPr>
              <w:lastRenderedPageBreak/>
              <w:t>Դեբիտորական պարտքերի շրջանառու</w:t>
            </w:r>
            <w:r w:rsidRPr="003E11FF">
              <w:rPr>
                <w:sz w:val="20"/>
                <w:szCs w:val="20"/>
              </w:rPr>
              <w:softHyphen/>
              <w:t>թյուն (օր)</w:t>
            </w:r>
          </w:p>
        </w:tc>
        <w:tc>
          <w:tcPr>
            <w:tcW w:w="1174" w:type="dxa"/>
            <w:tcBorders>
              <w:top w:val="single" w:sz="4" w:space="0" w:color="auto"/>
              <w:left w:val="single" w:sz="4" w:space="0" w:color="auto"/>
              <w:bottom w:val="single" w:sz="4" w:space="0" w:color="auto"/>
              <w:right w:val="single" w:sz="4" w:space="0" w:color="auto"/>
            </w:tcBorders>
            <w:vAlign w:val="center"/>
          </w:tcPr>
          <w:p w14:paraId="587520C1" w14:textId="77777777" w:rsidR="004442B5" w:rsidRPr="003E11FF" w:rsidRDefault="004442B5" w:rsidP="00C85113">
            <w:pPr>
              <w:ind w:firstLine="34"/>
              <w:jc w:val="center"/>
              <w:rPr>
                <w:bCs/>
                <w:color w:val="000000"/>
                <w:sz w:val="20"/>
                <w:szCs w:val="20"/>
              </w:rPr>
            </w:pPr>
            <w:r w:rsidRPr="003E11FF">
              <w:rPr>
                <w:bCs/>
                <w:color w:val="000000"/>
                <w:sz w:val="20"/>
                <w:szCs w:val="20"/>
              </w:rPr>
              <w:t>58.3</w:t>
            </w:r>
          </w:p>
        </w:tc>
        <w:tc>
          <w:tcPr>
            <w:tcW w:w="1174" w:type="dxa"/>
            <w:tcBorders>
              <w:top w:val="single" w:sz="4" w:space="0" w:color="auto"/>
              <w:left w:val="single" w:sz="4" w:space="0" w:color="auto"/>
              <w:bottom w:val="single" w:sz="4" w:space="0" w:color="auto"/>
              <w:right w:val="single" w:sz="4" w:space="0" w:color="auto"/>
            </w:tcBorders>
            <w:vAlign w:val="center"/>
          </w:tcPr>
          <w:p w14:paraId="2076704B" w14:textId="77777777" w:rsidR="004442B5" w:rsidRPr="003E11FF" w:rsidRDefault="004442B5" w:rsidP="00C85113">
            <w:pPr>
              <w:ind w:firstLine="34"/>
              <w:jc w:val="center"/>
              <w:rPr>
                <w:bCs/>
                <w:color w:val="000000"/>
                <w:sz w:val="20"/>
                <w:szCs w:val="20"/>
              </w:rPr>
            </w:pPr>
            <w:r w:rsidRPr="003E11FF">
              <w:rPr>
                <w:bCs/>
                <w:color w:val="000000"/>
                <w:sz w:val="20"/>
                <w:szCs w:val="20"/>
              </w:rPr>
              <w:t>54.6</w:t>
            </w:r>
          </w:p>
        </w:tc>
        <w:tc>
          <w:tcPr>
            <w:tcW w:w="1133" w:type="dxa"/>
            <w:tcBorders>
              <w:top w:val="single" w:sz="4" w:space="0" w:color="auto"/>
              <w:left w:val="single" w:sz="4" w:space="0" w:color="auto"/>
              <w:bottom w:val="single" w:sz="4" w:space="0" w:color="auto"/>
              <w:right w:val="single" w:sz="4" w:space="0" w:color="auto"/>
            </w:tcBorders>
            <w:vAlign w:val="center"/>
          </w:tcPr>
          <w:p w14:paraId="7ABEC176" w14:textId="77777777" w:rsidR="004442B5" w:rsidRPr="003E11FF" w:rsidRDefault="004442B5" w:rsidP="00C85113">
            <w:pPr>
              <w:ind w:firstLine="34"/>
              <w:jc w:val="center"/>
              <w:rPr>
                <w:bCs/>
                <w:color w:val="000000"/>
                <w:sz w:val="20"/>
                <w:szCs w:val="20"/>
              </w:rPr>
            </w:pPr>
            <w:r w:rsidRPr="003E11FF">
              <w:rPr>
                <w:bCs/>
                <w:color w:val="000000"/>
                <w:sz w:val="20"/>
                <w:szCs w:val="20"/>
              </w:rPr>
              <w:t>57</w:t>
            </w:r>
            <w:r w:rsidRPr="003E11FF">
              <w:rPr>
                <w:bCs/>
                <w:color w:val="000000"/>
                <w:sz w:val="20"/>
                <w:szCs w:val="20"/>
                <w:lang w:val="hy-AM"/>
              </w:rPr>
              <w:t>.</w:t>
            </w:r>
            <w:r w:rsidRPr="003E11FF">
              <w:rPr>
                <w:bCs/>
                <w:color w:val="000000"/>
                <w:sz w:val="20"/>
                <w:szCs w:val="20"/>
              </w:rPr>
              <w:t>9</w:t>
            </w:r>
          </w:p>
        </w:tc>
        <w:tc>
          <w:tcPr>
            <w:tcW w:w="2694" w:type="dxa"/>
            <w:tcBorders>
              <w:top w:val="single" w:sz="4" w:space="0" w:color="auto"/>
              <w:left w:val="single" w:sz="4" w:space="0" w:color="auto"/>
              <w:bottom w:val="single" w:sz="4" w:space="0" w:color="auto"/>
              <w:right w:val="single" w:sz="12" w:space="0" w:color="auto"/>
            </w:tcBorders>
            <w:vAlign w:val="center"/>
            <w:hideMark/>
          </w:tcPr>
          <w:p w14:paraId="0310D25E" w14:textId="77777777" w:rsidR="004442B5" w:rsidRPr="003E11FF" w:rsidRDefault="004442B5" w:rsidP="00C85113">
            <w:pPr>
              <w:spacing w:line="360" w:lineRule="auto"/>
              <w:ind w:firstLine="34"/>
              <w:rPr>
                <w:sz w:val="20"/>
                <w:szCs w:val="20"/>
              </w:rPr>
            </w:pPr>
            <w:r w:rsidRPr="003E11FF">
              <w:rPr>
                <w:sz w:val="20"/>
                <w:szCs w:val="20"/>
              </w:rPr>
              <w:t>Առավելագույնը 60 օր</w:t>
            </w:r>
          </w:p>
        </w:tc>
      </w:tr>
      <w:tr w:rsidR="004442B5" w:rsidRPr="00A35CD3" w14:paraId="43663CDC" w14:textId="77777777" w:rsidTr="001B57F3">
        <w:trPr>
          <w:trHeight w:val="339"/>
        </w:trPr>
        <w:tc>
          <w:tcPr>
            <w:tcW w:w="3849" w:type="dxa"/>
            <w:tcBorders>
              <w:top w:val="single" w:sz="4" w:space="0" w:color="auto"/>
              <w:left w:val="single" w:sz="12" w:space="0" w:color="auto"/>
              <w:bottom w:val="single" w:sz="4" w:space="0" w:color="auto"/>
              <w:right w:val="single" w:sz="4" w:space="0" w:color="auto"/>
            </w:tcBorders>
            <w:shd w:val="clear" w:color="auto" w:fill="C6D9F1" w:themeFill="text2" w:themeFillTint="33"/>
            <w:vAlign w:val="center"/>
            <w:hideMark/>
          </w:tcPr>
          <w:p w14:paraId="6F39AFB1" w14:textId="77777777" w:rsidR="004442B5" w:rsidRPr="003E11FF" w:rsidRDefault="004442B5" w:rsidP="00C85113">
            <w:pPr>
              <w:spacing w:line="240" w:lineRule="auto"/>
              <w:ind w:firstLine="34"/>
              <w:jc w:val="left"/>
              <w:rPr>
                <w:sz w:val="20"/>
                <w:szCs w:val="20"/>
              </w:rPr>
            </w:pPr>
            <w:r w:rsidRPr="003E11FF">
              <w:rPr>
                <w:sz w:val="20"/>
                <w:szCs w:val="20"/>
              </w:rPr>
              <w:t>Պարտքի սպասարկման գործակից</w:t>
            </w:r>
          </w:p>
        </w:tc>
        <w:tc>
          <w:tcPr>
            <w:tcW w:w="117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1619E1" w14:textId="77777777" w:rsidR="004442B5" w:rsidRPr="003E11FF" w:rsidRDefault="004442B5" w:rsidP="00C85113">
            <w:pPr>
              <w:ind w:firstLine="34"/>
              <w:jc w:val="center"/>
              <w:rPr>
                <w:bCs/>
                <w:color w:val="000000"/>
                <w:sz w:val="20"/>
                <w:szCs w:val="20"/>
              </w:rPr>
            </w:pPr>
            <w:r w:rsidRPr="003E11FF">
              <w:rPr>
                <w:bCs/>
                <w:color w:val="000000"/>
                <w:sz w:val="20"/>
                <w:szCs w:val="20"/>
              </w:rPr>
              <w:t>0.2</w:t>
            </w:r>
          </w:p>
        </w:tc>
        <w:tc>
          <w:tcPr>
            <w:tcW w:w="117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1EB9AE3" w14:textId="77777777" w:rsidR="004442B5" w:rsidRPr="003E11FF" w:rsidRDefault="004442B5" w:rsidP="00C85113">
            <w:pPr>
              <w:ind w:firstLine="34"/>
              <w:jc w:val="center"/>
              <w:rPr>
                <w:bCs/>
                <w:color w:val="000000"/>
                <w:sz w:val="20"/>
                <w:szCs w:val="20"/>
              </w:rPr>
            </w:pPr>
            <w:r w:rsidRPr="003E11FF">
              <w:rPr>
                <w:bCs/>
                <w:color w:val="000000"/>
                <w:sz w:val="20"/>
                <w:szCs w:val="20"/>
              </w:rPr>
              <w:t>0.1</w:t>
            </w:r>
          </w:p>
        </w:tc>
        <w:tc>
          <w:tcPr>
            <w:tcW w:w="113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A1E19C" w14:textId="77777777" w:rsidR="004442B5" w:rsidRPr="003E11FF" w:rsidRDefault="004442B5" w:rsidP="00C85113">
            <w:pPr>
              <w:ind w:firstLine="34"/>
              <w:jc w:val="center"/>
              <w:rPr>
                <w:bCs/>
                <w:color w:val="000000"/>
                <w:sz w:val="20"/>
                <w:szCs w:val="20"/>
              </w:rPr>
            </w:pPr>
            <w:r w:rsidRPr="003E11FF">
              <w:rPr>
                <w:bCs/>
                <w:color w:val="000000"/>
                <w:sz w:val="20"/>
                <w:szCs w:val="20"/>
              </w:rPr>
              <w:t>0</w:t>
            </w:r>
            <w:r w:rsidRPr="003E11FF">
              <w:rPr>
                <w:bCs/>
                <w:color w:val="000000"/>
                <w:sz w:val="20"/>
                <w:szCs w:val="20"/>
                <w:lang w:val="hy-AM"/>
              </w:rPr>
              <w:t>.</w:t>
            </w:r>
            <w:r w:rsidRPr="003E11FF">
              <w:rPr>
                <w:bCs/>
                <w:color w:val="000000"/>
                <w:sz w:val="20"/>
                <w:szCs w:val="20"/>
              </w:rPr>
              <w:t>1</w:t>
            </w:r>
          </w:p>
        </w:tc>
        <w:tc>
          <w:tcPr>
            <w:tcW w:w="2694" w:type="dxa"/>
            <w:tcBorders>
              <w:top w:val="single" w:sz="4" w:space="0" w:color="auto"/>
              <w:left w:val="single" w:sz="4" w:space="0" w:color="auto"/>
              <w:bottom w:val="single" w:sz="4" w:space="0" w:color="auto"/>
              <w:right w:val="single" w:sz="12" w:space="0" w:color="auto"/>
            </w:tcBorders>
            <w:shd w:val="clear" w:color="auto" w:fill="C6D9F1" w:themeFill="text2" w:themeFillTint="33"/>
            <w:vAlign w:val="center"/>
            <w:hideMark/>
          </w:tcPr>
          <w:p w14:paraId="1B591423" w14:textId="77777777" w:rsidR="004442B5" w:rsidRPr="003E11FF" w:rsidRDefault="004442B5" w:rsidP="00C85113">
            <w:pPr>
              <w:spacing w:line="360" w:lineRule="auto"/>
              <w:ind w:firstLine="34"/>
              <w:rPr>
                <w:sz w:val="20"/>
                <w:szCs w:val="20"/>
              </w:rPr>
            </w:pPr>
            <w:r w:rsidRPr="003E11FF">
              <w:rPr>
                <w:sz w:val="20"/>
                <w:szCs w:val="20"/>
              </w:rPr>
              <w:t>Առավելագույնը 0.5</w:t>
            </w:r>
          </w:p>
        </w:tc>
      </w:tr>
      <w:tr w:rsidR="004442B5" w:rsidRPr="00A35CD3" w14:paraId="38C85AAB" w14:textId="77777777" w:rsidTr="00C85113">
        <w:trPr>
          <w:trHeight w:val="321"/>
        </w:trPr>
        <w:tc>
          <w:tcPr>
            <w:tcW w:w="3849" w:type="dxa"/>
            <w:tcBorders>
              <w:top w:val="single" w:sz="4" w:space="0" w:color="auto"/>
              <w:left w:val="single" w:sz="12" w:space="0" w:color="auto"/>
              <w:bottom w:val="single" w:sz="4" w:space="0" w:color="auto"/>
              <w:right w:val="single" w:sz="4" w:space="0" w:color="auto"/>
            </w:tcBorders>
            <w:vAlign w:val="center"/>
            <w:hideMark/>
          </w:tcPr>
          <w:p w14:paraId="44399BF6" w14:textId="77777777" w:rsidR="004442B5" w:rsidRPr="003E11FF" w:rsidRDefault="004442B5" w:rsidP="00C85113">
            <w:pPr>
              <w:spacing w:line="240" w:lineRule="auto"/>
              <w:ind w:firstLine="34"/>
              <w:jc w:val="left"/>
              <w:rPr>
                <w:sz w:val="20"/>
                <w:szCs w:val="20"/>
              </w:rPr>
            </w:pPr>
            <w:r w:rsidRPr="003E11FF">
              <w:rPr>
                <w:sz w:val="20"/>
                <w:szCs w:val="20"/>
              </w:rPr>
              <w:t>Վերաֆինանսավորման գործակից</w:t>
            </w:r>
          </w:p>
        </w:tc>
        <w:tc>
          <w:tcPr>
            <w:tcW w:w="1174" w:type="dxa"/>
            <w:tcBorders>
              <w:top w:val="single" w:sz="4" w:space="0" w:color="auto"/>
              <w:left w:val="single" w:sz="4" w:space="0" w:color="auto"/>
              <w:bottom w:val="single" w:sz="4" w:space="0" w:color="auto"/>
              <w:right w:val="single" w:sz="4" w:space="0" w:color="auto"/>
            </w:tcBorders>
            <w:vAlign w:val="center"/>
            <w:hideMark/>
          </w:tcPr>
          <w:p w14:paraId="7121169D" w14:textId="77777777" w:rsidR="004442B5" w:rsidRPr="003E11FF" w:rsidRDefault="004442B5" w:rsidP="00C85113">
            <w:pPr>
              <w:ind w:firstLine="34"/>
              <w:jc w:val="center"/>
              <w:rPr>
                <w:bCs/>
                <w:color w:val="000000"/>
                <w:sz w:val="20"/>
                <w:szCs w:val="20"/>
              </w:rPr>
            </w:pPr>
            <w:r w:rsidRPr="003E11FF">
              <w:rPr>
                <w:bCs/>
                <w:color w:val="000000"/>
                <w:sz w:val="20"/>
                <w:szCs w:val="20"/>
              </w:rPr>
              <w:t>1.3</w:t>
            </w:r>
          </w:p>
        </w:tc>
        <w:tc>
          <w:tcPr>
            <w:tcW w:w="1174" w:type="dxa"/>
            <w:tcBorders>
              <w:top w:val="single" w:sz="4" w:space="0" w:color="auto"/>
              <w:left w:val="single" w:sz="4" w:space="0" w:color="auto"/>
              <w:bottom w:val="single" w:sz="4" w:space="0" w:color="auto"/>
              <w:right w:val="single" w:sz="4" w:space="0" w:color="auto"/>
            </w:tcBorders>
            <w:vAlign w:val="center"/>
            <w:hideMark/>
          </w:tcPr>
          <w:p w14:paraId="1D6D749B" w14:textId="77777777" w:rsidR="004442B5" w:rsidRPr="003E11FF" w:rsidRDefault="004442B5" w:rsidP="00C85113">
            <w:pPr>
              <w:ind w:firstLine="34"/>
              <w:jc w:val="center"/>
              <w:rPr>
                <w:bCs/>
                <w:color w:val="000000"/>
                <w:sz w:val="20"/>
                <w:szCs w:val="20"/>
              </w:rPr>
            </w:pPr>
            <w:r w:rsidRPr="003E11FF">
              <w:rPr>
                <w:bCs/>
                <w:color w:val="000000"/>
                <w:sz w:val="20"/>
                <w:szCs w:val="20"/>
              </w:rPr>
              <w:t>1.0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B1F239F" w14:textId="77777777" w:rsidR="004442B5" w:rsidRPr="003E11FF" w:rsidRDefault="004442B5" w:rsidP="00C85113">
            <w:pPr>
              <w:ind w:firstLine="34"/>
              <w:jc w:val="center"/>
              <w:rPr>
                <w:bCs/>
                <w:color w:val="000000"/>
                <w:sz w:val="20"/>
                <w:szCs w:val="20"/>
              </w:rPr>
            </w:pPr>
            <w:r w:rsidRPr="003E11FF">
              <w:rPr>
                <w:bCs/>
                <w:color w:val="000000"/>
                <w:sz w:val="20"/>
                <w:szCs w:val="20"/>
              </w:rPr>
              <w:t>0</w:t>
            </w:r>
            <w:r w:rsidRPr="003E11FF">
              <w:rPr>
                <w:bCs/>
                <w:color w:val="000000"/>
                <w:sz w:val="20"/>
                <w:szCs w:val="20"/>
                <w:lang w:val="hy-AM"/>
              </w:rPr>
              <w:t>.</w:t>
            </w:r>
            <w:r w:rsidRPr="003E11FF">
              <w:rPr>
                <w:bCs/>
                <w:color w:val="000000"/>
                <w:sz w:val="20"/>
                <w:szCs w:val="20"/>
              </w:rPr>
              <w:t>7</w:t>
            </w:r>
          </w:p>
        </w:tc>
        <w:tc>
          <w:tcPr>
            <w:tcW w:w="2694" w:type="dxa"/>
            <w:tcBorders>
              <w:top w:val="single" w:sz="4" w:space="0" w:color="auto"/>
              <w:left w:val="single" w:sz="4" w:space="0" w:color="auto"/>
              <w:bottom w:val="single" w:sz="4" w:space="0" w:color="auto"/>
              <w:right w:val="single" w:sz="12" w:space="0" w:color="auto"/>
            </w:tcBorders>
            <w:vAlign w:val="center"/>
            <w:hideMark/>
          </w:tcPr>
          <w:p w14:paraId="44A63EE9" w14:textId="77777777" w:rsidR="004442B5" w:rsidRPr="003E11FF" w:rsidRDefault="004442B5" w:rsidP="00C85113">
            <w:pPr>
              <w:spacing w:line="360" w:lineRule="auto"/>
              <w:ind w:firstLine="34"/>
              <w:rPr>
                <w:sz w:val="20"/>
                <w:szCs w:val="20"/>
              </w:rPr>
            </w:pPr>
            <w:r w:rsidRPr="003E11FF">
              <w:rPr>
                <w:sz w:val="20"/>
                <w:szCs w:val="20"/>
              </w:rPr>
              <w:t>Առավելագույնը 1</w:t>
            </w:r>
          </w:p>
        </w:tc>
      </w:tr>
      <w:tr w:rsidR="004442B5" w:rsidRPr="00A35CD3" w14:paraId="62BE63A5" w14:textId="77777777" w:rsidTr="001B57F3">
        <w:trPr>
          <w:trHeight w:val="698"/>
        </w:trPr>
        <w:tc>
          <w:tcPr>
            <w:tcW w:w="3849" w:type="dxa"/>
            <w:tcBorders>
              <w:top w:val="single" w:sz="4" w:space="0" w:color="auto"/>
              <w:left w:val="single" w:sz="12" w:space="0" w:color="auto"/>
              <w:bottom w:val="single" w:sz="12" w:space="0" w:color="auto"/>
              <w:right w:val="single" w:sz="4" w:space="0" w:color="auto"/>
            </w:tcBorders>
            <w:shd w:val="clear" w:color="auto" w:fill="C6D9F1" w:themeFill="text2" w:themeFillTint="33"/>
            <w:vAlign w:val="center"/>
            <w:hideMark/>
          </w:tcPr>
          <w:p w14:paraId="794B2CC8" w14:textId="77777777" w:rsidR="004442B5" w:rsidRPr="003E11FF" w:rsidRDefault="004442B5" w:rsidP="00C85113">
            <w:pPr>
              <w:spacing w:line="240" w:lineRule="auto"/>
              <w:ind w:firstLine="34"/>
              <w:jc w:val="left"/>
              <w:rPr>
                <w:sz w:val="20"/>
                <w:szCs w:val="20"/>
              </w:rPr>
            </w:pPr>
            <w:r w:rsidRPr="003E11FF">
              <w:rPr>
                <w:sz w:val="20"/>
                <w:szCs w:val="20"/>
              </w:rPr>
              <w:t>Z միավոր</w:t>
            </w:r>
          </w:p>
        </w:tc>
        <w:tc>
          <w:tcPr>
            <w:tcW w:w="1174" w:type="dxa"/>
            <w:tcBorders>
              <w:top w:val="single" w:sz="4" w:space="0" w:color="auto"/>
              <w:left w:val="single" w:sz="4" w:space="0" w:color="auto"/>
              <w:bottom w:val="single" w:sz="12" w:space="0" w:color="auto"/>
              <w:right w:val="single" w:sz="4" w:space="0" w:color="auto"/>
            </w:tcBorders>
            <w:shd w:val="clear" w:color="auto" w:fill="C6D9F1" w:themeFill="text2" w:themeFillTint="33"/>
            <w:vAlign w:val="center"/>
            <w:hideMark/>
          </w:tcPr>
          <w:p w14:paraId="5401EC9E" w14:textId="77777777" w:rsidR="004442B5" w:rsidRPr="003E11FF" w:rsidRDefault="004442B5" w:rsidP="00C85113">
            <w:pPr>
              <w:ind w:firstLine="34"/>
              <w:jc w:val="center"/>
              <w:rPr>
                <w:bCs/>
                <w:color w:val="000000"/>
                <w:sz w:val="20"/>
                <w:szCs w:val="20"/>
              </w:rPr>
            </w:pPr>
            <w:r w:rsidRPr="003E11FF">
              <w:rPr>
                <w:bCs/>
                <w:color w:val="000000"/>
                <w:sz w:val="20"/>
                <w:szCs w:val="20"/>
              </w:rPr>
              <w:t>(0.06)</w:t>
            </w:r>
          </w:p>
        </w:tc>
        <w:tc>
          <w:tcPr>
            <w:tcW w:w="1174" w:type="dxa"/>
            <w:tcBorders>
              <w:top w:val="single" w:sz="4" w:space="0" w:color="auto"/>
              <w:left w:val="single" w:sz="4" w:space="0" w:color="auto"/>
              <w:bottom w:val="single" w:sz="12" w:space="0" w:color="auto"/>
              <w:right w:val="single" w:sz="4" w:space="0" w:color="auto"/>
            </w:tcBorders>
            <w:shd w:val="clear" w:color="auto" w:fill="C6D9F1" w:themeFill="text2" w:themeFillTint="33"/>
            <w:vAlign w:val="center"/>
          </w:tcPr>
          <w:p w14:paraId="68DF3BE4" w14:textId="77777777" w:rsidR="004442B5" w:rsidRPr="003E11FF" w:rsidRDefault="004442B5" w:rsidP="00C85113">
            <w:pPr>
              <w:ind w:firstLine="34"/>
              <w:jc w:val="center"/>
              <w:rPr>
                <w:bCs/>
                <w:color w:val="000000"/>
                <w:sz w:val="20"/>
                <w:szCs w:val="20"/>
              </w:rPr>
            </w:pPr>
            <w:r w:rsidRPr="003E11FF">
              <w:rPr>
                <w:bCs/>
                <w:color w:val="000000"/>
                <w:sz w:val="20"/>
                <w:szCs w:val="20"/>
              </w:rPr>
              <w:t>1.23</w:t>
            </w:r>
          </w:p>
        </w:tc>
        <w:tc>
          <w:tcPr>
            <w:tcW w:w="1133" w:type="dxa"/>
            <w:tcBorders>
              <w:top w:val="single" w:sz="4" w:space="0" w:color="auto"/>
              <w:left w:val="single" w:sz="4" w:space="0" w:color="auto"/>
              <w:bottom w:val="single" w:sz="12" w:space="0" w:color="auto"/>
              <w:right w:val="single" w:sz="4" w:space="0" w:color="auto"/>
            </w:tcBorders>
            <w:shd w:val="clear" w:color="auto" w:fill="C6D9F1" w:themeFill="text2" w:themeFillTint="33"/>
            <w:vAlign w:val="center"/>
          </w:tcPr>
          <w:p w14:paraId="57099981" w14:textId="77777777" w:rsidR="004442B5" w:rsidRPr="003E11FF" w:rsidRDefault="004442B5" w:rsidP="00C85113">
            <w:pPr>
              <w:spacing w:line="240" w:lineRule="auto"/>
              <w:ind w:firstLine="34"/>
              <w:jc w:val="center"/>
              <w:rPr>
                <w:bCs/>
                <w:color w:val="000000"/>
                <w:sz w:val="20"/>
                <w:szCs w:val="20"/>
              </w:rPr>
            </w:pPr>
            <w:r w:rsidRPr="003E11FF">
              <w:rPr>
                <w:bCs/>
                <w:color w:val="000000"/>
                <w:sz w:val="20"/>
                <w:szCs w:val="20"/>
              </w:rPr>
              <w:t>1</w:t>
            </w:r>
            <w:r w:rsidRPr="003E11FF">
              <w:rPr>
                <w:bCs/>
                <w:color w:val="000000"/>
                <w:sz w:val="20"/>
                <w:szCs w:val="20"/>
                <w:lang w:val="hy-AM"/>
              </w:rPr>
              <w:t>.</w:t>
            </w:r>
            <w:r w:rsidRPr="003E11FF">
              <w:rPr>
                <w:bCs/>
                <w:color w:val="000000"/>
                <w:sz w:val="20"/>
                <w:szCs w:val="20"/>
              </w:rPr>
              <w:t>4</w:t>
            </w:r>
          </w:p>
        </w:tc>
        <w:tc>
          <w:tcPr>
            <w:tcW w:w="2694" w:type="dxa"/>
            <w:tcBorders>
              <w:top w:val="single" w:sz="4" w:space="0" w:color="auto"/>
              <w:left w:val="single" w:sz="4" w:space="0" w:color="auto"/>
              <w:bottom w:val="single" w:sz="12" w:space="0" w:color="auto"/>
              <w:right w:val="single" w:sz="12" w:space="0" w:color="auto"/>
            </w:tcBorders>
            <w:shd w:val="clear" w:color="auto" w:fill="C6D9F1" w:themeFill="text2" w:themeFillTint="33"/>
            <w:vAlign w:val="center"/>
            <w:hideMark/>
          </w:tcPr>
          <w:p w14:paraId="2652D77C" w14:textId="77777777" w:rsidR="004442B5" w:rsidRPr="003E11FF" w:rsidRDefault="004442B5" w:rsidP="00C85113">
            <w:pPr>
              <w:spacing w:line="240" w:lineRule="auto"/>
              <w:ind w:firstLine="34"/>
              <w:rPr>
                <w:sz w:val="20"/>
                <w:szCs w:val="20"/>
                <w:lang w:val="hy-AM"/>
              </w:rPr>
            </w:pPr>
            <w:r w:rsidRPr="003E11FF">
              <w:rPr>
                <w:sz w:val="20"/>
                <w:szCs w:val="20"/>
              </w:rPr>
              <w:t>Ապահով գոտի</w:t>
            </w:r>
            <w:proofErr w:type="gramStart"/>
            <w:r w:rsidRPr="003E11FF">
              <w:rPr>
                <w:sz w:val="20"/>
                <w:szCs w:val="20"/>
                <w:lang w:val="hy-AM"/>
              </w:rPr>
              <w:t>՝</w:t>
            </w:r>
            <w:r w:rsidRPr="003E11FF">
              <w:rPr>
                <w:sz w:val="20"/>
                <w:szCs w:val="20"/>
              </w:rPr>
              <w:t xml:space="preserve">  Z</w:t>
            </w:r>
            <w:proofErr w:type="gramEnd"/>
            <w:r w:rsidRPr="003E11FF">
              <w:rPr>
                <w:sz w:val="20"/>
                <w:szCs w:val="20"/>
              </w:rPr>
              <w:t>&gt;2.6,</w:t>
            </w:r>
          </w:p>
          <w:p w14:paraId="53217FEB" w14:textId="77777777" w:rsidR="004442B5" w:rsidRPr="003E11FF" w:rsidRDefault="004442B5" w:rsidP="00C85113">
            <w:pPr>
              <w:spacing w:line="240" w:lineRule="auto"/>
              <w:ind w:firstLine="34"/>
              <w:rPr>
                <w:sz w:val="20"/>
                <w:szCs w:val="20"/>
                <w:lang w:val="hy-AM"/>
              </w:rPr>
            </w:pPr>
            <w:r w:rsidRPr="003E11FF">
              <w:rPr>
                <w:sz w:val="20"/>
                <w:szCs w:val="20"/>
              </w:rPr>
              <w:t>Գորշ գոտի` 1.1&lt;Z&lt;2.6,</w:t>
            </w:r>
          </w:p>
          <w:p w14:paraId="47354C56" w14:textId="77777777" w:rsidR="004442B5" w:rsidRPr="003E11FF" w:rsidRDefault="004442B5" w:rsidP="00C85113">
            <w:pPr>
              <w:spacing w:line="240" w:lineRule="auto"/>
              <w:ind w:firstLine="34"/>
              <w:rPr>
                <w:sz w:val="20"/>
                <w:szCs w:val="20"/>
                <w:lang w:val="hy-AM"/>
              </w:rPr>
            </w:pPr>
            <w:r w:rsidRPr="003E11FF">
              <w:rPr>
                <w:sz w:val="20"/>
                <w:szCs w:val="20"/>
              </w:rPr>
              <w:t>Ծանր գոտի`    Z&lt;1.1</w:t>
            </w:r>
            <w:r w:rsidRPr="003E11FF">
              <w:rPr>
                <w:sz w:val="20"/>
                <w:szCs w:val="20"/>
                <w:lang w:val="hy-AM"/>
              </w:rPr>
              <w:t>:</w:t>
            </w:r>
          </w:p>
        </w:tc>
      </w:tr>
    </w:tbl>
    <w:p w14:paraId="3D019A11" w14:textId="77777777" w:rsidR="004442B5" w:rsidRDefault="004442B5" w:rsidP="004442B5">
      <w:pPr>
        <w:spacing w:after="0" w:line="360" w:lineRule="auto"/>
        <w:ind w:firstLine="0"/>
      </w:pPr>
    </w:p>
    <w:p w14:paraId="018051F3" w14:textId="77777777" w:rsidR="004442B5" w:rsidRPr="00CD7E61" w:rsidRDefault="004442B5" w:rsidP="003E11FF">
      <w:pPr>
        <w:spacing w:after="0" w:line="276" w:lineRule="auto"/>
        <w:ind w:firstLine="720"/>
        <w:rPr>
          <w:lang w:val="hy-AM"/>
        </w:rPr>
      </w:pPr>
      <w:r w:rsidRPr="00CD7E61">
        <w:rPr>
          <w:lang w:val="hy-AM"/>
        </w:rPr>
        <w:t>Ինչպես երևում է աղյուսակից հաշվետու ժամանակաշրջանում սնանկացման կանխատեսման Ալթմանի Z-միավորը վկայում է Ընկերությունների ֆինանսական վիճակի</w:t>
      </w:r>
      <w:r w:rsidRPr="00E23BBD">
        <w:rPr>
          <w:lang w:val="hy-AM"/>
        </w:rPr>
        <w:t xml:space="preserve"> վատթարացման միջին</w:t>
      </w:r>
      <w:r w:rsidRPr="00CD7E61">
        <w:rPr>
          <w:lang w:val="hy-AM"/>
        </w:rPr>
        <w:t xml:space="preserve"> հավանականության մասին (Z=1.4 գտնվում </w:t>
      </w:r>
      <w:r w:rsidRPr="00A35CD3">
        <w:rPr>
          <w:lang w:val="hy-AM"/>
        </w:rPr>
        <w:t>է</w:t>
      </w:r>
      <w:r w:rsidRPr="00CD7E61">
        <w:rPr>
          <w:lang w:val="hy-AM"/>
        </w:rPr>
        <w:t xml:space="preserve"> սահմանված գորշ գոտում 1.1&lt; Z&lt;2.6):</w:t>
      </w:r>
    </w:p>
    <w:p w14:paraId="32D48D9A" w14:textId="77777777" w:rsidR="004442B5" w:rsidRPr="00CD7E61" w:rsidRDefault="004442B5" w:rsidP="003E11FF">
      <w:pPr>
        <w:spacing w:after="0" w:line="276" w:lineRule="auto"/>
        <w:ind w:firstLine="720"/>
        <w:rPr>
          <w:lang w:val="hy-AM"/>
        </w:rPr>
      </w:pPr>
      <w:r w:rsidRPr="00CD7E61">
        <w:rPr>
          <w:lang w:val="hy-AM"/>
        </w:rPr>
        <w:t xml:space="preserve">Հաշվետու ժամանակաշրջանում ստուգաճշտող լրացուցիչ ֆինանսական վեց գործակիցներից </w:t>
      </w:r>
      <w:r w:rsidRPr="00A35CD3">
        <w:rPr>
          <w:lang w:val="hy-AM"/>
        </w:rPr>
        <w:t>մեկ</w:t>
      </w:r>
      <w:r w:rsidRPr="00CD7E61">
        <w:rPr>
          <w:lang w:val="hy-AM"/>
        </w:rPr>
        <w:t>ը, չ</w:t>
      </w:r>
      <w:r w:rsidRPr="00A35CD3">
        <w:rPr>
          <w:lang w:val="hy-AM"/>
        </w:rPr>
        <w:t>ի</w:t>
      </w:r>
      <w:r w:rsidRPr="00CD7E61">
        <w:rPr>
          <w:lang w:val="hy-AM"/>
        </w:rPr>
        <w:t xml:space="preserve"> համապատասխանում միջազ</w:t>
      </w:r>
      <w:r w:rsidRPr="00CD7E61">
        <w:rPr>
          <w:lang w:val="hy-AM"/>
        </w:rPr>
        <w:softHyphen/>
        <w:t xml:space="preserve">գային պրակտիկայում ընդունված թույլատրելի սահմանային նորմային և վկայում են ոչ ծանր ֆինանսական վիճակի հավանականության մասին: </w:t>
      </w:r>
    </w:p>
    <w:p w14:paraId="1F491AE0" w14:textId="77777777" w:rsidR="004442B5" w:rsidRPr="00CD7E61" w:rsidRDefault="004442B5" w:rsidP="003E11FF">
      <w:pPr>
        <w:spacing w:after="0" w:line="276" w:lineRule="auto"/>
        <w:ind w:firstLine="720"/>
        <w:rPr>
          <w:lang w:val="hy-AM"/>
        </w:rPr>
      </w:pPr>
      <w:r w:rsidRPr="00CD7E61">
        <w:rPr>
          <w:lang w:val="hy-AM"/>
        </w:rPr>
        <w:t xml:space="preserve">Զուտ շահույթի մարժան բնութագրում է բիզնեսի գործառնական արդյունավետությունը: Հաշվետու ժամանակաշրջանում նախորդ ժամանակաշրջանի նկատմամբ այս ցուցանիշը ցուցաբերել է </w:t>
      </w:r>
      <w:r w:rsidRPr="00A35CD3">
        <w:rPr>
          <w:lang w:val="hy-AM"/>
        </w:rPr>
        <w:t>նվազման</w:t>
      </w:r>
      <w:r w:rsidRPr="00CD7E61">
        <w:rPr>
          <w:lang w:val="hy-AM"/>
        </w:rPr>
        <w:t xml:space="preserve"> դինամիկա և 4.</w:t>
      </w:r>
      <w:r w:rsidRPr="00A35CD3">
        <w:rPr>
          <w:lang w:val="hy-AM"/>
        </w:rPr>
        <w:t>8</w:t>
      </w:r>
      <w:r w:rsidRPr="00CD7E61">
        <w:rPr>
          <w:lang w:val="hy-AM"/>
        </w:rPr>
        <w:t xml:space="preserve"> տոկոսային կետով պակաս է պրակտիկայում կիրառ</w:t>
      </w:r>
      <w:r w:rsidRPr="00CD7E61">
        <w:rPr>
          <w:lang w:val="hy-AM"/>
        </w:rPr>
        <w:softHyphen/>
        <w:t>վող նվազագույն նորմայից:</w:t>
      </w:r>
    </w:p>
    <w:p w14:paraId="5298BEC1" w14:textId="62DDD7F9" w:rsidR="004442B5" w:rsidRPr="00CD7E61" w:rsidRDefault="004442B5" w:rsidP="003E11FF">
      <w:pPr>
        <w:spacing w:after="0" w:line="276" w:lineRule="auto"/>
        <w:ind w:firstLine="720"/>
        <w:rPr>
          <w:lang w:val="hy-AM"/>
        </w:rPr>
      </w:pPr>
      <w:r w:rsidRPr="00CD7E61">
        <w:rPr>
          <w:lang w:val="hy-AM"/>
        </w:rPr>
        <w:t>Արագ իրացվելիության գործակիցը հաշվետու ժամանակաշրջանում նախորդ ժամանակաշրջանի նկատմամբ ևս ցուցաբերել է դրական դինամիկա և կազմել 2.8 (1.8 տոկոսային կետով բարձր մնալով միջազգային պրակտիկայում կիրառ</w:t>
      </w:r>
      <w:r w:rsidRPr="00CD7E61">
        <w:rPr>
          <w:lang w:val="hy-AM"/>
        </w:rPr>
        <w:softHyphen/>
        <w:t>վող շեմային մակարդակից), որը փաստում է, որ Ընկերություն</w:t>
      </w:r>
      <w:r w:rsidR="007724F4">
        <w:rPr>
          <w:lang w:val="hy-AM"/>
        </w:rPr>
        <w:t>ն</w:t>
      </w:r>
      <w:r w:rsidRPr="00CD7E61">
        <w:rPr>
          <w:lang w:val="hy-AM"/>
        </w:rPr>
        <w:t>երը արագ իրաց</w:t>
      </w:r>
      <w:r w:rsidRPr="00CD7E61">
        <w:rPr>
          <w:lang w:val="hy-AM"/>
        </w:rPr>
        <w:softHyphen/>
        <w:t xml:space="preserve">վելի ընթացիկ ակտիվների հաշվին կարող են մարել իրենց ընթացիկ պարտավորությունները: </w:t>
      </w:r>
    </w:p>
    <w:p w14:paraId="48DADD39" w14:textId="77777777" w:rsidR="004442B5" w:rsidRPr="00CD7E61" w:rsidRDefault="004442B5" w:rsidP="003E11FF">
      <w:pPr>
        <w:spacing w:after="0" w:line="276" w:lineRule="auto"/>
        <w:rPr>
          <w:lang w:val="hy-AM"/>
        </w:rPr>
      </w:pPr>
      <w:r w:rsidRPr="00CD7E61">
        <w:rPr>
          <w:lang w:val="hy-AM"/>
        </w:rPr>
        <w:tab/>
        <w:t>Վերաֆինանսավորման գործակիցը հաշվետու ժամանակաշրջանում նախորդ ժամանա</w:t>
      </w:r>
      <w:r w:rsidRPr="00CD7E61">
        <w:rPr>
          <w:lang w:val="hy-AM"/>
        </w:rPr>
        <w:softHyphen/>
        <w:t xml:space="preserve">կաշրջանի նկատմամբ նվազել է 0.3 կետով և կազմել է </w:t>
      </w:r>
      <w:r w:rsidRPr="00A35CD3">
        <w:rPr>
          <w:lang w:val="hy-AM"/>
        </w:rPr>
        <w:t>0</w:t>
      </w:r>
      <w:r>
        <w:rPr>
          <w:lang w:val="hy-AM"/>
        </w:rPr>
        <w:t>.</w:t>
      </w:r>
      <w:r w:rsidRPr="00A35CD3">
        <w:rPr>
          <w:lang w:val="hy-AM"/>
        </w:rPr>
        <w:t>7</w:t>
      </w:r>
      <w:r w:rsidRPr="00CD7E61">
        <w:rPr>
          <w:lang w:val="hy-AM"/>
        </w:rPr>
        <w:t>, որը փաստում է, որ որոշ Ընկերու</w:t>
      </w:r>
      <w:r w:rsidRPr="00CD7E61">
        <w:rPr>
          <w:lang w:val="hy-AM"/>
        </w:rPr>
        <w:softHyphen/>
        <w:t>թյուններ</w:t>
      </w:r>
      <w:r w:rsidRPr="00A35CD3">
        <w:rPr>
          <w:lang w:val="hy-AM"/>
        </w:rPr>
        <w:t>ն</w:t>
      </w:r>
      <w:r w:rsidRPr="00CD7E61">
        <w:rPr>
          <w:lang w:val="hy-AM"/>
        </w:rPr>
        <w:t xml:space="preserve"> ի վիճակի են գործառնություններից ստացվող իրենց դրամական հոսքերի հաշվին կատարել իրենց ընթացիկ պարտավորությունները:</w:t>
      </w:r>
    </w:p>
    <w:p w14:paraId="0F65B378" w14:textId="77777777" w:rsidR="004442B5" w:rsidRPr="00227565" w:rsidRDefault="004442B5" w:rsidP="003E11FF">
      <w:pPr>
        <w:spacing w:after="0" w:line="276" w:lineRule="auto"/>
        <w:ind w:firstLine="720"/>
        <w:rPr>
          <w:lang w:val="hy-AM"/>
        </w:rPr>
      </w:pPr>
      <w:r w:rsidRPr="00CD7E61">
        <w:rPr>
          <w:lang w:val="hy-AM"/>
        </w:rPr>
        <w:t>Հաշվի առնելով, որ հաշվետու ժամանակաշրջանում Ընկերությունների ֆինանսական ծանր վիճակի հավանականությունը գնահատող Z-միավորը վկայում է Ընկերու</w:t>
      </w:r>
      <w:r w:rsidRPr="00CD7E61">
        <w:rPr>
          <w:lang w:val="hy-AM"/>
        </w:rPr>
        <w:softHyphen/>
        <w:t>թյունների ֆինանսական միջին վիճակի հավանականության մասին (Z=1.</w:t>
      </w:r>
      <w:r w:rsidRPr="00A35CD3">
        <w:rPr>
          <w:lang w:val="hy-AM"/>
        </w:rPr>
        <w:t>4</w:t>
      </w:r>
      <w:r w:rsidRPr="00CD7E61">
        <w:rPr>
          <w:lang w:val="hy-AM"/>
        </w:rPr>
        <w:t>), իսկ լրացուցիչ վեց գործակիցներից մեկը չի համապատասխանում միջազգային պրակտիկայում կիրառվող շեմային մակարդակին, հետևաբար Ընկերությունների ֆինանսական ծանր վիճակի հավանականության վերջնական գնահատականն է «միջին»:</w:t>
      </w:r>
    </w:p>
    <w:p w14:paraId="4BA2BB50" w14:textId="77777777" w:rsidR="004442B5" w:rsidRPr="00CD7E61" w:rsidRDefault="004442B5" w:rsidP="003E11FF">
      <w:pPr>
        <w:shd w:val="clear" w:color="auto" w:fill="FFFFFF"/>
        <w:spacing w:after="0" w:line="276" w:lineRule="auto"/>
        <w:ind w:right="150" w:firstLine="450"/>
        <w:jc w:val="center"/>
        <w:rPr>
          <w:b/>
          <w:color w:val="000000"/>
          <w:lang w:val="hy-AM"/>
        </w:rPr>
      </w:pPr>
      <w:r w:rsidRPr="00CD7E61">
        <w:rPr>
          <w:b/>
          <w:color w:val="000000"/>
          <w:lang w:val="hy-AM"/>
        </w:rPr>
        <w:t>Տրանսպորտի ոլորտի պետական մասնակցությամբ ընկերություններ</w:t>
      </w:r>
    </w:p>
    <w:p w14:paraId="3CF8D929" w14:textId="77777777" w:rsidR="004442B5" w:rsidRPr="00CD7E61" w:rsidRDefault="004442B5" w:rsidP="003E11FF">
      <w:pPr>
        <w:shd w:val="clear" w:color="auto" w:fill="FFFFFF"/>
        <w:spacing w:after="0" w:line="276" w:lineRule="auto"/>
        <w:ind w:right="150" w:firstLine="450"/>
        <w:rPr>
          <w:color w:val="000000"/>
          <w:lang w:val="hy-AM"/>
        </w:rPr>
      </w:pPr>
      <w:r w:rsidRPr="00CD7E61">
        <w:rPr>
          <w:color w:val="000000"/>
          <w:lang w:val="hy-AM"/>
        </w:rPr>
        <w:lastRenderedPageBreak/>
        <w:t>Տրանսպորտի ոլորտի դիտանցման ենթարկվող պետական մասնակցությամբ ընկերությունների գործունեության արդյունքում հարկաբյուջետային ռիսկերն են.</w:t>
      </w:r>
    </w:p>
    <w:p w14:paraId="31AFBF5B" w14:textId="77777777" w:rsidR="004442B5" w:rsidRPr="00CD7E61" w:rsidRDefault="004442B5" w:rsidP="003E11FF">
      <w:pPr>
        <w:shd w:val="clear" w:color="auto" w:fill="FFFFFF"/>
        <w:spacing w:after="0" w:line="276" w:lineRule="auto"/>
        <w:ind w:right="150" w:firstLine="450"/>
        <w:rPr>
          <w:color w:val="000000"/>
          <w:lang w:val="hy-AM"/>
        </w:rPr>
      </w:pPr>
      <w:r w:rsidRPr="00CD7E61">
        <w:rPr>
          <w:lang w:val="hy-AM"/>
        </w:rPr>
        <w:t xml:space="preserve">● </w:t>
      </w:r>
      <w:r w:rsidRPr="00CD7E61">
        <w:rPr>
          <w:color w:val="000000"/>
          <w:lang w:val="hy-AM"/>
        </w:rPr>
        <w:t>Ընկերությունների ֆինանսական վիճակի վատթարացման արդյունքում որպես ժամանակավոր օգնություն չնախատեսված բյուջետային վարկերի տրամադրման կամ սեփական կապիտալի համալրման համար բյուջետային հատկացումների անհրաժեշտության առաջացում,</w:t>
      </w:r>
    </w:p>
    <w:p w14:paraId="3E4CC825" w14:textId="77777777" w:rsidR="004442B5" w:rsidRPr="00CD7E61" w:rsidRDefault="004442B5" w:rsidP="003E11FF">
      <w:pPr>
        <w:shd w:val="clear" w:color="auto" w:fill="FFFFFF"/>
        <w:spacing w:after="0" w:line="276" w:lineRule="auto"/>
        <w:ind w:right="150" w:firstLine="450"/>
        <w:rPr>
          <w:color w:val="000000"/>
          <w:lang w:val="hy-AM"/>
        </w:rPr>
      </w:pPr>
      <w:r w:rsidRPr="00CD7E61">
        <w:rPr>
          <w:lang w:val="hy-AM"/>
        </w:rPr>
        <w:t xml:space="preserve">● </w:t>
      </w:r>
      <w:r w:rsidRPr="00CD7E61">
        <w:rPr>
          <w:color w:val="000000"/>
          <w:lang w:val="hy-AM"/>
        </w:rPr>
        <w:t>Ընկերություններին չնախատեսված սուբսիդիաների տրամադրում կամ այլ վճարումներ կատարելու անհրաժեշտություն,</w:t>
      </w:r>
    </w:p>
    <w:p w14:paraId="22A7153A" w14:textId="77777777" w:rsidR="004442B5" w:rsidRPr="00CD7E61" w:rsidRDefault="004442B5" w:rsidP="003E11FF">
      <w:pPr>
        <w:shd w:val="clear" w:color="auto" w:fill="FFFFFF"/>
        <w:spacing w:after="0" w:line="276" w:lineRule="auto"/>
        <w:ind w:right="150" w:firstLine="450"/>
        <w:rPr>
          <w:color w:val="000000"/>
          <w:lang w:val="hy-AM"/>
        </w:rPr>
      </w:pPr>
      <w:r w:rsidRPr="00CD7E61">
        <w:rPr>
          <w:lang w:val="hy-AM"/>
        </w:rPr>
        <w:t xml:space="preserve">● </w:t>
      </w:r>
      <w:r w:rsidRPr="00CD7E61">
        <w:rPr>
          <w:color w:val="000000"/>
          <w:lang w:val="hy-AM"/>
        </w:rPr>
        <w:t>Ընկերություններից պետական բյուջեի մուտքերի կազմում նախատեսված շահութաբաժինների չստացում,</w:t>
      </w:r>
    </w:p>
    <w:p w14:paraId="7EE6071E" w14:textId="77777777" w:rsidR="004442B5" w:rsidRPr="00CD7E61" w:rsidRDefault="004442B5" w:rsidP="003E11FF">
      <w:pPr>
        <w:shd w:val="clear" w:color="auto" w:fill="FFFFFF"/>
        <w:spacing w:after="0" w:line="276" w:lineRule="auto"/>
        <w:ind w:right="150" w:firstLine="450"/>
        <w:rPr>
          <w:color w:val="000000"/>
          <w:lang w:val="hy-AM"/>
        </w:rPr>
      </w:pPr>
      <w:r w:rsidRPr="00CD7E61">
        <w:rPr>
          <w:lang w:val="hy-AM"/>
        </w:rPr>
        <w:t xml:space="preserve">● </w:t>
      </w:r>
      <w:r w:rsidRPr="00CD7E61">
        <w:rPr>
          <w:color w:val="000000"/>
          <w:lang w:val="hy-AM"/>
        </w:rPr>
        <w:t>ՀՀ պետական բյուջեից Ընկերություններին տրամադրված վարկային միջոցների օգտագործման դիմաց հաշվարկված տոկոսների չվճարում և մայր գումարների չմարում:</w:t>
      </w:r>
    </w:p>
    <w:p w14:paraId="59ABFAD0" w14:textId="77777777" w:rsidR="004442B5" w:rsidRPr="00CD7E61" w:rsidRDefault="004442B5" w:rsidP="003E11FF">
      <w:pPr>
        <w:shd w:val="clear" w:color="auto" w:fill="FFFFFF"/>
        <w:spacing w:after="0" w:line="276" w:lineRule="auto"/>
        <w:ind w:right="150" w:firstLine="450"/>
        <w:rPr>
          <w:color w:val="000000"/>
          <w:lang w:val="hy-AM"/>
        </w:rPr>
      </w:pPr>
      <w:r w:rsidRPr="00CD7E61">
        <w:rPr>
          <w:color w:val="000000"/>
          <w:lang w:val="hy-AM"/>
        </w:rPr>
        <w:t>Հաշվետու ժամանակաշրջանում տրանսպորտի ոլորտի երեք պետական մասնակցությամբ ընկերությունների (այսուհետ` Ընկերություններ) հիմնական գործունեությունից ստացված հանրագումարային եկամուտները կազմել են 11.4 մլրդ դրամ` նախորդ ժամանակաշրջանի 11.8 մլրդ դրամի դիմաց կամ 0.4 մլրդ դրամով պակաս (3.4%):</w:t>
      </w:r>
    </w:p>
    <w:p w14:paraId="35C1F393" w14:textId="77777777" w:rsidR="004442B5" w:rsidRPr="00CD7E61" w:rsidRDefault="004442B5" w:rsidP="003E11FF">
      <w:pPr>
        <w:shd w:val="clear" w:color="auto" w:fill="FFFFFF"/>
        <w:spacing w:after="0" w:line="276" w:lineRule="auto"/>
        <w:ind w:right="150" w:firstLine="450"/>
        <w:rPr>
          <w:color w:val="000000"/>
          <w:lang w:val="hy-AM"/>
        </w:rPr>
      </w:pPr>
      <w:r w:rsidRPr="00CD7E61">
        <w:rPr>
          <w:color w:val="000000"/>
          <w:lang w:val="hy-AM"/>
        </w:rPr>
        <w:t>Հաշվետու ժամանակաշրջանում այդ Ընկերությունների հանրագումարային ծախսերը կազմել են 8.7 մլրդ դրամ` նախորդ ժամանակաշրջանի 8.4 մլրդ դրամի դիմաց` կամ ավել 0.3 մլրդ դրամով (3.6%):</w:t>
      </w:r>
    </w:p>
    <w:p w14:paraId="6CAA2B76" w14:textId="77777777" w:rsidR="004442B5" w:rsidRPr="00227565" w:rsidRDefault="004442B5" w:rsidP="003E11FF">
      <w:pPr>
        <w:shd w:val="clear" w:color="auto" w:fill="FFFFFF"/>
        <w:spacing w:after="0" w:line="276" w:lineRule="auto"/>
        <w:ind w:right="150" w:firstLine="450"/>
        <w:rPr>
          <w:color w:val="000000"/>
          <w:lang w:val="hy-AM"/>
        </w:rPr>
      </w:pPr>
      <w:r w:rsidRPr="00CD7E61">
        <w:rPr>
          <w:color w:val="000000"/>
          <w:lang w:val="hy-AM"/>
        </w:rPr>
        <w:t xml:space="preserve">Հաշվետու ժամանակաշրջանում Ընկերությունների 11.4 մլրդ դրամ ընդհանուր եկամուտների և 8.7 մլրդ դրամ ընդհանուր ծախսերի արդյունքում շահույթը կազմել է 2.7 մլրդ դրամ, իսկ զուտ շահույթը` 2.1 մլրդ դրամ (աղյուսակ </w:t>
      </w:r>
      <w:r w:rsidR="003E11FF" w:rsidRPr="00BE7F99">
        <w:rPr>
          <w:color w:val="000000"/>
          <w:lang w:val="hy-AM"/>
        </w:rPr>
        <w:t>5.</w:t>
      </w:r>
      <w:r w:rsidRPr="00CD7E61">
        <w:rPr>
          <w:color w:val="000000"/>
          <w:lang w:val="hy-AM"/>
        </w:rPr>
        <w:t>6):</w:t>
      </w:r>
    </w:p>
    <w:p w14:paraId="57523EA2" w14:textId="77777777" w:rsidR="004442B5" w:rsidRPr="00227565" w:rsidRDefault="004442B5" w:rsidP="003E11FF">
      <w:pPr>
        <w:shd w:val="clear" w:color="auto" w:fill="FFFFFF"/>
        <w:spacing w:after="0" w:line="276" w:lineRule="auto"/>
        <w:ind w:right="150" w:firstLine="450"/>
        <w:rPr>
          <w:color w:val="000000"/>
          <w:lang w:val="hy-AM"/>
        </w:rPr>
      </w:pPr>
    </w:p>
    <w:p w14:paraId="0939B4EE" w14:textId="77777777" w:rsidR="004442B5" w:rsidRPr="003E11FF" w:rsidRDefault="004442B5" w:rsidP="004442B5">
      <w:pPr>
        <w:shd w:val="clear" w:color="auto" w:fill="FFFFFF"/>
        <w:spacing w:after="0" w:line="240" w:lineRule="auto"/>
        <w:ind w:right="150" w:firstLine="450"/>
        <w:rPr>
          <w:i/>
          <w:color w:val="000000"/>
          <w:sz w:val="20"/>
          <w:szCs w:val="20"/>
          <w:lang w:val="hy-AM"/>
        </w:rPr>
      </w:pPr>
      <w:r w:rsidRPr="003E11FF">
        <w:rPr>
          <w:b/>
          <w:bCs/>
          <w:color w:val="000000"/>
          <w:sz w:val="20"/>
          <w:szCs w:val="20"/>
          <w:lang w:val="hy-AM"/>
        </w:rPr>
        <w:t xml:space="preserve">Աղյուսակ </w:t>
      </w:r>
      <w:r w:rsidR="003E11FF" w:rsidRPr="00BE7F99">
        <w:rPr>
          <w:b/>
          <w:bCs/>
          <w:color w:val="000000"/>
          <w:sz w:val="20"/>
          <w:szCs w:val="20"/>
          <w:lang w:val="hy-AM"/>
        </w:rPr>
        <w:t>5.</w:t>
      </w:r>
      <w:r w:rsidRPr="003E11FF">
        <w:rPr>
          <w:b/>
          <w:bCs/>
          <w:color w:val="000000"/>
          <w:sz w:val="20"/>
          <w:szCs w:val="20"/>
          <w:lang w:val="hy-AM"/>
        </w:rPr>
        <w:t>6</w:t>
      </w:r>
      <w:r w:rsidRPr="003E11FF">
        <w:rPr>
          <w:rFonts w:cs="Sylfaen"/>
          <w:b/>
          <w:color w:val="000000"/>
          <w:sz w:val="20"/>
          <w:szCs w:val="20"/>
          <w:lang w:val="hy-AM"/>
        </w:rPr>
        <w:t xml:space="preserve"> </w:t>
      </w:r>
      <w:r w:rsidRPr="003E11FF">
        <w:rPr>
          <w:rFonts w:cs="Sylfaen"/>
          <w:i/>
          <w:color w:val="000000"/>
          <w:sz w:val="20"/>
          <w:szCs w:val="20"/>
          <w:lang w:val="hy-AM"/>
        </w:rPr>
        <w:t>Տրանսպորտի ոլորտի պետական մասնակցությամբ ընկերությունների հանրագում</w:t>
      </w:r>
      <w:r w:rsidRPr="003E11FF">
        <w:rPr>
          <w:i/>
          <w:color w:val="000000"/>
          <w:sz w:val="20"/>
          <w:szCs w:val="20"/>
          <w:lang w:val="hy-AM"/>
        </w:rPr>
        <w:t xml:space="preserve">արային շահույթը (վնասը) ըստ տարիների </w:t>
      </w:r>
    </w:p>
    <w:p w14:paraId="05DECD68" w14:textId="77777777" w:rsidR="004442B5" w:rsidRPr="00905BB0" w:rsidRDefault="004442B5" w:rsidP="004442B5">
      <w:pPr>
        <w:shd w:val="clear" w:color="auto" w:fill="FFFFFF"/>
        <w:spacing w:after="0" w:line="240" w:lineRule="auto"/>
        <w:ind w:right="150" w:firstLine="450"/>
        <w:jc w:val="right"/>
        <w:rPr>
          <w:color w:val="000000"/>
          <w:sz w:val="24"/>
          <w:szCs w:val="24"/>
        </w:rPr>
      </w:pPr>
      <w:r w:rsidRPr="00227565">
        <w:rPr>
          <w:i/>
          <w:color w:val="000000"/>
          <w:sz w:val="18"/>
          <w:szCs w:val="18"/>
          <w:lang w:val="hy-AM"/>
        </w:rPr>
        <w:t xml:space="preserve">        </w:t>
      </w:r>
      <w:r w:rsidRPr="00A35CD3">
        <w:rPr>
          <w:i/>
          <w:color w:val="000000"/>
          <w:sz w:val="18"/>
          <w:szCs w:val="18"/>
        </w:rPr>
        <w:t>հազ. դրամ</w:t>
      </w:r>
    </w:p>
    <w:tbl>
      <w:tblPr>
        <w:tblW w:w="10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4845"/>
        <w:gridCol w:w="1673"/>
        <w:gridCol w:w="1720"/>
        <w:gridCol w:w="1703"/>
      </w:tblGrid>
      <w:tr w:rsidR="004442B5" w:rsidRPr="003E11FF" w14:paraId="693FBCE0" w14:textId="77777777" w:rsidTr="00C85113">
        <w:trPr>
          <w:trHeight w:val="304"/>
          <w:tblHeader/>
          <w:jc w:val="center"/>
        </w:trPr>
        <w:tc>
          <w:tcPr>
            <w:tcW w:w="5292" w:type="dxa"/>
            <w:gridSpan w:val="2"/>
            <w:vMerge w:val="restart"/>
            <w:tcBorders>
              <w:top w:val="single" w:sz="4" w:space="0" w:color="auto"/>
              <w:left w:val="single" w:sz="4" w:space="0" w:color="auto"/>
              <w:bottom w:val="single" w:sz="4" w:space="0" w:color="auto"/>
              <w:right w:val="single" w:sz="4" w:space="0" w:color="auto"/>
            </w:tcBorders>
            <w:shd w:val="clear" w:color="auto" w:fill="0070C0"/>
            <w:noWrap/>
            <w:vAlign w:val="center"/>
          </w:tcPr>
          <w:p w14:paraId="4F7AB212" w14:textId="77777777" w:rsidR="004442B5" w:rsidRPr="003E11FF" w:rsidRDefault="004442B5" w:rsidP="00C85113">
            <w:pPr>
              <w:spacing w:after="0" w:line="240" w:lineRule="auto"/>
              <w:ind w:left="44" w:firstLine="523"/>
              <w:rPr>
                <w:color w:val="FFFFFF" w:themeColor="background1"/>
                <w:sz w:val="20"/>
                <w:szCs w:val="20"/>
              </w:rPr>
            </w:pPr>
          </w:p>
        </w:tc>
        <w:tc>
          <w:tcPr>
            <w:tcW w:w="1673"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310E4B96" w14:textId="77777777" w:rsidR="004442B5" w:rsidRPr="003E11FF" w:rsidRDefault="004442B5" w:rsidP="00C85113">
            <w:pPr>
              <w:spacing w:after="0" w:line="240" w:lineRule="auto"/>
              <w:ind w:left="44" w:firstLine="523"/>
              <w:jc w:val="center"/>
              <w:rPr>
                <w:color w:val="FFFFFF" w:themeColor="background1"/>
                <w:sz w:val="20"/>
                <w:szCs w:val="20"/>
              </w:rPr>
            </w:pPr>
            <w:r w:rsidRPr="003E11FF">
              <w:rPr>
                <w:color w:val="FFFFFF" w:themeColor="background1"/>
                <w:sz w:val="20"/>
                <w:szCs w:val="20"/>
              </w:rPr>
              <w:t>2017թ.</w:t>
            </w:r>
          </w:p>
        </w:tc>
        <w:tc>
          <w:tcPr>
            <w:tcW w:w="172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0C767450" w14:textId="77777777" w:rsidR="004442B5" w:rsidRPr="003E11FF" w:rsidRDefault="004442B5" w:rsidP="00C85113">
            <w:pPr>
              <w:spacing w:after="0" w:line="240" w:lineRule="auto"/>
              <w:ind w:left="44" w:firstLine="523"/>
              <w:jc w:val="center"/>
              <w:rPr>
                <w:rFonts w:cs="Times New Roman"/>
                <w:color w:val="FFFFFF" w:themeColor="background1"/>
                <w:sz w:val="20"/>
                <w:szCs w:val="20"/>
              </w:rPr>
            </w:pPr>
            <w:r w:rsidRPr="003E11FF">
              <w:rPr>
                <w:color w:val="FFFFFF" w:themeColor="background1"/>
                <w:sz w:val="20"/>
                <w:szCs w:val="20"/>
              </w:rPr>
              <w:t>2018թ.</w:t>
            </w:r>
          </w:p>
        </w:tc>
        <w:tc>
          <w:tcPr>
            <w:tcW w:w="1703"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3758EB18" w14:textId="77777777" w:rsidR="004442B5" w:rsidRPr="003E11FF" w:rsidRDefault="004442B5" w:rsidP="00C85113">
            <w:pPr>
              <w:spacing w:after="0" w:line="240" w:lineRule="auto"/>
              <w:ind w:left="44" w:firstLine="523"/>
              <w:jc w:val="center"/>
              <w:rPr>
                <w:rFonts w:cs="Times New Roman"/>
                <w:color w:val="FFFFFF" w:themeColor="background1"/>
                <w:sz w:val="20"/>
                <w:szCs w:val="20"/>
              </w:rPr>
            </w:pPr>
            <w:r w:rsidRPr="003E11FF">
              <w:rPr>
                <w:color w:val="FFFFFF" w:themeColor="background1"/>
                <w:sz w:val="20"/>
                <w:szCs w:val="20"/>
              </w:rPr>
              <w:t>2019թ.</w:t>
            </w:r>
          </w:p>
        </w:tc>
      </w:tr>
      <w:tr w:rsidR="004442B5" w:rsidRPr="003E11FF" w14:paraId="5B47D836" w14:textId="77777777" w:rsidTr="00C85113">
        <w:trPr>
          <w:trHeight w:val="304"/>
          <w:tblHeader/>
          <w:jc w:val="center"/>
        </w:trPr>
        <w:tc>
          <w:tcPr>
            <w:tcW w:w="5292" w:type="dxa"/>
            <w:gridSpan w:val="2"/>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4D3DD051" w14:textId="77777777" w:rsidR="004442B5" w:rsidRPr="003E11FF" w:rsidRDefault="004442B5" w:rsidP="00C85113">
            <w:pPr>
              <w:spacing w:line="360" w:lineRule="auto"/>
              <w:ind w:left="44" w:firstLine="523"/>
              <w:rPr>
                <w:color w:val="FFFFFF" w:themeColor="background1"/>
                <w:sz w:val="20"/>
                <w:szCs w:val="20"/>
              </w:rPr>
            </w:pPr>
          </w:p>
        </w:tc>
        <w:tc>
          <w:tcPr>
            <w:tcW w:w="1673"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576D7F54" w14:textId="77777777" w:rsidR="004442B5" w:rsidRPr="003E11FF" w:rsidRDefault="004442B5" w:rsidP="00C85113">
            <w:pPr>
              <w:spacing w:line="360" w:lineRule="auto"/>
              <w:ind w:left="44" w:firstLine="523"/>
              <w:jc w:val="center"/>
              <w:rPr>
                <w:color w:val="FFFFFF" w:themeColor="background1"/>
                <w:sz w:val="20"/>
                <w:szCs w:val="20"/>
              </w:rPr>
            </w:pPr>
            <w:r w:rsidRPr="003E11FF">
              <w:rPr>
                <w:color w:val="FFFFFF" w:themeColor="background1"/>
                <w:sz w:val="20"/>
                <w:szCs w:val="20"/>
              </w:rPr>
              <w:t>Փաստ.</w:t>
            </w:r>
          </w:p>
        </w:tc>
        <w:tc>
          <w:tcPr>
            <w:tcW w:w="1720"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1EBA936F" w14:textId="77777777" w:rsidR="004442B5" w:rsidRPr="003E11FF" w:rsidRDefault="004442B5" w:rsidP="00C85113">
            <w:pPr>
              <w:spacing w:line="360" w:lineRule="auto"/>
              <w:ind w:left="44" w:firstLine="523"/>
              <w:jc w:val="center"/>
              <w:rPr>
                <w:color w:val="FFFFFF" w:themeColor="background1"/>
                <w:sz w:val="20"/>
                <w:szCs w:val="20"/>
              </w:rPr>
            </w:pPr>
            <w:r w:rsidRPr="003E11FF">
              <w:rPr>
                <w:color w:val="FFFFFF" w:themeColor="background1"/>
                <w:sz w:val="20"/>
                <w:szCs w:val="20"/>
              </w:rPr>
              <w:t>Փաստ.</w:t>
            </w:r>
          </w:p>
        </w:tc>
        <w:tc>
          <w:tcPr>
            <w:tcW w:w="1703"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76B6BB99" w14:textId="77777777" w:rsidR="004442B5" w:rsidRPr="003E11FF" w:rsidRDefault="004442B5" w:rsidP="00C85113">
            <w:pPr>
              <w:spacing w:line="360" w:lineRule="auto"/>
              <w:ind w:left="44" w:firstLine="523"/>
              <w:jc w:val="center"/>
              <w:rPr>
                <w:color w:val="FFFFFF" w:themeColor="background1"/>
                <w:sz w:val="20"/>
                <w:szCs w:val="20"/>
              </w:rPr>
            </w:pPr>
            <w:r w:rsidRPr="003E11FF">
              <w:rPr>
                <w:color w:val="FFFFFF" w:themeColor="background1"/>
                <w:sz w:val="20"/>
                <w:szCs w:val="20"/>
              </w:rPr>
              <w:t>Փաստ.</w:t>
            </w:r>
          </w:p>
        </w:tc>
      </w:tr>
      <w:tr w:rsidR="004442B5" w:rsidRPr="003E11FF" w14:paraId="0B61AE91" w14:textId="77777777" w:rsidTr="00FF692C">
        <w:trPr>
          <w:trHeight w:val="1162"/>
          <w:jc w:val="center"/>
        </w:trPr>
        <w:tc>
          <w:tcPr>
            <w:tcW w:w="447"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6E3E84BA" w14:textId="77777777" w:rsidR="004442B5" w:rsidRPr="003E11FF" w:rsidRDefault="004442B5" w:rsidP="00C85113">
            <w:pPr>
              <w:spacing w:line="360" w:lineRule="auto"/>
              <w:ind w:left="44" w:firstLine="523"/>
              <w:rPr>
                <w:sz w:val="20"/>
                <w:szCs w:val="20"/>
              </w:rPr>
            </w:pPr>
            <w:r w:rsidRPr="003E11FF">
              <w:rPr>
                <w:sz w:val="20"/>
                <w:szCs w:val="20"/>
              </w:rPr>
              <w:t>1N</w:t>
            </w:r>
          </w:p>
        </w:tc>
        <w:tc>
          <w:tcPr>
            <w:tcW w:w="484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76D019" w14:textId="77777777" w:rsidR="004442B5" w:rsidRPr="003E11FF" w:rsidRDefault="004442B5" w:rsidP="00C85113">
            <w:pPr>
              <w:spacing w:line="240" w:lineRule="auto"/>
              <w:ind w:left="78" w:firstLine="0"/>
              <w:rPr>
                <w:sz w:val="20"/>
                <w:szCs w:val="20"/>
              </w:rPr>
            </w:pPr>
            <w:r w:rsidRPr="003E11FF">
              <w:rPr>
                <w:sz w:val="20"/>
                <w:szCs w:val="20"/>
              </w:rPr>
              <w:t>Տրանսպորտի ոլորտի պետական մասնակցությամբ ընկերությունների հանրագումարային շահույթը հարկումից հետո</w:t>
            </w:r>
          </w:p>
        </w:tc>
        <w:tc>
          <w:tcPr>
            <w:tcW w:w="1673"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3C1A4B17" w14:textId="77777777" w:rsidR="004442B5" w:rsidRPr="003E11FF" w:rsidRDefault="004442B5" w:rsidP="00C85113">
            <w:pPr>
              <w:spacing w:line="240" w:lineRule="auto"/>
              <w:ind w:left="78" w:firstLine="0"/>
              <w:jc w:val="center"/>
              <w:rPr>
                <w:sz w:val="20"/>
                <w:szCs w:val="20"/>
              </w:rPr>
            </w:pPr>
            <w:r w:rsidRPr="003E11FF">
              <w:rPr>
                <w:sz w:val="20"/>
                <w:szCs w:val="20"/>
              </w:rPr>
              <w:t>2,461,067.0</w:t>
            </w:r>
          </w:p>
        </w:tc>
        <w:tc>
          <w:tcPr>
            <w:tcW w:w="1720"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57BF7C82" w14:textId="77777777" w:rsidR="004442B5" w:rsidRPr="003E11FF" w:rsidRDefault="004442B5" w:rsidP="00C85113">
            <w:pPr>
              <w:spacing w:line="240" w:lineRule="auto"/>
              <w:ind w:left="78" w:firstLine="0"/>
              <w:jc w:val="center"/>
              <w:rPr>
                <w:sz w:val="20"/>
                <w:szCs w:val="20"/>
              </w:rPr>
            </w:pPr>
            <w:r w:rsidRPr="003E11FF">
              <w:rPr>
                <w:sz w:val="20"/>
                <w:szCs w:val="20"/>
              </w:rPr>
              <w:t>2,701,095.0</w:t>
            </w:r>
          </w:p>
        </w:tc>
        <w:tc>
          <w:tcPr>
            <w:tcW w:w="1703"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6818682F" w14:textId="77777777" w:rsidR="004442B5" w:rsidRPr="003E11FF" w:rsidRDefault="004442B5" w:rsidP="00C85113">
            <w:pPr>
              <w:spacing w:after="0" w:line="240" w:lineRule="auto"/>
              <w:ind w:left="78" w:firstLine="0"/>
              <w:jc w:val="center"/>
              <w:rPr>
                <w:sz w:val="20"/>
                <w:szCs w:val="20"/>
              </w:rPr>
            </w:pPr>
            <w:r w:rsidRPr="003E11FF">
              <w:rPr>
                <w:sz w:val="20"/>
                <w:szCs w:val="20"/>
              </w:rPr>
              <w:t>2,116,872.0</w:t>
            </w:r>
          </w:p>
        </w:tc>
      </w:tr>
      <w:tr w:rsidR="004442B5" w:rsidRPr="003E11FF" w14:paraId="62C26246" w14:textId="77777777" w:rsidTr="001B57F3">
        <w:trPr>
          <w:trHeight w:val="819"/>
          <w:jc w:val="center"/>
        </w:trPr>
        <w:tc>
          <w:tcPr>
            <w:tcW w:w="447"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3D729BD6" w14:textId="77777777" w:rsidR="004442B5" w:rsidRPr="003E11FF" w:rsidRDefault="004442B5" w:rsidP="00C85113">
            <w:pPr>
              <w:spacing w:line="360" w:lineRule="auto"/>
              <w:ind w:firstLine="0"/>
              <w:rPr>
                <w:rFonts w:eastAsia="Batang"/>
                <w:sz w:val="20"/>
                <w:szCs w:val="20"/>
                <w:lang w:val="ru-RU" w:eastAsia="ko-KR"/>
              </w:rPr>
            </w:pPr>
            <w:r w:rsidRPr="003E11FF">
              <w:rPr>
                <w:sz w:val="20"/>
                <w:szCs w:val="20"/>
              </w:rPr>
              <w:t>1</w:t>
            </w:r>
          </w:p>
        </w:tc>
        <w:tc>
          <w:tcPr>
            <w:tcW w:w="484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0D12C31" w14:textId="77777777" w:rsidR="004442B5" w:rsidRPr="003E11FF" w:rsidRDefault="004442B5" w:rsidP="00C85113">
            <w:pPr>
              <w:spacing w:line="240" w:lineRule="auto"/>
              <w:ind w:left="78" w:firstLine="0"/>
              <w:rPr>
                <w:sz w:val="20"/>
                <w:szCs w:val="20"/>
              </w:rPr>
            </w:pPr>
            <w:r w:rsidRPr="003E11FF">
              <w:rPr>
                <w:sz w:val="20"/>
                <w:szCs w:val="20"/>
              </w:rPr>
              <w:t>Հայաէրոնավիգացիա ՓԲԸ</w:t>
            </w:r>
          </w:p>
        </w:tc>
        <w:tc>
          <w:tcPr>
            <w:tcW w:w="1673"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239950A2" w14:textId="77777777" w:rsidR="004442B5" w:rsidRPr="003E11FF" w:rsidRDefault="004442B5" w:rsidP="00C85113">
            <w:pPr>
              <w:spacing w:line="240" w:lineRule="auto"/>
              <w:ind w:left="78" w:firstLine="0"/>
              <w:jc w:val="center"/>
              <w:rPr>
                <w:sz w:val="20"/>
                <w:szCs w:val="20"/>
              </w:rPr>
            </w:pPr>
            <w:r w:rsidRPr="003E11FF">
              <w:rPr>
                <w:sz w:val="20"/>
                <w:szCs w:val="20"/>
              </w:rPr>
              <w:t>2,486,394.0</w:t>
            </w:r>
          </w:p>
        </w:tc>
        <w:tc>
          <w:tcPr>
            <w:tcW w:w="1720"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4BB72201" w14:textId="77777777" w:rsidR="004442B5" w:rsidRPr="003E11FF" w:rsidRDefault="004442B5" w:rsidP="00C85113">
            <w:pPr>
              <w:spacing w:line="240" w:lineRule="auto"/>
              <w:ind w:left="78" w:firstLine="0"/>
              <w:jc w:val="center"/>
              <w:rPr>
                <w:sz w:val="20"/>
                <w:szCs w:val="20"/>
              </w:rPr>
            </w:pPr>
            <w:r w:rsidRPr="003E11FF">
              <w:rPr>
                <w:sz w:val="20"/>
                <w:szCs w:val="20"/>
              </w:rPr>
              <w:t>1,794,986.0</w:t>
            </w:r>
          </w:p>
        </w:tc>
        <w:tc>
          <w:tcPr>
            <w:tcW w:w="1703"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4BA06152" w14:textId="77777777" w:rsidR="004442B5" w:rsidRPr="003E11FF" w:rsidRDefault="004442B5" w:rsidP="00C85113">
            <w:pPr>
              <w:spacing w:after="0" w:line="240" w:lineRule="auto"/>
              <w:ind w:left="78" w:firstLine="0"/>
              <w:jc w:val="center"/>
              <w:rPr>
                <w:color w:val="000000"/>
                <w:sz w:val="20"/>
                <w:szCs w:val="20"/>
              </w:rPr>
            </w:pPr>
            <w:r w:rsidRPr="003E11FF">
              <w:rPr>
                <w:color w:val="000000"/>
                <w:sz w:val="20"/>
                <w:szCs w:val="20"/>
              </w:rPr>
              <w:t>1,357,196.0</w:t>
            </w:r>
          </w:p>
        </w:tc>
      </w:tr>
      <w:tr w:rsidR="004442B5" w:rsidRPr="003E11FF" w14:paraId="52BECB5E" w14:textId="77777777" w:rsidTr="00C85113">
        <w:trPr>
          <w:trHeight w:val="304"/>
          <w:jc w:val="center"/>
        </w:trPr>
        <w:tc>
          <w:tcPr>
            <w:tcW w:w="447" w:type="dxa"/>
            <w:tcBorders>
              <w:top w:val="single" w:sz="4" w:space="0" w:color="auto"/>
              <w:left w:val="single" w:sz="4" w:space="0" w:color="auto"/>
              <w:bottom w:val="single" w:sz="4" w:space="0" w:color="auto"/>
              <w:right w:val="single" w:sz="4" w:space="0" w:color="auto"/>
            </w:tcBorders>
            <w:noWrap/>
            <w:hideMark/>
          </w:tcPr>
          <w:p w14:paraId="56410F50" w14:textId="77777777" w:rsidR="004442B5" w:rsidRPr="003E11FF" w:rsidRDefault="004442B5" w:rsidP="00C85113">
            <w:pPr>
              <w:spacing w:line="360" w:lineRule="auto"/>
              <w:ind w:firstLine="0"/>
              <w:rPr>
                <w:sz w:val="20"/>
                <w:szCs w:val="20"/>
              </w:rPr>
            </w:pPr>
            <w:r w:rsidRPr="003E11FF">
              <w:rPr>
                <w:sz w:val="20"/>
                <w:szCs w:val="20"/>
              </w:rPr>
              <w:t>2</w:t>
            </w:r>
          </w:p>
        </w:tc>
        <w:tc>
          <w:tcPr>
            <w:tcW w:w="4845" w:type="dxa"/>
            <w:tcBorders>
              <w:top w:val="single" w:sz="4" w:space="0" w:color="auto"/>
              <w:left w:val="single" w:sz="4" w:space="0" w:color="auto"/>
              <w:bottom w:val="single" w:sz="4" w:space="0" w:color="auto"/>
              <w:right w:val="single" w:sz="4" w:space="0" w:color="auto"/>
            </w:tcBorders>
            <w:hideMark/>
          </w:tcPr>
          <w:p w14:paraId="18F561E2" w14:textId="77777777" w:rsidR="004442B5" w:rsidRPr="003E11FF" w:rsidRDefault="004442B5" w:rsidP="00C85113">
            <w:pPr>
              <w:spacing w:line="240" w:lineRule="auto"/>
              <w:ind w:left="78" w:firstLine="0"/>
              <w:rPr>
                <w:sz w:val="20"/>
                <w:szCs w:val="20"/>
              </w:rPr>
            </w:pPr>
            <w:r w:rsidRPr="003E11FF">
              <w:rPr>
                <w:sz w:val="20"/>
                <w:szCs w:val="20"/>
              </w:rPr>
              <w:t>Կարեն Դեմիրճյանի անվան Երևանի մետրոպոլիտեն ՓԲԸ</w:t>
            </w:r>
          </w:p>
        </w:tc>
        <w:tc>
          <w:tcPr>
            <w:tcW w:w="1673" w:type="dxa"/>
            <w:tcBorders>
              <w:top w:val="single" w:sz="4" w:space="0" w:color="auto"/>
              <w:left w:val="single" w:sz="4" w:space="0" w:color="auto"/>
              <w:bottom w:val="single" w:sz="4" w:space="0" w:color="auto"/>
              <w:right w:val="single" w:sz="4" w:space="0" w:color="auto"/>
            </w:tcBorders>
            <w:noWrap/>
            <w:hideMark/>
          </w:tcPr>
          <w:p w14:paraId="18B8CB35" w14:textId="77777777" w:rsidR="004442B5" w:rsidRPr="003E11FF" w:rsidRDefault="004442B5" w:rsidP="00C85113">
            <w:pPr>
              <w:spacing w:line="240" w:lineRule="auto"/>
              <w:ind w:left="78" w:firstLine="0"/>
              <w:jc w:val="center"/>
              <w:rPr>
                <w:sz w:val="20"/>
                <w:szCs w:val="20"/>
              </w:rPr>
            </w:pPr>
            <w:r w:rsidRPr="003E11FF">
              <w:rPr>
                <w:sz w:val="20"/>
                <w:szCs w:val="20"/>
              </w:rPr>
              <w:t>(27,650.0)</w:t>
            </w:r>
          </w:p>
        </w:tc>
        <w:tc>
          <w:tcPr>
            <w:tcW w:w="1720" w:type="dxa"/>
            <w:tcBorders>
              <w:top w:val="single" w:sz="4" w:space="0" w:color="auto"/>
              <w:left w:val="single" w:sz="4" w:space="0" w:color="auto"/>
              <w:bottom w:val="single" w:sz="4" w:space="0" w:color="auto"/>
              <w:right w:val="single" w:sz="4" w:space="0" w:color="auto"/>
            </w:tcBorders>
            <w:noWrap/>
            <w:hideMark/>
          </w:tcPr>
          <w:p w14:paraId="04587B43" w14:textId="77777777" w:rsidR="004442B5" w:rsidRPr="003E11FF" w:rsidRDefault="004442B5" w:rsidP="00C85113">
            <w:pPr>
              <w:spacing w:line="240" w:lineRule="auto"/>
              <w:ind w:left="78" w:firstLine="0"/>
              <w:jc w:val="center"/>
              <w:rPr>
                <w:sz w:val="20"/>
                <w:szCs w:val="20"/>
              </w:rPr>
            </w:pPr>
            <w:r w:rsidRPr="003E11FF">
              <w:rPr>
                <w:sz w:val="20"/>
                <w:szCs w:val="20"/>
              </w:rPr>
              <w:t>825,467.0</w:t>
            </w:r>
          </w:p>
        </w:tc>
        <w:tc>
          <w:tcPr>
            <w:tcW w:w="1703" w:type="dxa"/>
            <w:tcBorders>
              <w:top w:val="single" w:sz="4" w:space="0" w:color="auto"/>
              <w:left w:val="single" w:sz="4" w:space="0" w:color="auto"/>
              <w:bottom w:val="single" w:sz="4" w:space="0" w:color="auto"/>
              <w:right w:val="single" w:sz="4" w:space="0" w:color="auto"/>
            </w:tcBorders>
            <w:noWrap/>
            <w:hideMark/>
          </w:tcPr>
          <w:p w14:paraId="517D65FF" w14:textId="77777777" w:rsidR="004442B5" w:rsidRPr="003E11FF" w:rsidRDefault="004442B5" w:rsidP="00C85113">
            <w:pPr>
              <w:spacing w:after="0" w:line="240" w:lineRule="auto"/>
              <w:ind w:left="78" w:firstLine="0"/>
              <w:jc w:val="center"/>
              <w:rPr>
                <w:color w:val="000000"/>
                <w:sz w:val="20"/>
                <w:szCs w:val="20"/>
              </w:rPr>
            </w:pPr>
            <w:r w:rsidRPr="003E11FF">
              <w:rPr>
                <w:color w:val="000000"/>
                <w:sz w:val="20"/>
                <w:szCs w:val="20"/>
              </w:rPr>
              <w:t>790,219.0</w:t>
            </w:r>
          </w:p>
        </w:tc>
      </w:tr>
      <w:tr w:rsidR="004442B5" w:rsidRPr="003E11FF" w14:paraId="740871BF" w14:textId="77777777" w:rsidTr="001B57F3">
        <w:trPr>
          <w:trHeight w:val="304"/>
          <w:jc w:val="center"/>
        </w:trPr>
        <w:tc>
          <w:tcPr>
            <w:tcW w:w="447"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7C8CA5EB" w14:textId="77777777" w:rsidR="004442B5" w:rsidRPr="003E11FF" w:rsidRDefault="004442B5" w:rsidP="00C85113">
            <w:pPr>
              <w:spacing w:line="360" w:lineRule="auto"/>
              <w:ind w:firstLine="0"/>
              <w:rPr>
                <w:sz w:val="20"/>
                <w:szCs w:val="20"/>
              </w:rPr>
            </w:pPr>
            <w:r w:rsidRPr="003E11FF">
              <w:rPr>
                <w:sz w:val="20"/>
                <w:szCs w:val="20"/>
              </w:rPr>
              <w:lastRenderedPageBreak/>
              <w:t>3</w:t>
            </w:r>
          </w:p>
        </w:tc>
        <w:tc>
          <w:tcPr>
            <w:tcW w:w="484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C6213B" w14:textId="77777777" w:rsidR="004442B5" w:rsidRPr="003E11FF" w:rsidRDefault="004442B5" w:rsidP="00C85113">
            <w:pPr>
              <w:spacing w:line="240" w:lineRule="auto"/>
              <w:ind w:left="78" w:firstLine="0"/>
              <w:rPr>
                <w:sz w:val="20"/>
                <w:szCs w:val="20"/>
              </w:rPr>
            </w:pPr>
            <w:r w:rsidRPr="003E11FF">
              <w:rPr>
                <w:sz w:val="20"/>
                <w:szCs w:val="20"/>
              </w:rPr>
              <w:t>Հայավտոկայարան ՓԲԸ</w:t>
            </w:r>
          </w:p>
        </w:tc>
        <w:tc>
          <w:tcPr>
            <w:tcW w:w="1673"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5DF5ADD2" w14:textId="77777777" w:rsidR="004442B5" w:rsidRPr="003E11FF" w:rsidRDefault="004442B5" w:rsidP="00C85113">
            <w:pPr>
              <w:spacing w:line="240" w:lineRule="auto"/>
              <w:ind w:left="78" w:firstLine="0"/>
              <w:jc w:val="center"/>
              <w:rPr>
                <w:sz w:val="20"/>
                <w:szCs w:val="20"/>
              </w:rPr>
            </w:pPr>
            <w:r w:rsidRPr="003E11FF">
              <w:rPr>
                <w:sz w:val="20"/>
                <w:szCs w:val="20"/>
              </w:rPr>
              <w:t>2,323.0</w:t>
            </w:r>
          </w:p>
        </w:tc>
        <w:tc>
          <w:tcPr>
            <w:tcW w:w="1720"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351A45E1" w14:textId="77777777" w:rsidR="004442B5" w:rsidRPr="003E11FF" w:rsidRDefault="004442B5" w:rsidP="00C85113">
            <w:pPr>
              <w:spacing w:line="240" w:lineRule="auto"/>
              <w:ind w:left="78" w:firstLine="0"/>
              <w:jc w:val="center"/>
              <w:rPr>
                <w:sz w:val="20"/>
                <w:szCs w:val="20"/>
              </w:rPr>
            </w:pPr>
            <w:r w:rsidRPr="003E11FF">
              <w:rPr>
                <w:sz w:val="20"/>
                <w:szCs w:val="20"/>
              </w:rPr>
              <w:t>80,642.0</w:t>
            </w:r>
          </w:p>
        </w:tc>
        <w:tc>
          <w:tcPr>
            <w:tcW w:w="1703" w:type="dxa"/>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4BF7947E" w14:textId="77777777" w:rsidR="004442B5" w:rsidRPr="003E11FF" w:rsidRDefault="004442B5" w:rsidP="00C85113">
            <w:pPr>
              <w:spacing w:after="0" w:line="240" w:lineRule="auto"/>
              <w:ind w:left="78" w:firstLine="0"/>
              <w:jc w:val="center"/>
              <w:rPr>
                <w:color w:val="000000"/>
                <w:sz w:val="20"/>
                <w:szCs w:val="20"/>
              </w:rPr>
            </w:pPr>
            <w:r w:rsidRPr="003E11FF">
              <w:rPr>
                <w:color w:val="000000"/>
                <w:sz w:val="20"/>
                <w:szCs w:val="20"/>
              </w:rPr>
              <w:t>(30,543.0)</w:t>
            </w:r>
          </w:p>
        </w:tc>
      </w:tr>
    </w:tbl>
    <w:p w14:paraId="0300B3A3" w14:textId="77777777" w:rsidR="004442B5" w:rsidRPr="003E11FF" w:rsidRDefault="004442B5" w:rsidP="004442B5">
      <w:pPr>
        <w:shd w:val="clear" w:color="auto" w:fill="FFFFFF"/>
        <w:spacing w:after="0" w:line="240" w:lineRule="auto"/>
        <w:ind w:right="150" w:firstLine="450"/>
        <w:rPr>
          <w:b/>
          <w:bCs/>
          <w:color w:val="000000"/>
          <w:sz w:val="20"/>
          <w:szCs w:val="20"/>
        </w:rPr>
      </w:pPr>
    </w:p>
    <w:p w14:paraId="4CF82272" w14:textId="77777777" w:rsidR="004442B5" w:rsidRPr="003E11FF" w:rsidRDefault="004442B5" w:rsidP="004442B5">
      <w:pPr>
        <w:shd w:val="clear" w:color="auto" w:fill="FFFFFF"/>
        <w:spacing w:after="0" w:line="240" w:lineRule="auto"/>
        <w:ind w:right="150" w:firstLine="450"/>
        <w:rPr>
          <w:b/>
          <w:bCs/>
          <w:color w:val="000000"/>
          <w:sz w:val="20"/>
          <w:szCs w:val="20"/>
        </w:rPr>
      </w:pPr>
    </w:p>
    <w:p w14:paraId="664E4C07" w14:textId="77777777" w:rsidR="004442B5" w:rsidRPr="003E11FF" w:rsidRDefault="004442B5" w:rsidP="004442B5">
      <w:pPr>
        <w:shd w:val="clear" w:color="auto" w:fill="FFFFFF"/>
        <w:spacing w:after="0" w:line="240" w:lineRule="auto"/>
        <w:ind w:right="150" w:firstLine="450"/>
        <w:rPr>
          <w:b/>
          <w:color w:val="000000"/>
          <w:sz w:val="20"/>
          <w:szCs w:val="20"/>
        </w:rPr>
      </w:pPr>
      <w:r w:rsidRPr="003E11FF">
        <w:rPr>
          <w:b/>
          <w:bCs/>
          <w:color w:val="000000"/>
          <w:sz w:val="20"/>
          <w:szCs w:val="20"/>
        </w:rPr>
        <w:t xml:space="preserve">Աղյուսակ </w:t>
      </w:r>
      <w:r w:rsidR="003E11FF">
        <w:rPr>
          <w:b/>
          <w:bCs/>
          <w:color w:val="000000"/>
          <w:sz w:val="20"/>
          <w:szCs w:val="20"/>
        </w:rPr>
        <w:t>5.</w:t>
      </w:r>
      <w:r w:rsidRPr="003E11FF">
        <w:rPr>
          <w:b/>
          <w:bCs/>
          <w:color w:val="000000"/>
          <w:sz w:val="20"/>
          <w:szCs w:val="20"/>
        </w:rPr>
        <w:t>7</w:t>
      </w:r>
      <w:r w:rsidRPr="003E11FF">
        <w:rPr>
          <w:b/>
          <w:color w:val="000000"/>
          <w:sz w:val="20"/>
          <w:szCs w:val="20"/>
        </w:rPr>
        <w:t xml:space="preserve"> </w:t>
      </w:r>
      <w:r w:rsidRPr="003E11FF">
        <w:rPr>
          <w:i/>
          <w:color w:val="000000"/>
          <w:sz w:val="20"/>
          <w:szCs w:val="20"/>
        </w:rPr>
        <w:t>Տրանսպորտի ոլորտի պետական մասնակցությամբ ընկերությունների հանրագումարային հաշվապահական հաշվեկշիռը</w:t>
      </w:r>
    </w:p>
    <w:p w14:paraId="64C78680" w14:textId="77777777" w:rsidR="004442B5" w:rsidRPr="003E11FF" w:rsidRDefault="004442B5" w:rsidP="004442B5">
      <w:pPr>
        <w:shd w:val="clear" w:color="auto" w:fill="FFFFFF"/>
        <w:spacing w:after="0" w:line="240" w:lineRule="auto"/>
        <w:ind w:firstLine="448"/>
        <w:jc w:val="right"/>
        <w:rPr>
          <w:i/>
          <w:color w:val="000000"/>
          <w:sz w:val="20"/>
          <w:szCs w:val="20"/>
        </w:rPr>
      </w:pPr>
      <w:r w:rsidRPr="003E11FF">
        <w:rPr>
          <w:color w:val="000000"/>
          <w:sz w:val="20"/>
          <w:szCs w:val="20"/>
        </w:rPr>
        <w:t xml:space="preserve">                                                                                                                                       </w:t>
      </w:r>
      <w:r w:rsidRPr="003E11FF">
        <w:rPr>
          <w:i/>
          <w:color w:val="000000"/>
          <w:sz w:val="20"/>
          <w:szCs w:val="20"/>
        </w:rPr>
        <w:t>հազ. դրամ</w:t>
      </w:r>
    </w:p>
    <w:tbl>
      <w:tblPr>
        <w:tblW w:w="1023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3"/>
        <w:gridCol w:w="2098"/>
        <w:gridCol w:w="1843"/>
        <w:gridCol w:w="1842"/>
      </w:tblGrid>
      <w:tr w:rsidR="004B6657" w:rsidRPr="003E11FF" w14:paraId="701A92AA" w14:textId="77777777" w:rsidTr="002C7EE3">
        <w:trPr>
          <w:trHeight w:val="491"/>
        </w:trPr>
        <w:tc>
          <w:tcPr>
            <w:tcW w:w="4453" w:type="dxa"/>
            <w:vMerge w:val="restart"/>
            <w:tcBorders>
              <w:top w:val="single" w:sz="4" w:space="0" w:color="auto"/>
              <w:left w:val="single" w:sz="4" w:space="0" w:color="auto"/>
              <w:right w:val="single" w:sz="4" w:space="0" w:color="auto"/>
            </w:tcBorders>
            <w:shd w:val="clear" w:color="auto" w:fill="4F81BD" w:themeFill="accent1"/>
          </w:tcPr>
          <w:p w14:paraId="557FD429" w14:textId="77777777" w:rsidR="004B6657" w:rsidRPr="003E11FF" w:rsidRDefault="004B6657" w:rsidP="004B6657">
            <w:pPr>
              <w:spacing w:line="360" w:lineRule="auto"/>
              <w:ind w:firstLine="0"/>
              <w:jc w:val="center"/>
              <w:rPr>
                <w:sz w:val="20"/>
                <w:szCs w:val="20"/>
              </w:rPr>
            </w:pPr>
            <w:r w:rsidRPr="008B51F8">
              <w:rPr>
                <w:color w:val="FFFFFF" w:themeColor="background1"/>
              </w:rPr>
              <w:t>Հաշվեկշռային հոդվածներ</w:t>
            </w:r>
          </w:p>
        </w:tc>
        <w:tc>
          <w:tcPr>
            <w:tcW w:w="5783" w:type="dxa"/>
            <w:gridSpan w:val="3"/>
            <w:tcBorders>
              <w:top w:val="single" w:sz="4" w:space="0" w:color="auto"/>
              <w:left w:val="nil"/>
              <w:bottom w:val="single" w:sz="4" w:space="0" w:color="auto"/>
              <w:right w:val="single" w:sz="4" w:space="0" w:color="auto"/>
            </w:tcBorders>
            <w:shd w:val="clear" w:color="auto" w:fill="4F81BD" w:themeFill="accent1"/>
            <w:noWrap/>
          </w:tcPr>
          <w:p w14:paraId="23FB05CF" w14:textId="77777777" w:rsidR="004B6657" w:rsidRPr="003E11FF" w:rsidRDefault="004B6657" w:rsidP="00C85113">
            <w:pPr>
              <w:spacing w:after="0" w:line="240" w:lineRule="auto"/>
              <w:ind w:firstLine="0"/>
              <w:jc w:val="center"/>
              <w:rPr>
                <w:color w:val="000000"/>
                <w:sz w:val="20"/>
                <w:szCs w:val="20"/>
              </w:rPr>
            </w:pPr>
            <w:r w:rsidRPr="008B51F8">
              <w:rPr>
                <w:color w:val="FFFFFF" w:themeColor="background1"/>
              </w:rPr>
              <w:t>Տրանսպորտի ոլորտի պետական մասնակցությամբ   ընկերություններ</w:t>
            </w:r>
          </w:p>
        </w:tc>
      </w:tr>
      <w:tr w:rsidR="004B6657" w:rsidRPr="003E11FF" w14:paraId="1A267359" w14:textId="77777777" w:rsidTr="002C7EE3">
        <w:trPr>
          <w:trHeight w:val="491"/>
        </w:trPr>
        <w:tc>
          <w:tcPr>
            <w:tcW w:w="4453" w:type="dxa"/>
            <w:vMerge/>
            <w:tcBorders>
              <w:left w:val="single" w:sz="4" w:space="0" w:color="auto"/>
              <w:bottom w:val="single" w:sz="4" w:space="0" w:color="auto"/>
              <w:right w:val="single" w:sz="4" w:space="0" w:color="auto"/>
            </w:tcBorders>
            <w:shd w:val="clear" w:color="auto" w:fill="4F81BD" w:themeFill="accent1"/>
          </w:tcPr>
          <w:p w14:paraId="46797400" w14:textId="77777777" w:rsidR="004B6657" w:rsidRPr="003E11FF" w:rsidRDefault="004B6657" w:rsidP="00C85113">
            <w:pPr>
              <w:spacing w:line="360" w:lineRule="auto"/>
              <w:ind w:firstLine="0"/>
              <w:rPr>
                <w:sz w:val="20"/>
                <w:szCs w:val="20"/>
              </w:rPr>
            </w:pPr>
          </w:p>
        </w:tc>
        <w:tc>
          <w:tcPr>
            <w:tcW w:w="2098" w:type="dxa"/>
            <w:tcBorders>
              <w:top w:val="single" w:sz="4" w:space="0" w:color="auto"/>
              <w:left w:val="nil"/>
              <w:bottom w:val="single" w:sz="8" w:space="0" w:color="auto"/>
              <w:right w:val="single" w:sz="8" w:space="0" w:color="auto"/>
            </w:tcBorders>
            <w:shd w:val="clear" w:color="auto" w:fill="4F81BD" w:themeFill="accent1"/>
            <w:noWrap/>
          </w:tcPr>
          <w:p w14:paraId="3C6401BC" w14:textId="77777777" w:rsidR="004B6657" w:rsidRPr="004B6657" w:rsidRDefault="004B6657" w:rsidP="00C85113">
            <w:pPr>
              <w:spacing w:line="360" w:lineRule="auto"/>
              <w:ind w:firstLine="0"/>
              <w:jc w:val="center"/>
              <w:rPr>
                <w:color w:val="FFFFFF" w:themeColor="background1"/>
                <w:sz w:val="20"/>
                <w:szCs w:val="20"/>
              </w:rPr>
            </w:pPr>
            <w:r w:rsidRPr="004B6657">
              <w:rPr>
                <w:color w:val="FFFFFF" w:themeColor="background1"/>
                <w:sz w:val="20"/>
                <w:szCs w:val="20"/>
              </w:rPr>
              <w:t>2017թ.</w:t>
            </w:r>
          </w:p>
        </w:tc>
        <w:tc>
          <w:tcPr>
            <w:tcW w:w="1843" w:type="dxa"/>
            <w:tcBorders>
              <w:top w:val="single" w:sz="4" w:space="0" w:color="auto"/>
              <w:left w:val="nil"/>
              <w:bottom w:val="single" w:sz="8" w:space="0" w:color="auto"/>
              <w:right w:val="single" w:sz="8" w:space="0" w:color="auto"/>
            </w:tcBorders>
            <w:shd w:val="clear" w:color="auto" w:fill="4F81BD" w:themeFill="accent1"/>
            <w:noWrap/>
          </w:tcPr>
          <w:p w14:paraId="63A36C0D" w14:textId="77777777" w:rsidR="004B6657" w:rsidRPr="004B6657" w:rsidRDefault="004B6657" w:rsidP="00C85113">
            <w:pPr>
              <w:spacing w:line="360" w:lineRule="auto"/>
              <w:ind w:firstLine="0"/>
              <w:jc w:val="center"/>
              <w:rPr>
                <w:color w:val="FFFFFF" w:themeColor="background1"/>
                <w:sz w:val="20"/>
                <w:szCs w:val="20"/>
              </w:rPr>
            </w:pPr>
            <w:r w:rsidRPr="004B6657">
              <w:rPr>
                <w:color w:val="FFFFFF" w:themeColor="background1"/>
                <w:sz w:val="20"/>
                <w:szCs w:val="20"/>
              </w:rPr>
              <w:t>2018թ.</w:t>
            </w:r>
          </w:p>
        </w:tc>
        <w:tc>
          <w:tcPr>
            <w:tcW w:w="1842" w:type="dxa"/>
            <w:tcBorders>
              <w:top w:val="single" w:sz="4" w:space="0" w:color="auto"/>
              <w:left w:val="nil"/>
              <w:bottom w:val="single" w:sz="8" w:space="0" w:color="auto"/>
              <w:right w:val="single" w:sz="8" w:space="0" w:color="auto"/>
            </w:tcBorders>
            <w:shd w:val="clear" w:color="auto" w:fill="4F81BD" w:themeFill="accent1"/>
            <w:noWrap/>
          </w:tcPr>
          <w:p w14:paraId="0F751800" w14:textId="77777777" w:rsidR="004B6657" w:rsidRPr="004B6657" w:rsidRDefault="004B6657" w:rsidP="00C85113">
            <w:pPr>
              <w:spacing w:after="0" w:line="240" w:lineRule="auto"/>
              <w:ind w:firstLine="0"/>
              <w:jc w:val="center"/>
              <w:rPr>
                <w:color w:val="FFFFFF" w:themeColor="background1"/>
                <w:sz w:val="20"/>
                <w:szCs w:val="20"/>
              </w:rPr>
            </w:pPr>
            <w:r w:rsidRPr="004B6657">
              <w:rPr>
                <w:color w:val="FFFFFF" w:themeColor="background1"/>
                <w:sz w:val="20"/>
                <w:szCs w:val="20"/>
              </w:rPr>
              <w:t>2019թ.</w:t>
            </w:r>
          </w:p>
        </w:tc>
      </w:tr>
      <w:tr w:rsidR="004442B5" w:rsidRPr="003E11FF" w14:paraId="7ACB7760" w14:textId="77777777" w:rsidTr="00FF692C">
        <w:trPr>
          <w:trHeight w:val="491"/>
        </w:trPr>
        <w:tc>
          <w:tcPr>
            <w:tcW w:w="44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023CB6A" w14:textId="77777777" w:rsidR="004442B5" w:rsidRPr="003E11FF" w:rsidRDefault="004442B5" w:rsidP="00C85113">
            <w:pPr>
              <w:spacing w:line="360" w:lineRule="auto"/>
              <w:ind w:firstLine="0"/>
              <w:rPr>
                <w:sz w:val="20"/>
                <w:szCs w:val="20"/>
              </w:rPr>
            </w:pPr>
            <w:r w:rsidRPr="003E11FF">
              <w:rPr>
                <w:sz w:val="20"/>
                <w:szCs w:val="20"/>
              </w:rPr>
              <w:t>1. Ընդամենը ակտիվներ</w:t>
            </w:r>
          </w:p>
        </w:tc>
        <w:tc>
          <w:tcPr>
            <w:tcW w:w="2098" w:type="dxa"/>
            <w:tcBorders>
              <w:top w:val="nil"/>
              <w:left w:val="nil"/>
              <w:bottom w:val="single" w:sz="8" w:space="0" w:color="auto"/>
              <w:right w:val="single" w:sz="8" w:space="0" w:color="auto"/>
            </w:tcBorders>
            <w:shd w:val="clear" w:color="auto" w:fill="C6D9F1" w:themeFill="text2" w:themeFillTint="33"/>
            <w:noWrap/>
            <w:hideMark/>
          </w:tcPr>
          <w:p w14:paraId="083F7030" w14:textId="77777777" w:rsidR="004442B5" w:rsidRPr="003E11FF" w:rsidRDefault="004442B5" w:rsidP="00C85113">
            <w:pPr>
              <w:spacing w:line="360" w:lineRule="auto"/>
              <w:ind w:firstLine="0"/>
              <w:jc w:val="center"/>
              <w:rPr>
                <w:sz w:val="20"/>
                <w:szCs w:val="20"/>
              </w:rPr>
            </w:pPr>
            <w:r w:rsidRPr="003E11FF">
              <w:rPr>
                <w:sz w:val="20"/>
                <w:szCs w:val="20"/>
              </w:rPr>
              <w:t>28,147,379.0</w:t>
            </w:r>
          </w:p>
        </w:tc>
        <w:tc>
          <w:tcPr>
            <w:tcW w:w="1843" w:type="dxa"/>
            <w:tcBorders>
              <w:top w:val="nil"/>
              <w:left w:val="nil"/>
              <w:bottom w:val="single" w:sz="8" w:space="0" w:color="auto"/>
              <w:right w:val="single" w:sz="8" w:space="0" w:color="auto"/>
            </w:tcBorders>
            <w:shd w:val="clear" w:color="auto" w:fill="C6D9F1" w:themeFill="text2" w:themeFillTint="33"/>
            <w:noWrap/>
            <w:hideMark/>
          </w:tcPr>
          <w:p w14:paraId="04BF8A47" w14:textId="77777777" w:rsidR="004442B5" w:rsidRPr="003E11FF" w:rsidRDefault="004442B5" w:rsidP="00C85113">
            <w:pPr>
              <w:spacing w:line="360" w:lineRule="auto"/>
              <w:ind w:firstLine="0"/>
              <w:jc w:val="center"/>
              <w:rPr>
                <w:sz w:val="20"/>
                <w:szCs w:val="20"/>
              </w:rPr>
            </w:pPr>
            <w:r w:rsidRPr="003E11FF">
              <w:rPr>
                <w:sz w:val="20"/>
                <w:szCs w:val="20"/>
              </w:rPr>
              <w:t>28,261,773.0</w:t>
            </w:r>
          </w:p>
        </w:tc>
        <w:tc>
          <w:tcPr>
            <w:tcW w:w="1842" w:type="dxa"/>
            <w:tcBorders>
              <w:top w:val="nil"/>
              <w:left w:val="nil"/>
              <w:bottom w:val="single" w:sz="8" w:space="0" w:color="auto"/>
              <w:right w:val="single" w:sz="8" w:space="0" w:color="auto"/>
            </w:tcBorders>
            <w:shd w:val="clear" w:color="auto" w:fill="C6D9F1" w:themeFill="text2" w:themeFillTint="33"/>
            <w:noWrap/>
            <w:hideMark/>
          </w:tcPr>
          <w:p w14:paraId="4328790B" w14:textId="77777777" w:rsidR="004442B5" w:rsidRPr="003E11FF" w:rsidRDefault="004442B5" w:rsidP="00C85113">
            <w:pPr>
              <w:spacing w:after="0" w:line="240" w:lineRule="auto"/>
              <w:ind w:firstLine="0"/>
              <w:jc w:val="center"/>
              <w:rPr>
                <w:color w:val="000000"/>
                <w:sz w:val="20"/>
                <w:szCs w:val="20"/>
              </w:rPr>
            </w:pPr>
            <w:r w:rsidRPr="003E11FF">
              <w:rPr>
                <w:color w:val="000000"/>
                <w:sz w:val="20"/>
                <w:szCs w:val="20"/>
              </w:rPr>
              <w:t>27,971 012,0</w:t>
            </w:r>
          </w:p>
          <w:p w14:paraId="02B87E21" w14:textId="77777777" w:rsidR="004442B5" w:rsidRPr="003E11FF" w:rsidRDefault="004442B5" w:rsidP="00C85113">
            <w:pPr>
              <w:spacing w:after="0" w:line="240" w:lineRule="auto"/>
              <w:ind w:firstLine="0"/>
              <w:jc w:val="center"/>
              <w:rPr>
                <w:color w:val="000000"/>
                <w:sz w:val="20"/>
                <w:szCs w:val="20"/>
              </w:rPr>
            </w:pPr>
          </w:p>
        </w:tc>
      </w:tr>
      <w:tr w:rsidR="004442B5" w:rsidRPr="003E11FF" w14:paraId="1C89524A" w14:textId="77777777" w:rsidTr="00C85113">
        <w:trPr>
          <w:trHeight w:val="282"/>
        </w:trPr>
        <w:tc>
          <w:tcPr>
            <w:tcW w:w="4453" w:type="dxa"/>
            <w:tcBorders>
              <w:top w:val="single" w:sz="4" w:space="0" w:color="auto"/>
              <w:left w:val="single" w:sz="4" w:space="0" w:color="auto"/>
              <w:bottom w:val="single" w:sz="4" w:space="0" w:color="auto"/>
              <w:right w:val="single" w:sz="4" w:space="0" w:color="auto"/>
            </w:tcBorders>
            <w:hideMark/>
          </w:tcPr>
          <w:p w14:paraId="6AAF9157" w14:textId="77777777" w:rsidR="004442B5" w:rsidRPr="003E11FF" w:rsidRDefault="004442B5" w:rsidP="00C85113">
            <w:pPr>
              <w:spacing w:line="360" w:lineRule="auto"/>
              <w:ind w:firstLine="0"/>
              <w:rPr>
                <w:sz w:val="20"/>
                <w:szCs w:val="20"/>
              </w:rPr>
            </w:pPr>
            <w:r w:rsidRPr="003E11FF">
              <w:rPr>
                <w:sz w:val="20"/>
                <w:szCs w:val="20"/>
              </w:rPr>
              <w:t xml:space="preserve"> - Ընթացիկ ակտիվներ</w:t>
            </w:r>
          </w:p>
        </w:tc>
        <w:tc>
          <w:tcPr>
            <w:tcW w:w="2098" w:type="dxa"/>
            <w:tcBorders>
              <w:top w:val="nil"/>
              <w:left w:val="nil"/>
              <w:bottom w:val="single" w:sz="8" w:space="0" w:color="auto"/>
              <w:right w:val="single" w:sz="8" w:space="0" w:color="auto"/>
            </w:tcBorders>
            <w:noWrap/>
            <w:hideMark/>
          </w:tcPr>
          <w:p w14:paraId="6C67A3EC" w14:textId="77777777" w:rsidR="004442B5" w:rsidRPr="003E11FF" w:rsidRDefault="004442B5" w:rsidP="00C85113">
            <w:pPr>
              <w:spacing w:line="360" w:lineRule="auto"/>
              <w:ind w:firstLine="0"/>
              <w:jc w:val="center"/>
              <w:rPr>
                <w:sz w:val="20"/>
                <w:szCs w:val="20"/>
              </w:rPr>
            </w:pPr>
            <w:r w:rsidRPr="003E11FF">
              <w:rPr>
                <w:sz w:val="20"/>
                <w:szCs w:val="20"/>
              </w:rPr>
              <w:t>7,595,950.00</w:t>
            </w:r>
          </w:p>
        </w:tc>
        <w:tc>
          <w:tcPr>
            <w:tcW w:w="1843" w:type="dxa"/>
            <w:tcBorders>
              <w:top w:val="nil"/>
              <w:left w:val="nil"/>
              <w:bottom w:val="single" w:sz="8" w:space="0" w:color="auto"/>
              <w:right w:val="single" w:sz="8" w:space="0" w:color="auto"/>
            </w:tcBorders>
            <w:noWrap/>
            <w:hideMark/>
          </w:tcPr>
          <w:p w14:paraId="5F089576" w14:textId="77777777" w:rsidR="004442B5" w:rsidRPr="003E11FF" w:rsidRDefault="004442B5" w:rsidP="00C85113">
            <w:pPr>
              <w:spacing w:line="360" w:lineRule="auto"/>
              <w:ind w:firstLine="0"/>
              <w:jc w:val="center"/>
              <w:rPr>
                <w:sz w:val="20"/>
                <w:szCs w:val="20"/>
              </w:rPr>
            </w:pPr>
            <w:r w:rsidRPr="003E11FF">
              <w:rPr>
                <w:sz w:val="20"/>
                <w:szCs w:val="20"/>
              </w:rPr>
              <w:t>7,416,624.0</w:t>
            </w:r>
          </w:p>
        </w:tc>
        <w:tc>
          <w:tcPr>
            <w:tcW w:w="1842" w:type="dxa"/>
            <w:tcBorders>
              <w:top w:val="nil"/>
              <w:left w:val="nil"/>
              <w:bottom w:val="single" w:sz="8" w:space="0" w:color="auto"/>
              <w:right w:val="single" w:sz="8" w:space="0" w:color="auto"/>
            </w:tcBorders>
            <w:noWrap/>
            <w:hideMark/>
          </w:tcPr>
          <w:p w14:paraId="675AAC1A" w14:textId="77777777" w:rsidR="004442B5" w:rsidRPr="003E11FF" w:rsidRDefault="004442B5" w:rsidP="00C85113">
            <w:pPr>
              <w:spacing w:after="0" w:line="240" w:lineRule="auto"/>
              <w:ind w:firstLine="0"/>
              <w:jc w:val="center"/>
              <w:rPr>
                <w:color w:val="000000"/>
                <w:sz w:val="20"/>
                <w:szCs w:val="20"/>
              </w:rPr>
            </w:pPr>
            <w:r w:rsidRPr="003E11FF">
              <w:rPr>
                <w:color w:val="000000"/>
                <w:sz w:val="20"/>
                <w:szCs w:val="20"/>
              </w:rPr>
              <w:t>7,693,811.0</w:t>
            </w:r>
          </w:p>
        </w:tc>
      </w:tr>
      <w:tr w:rsidR="004442B5" w:rsidRPr="003E11FF" w14:paraId="37348FBC" w14:textId="77777777" w:rsidTr="00C85113">
        <w:trPr>
          <w:trHeight w:val="282"/>
        </w:trPr>
        <w:tc>
          <w:tcPr>
            <w:tcW w:w="4453" w:type="dxa"/>
            <w:tcBorders>
              <w:top w:val="single" w:sz="4" w:space="0" w:color="auto"/>
              <w:left w:val="single" w:sz="4" w:space="0" w:color="auto"/>
              <w:bottom w:val="single" w:sz="4" w:space="0" w:color="auto"/>
              <w:right w:val="single" w:sz="4" w:space="0" w:color="auto"/>
            </w:tcBorders>
            <w:hideMark/>
          </w:tcPr>
          <w:p w14:paraId="5B26A97D" w14:textId="77777777" w:rsidR="004442B5" w:rsidRPr="003E11FF" w:rsidRDefault="004442B5" w:rsidP="00C85113">
            <w:pPr>
              <w:spacing w:line="360" w:lineRule="auto"/>
              <w:ind w:firstLine="0"/>
              <w:rPr>
                <w:sz w:val="20"/>
                <w:szCs w:val="20"/>
              </w:rPr>
            </w:pPr>
            <w:r w:rsidRPr="003E11FF">
              <w:rPr>
                <w:sz w:val="20"/>
                <w:szCs w:val="20"/>
              </w:rPr>
              <w:t xml:space="preserve"> - Ոչ ընթացիկ ակտիվներ</w:t>
            </w:r>
          </w:p>
        </w:tc>
        <w:tc>
          <w:tcPr>
            <w:tcW w:w="2098" w:type="dxa"/>
            <w:tcBorders>
              <w:top w:val="nil"/>
              <w:left w:val="nil"/>
              <w:bottom w:val="single" w:sz="8" w:space="0" w:color="auto"/>
              <w:right w:val="single" w:sz="8" w:space="0" w:color="auto"/>
            </w:tcBorders>
            <w:noWrap/>
            <w:hideMark/>
          </w:tcPr>
          <w:p w14:paraId="7540FA9F" w14:textId="77777777" w:rsidR="004442B5" w:rsidRPr="003E11FF" w:rsidRDefault="004442B5" w:rsidP="00C85113">
            <w:pPr>
              <w:spacing w:line="360" w:lineRule="auto"/>
              <w:ind w:firstLine="0"/>
              <w:jc w:val="center"/>
              <w:rPr>
                <w:sz w:val="20"/>
                <w:szCs w:val="20"/>
              </w:rPr>
            </w:pPr>
            <w:r w:rsidRPr="003E11FF">
              <w:rPr>
                <w:sz w:val="20"/>
                <w:szCs w:val="20"/>
              </w:rPr>
              <w:t>20,551,429.00</w:t>
            </w:r>
          </w:p>
        </w:tc>
        <w:tc>
          <w:tcPr>
            <w:tcW w:w="1843" w:type="dxa"/>
            <w:tcBorders>
              <w:top w:val="nil"/>
              <w:left w:val="nil"/>
              <w:bottom w:val="single" w:sz="8" w:space="0" w:color="auto"/>
              <w:right w:val="single" w:sz="8" w:space="0" w:color="auto"/>
            </w:tcBorders>
            <w:noWrap/>
            <w:hideMark/>
          </w:tcPr>
          <w:p w14:paraId="58DB9A46" w14:textId="77777777" w:rsidR="004442B5" w:rsidRPr="003E11FF" w:rsidRDefault="004442B5" w:rsidP="00C85113">
            <w:pPr>
              <w:spacing w:line="360" w:lineRule="auto"/>
              <w:ind w:firstLine="0"/>
              <w:jc w:val="center"/>
              <w:rPr>
                <w:sz w:val="20"/>
                <w:szCs w:val="20"/>
              </w:rPr>
            </w:pPr>
            <w:r w:rsidRPr="003E11FF">
              <w:rPr>
                <w:sz w:val="20"/>
                <w:szCs w:val="20"/>
              </w:rPr>
              <w:t>20,845,149.0</w:t>
            </w:r>
          </w:p>
        </w:tc>
        <w:tc>
          <w:tcPr>
            <w:tcW w:w="1842" w:type="dxa"/>
            <w:tcBorders>
              <w:top w:val="nil"/>
              <w:left w:val="nil"/>
              <w:bottom w:val="single" w:sz="8" w:space="0" w:color="auto"/>
              <w:right w:val="single" w:sz="8" w:space="0" w:color="auto"/>
            </w:tcBorders>
            <w:noWrap/>
            <w:hideMark/>
          </w:tcPr>
          <w:p w14:paraId="7BBA5AA6" w14:textId="77777777" w:rsidR="004442B5" w:rsidRPr="003E11FF" w:rsidRDefault="004442B5" w:rsidP="00C85113">
            <w:pPr>
              <w:spacing w:after="0" w:line="240" w:lineRule="auto"/>
              <w:ind w:firstLine="0"/>
              <w:jc w:val="center"/>
              <w:rPr>
                <w:color w:val="000000"/>
                <w:sz w:val="20"/>
                <w:szCs w:val="20"/>
              </w:rPr>
            </w:pPr>
            <w:r w:rsidRPr="003E11FF">
              <w:rPr>
                <w:color w:val="000000"/>
                <w:sz w:val="20"/>
                <w:szCs w:val="20"/>
              </w:rPr>
              <w:t>20,277,201.0</w:t>
            </w:r>
          </w:p>
        </w:tc>
      </w:tr>
      <w:tr w:rsidR="004442B5" w:rsidRPr="003E11FF" w14:paraId="1E01E657" w14:textId="77777777" w:rsidTr="00FF692C">
        <w:trPr>
          <w:trHeight w:val="326"/>
        </w:trPr>
        <w:tc>
          <w:tcPr>
            <w:tcW w:w="44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67AFBD5" w14:textId="77777777" w:rsidR="004442B5" w:rsidRPr="003E11FF" w:rsidRDefault="004442B5" w:rsidP="00C85113">
            <w:pPr>
              <w:spacing w:line="360" w:lineRule="auto"/>
              <w:ind w:firstLine="0"/>
              <w:rPr>
                <w:sz w:val="20"/>
                <w:szCs w:val="20"/>
              </w:rPr>
            </w:pPr>
            <w:r w:rsidRPr="003E11FF">
              <w:rPr>
                <w:sz w:val="20"/>
                <w:szCs w:val="20"/>
              </w:rPr>
              <w:t>2. Ընդամենը պարտավորություններ</w:t>
            </w:r>
          </w:p>
        </w:tc>
        <w:tc>
          <w:tcPr>
            <w:tcW w:w="2098" w:type="dxa"/>
            <w:tcBorders>
              <w:top w:val="nil"/>
              <w:left w:val="nil"/>
              <w:bottom w:val="single" w:sz="8" w:space="0" w:color="auto"/>
              <w:right w:val="single" w:sz="8" w:space="0" w:color="auto"/>
            </w:tcBorders>
            <w:shd w:val="clear" w:color="auto" w:fill="C6D9F1" w:themeFill="text2" w:themeFillTint="33"/>
            <w:noWrap/>
            <w:hideMark/>
          </w:tcPr>
          <w:p w14:paraId="671C00BB" w14:textId="77777777" w:rsidR="004442B5" w:rsidRPr="003E11FF" w:rsidRDefault="004442B5" w:rsidP="00C85113">
            <w:pPr>
              <w:spacing w:line="360" w:lineRule="auto"/>
              <w:ind w:firstLine="0"/>
              <w:jc w:val="center"/>
              <w:rPr>
                <w:sz w:val="20"/>
                <w:szCs w:val="20"/>
              </w:rPr>
            </w:pPr>
            <w:r w:rsidRPr="003E11FF">
              <w:rPr>
                <w:sz w:val="20"/>
                <w:szCs w:val="20"/>
              </w:rPr>
              <w:t>16,145,792.0</w:t>
            </w:r>
          </w:p>
        </w:tc>
        <w:tc>
          <w:tcPr>
            <w:tcW w:w="1843" w:type="dxa"/>
            <w:tcBorders>
              <w:top w:val="nil"/>
              <w:left w:val="nil"/>
              <w:bottom w:val="single" w:sz="8" w:space="0" w:color="auto"/>
              <w:right w:val="single" w:sz="8" w:space="0" w:color="auto"/>
            </w:tcBorders>
            <w:shd w:val="clear" w:color="auto" w:fill="C6D9F1" w:themeFill="text2" w:themeFillTint="33"/>
            <w:noWrap/>
            <w:hideMark/>
          </w:tcPr>
          <w:p w14:paraId="3854E492" w14:textId="77777777" w:rsidR="004442B5" w:rsidRPr="003E11FF" w:rsidRDefault="004442B5" w:rsidP="00C85113">
            <w:pPr>
              <w:spacing w:line="360" w:lineRule="auto"/>
              <w:ind w:firstLine="0"/>
              <w:jc w:val="center"/>
              <w:rPr>
                <w:sz w:val="20"/>
                <w:szCs w:val="20"/>
              </w:rPr>
            </w:pPr>
            <w:r w:rsidRPr="003E11FF">
              <w:rPr>
                <w:sz w:val="20"/>
                <w:szCs w:val="20"/>
              </w:rPr>
              <w:t>14,098,044.0</w:t>
            </w:r>
          </w:p>
        </w:tc>
        <w:tc>
          <w:tcPr>
            <w:tcW w:w="1842" w:type="dxa"/>
            <w:tcBorders>
              <w:top w:val="nil"/>
              <w:left w:val="nil"/>
              <w:bottom w:val="single" w:sz="8" w:space="0" w:color="auto"/>
              <w:right w:val="single" w:sz="8" w:space="0" w:color="auto"/>
            </w:tcBorders>
            <w:shd w:val="clear" w:color="auto" w:fill="C6D9F1" w:themeFill="text2" w:themeFillTint="33"/>
            <w:noWrap/>
            <w:hideMark/>
          </w:tcPr>
          <w:p w14:paraId="2BD17854" w14:textId="77777777" w:rsidR="004442B5" w:rsidRPr="003E11FF" w:rsidRDefault="004442B5" w:rsidP="00C85113">
            <w:pPr>
              <w:spacing w:after="0" w:line="240" w:lineRule="auto"/>
              <w:ind w:firstLine="0"/>
              <w:jc w:val="center"/>
              <w:rPr>
                <w:color w:val="000000"/>
                <w:sz w:val="20"/>
                <w:szCs w:val="20"/>
              </w:rPr>
            </w:pPr>
            <w:r w:rsidRPr="003E11FF">
              <w:rPr>
                <w:color w:val="000000"/>
                <w:sz w:val="20"/>
                <w:szCs w:val="20"/>
              </w:rPr>
              <w:t>12,668,912.0</w:t>
            </w:r>
          </w:p>
        </w:tc>
      </w:tr>
      <w:tr w:rsidR="004442B5" w:rsidRPr="003E11FF" w14:paraId="06DFDDBB" w14:textId="77777777" w:rsidTr="00C85113">
        <w:trPr>
          <w:trHeight w:val="282"/>
        </w:trPr>
        <w:tc>
          <w:tcPr>
            <w:tcW w:w="4453" w:type="dxa"/>
            <w:tcBorders>
              <w:top w:val="single" w:sz="4" w:space="0" w:color="auto"/>
              <w:left w:val="single" w:sz="4" w:space="0" w:color="auto"/>
              <w:bottom w:val="single" w:sz="4" w:space="0" w:color="auto"/>
              <w:right w:val="single" w:sz="4" w:space="0" w:color="auto"/>
            </w:tcBorders>
            <w:hideMark/>
          </w:tcPr>
          <w:p w14:paraId="49EE5772" w14:textId="77777777" w:rsidR="004442B5" w:rsidRPr="003E11FF" w:rsidRDefault="004442B5" w:rsidP="00C85113">
            <w:pPr>
              <w:spacing w:line="360" w:lineRule="auto"/>
              <w:ind w:firstLine="0"/>
              <w:rPr>
                <w:sz w:val="20"/>
                <w:szCs w:val="20"/>
              </w:rPr>
            </w:pPr>
            <w:r w:rsidRPr="003E11FF">
              <w:rPr>
                <w:sz w:val="20"/>
                <w:szCs w:val="20"/>
              </w:rPr>
              <w:t xml:space="preserve"> - Ընթացիկ պարտավորություններ</w:t>
            </w:r>
          </w:p>
        </w:tc>
        <w:tc>
          <w:tcPr>
            <w:tcW w:w="2098" w:type="dxa"/>
            <w:tcBorders>
              <w:top w:val="nil"/>
              <w:left w:val="nil"/>
              <w:bottom w:val="single" w:sz="8" w:space="0" w:color="auto"/>
              <w:right w:val="single" w:sz="8" w:space="0" w:color="auto"/>
            </w:tcBorders>
            <w:noWrap/>
            <w:hideMark/>
          </w:tcPr>
          <w:p w14:paraId="579D80F6" w14:textId="77777777" w:rsidR="004442B5" w:rsidRPr="003E11FF" w:rsidRDefault="004442B5" w:rsidP="00C85113">
            <w:pPr>
              <w:spacing w:line="360" w:lineRule="auto"/>
              <w:ind w:firstLine="0"/>
              <w:jc w:val="center"/>
              <w:rPr>
                <w:sz w:val="20"/>
                <w:szCs w:val="20"/>
              </w:rPr>
            </w:pPr>
            <w:r w:rsidRPr="003E11FF">
              <w:rPr>
                <w:sz w:val="20"/>
                <w:szCs w:val="20"/>
              </w:rPr>
              <w:t>1,809,989.00</w:t>
            </w:r>
          </w:p>
        </w:tc>
        <w:tc>
          <w:tcPr>
            <w:tcW w:w="1843" w:type="dxa"/>
            <w:tcBorders>
              <w:top w:val="nil"/>
              <w:left w:val="nil"/>
              <w:bottom w:val="single" w:sz="8" w:space="0" w:color="auto"/>
              <w:right w:val="single" w:sz="8" w:space="0" w:color="auto"/>
            </w:tcBorders>
            <w:noWrap/>
            <w:hideMark/>
          </w:tcPr>
          <w:p w14:paraId="50694152" w14:textId="77777777" w:rsidR="004442B5" w:rsidRPr="003E11FF" w:rsidRDefault="004442B5" w:rsidP="00C85113">
            <w:pPr>
              <w:spacing w:line="360" w:lineRule="auto"/>
              <w:ind w:firstLine="0"/>
              <w:jc w:val="center"/>
              <w:rPr>
                <w:sz w:val="20"/>
                <w:szCs w:val="20"/>
              </w:rPr>
            </w:pPr>
            <w:r w:rsidRPr="003E11FF">
              <w:rPr>
                <w:sz w:val="20"/>
                <w:szCs w:val="20"/>
              </w:rPr>
              <w:t>2,290,818.0</w:t>
            </w:r>
          </w:p>
        </w:tc>
        <w:tc>
          <w:tcPr>
            <w:tcW w:w="1842" w:type="dxa"/>
            <w:tcBorders>
              <w:top w:val="nil"/>
              <w:left w:val="nil"/>
              <w:bottom w:val="single" w:sz="8" w:space="0" w:color="auto"/>
              <w:right w:val="single" w:sz="8" w:space="0" w:color="auto"/>
            </w:tcBorders>
            <w:noWrap/>
            <w:hideMark/>
          </w:tcPr>
          <w:p w14:paraId="70FBCC77" w14:textId="77777777" w:rsidR="004442B5" w:rsidRPr="003E11FF" w:rsidRDefault="004442B5" w:rsidP="00C85113">
            <w:pPr>
              <w:spacing w:after="0" w:line="240" w:lineRule="auto"/>
              <w:ind w:firstLine="0"/>
              <w:jc w:val="center"/>
              <w:rPr>
                <w:color w:val="000000"/>
                <w:sz w:val="20"/>
                <w:szCs w:val="20"/>
              </w:rPr>
            </w:pPr>
            <w:r w:rsidRPr="003E11FF">
              <w:rPr>
                <w:color w:val="000000"/>
                <w:sz w:val="20"/>
                <w:szCs w:val="20"/>
              </w:rPr>
              <w:t>2,019,561.0</w:t>
            </w:r>
          </w:p>
        </w:tc>
      </w:tr>
      <w:tr w:rsidR="004442B5" w:rsidRPr="003E11FF" w14:paraId="175F4060" w14:textId="77777777" w:rsidTr="00C85113">
        <w:trPr>
          <w:trHeight w:val="282"/>
        </w:trPr>
        <w:tc>
          <w:tcPr>
            <w:tcW w:w="4453" w:type="dxa"/>
            <w:tcBorders>
              <w:top w:val="single" w:sz="4" w:space="0" w:color="auto"/>
              <w:left w:val="single" w:sz="4" w:space="0" w:color="auto"/>
              <w:bottom w:val="single" w:sz="4" w:space="0" w:color="auto"/>
              <w:right w:val="single" w:sz="4" w:space="0" w:color="auto"/>
            </w:tcBorders>
            <w:vAlign w:val="center"/>
            <w:hideMark/>
          </w:tcPr>
          <w:p w14:paraId="554A0302" w14:textId="77777777" w:rsidR="004442B5" w:rsidRPr="003E11FF" w:rsidRDefault="004442B5" w:rsidP="00C85113">
            <w:pPr>
              <w:spacing w:line="360" w:lineRule="auto"/>
              <w:ind w:firstLine="0"/>
              <w:rPr>
                <w:sz w:val="20"/>
                <w:szCs w:val="20"/>
              </w:rPr>
            </w:pPr>
            <w:r w:rsidRPr="003E11FF">
              <w:rPr>
                <w:sz w:val="20"/>
                <w:szCs w:val="20"/>
              </w:rPr>
              <w:t xml:space="preserve"> - Ոչ ընթացիկ պարտավորություններ</w:t>
            </w:r>
          </w:p>
        </w:tc>
        <w:tc>
          <w:tcPr>
            <w:tcW w:w="2098" w:type="dxa"/>
            <w:tcBorders>
              <w:top w:val="nil"/>
              <w:left w:val="nil"/>
              <w:bottom w:val="single" w:sz="8" w:space="0" w:color="auto"/>
              <w:right w:val="single" w:sz="8" w:space="0" w:color="auto"/>
            </w:tcBorders>
            <w:noWrap/>
            <w:hideMark/>
          </w:tcPr>
          <w:p w14:paraId="136246C9" w14:textId="77777777" w:rsidR="004442B5" w:rsidRPr="003E11FF" w:rsidRDefault="004442B5" w:rsidP="00C85113">
            <w:pPr>
              <w:spacing w:line="360" w:lineRule="auto"/>
              <w:ind w:firstLine="0"/>
              <w:jc w:val="center"/>
              <w:rPr>
                <w:sz w:val="20"/>
                <w:szCs w:val="20"/>
              </w:rPr>
            </w:pPr>
            <w:r w:rsidRPr="003E11FF">
              <w:rPr>
                <w:sz w:val="20"/>
                <w:szCs w:val="20"/>
              </w:rPr>
              <w:t>14,335,803.00</w:t>
            </w:r>
          </w:p>
        </w:tc>
        <w:tc>
          <w:tcPr>
            <w:tcW w:w="1843" w:type="dxa"/>
            <w:tcBorders>
              <w:top w:val="nil"/>
              <w:left w:val="nil"/>
              <w:bottom w:val="single" w:sz="8" w:space="0" w:color="auto"/>
              <w:right w:val="single" w:sz="8" w:space="0" w:color="auto"/>
            </w:tcBorders>
            <w:noWrap/>
            <w:hideMark/>
          </w:tcPr>
          <w:p w14:paraId="3C424571" w14:textId="77777777" w:rsidR="004442B5" w:rsidRPr="003E11FF" w:rsidRDefault="004442B5" w:rsidP="00C85113">
            <w:pPr>
              <w:spacing w:line="360" w:lineRule="auto"/>
              <w:ind w:firstLine="0"/>
              <w:jc w:val="center"/>
              <w:rPr>
                <w:sz w:val="20"/>
                <w:szCs w:val="20"/>
              </w:rPr>
            </w:pPr>
            <w:r w:rsidRPr="003E11FF">
              <w:rPr>
                <w:sz w:val="20"/>
                <w:szCs w:val="20"/>
              </w:rPr>
              <w:t>11,807,226.0</w:t>
            </w:r>
          </w:p>
        </w:tc>
        <w:tc>
          <w:tcPr>
            <w:tcW w:w="1842" w:type="dxa"/>
            <w:tcBorders>
              <w:top w:val="nil"/>
              <w:left w:val="nil"/>
              <w:bottom w:val="single" w:sz="8" w:space="0" w:color="auto"/>
              <w:right w:val="single" w:sz="8" w:space="0" w:color="auto"/>
            </w:tcBorders>
            <w:noWrap/>
            <w:hideMark/>
          </w:tcPr>
          <w:p w14:paraId="556ED146" w14:textId="77777777" w:rsidR="004442B5" w:rsidRPr="003E11FF" w:rsidRDefault="004442B5" w:rsidP="00C85113">
            <w:pPr>
              <w:spacing w:after="0" w:line="240" w:lineRule="auto"/>
              <w:ind w:firstLine="0"/>
              <w:jc w:val="center"/>
              <w:rPr>
                <w:color w:val="000000"/>
                <w:sz w:val="20"/>
                <w:szCs w:val="20"/>
              </w:rPr>
            </w:pPr>
            <w:r w:rsidRPr="003E11FF">
              <w:rPr>
                <w:color w:val="000000"/>
                <w:sz w:val="20"/>
                <w:szCs w:val="20"/>
              </w:rPr>
              <w:t>10,649,351.0</w:t>
            </w:r>
          </w:p>
        </w:tc>
      </w:tr>
      <w:tr w:rsidR="004442B5" w:rsidRPr="003E11FF" w14:paraId="2DD13DC0" w14:textId="77777777" w:rsidTr="00FF692C">
        <w:trPr>
          <w:trHeight w:val="367"/>
        </w:trPr>
        <w:tc>
          <w:tcPr>
            <w:tcW w:w="445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C356377" w14:textId="77777777" w:rsidR="004442B5" w:rsidRPr="003E11FF" w:rsidRDefault="004442B5" w:rsidP="00C85113">
            <w:pPr>
              <w:spacing w:line="360" w:lineRule="auto"/>
              <w:ind w:firstLine="0"/>
              <w:rPr>
                <w:sz w:val="20"/>
                <w:szCs w:val="20"/>
              </w:rPr>
            </w:pPr>
            <w:r w:rsidRPr="003E11FF">
              <w:rPr>
                <w:sz w:val="20"/>
                <w:szCs w:val="20"/>
              </w:rPr>
              <w:t>3.Սեփական կապիտալ (զուտ ակտիվներ)</w:t>
            </w:r>
          </w:p>
        </w:tc>
        <w:tc>
          <w:tcPr>
            <w:tcW w:w="2098" w:type="dxa"/>
            <w:tcBorders>
              <w:top w:val="nil"/>
              <w:left w:val="nil"/>
              <w:bottom w:val="single" w:sz="8" w:space="0" w:color="auto"/>
              <w:right w:val="single" w:sz="8" w:space="0" w:color="auto"/>
            </w:tcBorders>
            <w:shd w:val="clear" w:color="auto" w:fill="C6D9F1" w:themeFill="text2" w:themeFillTint="33"/>
            <w:noWrap/>
            <w:hideMark/>
          </w:tcPr>
          <w:p w14:paraId="673595BC" w14:textId="77777777" w:rsidR="004442B5" w:rsidRPr="003E11FF" w:rsidRDefault="004442B5" w:rsidP="00C85113">
            <w:pPr>
              <w:spacing w:line="360" w:lineRule="auto"/>
              <w:ind w:firstLine="0"/>
              <w:jc w:val="center"/>
              <w:rPr>
                <w:sz w:val="20"/>
                <w:szCs w:val="20"/>
              </w:rPr>
            </w:pPr>
            <w:r w:rsidRPr="003E11FF">
              <w:rPr>
                <w:sz w:val="20"/>
                <w:szCs w:val="20"/>
              </w:rPr>
              <w:t>12,001,587.00</w:t>
            </w:r>
          </w:p>
        </w:tc>
        <w:tc>
          <w:tcPr>
            <w:tcW w:w="1843" w:type="dxa"/>
            <w:tcBorders>
              <w:top w:val="nil"/>
              <w:left w:val="nil"/>
              <w:bottom w:val="single" w:sz="8" w:space="0" w:color="auto"/>
              <w:right w:val="single" w:sz="8" w:space="0" w:color="auto"/>
            </w:tcBorders>
            <w:shd w:val="clear" w:color="auto" w:fill="C6D9F1" w:themeFill="text2" w:themeFillTint="33"/>
            <w:noWrap/>
            <w:hideMark/>
          </w:tcPr>
          <w:p w14:paraId="0DBE2E68" w14:textId="77777777" w:rsidR="004442B5" w:rsidRPr="003E11FF" w:rsidRDefault="004442B5" w:rsidP="00C85113">
            <w:pPr>
              <w:spacing w:line="360" w:lineRule="auto"/>
              <w:ind w:firstLine="0"/>
              <w:jc w:val="center"/>
              <w:rPr>
                <w:sz w:val="20"/>
                <w:szCs w:val="20"/>
              </w:rPr>
            </w:pPr>
            <w:r w:rsidRPr="003E11FF">
              <w:rPr>
                <w:sz w:val="20"/>
                <w:szCs w:val="20"/>
              </w:rPr>
              <w:t>14,163,729.0</w:t>
            </w:r>
          </w:p>
        </w:tc>
        <w:tc>
          <w:tcPr>
            <w:tcW w:w="1842" w:type="dxa"/>
            <w:tcBorders>
              <w:top w:val="nil"/>
              <w:left w:val="nil"/>
              <w:bottom w:val="single" w:sz="8" w:space="0" w:color="auto"/>
              <w:right w:val="single" w:sz="8" w:space="0" w:color="auto"/>
            </w:tcBorders>
            <w:shd w:val="clear" w:color="auto" w:fill="C6D9F1" w:themeFill="text2" w:themeFillTint="33"/>
            <w:noWrap/>
            <w:hideMark/>
          </w:tcPr>
          <w:p w14:paraId="54070ED7" w14:textId="77777777" w:rsidR="004442B5" w:rsidRPr="003E11FF" w:rsidRDefault="004442B5" w:rsidP="00C85113">
            <w:pPr>
              <w:spacing w:after="0" w:line="240" w:lineRule="auto"/>
              <w:ind w:firstLine="0"/>
              <w:jc w:val="center"/>
              <w:rPr>
                <w:color w:val="000000"/>
                <w:sz w:val="20"/>
                <w:szCs w:val="20"/>
              </w:rPr>
            </w:pPr>
            <w:r w:rsidRPr="003E11FF">
              <w:rPr>
                <w:color w:val="000000"/>
                <w:sz w:val="20"/>
                <w:szCs w:val="20"/>
              </w:rPr>
              <w:t>15,302,100.0</w:t>
            </w:r>
          </w:p>
        </w:tc>
      </w:tr>
    </w:tbl>
    <w:p w14:paraId="4F3ABAF4" w14:textId="77777777" w:rsidR="004442B5" w:rsidRPr="003E11FF" w:rsidRDefault="004442B5" w:rsidP="004442B5">
      <w:pPr>
        <w:shd w:val="clear" w:color="auto" w:fill="FFFFFF"/>
        <w:spacing w:after="0" w:line="240" w:lineRule="auto"/>
        <w:ind w:right="150" w:firstLine="0"/>
        <w:rPr>
          <w:color w:val="000000"/>
          <w:sz w:val="20"/>
          <w:szCs w:val="20"/>
        </w:rPr>
      </w:pPr>
    </w:p>
    <w:p w14:paraId="1B22F211"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Հաշվետու ժամանակաշրջանում նախորդ ժամանակաշրջանի նկատմամբ Ընկերությունների հանրագումարային սեփական կապիտալն ավելացել է 1.1 մլրդ դրամով (7.7%):</w:t>
      </w:r>
    </w:p>
    <w:p w14:paraId="26AD3E55"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Վարկային պարտավորությունների հետ կապված անհրաժեշտ է նշել, որ Ընկերությունները չունեն ժամկետանց վարկային պարտավորություններ, ինչպես նաև ՀՀ կառավարության կողմից բյուջետային երաշխիքներ չեն ստացել:</w:t>
      </w:r>
    </w:p>
    <w:p w14:paraId="5F3D19A5"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Հարկ է նաև նշել, որ «Կարեն Դեմիրճյանի անվան Երևանի մետրոպոլիտեն»</w:t>
      </w:r>
      <w:r w:rsidRPr="00A35CD3">
        <w:rPr>
          <w:rFonts w:ascii="Sylfaen" w:hAnsi="Sylfaen"/>
          <w:color w:val="000000"/>
        </w:rPr>
        <w:t> </w:t>
      </w:r>
      <w:r w:rsidRPr="00A35CD3">
        <w:rPr>
          <w:color w:val="000000"/>
        </w:rPr>
        <w:t>ՓԲԸ-ին ՀՀ պետական բյուջեից տրամադրվող սուբսիդիայի հաշվարկներում ներառված են նաև միջազգային ֆինանսական կազմակերպությունների աջակցությամբ իրականացվող վարկային ծրագրերի շրջանակներում այս ընկերությանը ենթավարկային պայմանագրերով տրամադրված վարկերի մայր գումարների և հաշվարկված տոկոսների մարումները:</w:t>
      </w:r>
    </w:p>
    <w:p w14:paraId="460DB5D1"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Ընկերությունները ներգրավված չեն այնպիսի տեղական կամ միջազգային դատական վարույթներում, որոնք կարող են էական ազդեցություն ունենալ իրենց ֆինանսական վիճակի վրա:</w:t>
      </w:r>
    </w:p>
    <w:p w14:paraId="1704FBD4"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lastRenderedPageBreak/>
        <w:t>Հաշվետու ժամանակաշրջանում ՀՀ պետական բյուջե շահութաբաժիններ վճարվել է միայն «Հայաէրոնավիգացիա» ՓԲԸ-ի կողմից` 406.6 մլն դրամ, կանխատեսված 327.3 մլն դրամի փոխարեն:</w:t>
      </w:r>
    </w:p>
    <w:p w14:paraId="353DB2E2" w14:textId="77777777" w:rsidR="004442B5" w:rsidRPr="00A35CD3" w:rsidRDefault="004442B5" w:rsidP="00DC7720">
      <w:pPr>
        <w:shd w:val="clear" w:color="auto" w:fill="FFFFFF"/>
        <w:spacing w:after="0" w:line="276" w:lineRule="auto"/>
        <w:ind w:right="144" w:firstLine="446"/>
        <w:rPr>
          <w:color w:val="000000"/>
        </w:rPr>
      </w:pPr>
      <w:r w:rsidRPr="00A35CD3">
        <w:rPr>
          <w:rFonts w:ascii="Sylfaen" w:hAnsi="Sylfaen"/>
          <w:color w:val="000000"/>
        </w:rPr>
        <w:t> </w:t>
      </w:r>
      <w:r w:rsidRPr="00A35CD3">
        <w:rPr>
          <w:color w:val="000000"/>
        </w:rPr>
        <w:t xml:space="preserve">Ընկերությունների հարկաբյուջետային ռիսկերի գնահատման համար կիրառված ֆինանսական գործակիցների ամփոփ արդյունքները և պրակտիկայում ընդունված թույլատրելի սահմանային նորմաները ներկայացված են աղյուսակ </w:t>
      </w:r>
      <w:r w:rsidR="00DC7720">
        <w:rPr>
          <w:color w:val="000000"/>
        </w:rPr>
        <w:t>5.</w:t>
      </w:r>
      <w:r w:rsidRPr="00A35CD3">
        <w:rPr>
          <w:color w:val="000000"/>
        </w:rPr>
        <w:t>8-ում:</w:t>
      </w:r>
    </w:p>
    <w:p w14:paraId="1B044ACA" w14:textId="77777777" w:rsidR="004442B5" w:rsidRDefault="004442B5" w:rsidP="004442B5">
      <w:pPr>
        <w:shd w:val="clear" w:color="auto" w:fill="FFFFFF"/>
        <w:spacing w:after="0" w:line="240" w:lineRule="auto"/>
        <w:ind w:right="150" w:firstLine="450"/>
        <w:rPr>
          <w:rFonts w:ascii="Sylfaen" w:hAnsi="Sylfaen"/>
          <w:b/>
          <w:color w:val="000000"/>
        </w:rPr>
      </w:pPr>
    </w:p>
    <w:p w14:paraId="0EB5F430" w14:textId="77777777" w:rsidR="004442B5" w:rsidRPr="00DC7720" w:rsidRDefault="004442B5" w:rsidP="004442B5">
      <w:pPr>
        <w:shd w:val="clear" w:color="auto" w:fill="FFFFFF"/>
        <w:spacing w:after="0" w:line="240" w:lineRule="auto"/>
        <w:ind w:right="150" w:firstLine="450"/>
        <w:rPr>
          <w:i/>
          <w:color w:val="000000"/>
          <w:sz w:val="20"/>
          <w:szCs w:val="20"/>
        </w:rPr>
      </w:pPr>
      <w:r w:rsidRPr="00A35CD3">
        <w:rPr>
          <w:rFonts w:ascii="Sylfaen" w:hAnsi="Sylfaen"/>
          <w:b/>
          <w:color w:val="000000"/>
        </w:rPr>
        <w:t> </w:t>
      </w:r>
      <w:r w:rsidRPr="00DC7720">
        <w:rPr>
          <w:b/>
          <w:bCs/>
          <w:color w:val="000000"/>
          <w:sz w:val="20"/>
          <w:szCs w:val="20"/>
        </w:rPr>
        <w:t xml:space="preserve">Աղյուսակ </w:t>
      </w:r>
      <w:r w:rsidR="00DC7720" w:rsidRPr="00DC7720">
        <w:rPr>
          <w:b/>
          <w:bCs/>
          <w:color w:val="000000"/>
          <w:sz w:val="20"/>
          <w:szCs w:val="20"/>
        </w:rPr>
        <w:t>5.</w:t>
      </w:r>
      <w:r w:rsidRPr="00DC7720">
        <w:rPr>
          <w:b/>
          <w:bCs/>
          <w:color w:val="000000"/>
          <w:sz w:val="20"/>
          <w:szCs w:val="20"/>
        </w:rPr>
        <w:t>8</w:t>
      </w:r>
      <w:r w:rsidRPr="00DC7720">
        <w:rPr>
          <w:b/>
          <w:color w:val="000000"/>
          <w:sz w:val="20"/>
          <w:szCs w:val="20"/>
        </w:rPr>
        <w:t xml:space="preserve"> </w:t>
      </w:r>
      <w:r w:rsidRPr="00DC7720">
        <w:rPr>
          <w:i/>
          <w:color w:val="000000"/>
          <w:sz w:val="20"/>
          <w:szCs w:val="20"/>
        </w:rPr>
        <w:t>Տրանսպորտի ոլորտի պետական ընկերությունների հանրագումարային ֆինանսական ցուցանիշները</w:t>
      </w:r>
    </w:p>
    <w:p w14:paraId="75658FE1" w14:textId="77777777" w:rsidR="004442B5" w:rsidRPr="001D1C94" w:rsidRDefault="004442B5" w:rsidP="004442B5">
      <w:pPr>
        <w:shd w:val="clear" w:color="auto" w:fill="FFFFFF"/>
        <w:spacing w:after="0" w:line="240" w:lineRule="auto"/>
        <w:ind w:right="150" w:firstLine="450"/>
        <w:rPr>
          <w:b/>
          <w:color w:val="000000"/>
        </w:rPr>
      </w:pPr>
    </w:p>
    <w:tbl>
      <w:tblPr>
        <w:tblpPr w:leftFromText="180" w:rightFromText="180" w:vertAnchor="text" w:tblpY="1"/>
        <w:tblOverlap w:val="never"/>
        <w:tblW w:w="9923"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224"/>
        <w:gridCol w:w="1021"/>
        <w:gridCol w:w="992"/>
        <w:gridCol w:w="992"/>
        <w:gridCol w:w="2694"/>
      </w:tblGrid>
      <w:tr w:rsidR="002C4CEE" w:rsidRPr="00A35CD3" w14:paraId="78BB0CB3" w14:textId="77777777" w:rsidTr="002C4CEE">
        <w:trPr>
          <w:tblCellSpacing w:w="0" w:type="dxa"/>
        </w:trPr>
        <w:tc>
          <w:tcPr>
            <w:tcW w:w="4224" w:type="dxa"/>
            <w:tcBorders>
              <w:top w:val="outset" w:sz="6" w:space="0" w:color="auto"/>
              <w:left w:val="outset" w:sz="6" w:space="0" w:color="auto"/>
              <w:bottom w:val="outset" w:sz="6" w:space="0" w:color="auto"/>
              <w:right w:val="outset" w:sz="6" w:space="0" w:color="auto"/>
            </w:tcBorders>
            <w:shd w:val="clear" w:color="auto" w:fill="4F81BD" w:themeFill="accent1"/>
            <w:tcMar>
              <w:top w:w="30" w:type="dxa"/>
              <w:left w:w="30" w:type="dxa"/>
              <w:bottom w:w="30" w:type="dxa"/>
              <w:right w:w="30" w:type="dxa"/>
            </w:tcMar>
            <w:vAlign w:val="center"/>
          </w:tcPr>
          <w:p w14:paraId="544D9EA7" w14:textId="77777777" w:rsidR="002C4CEE" w:rsidRPr="00A35CD3" w:rsidRDefault="002C4CEE" w:rsidP="00C85113">
            <w:pPr>
              <w:spacing w:after="0" w:line="240" w:lineRule="auto"/>
              <w:ind w:firstLine="0"/>
              <w:jc w:val="left"/>
              <w:rPr>
                <w:color w:val="000000"/>
              </w:rPr>
            </w:pPr>
          </w:p>
        </w:tc>
        <w:tc>
          <w:tcPr>
            <w:tcW w:w="1021" w:type="dxa"/>
            <w:tcBorders>
              <w:top w:val="outset" w:sz="6" w:space="0" w:color="auto"/>
              <w:left w:val="outset" w:sz="6" w:space="0" w:color="auto"/>
              <w:bottom w:val="outset" w:sz="6" w:space="0" w:color="auto"/>
              <w:right w:val="outset" w:sz="6" w:space="0" w:color="auto"/>
            </w:tcBorders>
            <w:shd w:val="clear" w:color="auto" w:fill="4F81BD" w:themeFill="accent1"/>
            <w:tcMar>
              <w:top w:w="30" w:type="dxa"/>
              <w:left w:w="30" w:type="dxa"/>
              <w:bottom w:w="30" w:type="dxa"/>
              <w:right w:w="30" w:type="dxa"/>
            </w:tcMar>
            <w:vAlign w:val="center"/>
          </w:tcPr>
          <w:p w14:paraId="40CC4682" w14:textId="77777777" w:rsidR="002C4CEE" w:rsidRPr="007240EB" w:rsidRDefault="002C4CEE" w:rsidP="00C85113">
            <w:pPr>
              <w:spacing w:after="0" w:line="240" w:lineRule="auto"/>
              <w:ind w:firstLine="0"/>
              <w:jc w:val="center"/>
              <w:rPr>
                <w:color w:val="FFFFFF" w:themeColor="background1"/>
              </w:rPr>
            </w:pPr>
            <w:r w:rsidRPr="007240EB">
              <w:rPr>
                <w:color w:val="FFFFFF" w:themeColor="background1"/>
              </w:rPr>
              <w:t>2017թ.</w:t>
            </w:r>
          </w:p>
        </w:tc>
        <w:tc>
          <w:tcPr>
            <w:tcW w:w="992" w:type="dxa"/>
            <w:tcBorders>
              <w:top w:val="outset" w:sz="6" w:space="0" w:color="auto"/>
              <w:left w:val="outset" w:sz="6" w:space="0" w:color="auto"/>
              <w:bottom w:val="outset" w:sz="6" w:space="0" w:color="auto"/>
              <w:right w:val="outset" w:sz="6" w:space="0" w:color="auto"/>
            </w:tcBorders>
            <w:shd w:val="clear" w:color="auto" w:fill="4F81BD" w:themeFill="accent1"/>
            <w:tcMar>
              <w:top w:w="30" w:type="dxa"/>
              <w:left w:w="30" w:type="dxa"/>
              <w:bottom w:w="30" w:type="dxa"/>
              <w:right w:w="30" w:type="dxa"/>
            </w:tcMar>
            <w:vAlign w:val="center"/>
          </w:tcPr>
          <w:p w14:paraId="77B9BAE5" w14:textId="77777777" w:rsidR="002C4CEE" w:rsidRPr="007240EB" w:rsidRDefault="007240EB" w:rsidP="00C85113">
            <w:pPr>
              <w:spacing w:after="0" w:line="240" w:lineRule="auto"/>
              <w:ind w:firstLine="0"/>
              <w:jc w:val="center"/>
              <w:rPr>
                <w:color w:val="FFFFFF" w:themeColor="background1"/>
              </w:rPr>
            </w:pPr>
            <w:r w:rsidRPr="007240EB">
              <w:rPr>
                <w:color w:val="FFFFFF" w:themeColor="background1"/>
              </w:rPr>
              <w:t>2018թ.</w:t>
            </w:r>
          </w:p>
        </w:tc>
        <w:tc>
          <w:tcPr>
            <w:tcW w:w="992" w:type="dxa"/>
            <w:tcBorders>
              <w:top w:val="outset" w:sz="6" w:space="0" w:color="auto"/>
              <w:left w:val="outset" w:sz="6" w:space="0" w:color="auto"/>
              <w:bottom w:val="outset" w:sz="6" w:space="0" w:color="auto"/>
              <w:right w:val="outset" w:sz="6" w:space="0" w:color="auto"/>
            </w:tcBorders>
            <w:shd w:val="clear" w:color="auto" w:fill="4F81BD" w:themeFill="accent1"/>
            <w:tcMar>
              <w:top w:w="30" w:type="dxa"/>
              <w:left w:w="30" w:type="dxa"/>
              <w:bottom w:w="30" w:type="dxa"/>
              <w:right w:w="30" w:type="dxa"/>
            </w:tcMar>
            <w:vAlign w:val="center"/>
          </w:tcPr>
          <w:p w14:paraId="2B43E2F2" w14:textId="77777777" w:rsidR="002C4CEE" w:rsidRPr="007240EB" w:rsidRDefault="007240EB" w:rsidP="00C85113">
            <w:pPr>
              <w:spacing w:after="0" w:line="240" w:lineRule="auto"/>
              <w:ind w:firstLine="0"/>
              <w:jc w:val="center"/>
              <w:rPr>
                <w:color w:val="FFFFFF" w:themeColor="background1"/>
              </w:rPr>
            </w:pPr>
            <w:r w:rsidRPr="007240EB">
              <w:rPr>
                <w:color w:val="FFFFFF" w:themeColor="background1"/>
              </w:rPr>
              <w:t>2019թ.</w:t>
            </w:r>
          </w:p>
        </w:tc>
        <w:tc>
          <w:tcPr>
            <w:tcW w:w="2694" w:type="dxa"/>
            <w:tcBorders>
              <w:top w:val="outset" w:sz="6" w:space="0" w:color="auto"/>
              <w:left w:val="outset" w:sz="6" w:space="0" w:color="auto"/>
              <w:bottom w:val="outset" w:sz="6" w:space="0" w:color="auto"/>
              <w:right w:val="outset" w:sz="6" w:space="0" w:color="auto"/>
            </w:tcBorders>
            <w:shd w:val="clear" w:color="auto" w:fill="4F81BD" w:themeFill="accent1"/>
            <w:tcMar>
              <w:top w:w="30" w:type="dxa"/>
              <w:left w:w="30" w:type="dxa"/>
              <w:bottom w:w="30" w:type="dxa"/>
              <w:right w:w="30" w:type="dxa"/>
            </w:tcMar>
            <w:vAlign w:val="center"/>
          </w:tcPr>
          <w:p w14:paraId="66662C36" w14:textId="77777777" w:rsidR="002C4CEE" w:rsidRPr="00A35CD3" w:rsidRDefault="002C4CEE" w:rsidP="00C85113">
            <w:pPr>
              <w:spacing w:after="0" w:line="240" w:lineRule="auto"/>
              <w:ind w:firstLine="0"/>
              <w:jc w:val="center"/>
              <w:rPr>
                <w:color w:val="000000"/>
              </w:rPr>
            </w:pPr>
            <w:r w:rsidRPr="008B51F8">
              <w:rPr>
                <w:b/>
                <w:bCs/>
                <w:color w:val="FFFFFF" w:themeColor="background1"/>
              </w:rPr>
              <w:t>Թույլատրելի սահմանային նորմա</w:t>
            </w:r>
          </w:p>
        </w:tc>
      </w:tr>
      <w:tr w:rsidR="004442B5" w:rsidRPr="00A35CD3" w14:paraId="743A2073" w14:textId="77777777" w:rsidTr="001B57F3">
        <w:trPr>
          <w:tblCellSpacing w:w="0" w:type="dxa"/>
        </w:trPr>
        <w:tc>
          <w:tcPr>
            <w:tcW w:w="422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AE31D3F" w14:textId="77777777" w:rsidR="004442B5" w:rsidRPr="00A35CD3" w:rsidRDefault="004442B5" w:rsidP="00C85113">
            <w:pPr>
              <w:spacing w:after="0" w:line="240" w:lineRule="auto"/>
              <w:ind w:firstLine="0"/>
              <w:jc w:val="left"/>
              <w:rPr>
                <w:color w:val="000000"/>
              </w:rPr>
            </w:pPr>
            <w:r w:rsidRPr="00A35CD3">
              <w:rPr>
                <w:color w:val="000000"/>
              </w:rPr>
              <w:t>Ծախսերի վերականգնման գործակից</w:t>
            </w:r>
          </w:p>
        </w:tc>
        <w:tc>
          <w:tcPr>
            <w:tcW w:w="1021"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5E5DB38" w14:textId="77777777" w:rsidR="004442B5" w:rsidRPr="00A35CD3" w:rsidRDefault="004442B5" w:rsidP="00C85113">
            <w:pPr>
              <w:spacing w:after="0" w:line="240" w:lineRule="auto"/>
              <w:ind w:firstLine="0"/>
              <w:jc w:val="center"/>
              <w:rPr>
                <w:color w:val="000000"/>
              </w:rPr>
            </w:pPr>
            <w:r w:rsidRPr="00A35CD3">
              <w:rPr>
                <w:color w:val="000000"/>
              </w:rPr>
              <w:t>1.3</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4E17CB4F" w14:textId="77777777" w:rsidR="004442B5" w:rsidRPr="00A35CD3" w:rsidRDefault="004442B5" w:rsidP="00C85113">
            <w:pPr>
              <w:spacing w:after="0" w:line="240" w:lineRule="auto"/>
              <w:ind w:firstLine="0"/>
              <w:jc w:val="center"/>
              <w:rPr>
                <w:color w:val="000000"/>
              </w:rPr>
            </w:pPr>
            <w:r w:rsidRPr="00A35CD3">
              <w:rPr>
                <w:color w:val="000000"/>
              </w:rPr>
              <w:t>1.4</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01DF78FC" w14:textId="77777777" w:rsidR="004442B5" w:rsidRPr="00A35CD3" w:rsidRDefault="004442B5" w:rsidP="00C85113">
            <w:pPr>
              <w:spacing w:after="0" w:line="240" w:lineRule="auto"/>
              <w:ind w:firstLine="0"/>
              <w:jc w:val="center"/>
              <w:rPr>
                <w:color w:val="000000"/>
              </w:rPr>
            </w:pPr>
            <w:r w:rsidRPr="00A35CD3">
              <w:rPr>
                <w:color w:val="000000"/>
              </w:rPr>
              <w:t>1.3</w:t>
            </w:r>
          </w:p>
        </w:tc>
        <w:tc>
          <w:tcPr>
            <w:tcW w:w="269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5310282" w14:textId="77777777" w:rsidR="004442B5" w:rsidRPr="00A35CD3" w:rsidRDefault="004442B5" w:rsidP="00C85113">
            <w:pPr>
              <w:spacing w:after="0" w:line="240" w:lineRule="auto"/>
              <w:ind w:firstLine="0"/>
              <w:jc w:val="center"/>
              <w:rPr>
                <w:color w:val="000000"/>
              </w:rPr>
            </w:pPr>
            <w:r w:rsidRPr="00A35CD3">
              <w:rPr>
                <w:color w:val="000000"/>
              </w:rPr>
              <w:t>Առնվազն 1</w:t>
            </w:r>
          </w:p>
        </w:tc>
      </w:tr>
      <w:tr w:rsidR="004442B5" w:rsidRPr="00A35CD3" w14:paraId="6735427A" w14:textId="77777777" w:rsidTr="00C85113">
        <w:trPr>
          <w:tblCellSpacing w:w="0" w:type="dxa"/>
        </w:trPr>
        <w:tc>
          <w:tcPr>
            <w:tcW w:w="422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4FBC9D8" w14:textId="77777777" w:rsidR="004442B5" w:rsidRPr="00A35CD3" w:rsidRDefault="004442B5" w:rsidP="00C85113">
            <w:pPr>
              <w:spacing w:after="0" w:line="240" w:lineRule="auto"/>
              <w:ind w:firstLine="0"/>
              <w:jc w:val="left"/>
              <w:rPr>
                <w:color w:val="000000"/>
              </w:rPr>
            </w:pPr>
            <w:r w:rsidRPr="00A35CD3">
              <w:rPr>
                <w:color w:val="000000"/>
              </w:rPr>
              <w:t>Զուտ շահույթի մարժա (%)</w:t>
            </w:r>
          </w:p>
        </w:tc>
        <w:tc>
          <w:tcPr>
            <w:tcW w:w="102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A7B5D39" w14:textId="77777777" w:rsidR="004442B5" w:rsidRPr="00A35CD3" w:rsidRDefault="004442B5" w:rsidP="00C85113">
            <w:pPr>
              <w:spacing w:after="0" w:line="240" w:lineRule="auto"/>
              <w:ind w:firstLine="0"/>
              <w:jc w:val="center"/>
              <w:rPr>
                <w:color w:val="000000"/>
              </w:rPr>
            </w:pPr>
            <w:r w:rsidRPr="00A35CD3">
              <w:rPr>
                <w:color w:val="000000"/>
              </w:rPr>
              <w:t>25.8</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9B45A5A" w14:textId="77777777" w:rsidR="004442B5" w:rsidRPr="00A35CD3" w:rsidRDefault="004442B5" w:rsidP="00C85113">
            <w:pPr>
              <w:spacing w:after="0" w:line="240" w:lineRule="auto"/>
              <w:ind w:firstLine="0"/>
              <w:jc w:val="center"/>
              <w:rPr>
                <w:color w:val="000000"/>
              </w:rPr>
            </w:pPr>
            <w:r w:rsidRPr="00A35CD3">
              <w:rPr>
                <w:color w:val="000000"/>
              </w:rPr>
              <w:t>26.0</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6FB1845" w14:textId="77777777" w:rsidR="004442B5" w:rsidRPr="00A35CD3" w:rsidRDefault="004442B5" w:rsidP="00C85113">
            <w:pPr>
              <w:spacing w:after="0" w:line="240" w:lineRule="auto"/>
              <w:ind w:firstLine="0"/>
              <w:jc w:val="center"/>
              <w:rPr>
                <w:color w:val="000000"/>
              </w:rPr>
            </w:pPr>
            <w:r w:rsidRPr="00A35CD3">
              <w:rPr>
                <w:color w:val="000000"/>
              </w:rPr>
              <w:t>21.3</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9DEE649" w14:textId="77777777" w:rsidR="004442B5" w:rsidRPr="00A35CD3" w:rsidRDefault="004442B5" w:rsidP="00C85113">
            <w:pPr>
              <w:spacing w:after="0" w:line="240" w:lineRule="auto"/>
              <w:ind w:firstLine="0"/>
              <w:jc w:val="center"/>
              <w:rPr>
                <w:color w:val="000000"/>
              </w:rPr>
            </w:pPr>
            <w:r w:rsidRPr="00A35CD3">
              <w:rPr>
                <w:color w:val="000000"/>
              </w:rPr>
              <w:t>Առնվազն 8%</w:t>
            </w:r>
          </w:p>
        </w:tc>
      </w:tr>
      <w:tr w:rsidR="004442B5" w:rsidRPr="00A35CD3" w14:paraId="0B2E2A49" w14:textId="77777777" w:rsidTr="001B57F3">
        <w:trPr>
          <w:tblCellSpacing w:w="0" w:type="dxa"/>
        </w:trPr>
        <w:tc>
          <w:tcPr>
            <w:tcW w:w="422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014438DC" w14:textId="77777777" w:rsidR="004442B5" w:rsidRPr="00A35CD3" w:rsidRDefault="004442B5" w:rsidP="00C85113">
            <w:pPr>
              <w:spacing w:after="0" w:line="240" w:lineRule="auto"/>
              <w:ind w:firstLine="0"/>
              <w:jc w:val="left"/>
              <w:rPr>
                <w:color w:val="000000"/>
              </w:rPr>
            </w:pPr>
            <w:r w:rsidRPr="00A35CD3">
              <w:rPr>
                <w:color w:val="000000"/>
              </w:rPr>
              <w:t>Արագ իրացվելիության գործակից</w:t>
            </w:r>
          </w:p>
        </w:tc>
        <w:tc>
          <w:tcPr>
            <w:tcW w:w="1021"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1461109" w14:textId="77777777" w:rsidR="004442B5" w:rsidRPr="00A35CD3" w:rsidRDefault="004442B5" w:rsidP="00C85113">
            <w:pPr>
              <w:spacing w:after="0" w:line="240" w:lineRule="auto"/>
              <w:ind w:firstLine="0"/>
              <w:jc w:val="center"/>
              <w:rPr>
                <w:color w:val="000000"/>
              </w:rPr>
            </w:pPr>
            <w:r w:rsidRPr="00A35CD3">
              <w:rPr>
                <w:color w:val="000000"/>
              </w:rPr>
              <w:t>3.8</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8085A30" w14:textId="77777777" w:rsidR="004442B5" w:rsidRPr="00A35CD3" w:rsidRDefault="004442B5" w:rsidP="00C85113">
            <w:pPr>
              <w:spacing w:after="0" w:line="240" w:lineRule="auto"/>
              <w:ind w:firstLine="0"/>
              <w:jc w:val="center"/>
              <w:rPr>
                <w:color w:val="000000"/>
              </w:rPr>
            </w:pPr>
            <w:r w:rsidRPr="00A35CD3">
              <w:rPr>
                <w:color w:val="000000"/>
              </w:rPr>
              <w:t>2.9</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2378D990" w14:textId="77777777" w:rsidR="004442B5" w:rsidRPr="00A35CD3" w:rsidRDefault="004442B5" w:rsidP="00C85113">
            <w:pPr>
              <w:spacing w:after="0" w:line="240" w:lineRule="auto"/>
              <w:ind w:firstLine="0"/>
              <w:jc w:val="center"/>
              <w:rPr>
                <w:color w:val="000000"/>
              </w:rPr>
            </w:pPr>
            <w:r w:rsidRPr="00A35CD3">
              <w:rPr>
                <w:color w:val="000000"/>
              </w:rPr>
              <w:t>3.5</w:t>
            </w:r>
          </w:p>
        </w:tc>
        <w:tc>
          <w:tcPr>
            <w:tcW w:w="269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E3F3DAE" w14:textId="77777777" w:rsidR="004442B5" w:rsidRPr="00A35CD3" w:rsidRDefault="004442B5" w:rsidP="00C85113">
            <w:pPr>
              <w:spacing w:after="0" w:line="240" w:lineRule="auto"/>
              <w:ind w:firstLine="0"/>
              <w:jc w:val="center"/>
              <w:rPr>
                <w:color w:val="000000"/>
              </w:rPr>
            </w:pPr>
            <w:r w:rsidRPr="00A35CD3">
              <w:rPr>
                <w:color w:val="000000"/>
              </w:rPr>
              <w:t>Առնվազն 1</w:t>
            </w:r>
          </w:p>
        </w:tc>
      </w:tr>
      <w:tr w:rsidR="004442B5" w:rsidRPr="00A35CD3" w14:paraId="1E47AC21" w14:textId="77777777" w:rsidTr="00C85113">
        <w:trPr>
          <w:tblCellSpacing w:w="0" w:type="dxa"/>
        </w:trPr>
        <w:tc>
          <w:tcPr>
            <w:tcW w:w="422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518DF8E" w14:textId="77777777" w:rsidR="004442B5" w:rsidRPr="00A35CD3" w:rsidRDefault="004442B5" w:rsidP="00C85113">
            <w:pPr>
              <w:spacing w:after="0" w:line="240" w:lineRule="auto"/>
              <w:ind w:firstLine="0"/>
              <w:jc w:val="left"/>
              <w:rPr>
                <w:color w:val="000000"/>
              </w:rPr>
            </w:pPr>
            <w:r w:rsidRPr="00A35CD3">
              <w:rPr>
                <w:color w:val="000000"/>
              </w:rPr>
              <w:t>Դեբիտորական պարտքերի շրջանառություն (օր)</w:t>
            </w:r>
          </w:p>
        </w:tc>
        <w:tc>
          <w:tcPr>
            <w:tcW w:w="102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645046F" w14:textId="77777777" w:rsidR="004442B5" w:rsidRPr="00A35CD3" w:rsidRDefault="004442B5" w:rsidP="00C85113">
            <w:pPr>
              <w:spacing w:after="0" w:line="240" w:lineRule="auto"/>
              <w:ind w:firstLine="0"/>
              <w:jc w:val="center"/>
              <w:rPr>
                <w:color w:val="000000"/>
              </w:rPr>
            </w:pPr>
            <w:r w:rsidRPr="00A35CD3">
              <w:rPr>
                <w:color w:val="000000"/>
              </w:rPr>
              <w:t>65.1</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0C7D27E" w14:textId="77777777" w:rsidR="004442B5" w:rsidRPr="00A35CD3" w:rsidRDefault="004442B5" w:rsidP="00C85113">
            <w:pPr>
              <w:spacing w:after="0" w:line="240" w:lineRule="auto"/>
              <w:ind w:firstLine="0"/>
              <w:jc w:val="center"/>
              <w:rPr>
                <w:color w:val="000000"/>
              </w:rPr>
            </w:pPr>
            <w:r w:rsidRPr="00A35CD3">
              <w:rPr>
                <w:color w:val="000000"/>
              </w:rPr>
              <w:t>59.0</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CE30024" w14:textId="77777777" w:rsidR="004442B5" w:rsidRPr="00A35CD3" w:rsidRDefault="004442B5" w:rsidP="00C85113">
            <w:pPr>
              <w:spacing w:after="0" w:line="240" w:lineRule="auto"/>
              <w:ind w:firstLine="0"/>
              <w:jc w:val="center"/>
              <w:rPr>
                <w:color w:val="000000"/>
              </w:rPr>
            </w:pPr>
            <w:r w:rsidRPr="00A35CD3">
              <w:rPr>
                <w:color w:val="000000"/>
              </w:rPr>
              <w:t>55.8</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B895326" w14:textId="73B34A04" w:rsidR="004442B5" w:rsidRPr="00A35CD3" w:rsidRDefault="004442B5" w:rsidP="00C85113">
            <w:pPr>
              <w:spacing w:after="0" w:line="240" w:lineRule="auto"/>
              <w:ind w:firstLine="0"/>
              <w:jc w:val="center"/>
              <w:rPr>
                <w:color w:val="000000"/>
              </w:rPr>
            </w:pPr>
            <w:r w:rsidRPr="00A35CD3">
              <w:rPr>
                <w:color w:val="000000"/>
              </w:rPr>
              <w:t>Առավելագու</w:t>
            </w:r>
            <w:r w:rsidR="007724F4">
              <w:rPr>
                <w:color w:val="000000"/>
                <w:lang w:val="hy-AM"/>
              </w:rPr>
              <w:t>յ</w:t>
            </w:r>
            <w:r w:rsidRPr="00A35CD3">
              <w:rPr>
                <w:color w:val="000000"/>
              </w:rPr>
              <w:t>նը 60 օր</w:t>
            </w:r>
          </w:p>
        </w:tc>
      </w:tr>
      <w:tr w:rsidR="004442B5" w:rsidRPr="00A35CD3" w14:paraId="59A53CEB" w14:textId="77777777" w:rsidTr="001B57F3">
        <w:trPr>
          <w:tblCellSpacing w:w="0" w:type="dxa"/>
        </w:trPr>
        <w:tc>
          <w:tcPr>
            <w:tcW w:w="422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EA320DD" w14:textId="77777777" w:rsidR="004442B5" w:rsidRPr="00A35CD3" w:rsidRDefault="004442B5" w:rsidP="00C85113">
            <w:pPr>
              <w:spacing w:after="0" w:line="240" w:lineRule="auto"/>
              <w:ind w:firstLine="0"/>
              <w:jc w:val="left"/>
              <w:rPr>
                <w:color w:val="000000"/>
              </w:rPr>
            </w:pPr>
            <w:r w:rsidRPr="00A35CD3">
              <w:rPr>
                <w:color w:val="000000"/>
              </w:rPr>
              <w:t>Պարտքի սպասարկման գործակից</w:t>
            </w:r>
          </w:p>
        </w:tc>
        <w:tc>
          <w:tcPr>
            <w:tcW w:w="1021"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330A4F1" w14:textId="77777777" w:rsidR="004442B5" w:rsidRPr="00A35CD3" w:rsidRDefault="004442B5" w:rsidP="00C85113">
            <w:pPr>
              <w:spacing w:after="0" w:line="240" w:lineRule="auto"/>
              <w:ind w:firstLine="0"/>
              <w:jc w:val="center"/>
              <w:rPr>
                <w:color w:val="000000"/>
              </w:rPr>
            </w:pPr>
            <w:r w:rsidRPr="00A35CD3">
              <w:rPr>
                <w:color w:val="000000"/>
              </w:rPr>
              <w:t>0.02</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4C345F2F" w14:textId="77777777" w:rsidR="004442B5" w:rsidRPr="00A35CD3" w:rsidRDefault="004442B5" w:rsidP="00C85113">
            <w:pPr>
              <w:spacing w:after="0" w:line="240" w:lineRule="auto"/>
              <w:ind w:firstLine="0"/>
              <w:jc w:val="center"/>
              <w:rPr>
                <w:color w:val="000000"/>
              </w:rPr>
            </w:pPr>
            <w:r w:rsidRPr="00A35CD3">
              <w:rPr>
                <w:color w:val="000000"/>
              </w:rPr>
              <w:t>0.02</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034594E" w14:textId="77777777" w:rsidR="004442B5" w:rsidRPr="00A35CD3" w:rsidRDefault="004442B5" w:rsidP="00C85113">
            <w:pPr>
              <w:spacing w:after="0" w:line="240" w:lineRule="auto"/>
              <w:ind w:firstLine="0"/>
              <w:jc w:val="center"/>
              <w:rPr>
                <w:color w:val="000000"/>
              </w:rPr>
            </w:pPr>
            <w:r w:rsidRPr="00A35CD3">
              <w:rPr>
                <w:color w:val="000000"/>
              </w:rPr>
              <w:t>0.01</w:t>
            </w:r>
          </w:p>
        </w:tc>
        <w:tc>
          <w:tcPr>
            <w:tcW w:w="269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4352C6E6" w14:textId="77777777" w:rsidR="004442B5" w:rsidRPr="00A35CD3" w:rsidRDefault="004442B5" w:rsidP="00C85113">
            <w:pPr>
              <w:spacing w:after="0" w:line="240" w:lineRule="auto"/>
              <w:ind w:firstLine="0"/>
              <w:jc w:val="center"/>
              <w:rPr>
                <w:color w:val="000000"/>
              </w:rPr>
            </w:pPr>
            <w:r w:rsidRPr="00A35CD3">
              <w:rPr>
                <w:color w:val="000000"/>
              </w:rPr>
              <w:t>Առավելագույնը 0.5</w:t>
            </w:r>
          </w:p>
        </w:tc>
      </w:tr>
      <w:tr w:rsidR="004442B5" w:rsidRPr="00A35CD3" w14:paraId="3E448403" w14:textId="77777777" w:rsidTr="00C85113">
        <w:trPr>
          <w:tblCellSpacing w:w="0" w:type="dxa"/>
        </w:trPr>
        <w:tc>
          <w:tcPr>
            <w:tcW w:w="422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31EFBA2" w14:textId="77777777" w:rsidR="004442B5" w:rsidRPr="00A35CD3" w:rsidRDefault="004442B5" w:rsidP="00C85113">
            <w:pPr>
              <w:spacing w:after="0" w:line="240" w:lineRule="auto"/>
              <w:ind w:firstLine="0"/>
              <w:jc w:val="left"/>
              <w:rPr>
                <w:color w:val="000000"/>
              </w:rPr>
            </w:pPr>
            <w:r w:rsidRPr="00A35CD3">
              <w:rPr>
                <w:color w:val="000000"/>
              </w:rPr>
              <w:t>Վերաֆինանսավորման գործակից</w:t>
            </w:r>
          </w:p>
        </w:tc>
        <w:tc>
          <w:tcPr>
            <w:tcW w:w="102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6A83DC8" w14:textId="77777777" w:rsidR="004442B5" w:rsidRPr="00A35CD3" w:rsidRDefault="004442B5" w:rsidP="00C85113">
            <w:pPr>
              <w:spacing w:after="0" w:line="240" w:lineRule="auto"/>
              <w:ind w:firstLine="0"/>
              <w:jc w:val="center"/>
              <w:rPr>
                <w:color w:val="000000"/>
              </w:rPr>
            </w:pPr>
            <w:r w:rsidRPr="00A35CD3">
              <w:rPr>
                <w:color w:val="000000"/>
              </w:rPr>
              <w:t>0.44</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F5709E2" w14:textId="77777777" w:rsidR="004442B5" w:rsidRPr="00A35CD3" w:rsidRDefault="004442B5" w:rsidP="00C85113">
            <w:pPr>
              <w:spacing w:after="0" w:line="240" w:lineRule="auto"/>
              <w:ind w:firstLine="0"/>
              <w:jc w:val="center"/>
              <w:rPr>
                <w:color w:val="000000"/>
              </w:rPr>
            </w:pPr>
            <w:r w:rsidRPr="00A35CD3">
              <w:rPr>
                <w:color w:val="000000"/>
              </w:rPr>
              <w:t>0.55</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922EFFB" w14:textId="77777777" w:rsidR="004442B5" w:rsidRPr="00A35CD3" w:rsidRDefault="004442B5" w:rsidP="00C85113">
            <w:pPr>
              <w:spacing w:after="0" w:line="240" w:lineRule="auto"/>
              <w:ind w:firstLine="0"/>
              <w:jc w:val="center"/>
              <w:rPr>
                <w:color w:val="000000"/>
              </w:rPr>
            </w:pPr>
            <w:r w:rsidRPr="00A35CD3">
              <w:rPr>
                <w:color w:val="000000"/>
              </w:rPr>
              <w:t>0.53</w:t>
            </w:r>
          </w:p>
        </w:tc>
        <w:tc>
          <w:tcPr>
            <w:tcW w:w="269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C5D3199" w14:textId="77777777" w:rsidR="004442B5" w:rsidRPr="00A35CD3" w:rsidRDefault="004442B5" w:rsidP="00C85113">
            <w:pPr>
              <w:spacing w:after="0" w:line="240" w:lineRule="auto"/>
              <w:ind w:firstLine="0"/>
              <w:jc w:val="center"/>
              <w:rPr>
                <w:color w:val="000000"/>
              </w:rPr>
            </w:pPr>
            <w:r w:rsidRPr="00A35CD3">
              <w:rPr>
                <w:color w:val="000000"/>
              </w:rPr>
              <w:t>Առավելագույնը 1</w:t>
            </w:r>
          </w:p>
        </w:tc>
      </w:tr>
      <w:tr w:rsidR="004442B5" w:rsidRPr="00A35CD3" w14:paraId="6AF4C01A" w14:textId="77777777" w:rsidTr="001B57F3">
        <w:trPr>
          <w:tblCellSpacing w:w="0" w:type="dxa"/>
        </w:trPr>
        <w:tc>
          <w:tcPr>
            <w:tcW w:w="422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589413A" w14:textId="77777777" w:rsidR="004442B5" w:rsidRPr="00A35CD3" w:rsidRDefault="004442B5" w:rsidP="00C85113">
            <w:pPr>
              <w:spacing w:after="0" w:line="240" w:lineRule="auto"/>
              <w:ind w:firstLine="0"/>
              <w:jc w:val="left"/>
              <w:rPr>
                <w:color w:val="000000"/>
              </w:rPr>
            </w:pPr>
            <w:r w:rsidRPr="00A35CD3">
              <w:rPr>
                <w:color w:val="000000"/>
              </w:rPr>
              <w:t>Z միավոր</w:t>
            </w:r>
          </w:p>
        </w:tc>
        <w:tc>
          <w:tcPr>
            <w:tcW w:w="1021"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5D983B9D" w14:textId="77777777" w:rsidR="004442B5" w:rsidRPr="00A35CD3" w:rsidRDefault="004442B5" w:rsidP="00C85113">
            <w:pPr>
              <w:spacing w:after="0" w:line="240" w:lineRule="auto"/>
              <w:ind w:firstLine="0"/>
              <w:jc w:val="center"/>
              <w:rPr>
                <w:color w:val="000000"/>
              </w:rPr>
            </w:pPr>
            <w:r w:rsidRPr="00A35CD3">
              <w:rPr>
                <w:color w:val="000000"/>
              </w:rPr>
              <w:t>3.6</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433E54E" w14:textId="77777777" w:rsidR="004442B5" w:rsidRPr="00A35CD3" w:rsidRDefault="004442B5" w:rsidP="00C85113">
            <w:pPr>
              <w:spacing w:after="0" w:line="240" w:lineRule="auto"/>
              <w:ind w:firstLine="0"/>
              <w:jc w:val="center"/>
              <w:rPr>
                <w:color w:val="000000"/>
              </w:rPr>
            </w:pPr>
            <w:r w:rsidRPr="00A35CD3">
              <w:rPr>
                <w:color w:val="000000"/>
              </w:rPr>
              <w:t>3.9</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45F0B10F" w14:textId="77777777" w:rsidR="004442B5" w:rsidRPr="00A35CD3" w:rsidRDefault="004442B5" w:rsidP="00C85113">
            <w:pPr>
              <w:spacing w:after="0" w:line="240" w:lineRule="auto"/>
              <w:ind w:firstLine="0"/>
              <w:jc w:val="center"/>
              <w:rPr>
                <w:color w:val="000000"/>
              </w:rPr>
            </w:pPr>
            <w:r w:rsidRPr="00A35CD3">
              <w:rPr>
                <w:color w:val="000000"/>
              </w:rPr>
              <w:t>4.2</w:t>
            </w:r>
          </w:p>
        </w:tc>
        <w:tc>
          <w:tcPr>
            <w:tcW w:w="269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DC5707B" w14:textId="77777777" w:rsidR="004442B5" w:rsidRPr="00A35CD3" w:rsidRDefault="004442B5" w:rsidP="00C85113">
            <w:pPr>
              <w:spacing w:after="0" w:line="240" w:lineRule="auto"/>
              <w:ind w:firstLine="0"/>
              <w:jc w:val="center"/>
              <w:rPr>
                <w:color w:val="000000"/>
              </w:rPr>
            </w:pPr>
            <w:r w:rsidRPr="00A35CD3">
              <w:rPr>
                <w:color w:val="000000"/>
              </w:rPr>
              <w:t>Ապահով գոտի` Z&gt;2.6,</w:t>
            </w:r>
            <w:r w:rsidRPr="00A35CD3">
              <w:rPr>
                <w:color w:val="000000"/>
              </w:rPr>
              <w:br/>
              <w:t xml:space="preserve">Գորշ գոտի`     </w:t>
            </w:r>
          </w:p>
          <w:p w14:paraId="5A78E4F7" w14:textId="77777777" w:rsidR="004442B5" w:rsidRPr="00A35CD3" w:rsidRDefault="004442B5" w:rsidP="00C85113">
            <w:pPr>
              <w:spacing w:after="0" w:line="240" w:lineRule="auto"/>
              <w:ind w:firstLine="0"/>
              <w:jc w:val="center"/>
              <w:rPr>
                <w:color w:val="000000"/>
              </w:rPr>
            </w:pPr>
            <w:r w:rsidRPr="00A35CD3">
              <w:rPr>
                <w:color w:val="000000"/>
              </w:rPr>
              <w:t xml:space="preserve">  1.1&lt; Z&lt;2.6,</w:t>
            </w:r>
            <w:r w:rsidRPr="00A35CD3">
              <w:rPr>
                <w:color w:val="000000"/>
              </w:rPr>
              <w:br/>
              <w:t>Ծանր գոտի` Z&lt;1.1</w:t>
            </w:r>
          </w:p>
        </w:tc>
      </w:tr>
    </w:tbl>
    <w:p w14:paraId="4A7AA69F" w14:textId="77777777" w:rsidR="004442B5" w:rsidRDefault="004442B5" w:rsidP="004442B5">
      <w:pPr>
        <w:shd w:val="clear" w:color="auto" w:fill="FFFFFF"/>
        <w:spacing w:after="0" w:line="240" w:lineRule="auto"/>
        <w:ind w:right="150" w:firstLine="450"/>
        <w:rPr>
          <w:rFonts w:ascii="Sylfaen" w:hAnsi="Sylfaen"/>
          <w:color w:val="000000"/>
          <w:sz w:val="24"/>
          <w:szCs w:val="24"/>
        </w:rPr>
      </w:pPr>
    </w:p>
    <w:p w14:paraId="5E57014B" w14:textId="77777777" w:rsidR="004442B5" w:rsidRPr="00A35CD3" w:rsidRDefault="004442B5" w:rsidP="004442B5">
      <w:pPr>
        <w:shd w:val="clear" w:color="auto" w:fill="FFFFFF"/>
        <w:spacing w:after="0" w:line="240" w:lineRule="auto"/>
        <w:ind w:right="150" w:firstLine="450"/>
        <w:rPr>
          <w:color w:val="000000"/>
          <w:sz w:val="24"/>
          <w:szCs w:val="24"/>
        </w:rPr>
      </w:pPr>
    </w:p>
    <w:p w14:paraId="4AD98ACA" w14:textId="77777777" w:rsidR="004442B5" w:rsidRPr="00A35CD3" w:rsidRDefault="004442B5" w:rsidP="00DC7720">
      <w:pPr>
        <w:shd w:val="clear" w:color="auto" w:fill="FFFFFF"/>
        <w:spacing w:after="0" w:line="276" w:lineRule="auto"/>
        <w:ind w:right="144" w:firstLine="450"/>
        <w:rPr>
          <w:color w:val="000000"/>
        </w:rPr>
      </w:pPr>
      <w:r w:rsidRPr="00A35CD3">
        <w:rPr>
          <w:color w:val="000000"/>
        </w:rPr>
        <w:t>Ինչպես երևում է աղյուսակից հաշվետու ժամանակաշրջանում սնանկացման կանխատեսման Ալթմանի Z-միավորը վկայում է Ընկերությունների ֆինանսական վիճակի</w:t>
      </w:r>
      <w:r>
        <w:rPr>
          <w:color w:val="000000"/>
        </w:rPr>
        <w:t xml:space="preserve"> վատթարացման</w:t>
      </w:r>
      <w:r w:rsidRPr="00A35CD3">
        <w:rPr>
          <w:color w:val="000000"/>
        </w:rPr>
        <w:t xml:space="preserve"> ցածր հավանականության մասին (գործակիցը` Z=4.2, գտնվում է սահմանված ապահով գոտում` Z&gt;2.6):</w:t>
      </w:r>
    </w:p>
    <w:p w14:paraId="16AE3A7B" w14:textId="77777777" w:rsidR="004442B5" w:rsidRPr="00A35CD3" w:rsidRDefault="004442B5" w:rsidP="00DC7720">
      <w:pPr>
        <w:shd w:val="clear" w:color="auto" w:fill="FFFFFF"/>
        <w:spacing w:after="0" w:line="276" w:lineRule="auto"/>
        <w:ind w:right="144" w:firstLine="450"/>
        <w:rPr>
          <w:color w:val="000000"/>
        </w:rPr>
      </w:pPr>
      <w:r w:rsidRPr="00A35CD3">
        <w:rPr>
          <w:color w:val="000000"/>
        </w:rPr>
        <w:t>Հաշվետու ժամանակաշրջանում ստուգաճշտող լրացուցիչ ֆինանսական վեց գործակիցները հիմնականում ապահովել են միջազգային պրակտիկայում ընդունված թույլատրելի սահմանային նորմաները և վկայում են ֆինանսական ծանր վիճակի ցածր հավանականության մասին:</w:t>
      </w:r>
    </w:p>
    <w:p w14:paraId="35064505" w14:textId="77777777" w:rsidR="004442B5" w:rsidRPr="00A35CD3" w:rsidRDefault="004442B5" w:rsidP="00DC7720">
      <w:pPr>
        <w:shd w:val="clear" w:color="auto" w:fill="FFFFFF"/>
        <w:spacing w:after="0" w:line="276" w:lineRule="auto"/>
        <w:ind w:right="144" w:firstLine="450"/>
        <w:rPr>
          <w:color w:val="000000"/>
        </w:rPr>
      </w:pPr>
      <w:r w:rsidRPr="00A35CD3">
        <w:rPr>
          <w:color w:val="000000"/>
        </w:rPr>
        <w:t xml:space="preserve">Հաշվի առնելով, որ հաշվետու ժամանակաշրջանում Ընկերությունների ֆինանսական ծանր վիճակի հավանականությունը գնահատող Z-միավորը վկայում է Ընկերությունների ֆինանսական ծանր վիճակի ցածր հավանականության մասին, իսկ ստուգաճշտող լրացուցիչ ֆինանսական գործակիցները ապահովել են միջազգային պրակտիկայում ընդունված թույլատրելի սահմանային նորմաները և վկայում են ֆինանսական ծանր վիճակի ցածր հավանականության մասին, հետևաբար </w:t>
      </w:r>
      <w:r w:rsidRPr="00A35CD3">
        <w:rPr>
          <w:color w:val="000000"/>
        </w:rPr>
        <w:lastRenderedPageBreak/>
        <w:t xml:space="preserve">այս երկու նախնական գնահատումների զուգակցման արդյունքում Ընկերությունների ֆինանսական վիճակի </w:t>
      </w:r>
      <w:r>
        <w:rPr>
          <w:color w:val="000000"/>
        </w:rPr>
        <w:t xml:space="preserve">վատթարացման </w:t>
      </w:r>
      <w:r w:rsidRPr="00A35CD3">
        <w:rPr>
          <w:color w:val="000000"/>
        </w:rPr>
        <w:t>հավանականությունը գնահատվում է ցածր:</w:t>
      </w:r>
    </w:p>
    <w:p w14:paraId="4C929D78" w14:textId="77777777" w:rsidR="004442B5" w:rsidRPr="00A35CD3" w:rsidRDefault="004442B5" w:rsidP="00DC7720">
      <w:pPr>
        <w:shd w:val="clear" w:color="auto" w:fill="FFFFFF"/>
        <w:spacing w:after="0" w:line="276" w:lineRule="auto"/>
        <w:ind w:right="144" w:firstLine="450"/>
        <w:rPr>
          <w:b/>
          <w:color w:val="000000"/>
          <w:sz w:val="24"/>
          <w:szCs w:val="24"/>
        </w:rPr>
      </w:pPr>
    </w:p>
    <w:p w14:paraId="2FAFD777" w14:textId="77777777" w:rsidR="004442B5" w:rsidRPr="00A35CD3" w:rsidRDefault="004442B5" w:rsidP="00DC7720">
      <w:pPr>
        <w:shd w:val="clear" w:color="auto" w:fill="FFFFFF"/>
        <w:spacing w:after="0" w:line="276" w:lineRule="auto"/>
        <w:ind w:left="450" w:right="144"/>
        <w:jc w:val="center"/>
        <w:rPr>
          <w:b/>
          <w:color w:val="000000"/>
          <w:lang w:val="hy-AM"/>
        </w:rPr>
      </w:pPr>
      <w:r w:rsidRPr="00A35CD3">
        <w:rPr>
          <w:b/>
          <w:color w:val="000000"/>
        </w:rPr>
        <w:t>Ոռոգման ոլորտ</w:t>
      </w:r>
      <w:r w:rsidRPr="00A35CD3">
        <w:rPr>
          <w:b/>
          <w:color w:val="000000"/>
          <w:lang w:val="hy-AM"/>
        </w:rPr>
        <w:t xml:space="preserve">ի </w:t>
      </w:r>
      <w:r w:rsidRPr="00A35CD3">
        <w:rPr>
          <w:b/>
          <w:color w:val="000000"/>
        </w:rPr>
        <w:t>պետական մասնակցությամբ ընկերություններ</w:t>
      </w:r>
    </w:p>
    <w:p w14:paraId="07E9C607" w14:textId="77777777" w:rsidR="004442B5" w:rsidRPr="003A3567" w:rsidRDefault="004442B5" w:rsidP="00DC7720">
      <w:pPr>
        <w:shd w:val="clear" w:color="auto" w:fill="FFFFFF"/>
        <w:spacing w:after="0" w:line="276" w:lineRule="auto"/>
        <w:ind w:right="144" w:firstLine="450"/>
        <w:rPr>
          <w:color w:val="000000"/>
          <w:lang w:val="hy-AM"/>
        </w:rPr>
      </w:pPr>
      <w:r w:rsidRPr="003A3567">
        <w:rPr>
          <w:color w:val="000000"/>
          <w:lang w:val="hy-AM"/>
        </w:rPr>
        <w:t>Ոռոգման ոլորտի դիտանցման ենթարկված պետական մասնակցությամբ երկու ընկերությունների գործունեության արդյունքում հարկաբյուջետային ռիսկերն են.</w:t>
      </w:r>
    </w:p>
    <w:p w14:paraId="2E5EAD32" w14:textId="77777777" w:rsidR="004442B5" w:rsidRPr="003A3567" w:rsidRDefault="004442B5" w:rsidP="00DC7720">
      <w:pPr>
        <w:shd w:val="clear" w:color="auto" w:fill="FFFFFF"/>
        <w:spacing w:after="0" w:line="276" w:lineRule="auto"/>
        <w:ind w:right="144" w:firstLine="450"/>
        <w:rPr>
          <w:color w:val="000000"/>
          <w:lang w:val="hy-AM"/>
        </w:rPr>
      </w:pPr>
      <w:r w:rsidRPr="003A3567">
        <w:rPr>
          <w:lang w:val="hy-AM"/>
        </w:rPr>
        <w:t xml:space="preserve">● </w:t>
      </w:r>
      <w:r w:rsidRPr="003A3567">
        <w:rPr>
          <w:color w:val="000000"/>
          <w:lang w:val="hy-AM"/>
        </w:rPr>
        <w:t xml:space="preserve">Ընկերությունների ֆինանսական վիճակի վատթարացման </w:t>
      </w:r>
      <w:r w:rsidRPr="00E23BBD">
        <w:rPr>
          <w:color w:val="000000"/>
          <w:lang w:val="hy-AM"/>
        </w:rPr>
        <w:t>դեպքում</w:t>
      </w:r>
      <w:r w:rsidRPr="003A3567">
        <w:rPr>
          <w:color w:val="000000"/>
          <w:lang w:val="hy-AM"/>
        </w:rPr>
        <w:t xml:space="preserve"> որպես ժամանակավոր օգնություն չնախատեսված բյուջետային վարկերի տրամադրման կամ սեփական կապիտալի համալրման համար բյուջետային հատկացումների անհրաժեշտության առաջացում,</w:t>
      </w:r>
    </w:p>
    <w:p w14:paraId="012728EA" w14:textId="77777777" w:rsidR="004442B5" w:rsidRPr="003A3567" w:rsidRDefault="004442B5" w:rsidP="00DC7720">
      <w:pPr>
        <w:shd w:val="clear" w:color="auto" w:fill="FFFFFF"/>
        <w:spacing w:after="0" w:line="276" w:lineRule="auto"/>
        <w:ind w:right="144" w:firstLine="450"/>
        <w:rPr>
          <w:color w:val="000000"/>
          <w:lang w:val="hy-AM"/>
        </w:rPr>
      </w:pPr>
      <w:r w:rsidRPr="003A3567">
        <w:rPr>
          <w:lang w:val="hy-AM"/>
        </w:rPr>
        <w:t xml:space="preserve">● </w:t>
      </w:r>
      <w:r w:rsidRPr="003A3567">
        <w:rPr>
          <w:color w:val="000000"/>
          <w:lang w:val="hy-AM"/>
        </w:rPr>
        <w:t>Ընկերություններին չնախատեսված սուբսիդիաների տրամադրում կամ այլ վճարումներ կատարելու անհրաժեշտություն,</w:t>
      </w:r>
    </w:p>
    <w:p w14:paraId="56595300" w14:textId="77777777" w:rsidR="004442B5" w:rsidRPr="003A3567" w:rsidRDefault="004442B5" w:rsidP="00DC7720">
      <w:pPr>
        <w:shd w:val="clear" w:color="auto" w:fill="FFFFFF"/>
        <w:spacing w:after="0" w:line="276" w:lineRule="auto"/>
        <w:ind w:right="144" w:firstLine="0"/>
        <w:rPr>
          <w:color w:val="000000"/>
          <w:lang w:val="hy-AM"/>
        </w:rPr>
      </w:pPr>
      <w:r w:rsidRPr="00CC52CD">
        <w:rPr>
          <w:lang w:val="hy-AM"/>
        </w:rPr>
        <w:t xml:space="preserve">      </w:t>
      </w:r>
      <w:r w:rsidRPr="003A3567">
        <w:rPr>
          <w:lang w:val="hy-AM"/>
        </w:rPr>
        <w:t>●</w:t>
      </w:r>
      <w:r w:rsidRPr="00A35CD3">
        <w:rPr>
          <w:lang w:val="hy-AM"/>
        </w:rPr>
        <w:t xml:space="preserve"> </w:t>
      </w:r>
      <w:r w:rsidRPr="003A3567">
        <w:rPr>
          <w:color w:val="000000"/>
          <w:lang w:val="hy-AM"/>
        </w:rPr>
        <w:t>Ընկերություններից պետական բյուջեի մուտքերի կազմում նախատեսված շահութաբաժինների չստացում,</w:t>
      </w:r>
    </w:p>
    <w:p w14:paraId="3BD21778" w14:textId="77777777" w:rsidR="004442B5" w:rsidRPr="003A3567" w:rsidRDefault="004442B5" w:rsidP="00DC7720">
      <w:pPr>
        <w:shd w:val="clear" w:color="auto" w:fill="FFFFFF"/>
        <w:spacing w:after="0" w:line="276" w:lineRule="auto"/>
        <w:ind w:right="144" w:firstLine="450"/>
        <w:rPr>
          <w:color w:val="000000"/>
          <w:lang w:val="hy-AM"/>
        </w:rPr>
      </w:pPr>
      <w:r w:rsidRPr="003A3567">
        <w:rPr>
          <w:lang w:val="hy-AM"/>
        </w:rPr>
        <w:t xml:space="preserve">● </w:t>
      </w:r>
      <w:r w:rsidRPr="003A3567">
        <w:rPr>
          <w:color w:val="000000"/>
          <w:lang w:val="hy-AM"/>
        </w:rPr>
        <w:t>ՀՀ պետական բյուջեից Ընկերություններին տրամադրված վարկային միջոցների օգտագործման դիմաց հաշվարկված տոկոսների չվճարում և մայր գումարների չմարում:</w:t>
      </w:r>
    </w:p>
    <w:p w14:paraId="05DB2E30" w14:textId="77777777" w:rsidR="004442B5" w:rsidRPr="003A3567" w:rsidRDefault="004442B5" w:rsidP="00DC7720">
      <w:pPr>
        <w:shd w:val="clear" w:color="auto" w:fill="FFFFFF"/>
        <w:spacing w:after="0" w:line="276" w:lineRule="auto"/>
        <w:ind w:right="144" w:firstLine="450"/>
        <w:rPr>
          <w:color w:val="000000"/>
          <w:lang w:val="hy-AM"/>
        </w:rPr>
      </w:pPr>
      <w:r w:rsidRPr="003A3567">
        <w:rPr>
          <w:color w:val="000000"/>
          <w:lang w:val="hy-AM"/>
        </w:rPr>
        <w:t>Հաշվետու ժամանակաշրջանում ոռոգման ոլորտի երկու պետական մասնակցությամբ ընկերությունների (Ընկերություններ) հիմնական գործունեությունից ստացված հանրագումարային եկամուտները կազմել են 2.65 մլրդ դրամ` նախորդ ժամանակաշրջանի 3.62 մլրդ դրամի դիմաց կամ 0.97 մլրդ դրամով պակաս (26.8%):</w:t>
      </w:r>
    </w:p>
    <w:p w14:paraId="4487A7E0" w14:textId="77777777" w:rsidR="004442B5" w:rsidRPr="003A3567" w:rsidRDefault="004442B5" w:rsidP="00DC7720">
      <w:pPr>
        <w:shd w:val="clear" w:color="auto" w:fill="FFFFFF"/>
        <w:spacing w:after="0" w:line="276" w:lineRule="auto"/>
        <w:ind w:right="144" w:firstLine="450"/>
        <w:rPr>
          <w:color w:val="000000"/>
          <w:lang w:val="hy-AM"/>
        </w:rPr>
      </w:pPr>
      <w:r w:rsidRPr="003A3567">
        <w:rPr>
          <w:color w:val="000000"/>
          <w:lang w:val="hy-AM"/>
        </w:rPr>
        <w:t>Հաշվետու ժամանակաշրջանում այդ Ընկերությունների հանրագումարային ծախսերը կազմել են 5.72 մլրդ դրամ` նախորդ ժամանակաշրջանի 7.74 մլրդ դրամի դիմաց` կամ պակաս 2.02 մլրդ դրամով (26.1%):</w:t>
      </w:r>
      <w:r w:rsidRPr="003A3567">
        <w:rPr>
          <w:rFonts w:ascii="Sylfaen" w:hAnsi="Sylfaen"/>
          <w:color w:val="000000"/>
          <w:lang w:val="hy-AM"/>
        </w:rPr>
        <w:t> </w:t>
      </w:r>
    </w:p>
    <w:p w14:paraId="23401E4F" w14:textId="77777777" w:rsidR="004442B5" w:rsidRPr="00B82399" w:rsidRDefault="004442B5" w:rsidP="00DC7720">
      <w:pPr>
        <w:shd w:val="clear" w:color="auto" w:fill="FFFFFF"/>
        <w:spacing w:after="0" w:line="276" w:lineRule="auto"/>
        <w:ind w:right="144" w:firstLine="450"/>
        <w:rPr>
          <w:color w:val="000000"/>
          <w:lang w:val="hy-AM"/>
        </w:rPr>
      </w:pPr>
      <w:r w:rsidRPr="00B82399">
        <w:rPr>
          <w:color w:val="000000"/>
          <w:lang w:val="hy-AM"/>
        </w:rPr>
        <w:t>Հաշվետու ժամանակաշրջանում Ընկերությունների հանրագումարային 2.65 մլրդ դրամ ընդհանուր եկամուտների և 5.72 մլրդ դրամ ընդհանուր ծախսերի արդյունքում վնասը կազմել է 3.07 մլրդ դրամ, իսկ զուտ վնասը նախորդ ժամանակաշրջանի նկատմամբ պակասել է 1.09 մլրդ դրամով (26.1%) ((աղյուսակ):</w:t>
      </w:r>
    </w:p>
    <w:p w14:paraId="6DD77FAF" w14:textId="77777777" w:rsidR="004442B5" w:rsidRPr="00DC7720" w:rsidRDefault="004442B5" w:rsidP="004442B5">
      <w:pPr>
        <w:shd w:val="clear" w:color="auto" w:fill="FFFFFF"/>
        <w:spacing w:after="0" w:line="240" w:lineRule="auto"/>
        <w:ind w:right="147" w:firstLine="448"/>
        <w:rPr>
          <w:b/>
          <w:i/>
          <w:color w:val="000000"/>
          <w:sz w:val="20"/>
          <w:szCs w:val="20"/>
          <w:lang w:val="hy-AM"/>
        </w:rPr>
      </w:pPr>
      <w:r w:rsidRPr="00B82399">
        <w:rPr>
          <w:rFonts w:ascii="Sylfaen" w:hAnsi="Sylfaen"/>
          <w:b/>
          <w:color w:val="000000"/>
          <w:lang w:val="hy-AM"/>
        </w:rPr>
        <w:t> </w:t>
      </w:r>
      <w:r w:rsidRPr="00DC7720">
        <w:rPr>
          <w:b/>
          <w:bCs/>
          <w:color w:val="000000"/>
          <w:sz w:val="20"/>
          <w:szCs w:val="20"/>
          <w:lang w:val="hy-AM"/>
        </w:rPr>
        <w:t xml:space="preserve">Աղյուսակ </w:t>
      </w:r>
      <w:r w:rsidR="00DC7720" w:rsidRPr="00BE7F99">
        <w:rPr>
          <w:b/>
          <w:bCs/>
          <w:color w:val="000000"/>
          <w:sz w:val="20"/>
          <w:szCs w:val="20"/>
          <w:lang w:val="hy-AM"/>
        </w:rPr>
        <w:t>5.</w:t>
      </w:r>
      <w:r w:rsidRPr="00DC7720">
        <w:rPr>
          <w:b/>
          <w:bCs/>
          <w:color w:val="000000"/>
          <w:sz w:val="20"/>
          <w:szCs w:val="20"/>
          <w:lang w:val="hy-AM"/>
        </w:rPr>
        <w:t>9</w:t>
      </w:r>
      <w:r w:rsidRPr="00DC7720">
        <w:rPr>
          <w:b/>
          <w:color w:val="000000"/>
          <w:sz w:val="20"/>
          <w:szCs w:val="20"/>
          <w:lang w:val="hy-AM"/>
        </w:rPr>
        <w:t xml:space="preserve"> </w:t>
      </w:r>
      <w:r w:rsidRPr="00DC7720">
        <w:rPr>
          <w:i/>
          <w:color w:val="000000"/>
          <w:sz w:val="20"/>
          <w:szCs w:val="20"/>
          <w:lang w:val="hy-AM"/>
        </w:rPr>
        <w:t xml:space="preserve">Ոռոգման ոլորտի պետական մասնակցությամբ ընկերությունների հանրագումարային զուտ շահույթը (վնասը) ըստ տարիներ                                                                                                                                         </w:t>
      </w:r>
    </w:p>
    <w:p w14:paraId="7F4A453F" w14:textId="77777777" w:rsidR="004442B5" w:rsidRPr="00BE1621" w:rsidRDefault="004442B5" w:rsidP="004442B5">
      <w:pPr>
        <w:shd w:val="clear" w:color="auto" w:fill="FFFFFF"/>
        <w:spacing w:after="0" w:line="240" w:lineRule="auto"/>
        <w:ind w:right="147" w:firstLine="448"/>
        <w:jc w:val="right"/>
        <w:rPr>
          <w:i/>
          <w:color w:val="000000"/>
          <w:sz w:val="18"/>
          <w:szCs w:val="18"/>
          <w:lang w:val="hy-AM"/>
        </w:rPr>
      </w:pPr>
      <w:r w:rsidRPr="00B82399">
        <w:rPr>
          <w:i/>
          <w:color w:val="000000"/>
          <w:sz w:val="18"/>
          <w:szCs w:val="18"/>
          <w:lang w:val="hy-AM"/>
        </w:rPr>
        <w:t xml:space="preserve"> </w:t>
      </w:r>
      <w:r w:rsidRPr="00BE1621">
        <w:rPr>
          <w:i/>
          <w:color w:val="000000"/>
          <w:sz w:val="18"/>
          <w:szCs w:val="18"/>
          <w:lang w:val="hy-AM"/>
        </w:rPr>
        <w:t>հազ. դրամ</w:t>
      </w:r>
    </w:p>
    <w:tbl>
      <w:tblPr>
        <w:tblW w:w="4896" w:type="pct"/>
        <w:tblLook w:val="04A0" w:firstRow="1" w:lastRow="0" w:firstColumn="1" w:lastColumn="0" w:noHBand="0" w:noVBand="1"/>
      </w:tblPr>
      <w:tblGrid>
        <w:gridCol w:w="904"/>
        <w:gridCol w:w="4225"/>
        <w:gridCol w:w="1778"/>
        <w:gridCol w:w="1517"/>
        <w:gridCol w:w="1709"/>
      </w:tblGrid>
      <w:tr w:rsidR="004442B5" w:rsidRPr="00DC7720" w14:paraId="24171430" w14:textId="77777777" w:rsidTr="00C85113">
        <w:trPr>
          <w:trHeight w:val="199"/>
        </w:trPr>
        <w:tc>
          <w:tcPr>
            <w:tcW w:w="2343" w:type="pct"/>
            <w:gridSpan w:val="2"/>
            <w:vMerge w:val="restart"/>
            <w:tcBorders>
              <w:top w:val="single" w:sz="8" w:space="0" w:color="auto"/>
              <w:left w:val="single" w:sz="8" w:space="0" w:color="auto"/>
              <w:bottom w:val="single" w:sz="4" w:space="0" w:color="000000"/>
              <w:right w:val="single" w:sz="4" w:space="0" w:color="000000"/>
            </w:tcBorders>
            <w:shd w:val="clear" w:color="auto" w:fill="0070C0"/>
            <w:noWrap/>
            <w:vAlign w:val="bottom"/>
            <w:hideMark/>
          </w:tcPr>
          <w:p w14:paraId="5F4F78A5" w14:textId="77777777" w:rsidR="004442B5" w:rsidRPr="00DC7720" w:rsidRDefault="004442B5" w:rsidP="00C85113">
            <w:pPr>
              <w:spacing w:after="0" w:line="360" w:lineRule="auto"/>
              <w:rPr>
                <w:color w:val="FFFFFF" w:themeColor="background1"/>
                <w:sz w:val="20"/>
                <w:szCs w:val="20"/>
                <w:lang w:val="hy-AM"/>
              </w:rPr>
            </w:pPr>
          </w:p>
        </w:tc>
        <w:tc>
          <w:tcPr>
            <w:tcW w:w="940" w:type="pct"/>
            <w:tcBorders>
              <w:top w:val="single" w:sz="8" w:space="0" w:color="auto"/>
              <w:left w:val="nil"/>
              <w:bottom w:val="single" w:sz="4" w:space="0" w:color="auto"/>
              <w:right w:val="single" w:sz="4" w:space="0" w:color="auto"/>
            </w:tcBorders>
            <w:shd w:val="clear" w:color="auto" w:fill="0070C0"/>
            <w:noWrap/>
            <w:hideMark/>
          </w:tcPr>
          <w:p w14:paraId="06D44E67" w14:textId="77777777" w:rsidR="004442B5" w:rsidRPr="00DC7720" w:rsidRDefault="004442B5" w:rsidP="00C85113">
            <w:pPr>
              <w:keepNext/>
              <w:overflowPunct w:val="0"/>
              <w:autoSpaceDE w:val="0"/>
              <w:autoSpaceDN w:val="0"/>
              <w:adjustRightInd w:val="0"/>
              <w:spacing w:after="0" w:line="360" w:lineRule="auto"/>
              <w:jc w:val="center"/>
              <w:rPr>
                <w:rFonts w:eastAsia="Times New Roman" w:cs="Times New Roman"/>
                <w:color w:val="FFFFFF" w:themeColor="background1"/>
                <w:sz w:val="20"/>
                <w:szCs w:val="20"/>
              </w:rPr>
            </w:pPr>
            <w:r w:rsidRPr="00DC7720">
              <w:rPr>
                <w:color w:val="FFFFFF" w:themeColor="background1"/>
                <w:sz w:val="20"/>
                <w:szCs w:val="20"/>
              </w:rPr>
              <w:t>2017թ.</w:t>
            </w:r>
          </w:p>
        </w:tc>
        <w:tc>
          <w:tcPr>
            <w:tcW w:w="811" w:type="pct"/>
            <w:tcBorders>
              <w:top w:val="single" w:sz="8" w:space="0" w:color="auto"/>
              <w:left w:val="nil"/>
              <w:bottom w:val="single" w:sz="4" w:space="0" w:color="auto"/>
              <w:right w:val="single" w:sz="4" w:space="0" w:color="auto"/>
            </w:tcBorders>
            <w:shd w:val="clear" w:color="auto" w:fill="0070C0"/>
            <w:noWrap/>
            <w:hideMark/>
          </w:tcPr>
          <w:p w14:paraId="19D06D95" w14:textId="77777777" w:rsidR="004442B5" w:rsidRPr="00DC7720" w:rsidRDefault="004442B5" w:rsidP="00C85113">
            <w:pPr>
              <w:keepNext/>
              <w:overflowPunct w:val="0"/>
              <w:autoSpaceDE w:val="0"/>
              <w:autoSpaceDN w:val="0"/>
              <w:adjustRightInd w:val="0"/>
              <w:spacing w:after="0" w:line="360" w:lineRule="auto"/>
              <w:jc w:val="center"/>
              <w:rPr>
                <w:rFonts w:eastAsia="Times New Roman" w:cs="Times New Roman"/>
                <w:color w:val="FFFFFF" w:themeColor="background1"/>
                <w:sz w:val="20"/>
                <w:szCs w:val="20"/>
              </w:rPr>
            </w:pPr>
            <w:r w:rsidRPr="00DC7720">
              <w:rPr>
                <w:color w:val="FFFFFF" w:themeColor="background1"/>
                <w:sz w:val="20"/>
                <w:szCs w:val="20"/>
              </w:rPr>
              <w:t>2018թ.</w:t>
            </w:r>
          </w:p>
        </w:tc>
        <w:tc>
          <w:tcPr>
            <w:tcW w:w="906" w:type="pct"/>
            <w:tcBorders>
              <w:top w:val="single" w:sz="8" w:space="0" w:color="auto"/>
              <w:left w:val="nil"/>
              <w:bottom w:val="single" w:sz="4" w:space="0" w:color="auto"/>
              <w:right w:val="single" w:sz="8" w:space="0" w:color="auto"/>
            </w:tcBorders>
            <w:shd w:val="clear" w:color="auto" w:fill="0070C0"/>
            <w:noWrap/>
            <w:hideMark/>
          </w:tcPr>
          <w:p w14:paraId="6C08AE64" w14:textId="77777777" w:rsidR="004442B5" w:rsidRPr="00DC7720" w:rsidRDefault="004442B5" w:rsidP="00C85113">
            <w:pPr>
              <w:keepNext/>
              <w:overflowPunct w:val="0"/>
              <w:autoSpaceDE w:val="0"/>
              <w:autoSpaceDN w:val="0"/>
              <w:adjustRightInd w:val="0"/>
              <w:spacing w:after="0" w:line="360" w:lineRule="auto"/>
              <w:jc w:val="center"/>
              <w:rPr>
                <w:rFonts w:eastAsia="Times New Roman" w:cs="Times New Roman"/>
                <w:color w:val="FFFFFF" w:themeColor="background1"/>
                <w:sz w:val="20"/>
                <w:szCs w:val="20"/>
              </w:rPr>
            </w:pPr>
            <w:r w:rsidRPr="00DC7720">
              <w:rPr>
                <w:color w:val="FFFFFF" w:themeColor="background1"/>
                <w:sz w:val="20"/>
                <w:szCs w:val="20"/>
              </w:rPr>
              <w:t>2018թ.</w:t>
            </w:r>
          </w:p>
        </w:tc>
      </w:tr>
      <w:tr w:rsidR="004442B5" w:rsidRPr="00DC7720" w14:paraId="33DB728B" w14:textId="77777777" w:rsidTr="00DC7720">
        <w:trPr>
          <w:trHeight w:val="354"/>
        </w:trPr>
        <w:tc>
          <w:tcPr>
            <w:tcW w:w="0" w:type="auto"/>
            <w:gridSpan w:val="2"/>
            <w:vMerge/>
            <w:tcBorders>
              <w:top w:val="single" w:sz="8" w:space="0" w:color="auto"/>
              <w:left w:val="single" w:sz="8" w:space="0" w:color="auto"/>
              <w:bottom w:val="single" w:sz="4" w:space="0" w:color="auto"/>
              <w:right w:val="single" w:sz="4" w:space="0" w:color="000000"/>
            </w:tcBorders>
            <w:shd w:val="clear" w:color="auto" w:fill="0070C0"/>
            <w:vAlign w:val="center"/>
            <w:hideMark/>
          </w:tcPr>
          <w:p w14:paraId="246E319B" w14:textId="77777777" w:rsidR="004442B5" w:rsidRPr="00DC7720" w:rsidRDefault="004442B5" w:rsidP="00C85113">
            <w:pPr>
              <w:spacing w:line="360" w:lineRule="auto"/>
              <w:rPr>
                <w:color w:val="FFFFFF" w:themeColor="background1"/>
                <w:sz w:val="20"/>
                <w:szCs w:val="20"/>
              </w:rPr>
            </w:pPr>
          </w:p>
        </w:tc>
        <w:tc>
          <w:tcPr>
            <w:tcW w:w="940" w:type="pct"/>
            <w:tcBorders>
              <w:top w:val="nil"/>
              <w:left w:val="nil"/>
              <w:bottom w:val="single" w:sz="4" w:space="0" w:color="auto"/>
              <w:right w:val="single" w:sz="4" w:space="0" w:color="auto"/>
            </w:tcBorders>
            <w:shd w:val="clear" w:color="auto" w:fill="0070C0"/>
            <w:noWrap/>
            <w:hideMark/>
          </w:tcPr>
          <w:p w14:paraId="3271DBAE" w14:textId="77777777" w:rsidR="004442B5" w:rsidRPr="00DC7720" w:rsidRDefault="004442B5" w:rsidP="00C85113">
            <w:pPr>
              <w:spacing w:line="360" w:lineRule="auto"/>
              <w:jc w:val="center"/>
              <w:rPr>
                <w:color w:val="FFFFFF" w:themeColor="background1"/>
                <w:sz w:val="20"/>
                <w:szCs w:val="20"/>
              </w:rPr>
            </w:pPr>
            <w:r w:rsidRPr="00DC7720">
              <w:rPr>
                <w:color w:val="FFFFFF" w:themeColor="background1"/>
                <w:sz w:val="20"/>
                <w:szCs w:val="20"/>
              </w:rPr>
              <w:t>Փաստ.</w:t>
            </w:r>
          </w:p>
        </w:tc>
        <w:tc>
          <w:tcPr>
            <w:tcW w:w="811" w:type="pct"/>
            <w:tcBorders>
              <w:top w:val="nil"/>
              <w:left w:val="nil"/>
              <w:bottom w:val="single" w:sz="4" w:space="0" w:color="auto"/>
              <w:right w:val="single" w:sz="4" w:space="0" w:color="auto"/>
            </w:tcBorders>
            <w:shd w:val="clear" w:color="auto" w:fill="0070C0"/>
            <w:noWrap/>
            <w:hideMark/>
          </w:tcPr>
          <w:p w14:paraId="550569EB" w14:textId="77777777" w:rsidR="004442B5" w:rsidRPr="00DC7720" w:rsidRDefault="004442B5" w:rsidP="00C85113">
            <w:pPr>
              <w:spacing w:line="360" w:lineRule="auto"/>
              <w:jc w:val="center"/>
              <w:rPr>
                <w:color w:val="FFFFFF" w:themeColor="background1"/>
                <w:sz w:val="20"/>
                <w:szCs w:val="20"/>
              </w:rPr>
            </w:pPr>
            <w:r w:rsidRPr="00DC7720">
              <w:rPr>
                <w:color w:val="FFFFFF" w:themeColor="background1"/>
                <w:sz w:val="20"/>
                <w:szCs w:val="20"/>
              </w:rPr>
              <w:t>Փաստ.</w:t>
            </w:r>
          </w:p>
        </w:tc>
        <w:tc>
          <w:tcPr>
            <w:tcW w:w="906" w:type="pct"/>
            <w:tcBorders>
              <w:top w:val="nil"/>
              <w:left w:val="nil"/>
              <w:bottom w:val="single" w:sz="4" w:space="0" w:color="auto"/>
              <w:right w:val="single" w:sz="8" w:space="0" w:color="auto"/>
            </w:tcBorders>
            <w:shd w:val="clear" w:color="auto" w:fill="0070C0"/>
            <w:noWrap/>
            <w:hideMark/>
          </w:tcPr>
          <w:p w14:paraId="4BBD2FB1" w14:textId="77777777" w:rsidR="004442B5" w:rsidRPr="00DC7720" w:rsidRDefault="004442B5" w:rsidP="00C85113">
            <w:pPr>
              <w:spacing w:line="360" w:lineRule="auto"/>
              <w:jc w:val="center"/>
              <w:rPr>
                <w:color w:val="FFFFFF" w:themeColor="background1"/>
                <w:sz w:val="20"/>
                <w:szCs w:val="20"/>
              </w:rPr>
            </w:pPr>
            <w:r w:rsidRPr="00DC7720">
              <w:rPr>
                <w:color w:val="FFFFFF" w:themeColor="background1"/>
                <w:sz w:val="20"/>
                <w:szCs w:val="20"/>
              </w:rPr>
              <w:t>Փաստ.</w:t>
            </w:r>
          </w:p>
        </w:tc>
      </w:tr>
      <w:tr w:rsidR="004442B5" w:rsidRPr="00DC7720" w14:paraId="32DC8587" w14:textId="77777777" w:rsidTr="00FF692C">
        <w:trPr>
          <w:trHeight w:val="900"/>
        </w:trPr>
        <w:tc>
          <w:tcPr>
            <w:tcW w:w="19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14:paraId="04C5FECA" w14:textId="77777777" w:rsidR="004442B5" w:rsidRPr="00DC7720" w:rsidRDefault="004442B5" w:rsidP="00C85113">
            <w:pPr>
              <w:spacing w:line="360" w:lineRule="auto"/>
              <w:rPr>
                <w:sz w:val="20"/>
                <w:szCs w:val="20"/>
              </w:rPr>
            </w:pPr>
            <w:r w:rsidRPr="00DC7720">
              <w:rPr>
                <w:rFonts w:ascii="Courier New" w:hAnsi="Courier New" w:cs="Courier New"/>
                <w:sz w:val="20"/>
                <w:szCs w:val="20"/>
              </w:rPr>
              <w:t> </w:t>
            </w:r>
          </w:p>
        </w:tc>
        <w:tc>
          <w:tcPr>
            <w:tcW w:w="214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3ACC3904" w14:textId="77777777" w:rsidR="004442B5" w:rsidRPr="00DC7720" w:rsidRDefault="004442B5" w:rsidP="00C85113">
            <w:pPr>
              <w:spacing w:after="0" w:line="240" w:lineRule="auto"/>
              <w:ind w:firstLine="0"/>
              <w:jc w:val="left"/>
              <w:rPr>
                <w:color w:val="000000"/>
                <w:sz w:val="20"/>
                <w:szCs w:val="20"/>
                <w:lang w:val="hy-AM"/>
              </w:rPr>
            </w:pPr>
            <w:r w:rsidRPr="00DC7720">
              <w:rPr>
                <w:color w:val="000000"/>
                <w:sz w:val="20"/>
                <w:szCs w:val="20"/>
              </w:rPr>
              <w:t>Ոռոգման ոլորտի պետական մասնակցությամբ ընկերությունների հանրագումարային շահույթը հարկումից հետո</w:t>
            </w:r>
          </w:p>
        </w:tc>
        <w:tc>
          <w:tcPr>
            <w:tcW w:w="940"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14:paraId="47B419AE"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(2,563,748.0)</w:t>
            </w:r>
          </w:p>
        </w:tc>
        <w:tc>
          <w:tcPr>
            <w:tcW w:w="811" w:type="pct"/>
            <w:tcBorders>
              <w:top w:val="nil"/>
              <w:left w:val="nil"/>
              <w:bottom w:val="single" w:sz="4" w:space="0" w:color="auto"/>
              <w:right w:val="single" w:sz="8" w:space="0" w:color="auto"/>
            </w:tcBorders>
            <w:shd w:val="clear" w:color="auto" w:fill="C6D9F1" w:themeFill="text2" w:themeFillTint="33"/>
            <w:noWrap/>
            <w:vAlign w:val="center"/>
            <w:hideMark/>
          </w:tcPr>
          <w:p w14:paraId="634A1022"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(4,175,612.0)</w:t>
            </w:r>
          </w:p>
        </w:tc>
        <w:tc>
          <w:tcPr>
            <w:tcW w:w="906" w:type="pct"/>
            <w:tcBorders>
              <w:top w:val="nil"/>
              <w:left w:val="nil"/>
              <w:bottom w:val="single" w:sz="4" w:space="0" w:color="auto"/>
              <w:right w:val="single" w:sz="8" w:space="0" w:color="auto"/>
            </w:tcBorders>
            <w:shd w:val="clear" w:color="auto" w:fill="C6D9F1" w:themeFill="text2" w:themeFillTint="33"/>
            <w:noWrap/>
            <w:vAlign w:val="center"/>
            <w:hideMark/>
          </w:tcPr>
          <w:p w14:paraId="2B59E615"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(3,086,788.0)</w:t>
            </w:r>
          </w:p>
        </w:tc>
      </w:tr>
      <w:tr w:rsidR="004442B5" w:rsidRPr="00DC7720" w14:paraId="7F11A876" w14:textId="77777777" w:rsidTr="00DC7720">
        <w:trPr>
          <w:trHeight w:val="300"/>
        </w:trPr>
        <w:tc>
          <w:tcPr>
            <w:tcW w:w="195" w:type="pct"/>
            <w:tcBorders>
              <w:top w:val="single" w:sz="4" w:space="0" w:color="auto"/>
              <w:left w:val="single" w:sz="8" w:space="0" w:color="auto"/>
              <w:bottom w:val="single" w:sz="4" w:space="0" w:color="auto"/>
              <w:right w:val="single" w:sz="4" w:space="0" w:color="auto"/>
            </w:tcBorders>
            <w:noWrap/>
            <w:vAlign w:val="bottom"/>
            <w:hideMark/>
          </w:tcPr>
          <w:p w14:paraId="50FB53F9" w14:textId="77777777" w:rsidR="004442B5" w:rsidRPr="00DC7720" w:rsidRDefault="004442B5" w:rsidP="00C85113">
            <w:pPr>
              <w:spacing w:line="360" w:lineRule="auto"/>
              <w:rPr>
                <w:sz w:val="20"/>
                <w:szCs w:val="20"/>
              </w:rPr>
            </w:pPr>
            <w:r w:rsidRPr="00DC7720">
              <w:rPr>
                <w:sz w:val="20"/>
                <w:szCs w:val="20"/>
              </w:rPr>
              <w:lastRenderedPageBreak/>
              <w:t>1</w:t>
            </w:r>
          </w:p>
        </w:tc>
        <w:tc>
          <w:tcPr>
            <w:tcW w:w="2148" w:type="pct"/>
            <w:tcBorders>
              <w:top w:val="single" w:sz="4" w:space="0" w:color="auto"/>
              <w:left w:val="nil"/>
              <w:bottom w:val="single" w:sz="4" w:space="0" w:color="auto"/>
              <w:right w:val="single" w:sz="4" w:space="0" w:color="auto"/>
            </w:tcBorders>
            <w:vAlign w:val="center"/>
            <w:hideMark/>
          </w:tcPr>
          <w:p w14:paraId="54D15FAE" w14:textId="77777777" w:rsidR="004442B5" w:rsidRPr="00DC7720" w:rsidRDefault="004442B5" w:rsidP="00C85113">
            <w:pPr>
              <w:spacing w:after="0" w:line="240" w:lineRule="auto"/>
              <w:ind w:firstLine="0"/>
              <w:jc w:val="left"/>
              <w:rPr>
                <w:color w:val="000000"/>
                <w:sz w:val="20"/>
                <w:szCs w:val="20"/>
                <w:lang w:val="hy-AM"/>
              </w:rPr>
            </w:pPr>
            <w:r w:rsidRPr="00DC7720">
              <w:rPr>
                <w:color w:val="000000"/>
                <w:sz w:val="20"/>
                <w:szCs w:val="20"/>
              </w:rPr>
              <w:t>«Ջրառ» ՓԲԸ</w:t>
            </w:r>
          </w:p>
        </w:tc>
        <w:tc>
          <w:tcPr>
            <w:tcW w:w="940" w:type="pct"/>
            <w:tcBorders>
              <w:top w:val="single" w:sz="4" w:space="0" w:color="auto"/>
              <w:left w:val="single" w:sz="4" w:space="0" w:color="auto"/>
              <w:bottom w:val="single" w:sz="4" w:space="0" w:color="auto"/>
              <w:right w:val="single" w:sz="4" w:space="0" w:color="auto"/>
            </w:tcBorders>
            <w:noWrap/>
            <w:hideMark/>
          </w:tcPr>
          <w:p w14:paraId="7F508972"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(2,519,003.0)</w:t>
            </w:r>
          </w:p>
        </w:tc>
        <w:tc>
          <w:tcPr>
            <w:tcW w:w="811" w:type="pct"/>
            <w:tcBorders>
              <w:top w:val="single" w:sz="4" w:space="0" w:color="auto"/>
              <w:left w:val="single" w:sz="4" w:space="0" w:color="auto"/>
              <w:bottom w:val="single" w:sz="4" w:space="0" w:color="auto"/>
              <w:right w:val="single" w:sz="4" w:space="0" w:color="auto"/>
            </w:tcBorders>
            <w:noWrap/>
            <w:hideMark/>
          </w:tcPr>
          <w:p w14:paraId="4FB5E88D"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(4,170,199.0)</w:t>
            </w:r>
          </w:p>
        </w:tc>
        <w:tc>
          <w:tcPr>
            <w:tcW w:w="906" w:type="pct"/>
            <w:tcBorders>
              <w:top w:val="single" w:sz="4" w:space="0" w:color="auto"/>
              <w:left w:val="single" w:sz="4" w:space="0" w:color="auto"/>
              <w:bottom w:val="single" w:sz="4" w:space="0" w:color="auto"/>
              <w:right w:val="single" w:sz="4" w:space="0" w:color="auto"/>
            </w:tcBorders>
            <w:noWrap/>
            <w:hideMark/>
          </w:tcPr>
          <w:p w14:paraId="10A75918"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(3,092,914.0)</w:t>
            </w:r>
          </w:p>
        </w:tc>
      </w:tr>
      <w:tr w:rsidR="004442B5" w:rsidRPr="00DC7720" w14:paraId="27FC0C7B" w14:textId="77777777" w:rsidTr="001B57F3">
        <w:trPr>
          <w:trHeight w:val="300"/>
        </w:trPr>
        <w:tc>
          <w:tcPr>
            <w:tcW w:w="195" w:type="pct"/>
            <w:tcBorders>
              <w:top w:val="nil"/>
              <w:left w:val="single" w:sz="8" w:space="0" w:color="auto"/>
              <w:bottom w:val="single" w:sz="4" w:space="0" w:color="auto"/>
              <w:right w:val="single" w:sz="4" w:space="0" w:color="auto"/>
            </w:tcBorders>
            <w:shd w:val="clear" w:color="auto" w:fill="C6D9F1" w:themeFill="text2" w:themeFillTint="33"/>
            <w:noWrap/>
            <w:vAlign w:val="bottom"/>
            <w:hideMark/>
          </w:tcPr>
          <w:p w14:paraId="6378A04A" w14:textId="77777777" w:rsidR="004442B5" w:rsidRPr="00DC7720" w:rsidRDefault="004442B5" w:rsidP="00C85113">
            <w:pPr>
              <w:spacing w:line="360" w:lineRule="auto"/>
              <w:rPr>
                <w:sz w:val="20"/>
                <w:szCs w:val="20"/>
              </w:rPr>
            </w:pPr>
            <w:r w:rsidRPr="00DC7720">
              <w:rPr>
                <w:sz w:val="20"/>
                <w:szCs w:val="20"/>
              </w:rPr>
              <w:t>2</w:t>
            </w:r>
          </w:p>
        </w:tc>
        <w:tc>
          <w:tcPr>
            <w:tcW w:w="2148" w:type="pct"/>
            <w:tcBorders>
              <w:top w:val="nil"/>
              <w:left w:val="nil"/>
              <w:bottom w:val="single" w:sz="4" w:space="0" w:color="auto"/>
              <w:right w:val="single" w:sz="4" w:space="0" w:color="auto"/>
            </w:tcBorders>
            <w:shd w:val="clear" w:color="auto" w:fill="C6D9F1" w:themeFill="text2" w:themeFillTint="33"/>
            <w:vAlign w:val="center"/>
            <w:hideMark/>
          </w:tcPr>
          <w:p w14:paraId="25AA269A"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«Մելիորացիա» ՓԲԸ</w:t>
            </w:r>
          </w:p>
        </w:tc>
        <w:tc>
          <w:tcPr>
            <w:tcW w:w="940" w:type="pct"/>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0B97B51F"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(44,745.0)</w:t>
            </w:r>
          </w:p>
        </w:tc>
        <w:tc>
          <w:tcPr>
            <w:tcW w:w="811" w:type="pct"/>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560C0B33"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(5,413.0)</w:t>
            </w:r>
          </w:p>
        </w:tc>
        <w:tc>
          <w:tcPr>
            <w:tcW w:w="906" w:type="pct"/>
            <w:tcBorders>
              <w:top w:val="single" w:sz="4" w:space="0" w:color="auto"/>
              <w:left w:val="single" w:sz="4" w:space="0" w:color="auto"/>
              <w:bottom w:val="single" w:sz="4" w:space="0" w:color="auto"/>
              <w:right w:val="single" w:sz="4" w:space="0" w:color="auto"/>
            </w:tcBorders>
            <w:shd w:val="clear" w:color="auto" w:fill="C6D9F1" w:themeFill="text2" w:themeFillTint="33"/>
            <w:noWrap/>
            <w:hideMark/>
          </w:tcPr>
          <w:p w14:paraId="2716926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6,126.0</w:t>
            </w:r>
          </w:p>
        </w:tc>
      </w:tr>
    </w:tbl>
    <w:p w14:paraId="0B779CF5" w14:textId="77777777" w:rsidR="004442B5" w:rsidRPr="00DC7720" w:rsidRDefault="004442B5" w:rsidP="004442B5">
      <w:pPr>
        <w:shd w:val="clear" w:color="auto" w:fill="FFFFFF"/>
        <w:spacing w:after="0" w:line="240" w:lineRule="auto"/>
        <w:ind w:right="150" w:firstLine="0"/>
        <w:rPr>
          <w:color w:val="000000"/>
          <w:sz w:val="20"/>
          <w:szCs w:val="20"/>
        </w:rPr>
      </w:pPr>
    </w:p>
    <w:p w14:paraId="06CD276B" w14:textId="77777777" w:rsidR="004442B5" w:rsidRPr="003A3567" w:rsidRDefault="004442B5" w:rsidP="00DC7720">
      <w:pPr>
        <w:shd w:val="clear" w:color="auto" w:fill="FFFFFF"/>
        <w:spacing w:after="0" w:line="276" w:lineRule="auto"/>
        <w:ind w:right="144" w:firstLine="446"/>
        <w:rPr>
          <w:color w:val="000000"/>
          <w:lang w:val="hy-AM"/>
        </w:rPr>
      </w:pPr>
      <w:r w:rsidRPr="003A3567">
        <w:rPr>
          <w:color w:val="000000"/>
          <w:lang w:val="hy-AM"/>
        </w:rPr>
        <w:t>Հաշվետու ժամանակաշրջանում ոլորտի մասով արձանագրված վնասի առաջացման պատճառները հիմնականում պայմանավորված են ՀԾԿՀ-ի կողմից դեռևս 2007թ. հաստատված սակագներով, որոնց հաշվարկների մեջ ներառված չեն ամորտիզացիոն մասհանումները:</w:t>
      </w:r>
    </w:p>
    <w:p w14:paraId="076DE122" w14:textId="77777777" w:rsidR="004442B5" w:rsidRPr="003A3567" w:rsidRDefault="004442B5" w:rsidP="00DC7720">
      <w:pPr>
        <w:shd w:val="clear" w:color="auto" w:fill="FFFFFF"/>
        <w:spacing w:after="0" w:line="276" w:lineRule="auto"/>
        <w:ind w:right="144" w:firstLine="446"/>
        <w:rPr>
          <w:color w:val="000000"/>
          <w:lang w:val="hy-AM"/>
        </w:rPr>
      </w:pPr>
      <w:r w:rsidRPr="003A3567">
        <w:rPr>
          <w:color w:val="000000"/>
          <w:lang w:val="hy-AM"/>
        </w:rPr>
        <w:t>Վարկային պարտավորությունների հետ կապված անհրաժեշտ է նշել, որ Ընկերությունները չունեն ժամկետանց վարկային պարտավորություններ, ինչպես նաև ՀՀ կառավարության կողմից բյուջետային երաշխիքներ չեն ստացել:</w:t>
      </w:r>
    </w:p>
    <w:p w14:paraId="1D627DBE" w14:textId="77777777" w:rsidR="004442B5" w:rsidRPr="003A3567" w:rsidRDefault="004442B5" w:rsidP="00DC7720">
      <w:pPr>
        <w:shd w:val="clear" w:color="auto" w:fill="FFFFFF"/>
        <w:spacing w:after="0" w:line="276" w:lineRule="auto"/>
        <w:ind w:right="144" w:firstLine="446"/>
        <w:rPr>
          <w:color w:val="000000"/>
          <w:lang w:val="hy-AM"/>
        </w:rPr>
      </w:pPr>
      <w:r w:rsidRPr="003A3567">
        <w:rPr>
          <w:color w:val="000000"/>
          <w:lang w:val="hy-AM"/>
        </w:rPr>
        <w:t>Ընկերությունները ներգրավված չեն այնպիսի տեղական կամ միջազգային դատական վարույթներում, որոնք կարող են էական ազդեցություն ունենալ իրենց ֆինանսական վիճակի վրա:</w:t>
      </w:r>
    </w:p>
    <w:p w14:paraId="667E91D3" w14:textId="77777777" w:rsidR="004442B5" w:rsidRPr="003A3567" w:rsidRDefault="004442B5" w:rsidP="00DC7720">
      <w:pPr>
        <w:shd w:val="clear" w:color="auto" w:fill="FFFFFF"/>
        <w:spacing w:after="0" w:line="276" w:lineRule="auto"/>
        <w:ind w:right="144" w:firstLine="446"/>
        <w:rPr>
          <w:color w:val="000000"/>
          <w:lang w:val="hy-AM"/>
        </w:rPr>
      </w:pPr>
      <w:r w:rsidRPr="003A3567">
        <w:rPr>
          <w:color w:val="000000"/>
          <w:lang w:val="hy-AM"/>
        </w:rPr>
        <w:t>Ընկերությունների հարկաբյուջետային ռիսկերի գնահատման համար կիրառված ֆինանսական գործակիցների ամփոփ արդյունքները և պրակտիկայում ընդունված թույլատրելի սահմանային նորմաները ներկայացված են աղյուսակում:</w:t>
      </w:r>
    </w:p>
    <w:p w14:paraId="20AD4783" w14:textId="77777777" w:rsidR="004442B5" w:rsidRPr="003A3567" w:rsidRDefault="004442B5" w:rsidP="004442B5">
      <w:pPr>
        <w:shd w:val="clear" w:color="auto" w:fill="FFFFFF"/>
        <w:spacing w:after="0" w:line="240" w:lineRule="auto"/>
        <w:ind w:right="150" w:firstLine="450"/>
        <w:rPr>
          <w:color w:val="000000"/>
          <w:sz w:val="24"/>
          <w:szCs w:val="24"/>
          <w:lang w:val="hy-AM"/>
        </w:rPr>
      </w:pPr>
      <w:r w:rsidRPr="003A3567">
        <w:rPr>
          <w:rFonts w:ascii="Sylfaen" w:hAnsi="Sylfaen"/>
          <w:color w:val="000000"/>
          <w:sz w:val="24"/>
          <w:szCs w:val="24"/>
          <w:lang w:val="hy-AM"/>
        </w:rPr>
        <w:t> </w:t>
      </w:r>
    </w:p>
    <w:p w14:paraId="329D29BC" w14:textId="77777777" w:rsidR="004442B5" w:rsidRPr="00DC7720" w:rsidRDefault="004442B5" w:rsidP="004442B5">
      <w:pPr>
        <w:shd w:val="clear" w:color="auto" w:fill="FFFFFF"/>
        <w:spacing w:after="0" w:line="240" w:lineRule="auto"/>
        <w:ind w:right="150" w:firstLine="450"/>
        <w:rPr>
          <w:i/>
          <w:color w:val="000000"/>
          <w:sz w:val="20"/>
          <w:szCs w:val="20"/>
          <w:lang w:val="hy-AM"/>
        </w:rPr>
      </w:pPr>
      <w:r w:rsidRPr="00DC7720">
        <w:rPr>
          <w:b/>
          <w:bCs/>
          <w:color w:val="000000"/>
          <w:sz w:val="20"/>
          <w:szCs w:val="20"/>
          <w:lang w:val="hy-AM"/>
        </w:rPr>
        <w:t xml:space="preserve">Աղյուսակ </w:t>
      </w:r>
      <w:r w:rsidR="00DC7720" w:rsidRPr="00BE7F99">
        <w:rPr>
          <w:b/>
          <w:bCs/>
          <w:color w:val="000000"/>
          <w:sz w:val="20"/>
          <w:szCs w:val="20"/>
          <w:lang w:val="hy-AM"/>
        </w:rPr>
        <w:t>5.</w:t>
      </w:r>
      <w:r w:rsidRPr="00DC7720">
        <w:rPr>
          <w:b/>
          <w:bCs/>
          <w:color w:val="000000"/>
          <w:sz w:val="20"/>
          <w:szCs w:val="20"/>
          <w:lang w:val="hy-AM"/>
        </w:rPr>
        <w:t>10</w:t>
      </w:r>
      <w:r w:rsidRPr="00DC7720">
        <w:rPr>
          <w:b/>
          <w:color w:val="000000"/>
          <w:sz w:val="20"/>
          <w:szCs w:val="20"/>
          <w:lang w:val="hy-AM"/>
        </w:rPr>
        <w:t xml:space="preserve"> </w:t>
      </w:r>
      <w:r w:rsidRPr="00DC7720">
        <w:rPr>
          <w:i/>
          <w:color w:val="000000"/>
          <w:sz w:val="20"/>
          <w:szCs w:val="20"/>
          <w:lang w:val="hy-AM"/>
        </w:rPr>
        <w:t>Ոռոգման ոլորտի պետական ընկերությունների հանրագումարային ֆինանսական ցուցանիշները</w:t>
      </w:r>
    </w:p>
    <w:p w14:paraId="5256CD2A" w14:textId="77777777" w:rsidR="004442B5" w:rsidRPr="00DC7720" w:rsidRDefault="004442B5" w:rsidP="004442B5">
      <w:pPr>
        <w:shd w:val="clear" w:color="auto" w:fill="FFFFFF"/>
        <w:spacing w:after="0" w:line="240" w:lineRule="auto"/>
        <w:ind w:right="150" w:firstLine="450"/>
        <w:rPr>
          <w:i/>
          <w:color w:val="000000"/>
          <w:sz w:val="24"/>
          <w:szCs w:val="24"/>
          <w:lang w:val="hy-AM"/>
        </w:rPr>
      </w:pPr>
    </w:p>
    <w:tbl>
      <w:tblPr>
        <w:tblW w:w="9617" w:type="dxa"/>
        <w:tblCellSpacing w:w="0" w:type="dxa"/>
        <w:tblInd w:w="209"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472"/>
        <w:gridCol w:w="1042"/>
        <w:gridCol w:w="992"/>
        <w:gridCol w:w="993"/>
        <w:gridCol w:w="3118"/>
      </w:tblGrid>
      <w:tr w:rsidR="004442B5" w:rsidRPr="003F02EF" w14:paraId="121F30E2" w14:textId="77777777" w:rsidTr="00C85113">
        <w:trPr>
          <w:tblHeader/>
          <w:tblCellSpacing w:w="0" w:type="dxa"/>
        </w:trPr>
        <w:tc>
          <w:tcPr>
            <w:tcW w:w="3472"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6709A31D" w14:textId="77777777" w:rsidR="004442B5" w:rsidRPr="00DC7720" w:rsidRDefault="004442B5" w:rsidP="00C85113">
            <w:pPr>
              <w:spacing w:after="0" w:line="240" w:lineRule="auto"/>
              <w:ind w:firstLine="0"/>
              <w:jc w:val="center"/>
              <w:rPr>
                <w:color w:val="FFFFFF" w:themeColor="background1"/>
                <w:sz w:val="20"/>
                <w:szCs w:val="20"/>
              </w:rPr>
            </w:pPr>
            <w:r w:rsidRPr="00DC7720">
              <w:rPr>
                <w:b/>
                <w:bCs/>
                <w:color w:val="FFFFFF" w:themeColor="background1"/>
                <w:sz w:val="20"/>
                <w:szCs w:val="20"/>
              </w:rPr>
              <w:t>Ցուցանիշ</w:t>
            </w:r>
          </w:p>
        </w:tc>
        <w:tc>
          <w:tcPr>
            <w:tcW w:w="1042"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77C38E16" w14:textId="77777777" w:rsidR="004442B5" w:rsidRPr="00DC7720" w:rsidRDefault="004442B5" w:rsidP="00C85113">
            <w:pPr>
              <w:spacing w:after="0" w:line="240" w:lineRule="auto"/>
              <w:ind w:firstLine="0"/>
              <w:jc w:val="center"/>
              <w:rPr>
                <w:rFonts w:cs="Times New Roman"/>
                <w:color w:val="FFFFFF" w:themeColor="background1"/>
                <w:sz w:val="20"/>
                <w:szCs w:val="20"/>
              </w:rPr>
            </w:pPr>
            <w:r w:rsidRPr="00DC7720">
              <w:rPr>
                <w:b/>
                <w:bCs/>
                <w:color w:val="FFFFFF" w:themeColor="background1"/>
                <w:sz w:val="20"/>
                <w:szCs w:val="20"/>
              </w:rPr>
              <w:t>2017թ.</w:t>
            </w:r>
          </w:p>
        </w:tc>
        <w:tc>
          <w:tcPr>
            <w:tcW w:w="992"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242EDA2E" w14:textId="77777777" w:rsidR="004442B5" w:rsidRPr="00DC7720" w:rsidRDefault="004442B5" w:rsidP="00C85113">
            <w:pPr>
              <w:spacing w:after="0" w:line="240" w:lineRule="auto"/>
              <w:ind w:firstLine="0"/>
              <w:jc w:val="center"/>
              <w:rPr>
                <w:rFonts w:cs="Times New Roman"/>
                <w:color w:val="FFFFFF" w:themeColor="background1"/>
                <w:sz w:val="20"/>
                <w:szCs w:val="20"/>
              </w:rPr>
            </w:pPr>
            <w:r w:rsidRPr="00DC7720">
              <w:rPr>
                <w:b/>
                <w:bCs/>
                <w:color w:val="FFFFFF" w:themeColor="background1"/>
                <w:sz w:val="20"/>
                <w:szCs w:val="20"/>
              </w:rPr>
              <w:t>2018թ.</w:t>
            </w:r>
          </w:p>
        </w:tc>
        <w:tc>
          <w:tcPr>
            <w:tcW w:w="993"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3474D7AD" w14:textId="77777777" w:rsidR="004442B5" w:rsidRPr="00DC7720" w:rsidRDefault="004442B5" w:rsidP="00C85113">
            <w:pPr>
              <w:spacing w:after="0" w:line="240" w:lineRule="auto"/>
              <w:ind w:firstLine="0"/>
              <w:jc w:val="center"/>
              <w:rPr>
                <w:rFonts w:cs="Times New Roman"/>
                <w:color w:val="FFFFFF" w:themeColor="background1"/>
                <w:sz w:val="20"/>
                <w:szCs w:val="20"/>
              </w:rPr>
            </w:pPr>
            <w:r w:rsidRPr="00DC7720">
              <w:rPr>
                <w:b/>
                <w:bCs/>
                <w:color w:val="FFFFFF" w:themeColor="background1"/>
                <w:sz w:val="20"/>
                <w:szCs w:val="20"/>
              </w:rPr>
              <w:t>2019թ.</w:t>
            </w:r>
          </w:p>
        </w:tc>
        <w:tc>
          <w:tcPr>
            <w:tcW w:w="3118"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0182CDD6" w14:textId="77777777" w:rsidR="004442B5" w:rsidRPr="00DC7720" w:rsidRDefault="004442B5" w:rsidP="00C85113">
            <w:pPr>
              <w:spacing w:after="0" w:line="240" w:lineRule="auto"/>
              <w:ind w:firstLine="0"/>
              <w:jc w:val="center"/>
              <w:rPr>
                <w:color w:val="FFFFFF" w:themeColor="background1"/>
                <w:sz w:val="20"/>
                <w:szCs w:val="20"/>
              </w:rPr>
            </w:pPr>
            <w:r w:rsidRPr="00DC7720">
              <w:rPr>
                <w:b/>
                <w:bCs/>
                <w:color w:val="FFFFFF" w:themeColor="background1"/>
                <w:sz w:val="20"/>
                <w:szCs w:val="20"/>
              </w:rPr>
              <w:t>Թույլատրելի սահմանային նորմա</w:t>
            </w:r>
          </w:p>
        </w:tc>
      </w:tr>
      <w:tr w:rsidR="004442B5" w:rsidRPr="00A35CD3" w14:paraId="49BC1F3F" w14:textId="77777777" w:rsidTr="00FF692C">
        <w:trPr>
          <w:tblCellSpacing w:w="0" w:type="dxa"/>
        </w:trPr>
        <w:tc>
          <w:tcPr>
            <w:tcW w:w="347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51A31309"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Ծախսերի վերականգնման գործակից</w:t>
            </w:r>
          </w:p>
        </w:tc>
        <w:tc>
          <w:tcPr>
            <w:tcW w:w="104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81E29CE"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0.5</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836AACA"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0.5</w:t>
            </w:r>
          </w:p>
        </w:tc>
        <w:tc>
          <w:tcPr>
            <w:tcW w:w="993"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2442D10A"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0.5</w:t>
            </w:r>
          </w:p>
        </w:tc>
        <w:tc>
          <w:tcPr>
            <w:tcW w:w="3118"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25A3550"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Առնվազն 1</w:t>
            </w:r>
          </w:p>
        </w:tc>
      </w:tr>
      <w:tr w:rsidR="004442B5" w:rsidRPr="00A35CD3" w14:paraId="4F919CF1" w14:textId="77777777" w:rsidTr="00C85113">
        <w:trPr>
          <w:tblCellSpacing w:w="0" w:type="dxa"/>
        </w:trPr>
        <w:tc>
          <w:tcPr>
            <w:tcW w:w="347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1077DEA"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Զուտ շահույթի մարժա (%)</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7766588"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(151.1)</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421DEFD"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(211.7)</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2743574"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(192.7)</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F3356B1"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Առնվազն 8%</w:t>
            </w:r>
          </w:p>
        </w:tc>
      </w:tr>
      <w:tr w:rsidR="004442B5" w:rsidRPr="00A35CD3" w14:paraId="68F3973C" w14:textId="77777777" w:rsidTr="001B57F3">
        <w:trPr>
          <w:tblCellSpacing w:w="0" w:type="dxa"/>
        </w:trPr>
        <w:tc>
          <w:tcPr>
            <w:tcW w:w="347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203E9ED2"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Արագ իրացվելիության գործակից</w:t>
            </w:r>
          </w:p>
        </w:tc>
        <w:tc>
          <w:tcPr>
            <w:tcW w:w="104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D5FACE4"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1.0</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A786F0E"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7.7</w:t>
            </w:r>
          </w:p>
        </w:tc>
        <w:tc>
          <w:tcPr>
            <w:tcW w:w="993"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949702E"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6.2</w:t>
            </w:r>
          </w:p>
        </w:tc>
        <w:tc>
          <w:tcPr>
            <w:tcW w:w="3118"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1619DE8"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Առնվազն 1</w:t>
            </w:r>
          </w:p>
        </w:tc>
      </w:tr>
      <w:tr w:rsidR="004442B5" w:rsidRPr="00A35CD3" w14:paraId="7D536986" w14:textId="77777777" w:rsidTr="00C85113">
        <w:trPr>
          <w:tblCellSpacing w:w="0" w:type="dxa"/>
        </w:trPr>
        <w:tc>
          <w:tcPr>
            <w:tcW w:w="347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3FDBD59"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Դեբիտորական պարտքերի շրջանառություն (օր)</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855F665"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292.3</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4DA4C38"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388.6</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5AADDC8"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262.0</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70B0889"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Առավելագույնը 60 օր</w:t>
            </w:r>
          </w:p>
        </w:tc>
      </w:tr>
      <w:tr w:rsidR="004442B5" w:rsidRPr="00A35CD3" w14:paraId="425ED48E" w14:textId="77777777" w:rsidTr="001B57F3">
        <w:trPr>
          <w:tblCellSpacing w:w="0" w:type="dxa"/>
        </w:trPr>
        <w:tc>
          <w:tcPr>
            <w:tcW w:w="347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04044054"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Պարտքի սպասարկման գործակից</w:t>
            </w:r>
          </w:p>
        </w:tc>
        <w:tc>
          <w:tcPr>
            <w:tcW w:w="104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22499BA"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0.0</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412A4BC9"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0.0</w:t>
            </w:r>
          </w:p>
        </w:tc>
        <w:tc>
          <w:tcPr>
            <w:tcW w:w="993"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0EAA4859"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0.0</w:t>
            </w:r>
          </w:p>
        </w:tc>
        <w:tc>
          <w:tcPr>
            <w:tcW w:w="3118"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5A62825"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Առավելագույնը 0.5</w:t>
            </w:r>
          </w:p>
        </w:tc>
      </w:tr>
      <w:tr w:rsidR="004442B5" w:rsidRPr="00A35CD3" w14:paraId="458DE12E" w14:textId="77777777" w:rsidTr="00C85113">
        <w:trPr>
          <w:tblCellSpacing w:w="0" w:type="dxa"/>
        </w:trPr>
        <w:tc>
          <w:tcPr>
            <w:tcW w:w="347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B0D1F81"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Վերաֆինանսավորման գործակից</w:t>
            </w:r>
          </w:p>
        </w:tc>
        <w:tc>
          <w:tcPr>
            <w:tcW w:w="104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17E827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0.5</w: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D60BB17"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0.2</w:t>
            </w:r>
          </w:p>
        </w:tc>
        <w:tc>
          <w:tcPr>
            <w:tcW w:w="99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2F65EB7"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0.1</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09C419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Առավելագույնը 1</w:t>
            </w:r>
          </w:p>
        </w:tc>
      </w:tr>
      <w:tr w:rsidR="004442B5" w:rsidRPr="00A35CD3" w14:paraId="6C39E471" w14:textId="77777777" w:rsidTr="001B57F3">
        <w:trPr>
          <w:tblCellSpacing w:w="0" w:type="dxa"/>
        </w:trPr>
        <w:tc>
          <w:tcPr>
            <w:tcW w:w="347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F047494"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Z միավոր</w:t>
            </w:r>
          </w:p>
        </w:tc>
        <w:tc>
          <w:tcPr>
            <w:tcW w:w="104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8F94DED"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48.4</w:t>
            </w:r>
          </w:p>
        </w:tc>
        <w:tc>
          <w:tcPr>
            <w:tcW w:w="992"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2F2F2FD3"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38.3</w:t>
            </w:r>
          </w:p>
        </w:tc>
        <w:tc>
          <w:tcPr>
            <w:tcW w:w="993"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404A8A5E"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171.6</w:t>
            </w:r>
          </w:p>
        </w:tc>
        <w:tc>
          <w:tcPr>
            <w:tcW w:w="3118"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06AB1464"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Ապահով գոտի` Z&gt;2.6,</w:t>
            </w:r>
            <w:r w:rsidRPr="00DC7720">
              <w:rPr>
                <w:color w:val="000000"/>
                <w:sz w:val="20"/>
                <w:szCs w:val="20"/>
              </w:rPr>
              <w:br/>
              <w:t>Գորշ գոտի` 1.1&lt; Z&lt;2.6,</w:t>
            </w:r>
            <w:r w:rsidRPr="00DC7720">
              <w:rPr>
                <w:color w:val="000000"/>
                <w:sz w:val="20"/>
                <w:szCs w:val="20"/>
              </w:rPr>
              <w:br/>
              <w:t>Ծանր գոտի` Z&lt;1.1</w:t>
            </w:r>
          </w:p>
        </w:tc>
      </w:tr>
    </w:tbl>
    <w:p w14:paraId="03FDB206" w14:textId="77777777" w:rsidR="004442B5" w:rsidRPr="00A35CD3" w:rsidRDefault="004442B5" w:rsidP="004442B5">
      <w:pPr>
        <w:shd w:val="clear" w:color="auto" w:fill="FFFFFF"/>
        <w:spacing w:after="0" w:line="240" w:lineRule="auto"/>
        <w:ind w:right="150" w:firstLine="0"/>
        <w:rPr>
          <w:color w:val="000000"/>
          <w:sz w:val="24"/>
          <w:szCs w:val="24"/>
        </w:rPr>
      </w:pPr>
    </w:p>
    <w:p w14:paraId="36A3441B"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Ինչպես երևում է աղյուսակից հաշվետու ժամանակաշրջաններում սնանկացման կանխատեսման Ալթմանի Z-միավորը վկայում է Ընկերությունների ֆինանսական ծանր վիճակի բավականին ցածր հավանականության մասին (գործակիցը` Z=171.6</w:t>
      </w:r>
      <w:r>
        <w:rPr>
          <w:color w:val="000000"/>
          <w:lang w:val="hy-AM"/>
        </w:rPr>
        <w:t>,</w:t>
      </w:r>
      <w:r w:rsidRPr="00A35CD3">
        <w:rPr>
          <w:color w:val="000000"/>
        </w:rPr>
        <w:t xml:space="preserve"> գտնվում է սահմանված ապահով գոտում` Z&gt;2.6):</w:t>
      </w:r>
    </w:p>
    <w:p w14:paraId="307894EE"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lastRenderedPageBreak/>
        <w:t xml:space="preserve">Հաշվետու ժամանակաշրջանում ստուգաճշտող լրացուցիչ ֆինանսական վեց գործակիցներից երեքը չեն համապատասխանում միջազգային պրակտիկայում ընդունված թույլատրելի սահմանային նորմային, իսկ Ընկերությունների ֆինանսական ծանր վիճակի հավանականությունը գնահատող Z-միավորը վկայում է Ընկերությունների ֆինանսական ծանր վիճակի ցածր հավանականության մասին, հետևաբար այս երկու նախնական գնահատումների զուգակցման արդյունքում Ընկերությունների ֆինանսական վիճակի </w:t>
      </w:r>
      <w:r>
        <w:rPr>
          <w:color w:val="000000"/>
        </w:rPr>
        <w:t xml:space="preserve">վատթարացման </w:t>
      </w:r>
      <w:r w:rsidRPr="00A35CD3">
        <w:rPr>
          <w:color w:val="000000"/>
        </w:rPr>
        <w:t>հավանականությունը գնահատվում է միջին:</w:t>
      </w:r>
    </w:p>
    <w:p w14:paraId="1CF62F20" w14:textId="77777777" w:rsidR="004442B5" w:rsidRPr="00A35CD3" w:rsidRDefault="004442B5" w:rsidP="00DC7720">
      <w:pPr>
        <w:shd w:val="clear" w:color="auto" w:fill="FFFFFF"/>
        <w:spacing w:after="0" w:line="276" w:lineRule="auto"/>
        <w:ind w:right="144" w:firstLine="446"/>
        <w:rPr>
          <w:color w:val="000000"/>
          <w:sz w:val="24"/>
          <w:szCs w:val="24"/>
        </w:rPr>
      </w:pPr>
    </w:p>
    <w:p w14:paraId="2B7AAF19" w14:textId="77777777" w:rsidR="004442B5" w:rsidRPr="00A35CD3" w:rsidRDefault="004442B5" w:rsidP="00DC7720">
      <w:pPr>
        <w:shd w:val="clear" w:color="auto" w:fill="FFFFFF"/>
        <w:spacing w:after="0" w:line="276" w:lineRule="auto"/>
        <w:ind w:right="144" w:firstLine="446"/>
        <w:rPr>
          <w:b/>
          <w:color w:val="000000"/>
        </w:rPr>
      </w:pPr>
      <w:r w:rsidRPr="00A35CD3">
        <w:rPr>
          <w:b/>
          <w:color w:val="000000"/>
        </w:rPr>
        <w:t>Պետական-մասնավոր գործընկերություն (ՊՄԳ)</w:t>
      </w:r>
    </w:p>
    <w:p w14:paraId="1C9C2F12"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Տրանսպորտի և ջրային տնտեսության ոլորտներում ՊՄԳ սխեմայի ներքո գործում են «Հարավկովկասյան երկաթուղի» և «Վեոլիա Ջուր» ՓԲԸ-ները:</w:t>
      </w:r>
    </w:p>
    <w:p w14:paraId="2EC688FA" w14:textId="77777777" w:rsidR="004442B5" w:rsidRPr="00A35CD3" w:rsidRDefault="004442B5" w:rsidP="00DC7720">
      <w:pPr>
        <w:shd w:val="clear" w:color="auto" w:fill="FFFFFF"/>
        <w:spacing w:after="0" w:line="276" w:lineRule="auto"/>
        <w:ind w:right="144" w:firstLine="446"/>
        <w:rPr>
          <w:color w:val="000000"/>
        </w:rPr>
      </w:pPr>
    </w:p>
    <w:p w14:paraId="1181A495" w14:textId="77777777" w:rsidR="004442B5" w:rsidRPr="00A35CD3" w:rsidRDefault="004442B5" w:rsidP="00DC7720">
      <w:pPr>
        <w:shd w:val="clear" w:color="auto" w:fill="FFFFFF"/>
        <w:spacing w:after="0" w:line="276" w:lineRule="auto"/>
        <w:ind w:right="144" w:firstLine="446"/>
        <w:rPr>
          <w:b/>
          <w:color w:val="000000"/>
        </w:rPr>
      </w:pPr>
      <w:r w:rsidRPr="00A35CD3">
        <w:rPr>
          <w:b/>
          <w:color w:val="000000"/>
        </w:rPr>
        <w:t>«Հարավկովկասյան երկաթուղի» ՓԲԸ</w:t>
      </w:r>
    </w:p>
    <w:p w14:paraId="35939FBA" w14:textId="77777777" w:rsidR="004442B5" w:rsidRPr="00A35CD3" w:rsidRDefault="004442B5" w:rsidP="00DC7720">
      <w:pPr>
        <w:shd w:val="clear" w:color="auto" w:fill="FFFFFF"/>
        <w:spacing w:after="0" w:line="276" w:lineRule="auto"/>
        <w:ind w:right="144" w:firstLine="446"/>
        <w:rPr>
          <w:color w:val="000000"/>
        </w:rPr>
      </w:pPr>
    </w:p>
    <w:p w14:paraId="7B6373DD"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ՀՀ կառավարության 07.02.2008թ. N83-Ա որոշման հիման վրա Հայաստանի Հանրապետության, «Հարավկովկասյան երկաթուղի» ՓԲԸ-ի և «Ռուսական երկաթուղիներ» ԲԲԸ-ի միջև 13.02.2008թ. կնքվել է «Հայկական երկաթուղու համակարգը «Ռուսական երկաթուղիներ» ԲԲԸ կողմից ստեղծված «Հարավկովկասյան երկաթուղի» ՓԲԸ փոխանցելու մասին» կոնցեսիոն պայմանագիրը:</w:t>
      </w:r>
    </w:p>
    <w:p w14:paraId="3160E890"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Հաշվետու ժամանակաշրջանում «Հարավկովկասյան երկաթուղի» ՓԲԸ-ի (այսուհետ` Ընկերություն) ընդամենը եկամուտները կազմել են 25.5 մլրդ դրամ նախորդ ժամանակաշրջանի 23.0 մլրդ դրամի դիմաց կամ ավել 10.9%-ով (2.5 մլրդ դրամով), որը հիմնականում պայմանավորված է բեռնափոխադրումների, ուղևորափոխադրումների և այլ մատուցվող ծառայությունների ծավալների ավելացման հետ:</w:t>
      </w:r>
    </w:p>
    <w:p w14:paraId="6DC698C7"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Հաշվետու ժամանակաշրջանում Ընկերության ծախսերը կազմել են 24.3 մլրդ դրամ` նախորդ ժամանակաշրջանի 22.8 մլրդ դրամի դիմաց` կամ ավել 1.5 մլրդ դրամով (6.8%):</w:t>
      </w:r>
    </w:p>
    <w:p w14:paraId="76DFFA88"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Ընկերության 25.5 մլրդ դրամ ընդհանուր եկամուտների և 24.3 մլրդ դրամ ընդհանուր ծախսերի արդյունքում հաշվետու ժամանակաշրջանում շահույթը կազմել է 1.2 մլրդ դրամ, իսկ զուտ շահույթը` 1.1 մլրդ դրամ:</w:t>
      </w:r>
    </w:p>
    <w:p w14:paraId="099B3782"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Ընկերության հարկաբյուջետային ռիսկերի գնահատման համար կիրառված ֆինանսական գործակիցների ամփոփ արդյունքները և պրակտիկայում ընդունված թույլատրելի սահմանային նորմաները ներկայացված են աղյուսակում</w:t>
      </w:r>
      <w:r>
        <w:rPr>
          <w:color w:val="000000"/>
        </w:rPr>
        <w:t>:</w:t>
      </w:r>
    </w:p>
    <w:p w14:paraId="22AD32B2" w14:textId="77777777" w:rsidR="00DC7720" w:rsidRDefault="00DC7720" w:rsidP="004442B5">
      <w:pPr>
        <w:shd w:val="clear" w:color="auto" w:fill="FFFFFF"/>
        <w:spacing w:after="0" w:line="240" w:lineRule="auto"/>
        <w:ind w:right="150" w:firstLine="450"/>
        <w:rPr>
          <w:b/>
          <w:bCs/>
          <w:color w:val="000000"/>
          <w:sz w:val="20"/>
          <w:szCs w:val="20"/>
        </w:rPr>
      </w:pPr>
    </w:p>
    <w:p w14:paraId="697EA08B" w14:textId="77777777" w:rsidR="004442B5" w:rsidRPr="00DC7720" w:rsidRDefault="004442B5" w:rsidP="004442B5">
      <w:pPr>
        <w:shd w:val="clear" w:color="auto" w:fill="FFFFFF"/>
        <w:spacing w:after="0" w:line="240" w:lineRule="auto"/>
        <w:ind w:right="150" w:firstLine="450"/>
        <w:rPr>
          <w:b/>
          <w:color w:val="000000"/>
          <w:sz w:val="20"/>
          <w:szCs w:val="20"/>
        </w:rPr>
      </w:pPr>
      <w:r w:rsidRPr="00DC7720">
        <w:rPr>
          <w:b/>
          <w:bCs/>
          <w:color w:val="000000"/>
          <w:sz w:val="20"/>
          <w:szCs w:val="20"/>
        </w:rPr>
        <w:t xml:space="preserve">Աղյուսակ </w:t>
      </w:r>
      <w:proofErr w:type="gramStart"/>
      <w:r w:rsidR="00DC7720" w:rsidRPr="00DC7720">
        <w:rPr>
          <w:b/>
          <w:bCs/>
          <w:color w:val="000000"/>
          <w:sz w:val="20"/>
          <w:szCs w:val="20"/>
        </w:rPr>
        <w:t>5.</w:t>
      </w:r>
      <w:r w:rsidRPr="00DC7720">
        <w:rPr>
          <w:b/>
          <w:bCs/>
          <w:color w:val="000000"/>
          <w:sz w:val="20"/>
          <w:szCs w:val="20"/>
          <w:lang w:val="hy-AM"/>
        </w:rPr>
        <w:t>11</w:t>
      </w:r>
      <w:r w:rsidRPr="00DC7720">
        <w:rPr>
          <w:rFonts w:ascii="Sylfaen" w:hAnsi="Sylfaen"/>
          <w:b/>
          <w:color w:val="000000"/>
          <w:sz w:val="20"/>
          <w:szCs w:val="20"/>
        </w:rPr>
        <w:t> </w:t>
      </w:r>
      <w:r w:rsidRPr="00DC7720">
        <w:rPr>
          <w:b/>
          <w:color w:val="000000"/>
          <w:sz w:val="20"/>
          <w:szCs w:val="20"/>
        </w:rPr>
        <w:t xml:space="preserve"> </w:t>
      </w:r>
      <w:r w:rsidRPr="00DC7720">
        <w:rPr>
          <w:i/>
          <w:color w:val="000000"/>
          <w:sz w:val="20"/>
          <w:szCs w:val="20"/>
        </w:rPr>
        <w:t>«</w:t>
      </w:r>
      <w:proofErr w:type="gramEnd"/>
      <w:r w:rsidRPr="00DC7720">
        <w:rPr>
          <w:i/>
          <w:color w:val="000000"/>
          <w:sz w:val="20"/>
          <w:szCs w:val="20"/>
        </w:rPr>
        <w:t>Հարավկովկասյան երկաթուղի» ՓԲԸ-ի ֆինանսական ցուցանիշները</w:t>
      </w:r>
      <w:r w:rsidRPr="00DC7720">
        <w:rPr>
          <w:rFonts w:ascii="Sylfaen" w:hAnsi="Sylfaen"/>
          <w:color w:val="000000"/>
          <w:sz w:val="20"/>
          <w:szCs w:val="20"/>
        </w:rPr>
        <w:t> </w:t>
      </w:r>
    </w:p>
    <w:p w14:paraId="39E1D215" w14:textId="77777777" w:rsidR="004442B5" w:rsidRDefault="004442B5" w:rsidP="004442B5">
      <w:pPr>
        <w:shd w:val="clear" w:color="auto" w:fill="FFFFFF"/>
        <w:spacing w:after="0" w:line="240" w:lineRule="auto"/>
        <w:ind w:right="150" w:firstLine="450"/>
        <w:rPr>
          <w:rFonts w:ascii="Sylfaen" w:hAnsi="Sylfaen"/>
          <w:color w:val="000000"/>
          <w:sz w:val="24"/>
          <w:szCs w:val="24"/>
        </w:rPr>
      </w:pPr>
    </w:p>
    <w:tbl>
      <w:tblPr>
        <w:tblW w:w="9214" w:type="dxa"/>
        <w:tblCellSpacing w:w="0" w:type="dxa"/>
        <w:tblInd w:w="612"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828"/>
        <w:gridCol w:w="827"/>
        <w:gridCol w:w="874"/>
        <w:gridCol w:w="850"/>
        <w:gridCol w:w="2835"/>
      </w:tblGrid>
      <w:tr w:rsidR="004442B5" w:rsidRPr="0088205E" w14:paraId="0F41965F" w14:textId="77777777" w:rsidTr="00C85113">
        <w:trPr>
          <w:tblHeader/>
          <w:tblCellSpacing w:w="0" w:type="dxa"/>
        </w:trPr>
        <w:tc>
          <w:tcPr>
            <w:tcW w:w="3828"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27454473" w14:textId="77777777" w:rsidR="004442B5" w:rsidRPr="00DC7720" w:rsidRDefault="004442B5" w:rsidP="00C85113">
            <w:pPr>
              <w:spacing w:after="0" w:line="240" w:lineRule="auto"/>
              <w:ind w:firstLine="0"/>
              <w:jc w:val="center"/>
              <w:rPr>
                <w:color w:val="FFFFFF" w:themeColor="background1"/>
                <w:sz w:val="20"/>
                <w:szCs w:val="20"/>
              </w:rPr>
            </w:pPr>
            <w:r w:rsidRPr="00DC7720">
              <w:rPr>
                <w:color w:val="FFFFFF" w:themeColor="background1"/>
                <w:sz w:val="20"/>
                <w:szCs w:val="20"/>
              </w:rPr>
              <w:lastRenderedPageBreak/>
              <w:t>Ցուցանիշ</w:t>
            </w:r>
          </w:p>
        </w:tc>
        <w:tc>
          <w:tcPr>
            <w:tcW w:w="827"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275FBAEF" w14:textId="77777777" w:rsidR="004442B5" w:rsidRPr="00DC7720" w:rsidRDefault="004442B5" w:rsidP="00C85113">
            <w:pPr>
              <w:spacing w:after="0" w:line="240" w:lineRule="auto"/>
              <w:ind w:firstLine="0"/>
              <w:jc w:val="center"/>
              <w:rPr>
                <w:rFonts w:cs="Times New Roman"/>
                <w:color w:val="FFFFFF" w:themeColor="background1"/>
                <w:sz w:val="20"/>
                <w:szCs w:val="20"/>
              </w:rPr>
            </w:pPr>
            <w:r w:rsidRPr="00DC7720">
              <w:rPr>
                <w:color w:val="FFFFFF" w:themeColor="background1"/>
                <w:sz w:val="20"/>
                <w:szCs w:val="20"/>
              </w:rPr>
              <w:t>2017թ.</w:t>
            </w:r>
          </w:p>
        </w:tc>
        <w:tc>
          <w:tcPr>
            <w:tcW w:w="874"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1E931D6C" w14:textId="77777777" w:rsidR="004442B5" w:rsidRPr="00DC7720" w:rsidRDefault="004442B5" w:rsidP="00C85113">
            <w:pPr>
              <w:spacing w:after="0" w:line="240" w:lineRule="auto"/>
              <w:ind w:firstLine="0"/>
              <w:jc w:val="center"/>
              <w:rPr>
                <w:rFonts w:cs="Times New Roman"/>
                <w:color w:val="FFFFFF" w:themeColor="background1"/>
                <w:sz w:val="20"/>
                <w:szCs w:val="20"/>
              </w:rPr>
            </w:pPr>
            <w:r w:rsidRPr="00DC7720">
              <w:rPr>
                <w:color w:val="FFFFFF" w:themeColor="background1"/>
                <w:sz w:val="20"/>
                <w:szCs w:val="20"/>
              </w:rPr>
              <w:t>2018թ.</w:t>
            </w:r>
          </w:p>
        </w:tc>
        <w:tc>
          <w:tcPr>
            <w:tcW w:w="850"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0CDC6D5D" w14:textId="77777777" w:rsidR="004442B5" w:rsidRPr="00DC7720" w:rsidRDefault="004442B5" w:rsidP="00C85113">
            <w:pPr>
              <w:spacing w:after="0" w:line="240" w:lineRule="auto"/>
              <w:ind w:firstLine="0"/>
              <w:jc w:val="center"/>
              <w:rPr>
                <w:rFonts w:cs="Times New Roman"/>
                <w:color w:val="FFFFFF" w:themeColor="background1"/>
                <w:sz w:val="20"/>
                <w:szCs w:val="20"/>
              </w:rPr>
            </w:pPr>
            <w:r w:rsidRPr="00DC7720">
              <w:rPr>
                <w:color w:val="FFFFFF" w:themeColor="background1"/>
                <w:sz w:val="20"/>
                <w:szCs w:val="20"/>
              </w:rPr>
              <w:t>2019թ.</w:t>
            </w:r>
          </w:p>
        </w:tc>
        <w:tc>
          <w:tcPr>
            <w:tcW w:w="2835"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7F5C33F1" w14:textId="77777777" w:rsidR="004442B5" w:rsidRPr="00DC7720" w:rsidRDefault="004442B5" w:rsidP="00C85113">
            <w:pPr>
              <w:spacing w:after="0" w:line="240" w:lineRule="auto"/>
              <w:ind w:firstLine="0"/>
              <w:jc w:val="center"/>
              <w:rPr>
                <w:color w:val="FFFFFF" w:themeColor="background1"/>
                <w:sz w:val="20"/>
                <w:szCs w:val="20"/>
              </w:rPr>
            </w:pPr>
            <w:r w:rsidRPr="00DC7720">
              <w:rPr>
                <w:color w:val="FFFFFF" w:themeColor="background1"/>
                <w:sz w:val="20"/>
                <w:szCs w:val="20"/>
              </w:rPr>
              <w:t>Թույլատրելի սահմանային նորմա</w:t>
            </w:r>
          </w:p>
        </w:tc>
      </w:tr>
      <w:tr w:rsidR="004442B5" w:rsidRPr="00A35CD3" w14:paraId="5C341458" w14:textId="77777777" w:rsidTr="00FF692C">
        <w:trPr>
          <w:tblCellSpacing w:w="0" w:type="dxa"/>
        </w:trPr>
        <w:tc>
          <w:tcPr>
            <w:tcW w:w="3828"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2326AB0"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Ծախսերի վերականգնման գործակից</w:t>
            </w:r>
          </w:p>
        </w:tc>
        <w:tc>
          <w:tcPr>
            <w:tcW w:w="827"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4333DA46"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1.0</w:t>
            </w:r>
          </w:p>
        </w:tc>
        <w:tc>
          <w:tcPr>
            <w:tcW w:w="87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7497E54"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1.0</w:t>
            </w:r>
          </w:p>
        </w:tc>
        <w:tc>
          <w:tcPr>
            <w:tcW w:w="8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980409F"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1.1</w:t>
            </w:r>
          </w:p>
        </w:tc>
        <w:tc>
          <w:tcPr>
            <w:tcW w:w="2835"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83BE103"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Առնվազն 1</w:t>
            </w:r>
          </w:p>
        </w:tc>
      </w:tr>
      <w:tr w:rsidR="004442B5" w:rsidRPr="00A35CD3" w14:paraId="19E975C7" w14:textId="77777777" w:rsidTr="00C85113">
        <w:trPr>
          <w:tblCellSpacing w:w="0" w:type="dxa"/>
        </w:trPr>
        <w:tc>
          <w:tcPr>
            <w:tcW w:w="38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4FD4F28"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Զուտ շահույթի մարժա (%)</w:t>
            </w:r>
          </w:p>
        </w:tc>
        <w:tc>
          <w:tcPr>
            <w:tcW w:w="827"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4D28D8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0.9</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C8CE96E"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2.6</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4E41C4A" w14:textId="77777777" w:rsidR="004442B5" w:rsidRPr="00DC7720" w:rsidRDefault="004442B5" w:rsidP="00C85113">
            <w:pPr>
              <w:spacing w:after="0" w:line="240" w:lineRule="auto"/>
              <w:ind w:firstLine="0"/>
              <w:jc w:val="center"/>
              <w:rPr>
                <w:sz w:val="20"/>
                <w:szCs w:val="20"/>
              </w:rPr>
            </w:pPr>
            <w:r w:rsidRPr="00DC7720">
              <w:rPr>
                <w:sz w:val="20"/>
                <w:szCs w:val="20"/>
              </w:rPr>
              <w:t>4.5</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E1E427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Առնվազն 8%</w:t>
            </w:r>
          </w:p>
        </w:tc>
      </w:tr>
      <w:tr w:rsidR="004442B5" w:rsidRPr="00A35CD3" w14:paraId="351D13F6" w14:textId="77777777" w:rsidTr="001B57F3">
        <w:trPr>
          <w:tblCellSpacing w:w="0" w:type="dxa"/>
        </w:trPr>
        <w:tc>
          <w:tcPr>
            <w:tcW w:w="3828"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2C5807F8"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Արագ իրացվելիության գործակից</w:t>
            </w:r>
          </w:p>
        </w:tc>
        <w:tc>
          <w:tcPr>
            <w:tcW w:w="827"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4836832B"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1.3</w:t>
            </w:r>
          </w:p>
        </w:tc>
        <w:tc>
          <w:tcPr>
            <w:tcW w:w="87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E52ECC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2.1</w:t>
            </w:r>
          </w:p>
        </w:tc>
        <w:tc>
          <w:tcPr>
            <w:tcW w:w="8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E5348B0"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2.6</w:t>
            </w:r>
          </w:p>
        </w:tc>
        <w:tc>
          <w:tcPr>
            <w:tcW w:w="2835"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5C188E6F"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Առնվազն 1</w:t>
            </w:r>
          </w:p>
        </w:tc>
      </w:tr>
      <w:tr w:rsidR="004442B5" w:rsidRPr="00A35CD3" w14:paraId="6C2FF20D" w14:textId="77777777" w:rsidTr="00C85113">
        <w:trPr>
          <w:tblCellSpacing w:w="0" w:type="dxa"/>
        </w:trPr>
        <w:tc>
          <w:tcPr>
            <w:tcW w:w="38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793A3D4"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Դեբիտորական պարտքերի շրջանառություն (օր)</w:t>
            </w:r>
          </w:p>
        </w:tc>
        <w:tc>
          <w:tcPr>
            <w:tcW w:w="827"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600BF3A"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23.8</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55B4EB49"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13.1</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8B339D8"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23.3</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EBEE3A5"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Առավելագույնը 60 օր</w:t>
            </w:r>
          </w:p>
        </w:tc>
      </w:tr>
      <w:tr w:rsidR="004442B5" w:rsidRPr="00A35CD3" w14:paraId="1671C2AE" w14:textId="77777777" w:rsidTr="001B57F3">
        <w:trPr>
          <w:tblCellSpacing w:w="0" w:type="dxa"/>
        </w:trPr>
        <w:tc>
          <w:tcPr>
            <w:tcW w:w="3828"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0665D702"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Պարտքի սպասարկման գործակից</w:t>
            </w:r>
          </w:p>
        </w:tc>
        <w:tc>
          <w:tcPr>
            <w:tcW w:w="827"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0BF62BFD"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0.0</w:t>
            </w:r>
          </w:p>
        </w:tc>
        <w:tc>
          <w:tcPr>
            <w:tcW w:w="87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E024E97"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0.0</w:t>
            </w:r>
          </w:p>
        </w:tc>
        <w:tc>
          <w:tcPr>
            <w:tcW w:w="8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98DF436"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0.0</w:t>
            </w:r>
          </w:p>
        </w:tc>
        <w:tc>
          <w:tcPr>
            <w:tcW w:w="2835"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5DE911D"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Առավելագույնը 0.5</w:t>
            </w:r>
          </w:p>
        </w:tc>
      </w:tr>
      <w:tr w:rsidR="004442B5" w:rsidRPr="00A35CD3" w14:paraId="4B445D8A" w14:textId="77777777" w:rsidTr="00C85113">
        <w:trPr>
          <w:tblCellSpacing w:w="0" w:type="dxa"/>
        </w:trPr>
        <w:tc>
          <w:tcPr>
            <w:tcW w:w="3828"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5464915"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Վերաֆինանսավորման գործակից</w:t>
            </w:r>
          </w:p>
        </w:tc>
        <w:tc>
          <w:tcPr>
            <w:tcW w:w="827"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46E6321"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1.1</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9DD9AD0"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1.4</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758915BF"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1.0</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71427B7"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Առավելագույնը 1</w:t>
            </w:r>
          </w:p>
        </w:tc>
      </w:tr>
      <w:tr w:rsidR="004442B5" w:rsidRPr="00A35CD3" w14:paraId="376B1E50" w14:textId="77777777" w:rsidTr="001B57F3">
        <w:trPr>
          <w:tblCellSpacing w:w="0" w:type="dxa"/>
        </w:trPr>
        <w:tc>
          <w:tcPr>
            <w:tcW w:w="3828"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8C54A9B"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Z միավոր</w:t>
            </w:r>
          </w:p>
        </w:tc>
        <w:tc>
          <w:tcPr>
            <w:tcW w:w="827"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3CBDD1F"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19.8</w:t>
            </w:r>
          </w:p>
        </w:tc>
        <w:tc>
          <w:tcPr>
            <w:tcW w:w="874"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EEECCA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18.8</w:t>
            </w:r>
          </w:p>
        </w:tc>
        <w:tc>
          <w:tcPr>
            <w:tcW w:w="8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4A2EB73A"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17.8</w:t>
            </w:r>
          </w:p>
        </w:tc>
        <w:tc>
          <w:tcPr>
            <w:tcW w:w="2835"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D38169D"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Ապահով գոտի` Z&gt;2.6,</w:t>
            </w:r>
          </w:p>
          <w:p w14:paraId="6BC89079" w14:textId="77777777" w:rsidR="004442B5" w:rsidRPr="00DC7720" w:rsidRDefault="004442B5" w:rsidP="00C85113">
            <w:pPr>
              <w:spacing w:after="0" w:line="240" w:lineRule="auto"/>
              <w:ind w:firstLine="0"/>
              <w:jc w:val="center"/>
              <w:rPr>
                <w:color w:val="000000"/>
                <w:sz w:val="20"/>
                <w:szCs w:val="20"/>
                <w:lang w:val="hy-AM"/>
              </w:rPr>
            </w:pPr>
            <w:r w:rsidRPr="00DC7720">
              <w:rPr>
                <w:color w:val="000000"/>
                <w:sz w:val="20"/>
                <w:szCs w:val="20"/>
              </w:rPr>
              <w:t>Գորշ գոտի`</w:t>
            </w:r>
          </w:p>
          <w:p w14:paraId="085B7383"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 xml:space="preserve"> 1.1&lt; Z&lt;2.6,</w:t>
            </w:r>
            <w:r w:rsidRPr="00DC7720">
              <w:rPr>
                <w:color w:val="000000"/>
                <w:sz w:val="20"/>
                <w:szCs w:val="20"/>
              </w:rPr>
              <w:br/>
              <w:t>Ծանր գոտի Z&lt;1.1</w:t>
            </w:r>
          </w:p>
        </w:tc>
      </w:tr>
    </w:tbl>
    <w:p w14:paraId="2376C5F8" w14:textId="77777777" w:rsidR="004442B5" w:rsidRDefault="004442B5" w:rsidP="004442B5">
      <w:pPr>
        <w:shd w:val="clear" w:color="auto" w:fill="FFFFFF"/>
        <w:spacing w:after="0" w:line="240" w:lineRule="auto"/>
        <w:ind w:right="150" w:firstLine="450"/>
        <w:rPr>
          <w:rFonts w:ascii="Sylfaen" w:hAnsi="Sylfaen"/>
          <w:color w:val="000000"/>
          <w:sz w:val="24"/>
          <w:szCs w:val="24"/>
        </w:rPr>
      </w:pPr>
    </w:p>
    <w:p w14:paraId="1E958BF2" w14:textId="77777777" w:rsidR="004442B5" w:rsidRPr="00A35CD3" w:rsidRDefault="004442B5" w:rsidP="004442B5">
      <w:pPr>
        <w:shd w:val="clear" w:color="auto" w:fill="FFFFFF"/>
        <w:spacing w:after="0" w:line="240" w:lineRule="auto"/>
        <w:ind w:right="150" w:firstLine="450"/>
        <w:rPr>
          <w:color w:val="000000"/>
          <w:sz w:val="24"/>
          <w:szCs w:val="24"/>
        </w:rPr>
      </w:pPr>
    </w:p>
    <w:p w14:paraId="6A267603" w14:textId="77777777" w:rsidR="004442B5" w:rsidRPr="00B52E55" w:rsidRDefault="004442B5" w:rsidP="00DC7720">
      <w:pPr>
        <w:shd w:val="clear" w:color="auto" w:fill="FFFFFF"/>
        <w:spacing w:after="0" w:line="276" w:lineRule="auto"/>
        <w:ind w:right="144" w:firstLine="446"/>
        <w:rPr>
          <w:color w:val="000000"/>
        </w:rPr>
      </w:pPr>
      <w:r w:rsidRPr="00B52E55">
        <w:rPr>
          <w:color w:val="000000"/>
        </w:rPr>
        <w:t>Ինչպես երևում է աղյուսակից հաշվետու ժամանակաշրջանում սնանկացման կանխատեսման Ալթմանի Z-միավորը վկայում է Ընկերության ֆինանսական ծանր վիճակի բավականին ցածր հավանականության մասին (գործակիցը` Z=17.8, գտնվում է սահմանված ապահով գոտում` Z&gt;2.6):</w:t>
      </w:r>
    </w:p>
    <w:p w14:paraId="608A4CA5" w14:textId="77777777" w:rsidR="004442B5" w:rsidRPr="00B52E55" w:rsidRDefault="004442B5" w:rsidP="00DC7720">
      <w:pPr>
        <w:shd w:val="clear" w:color="auto" w:fill="FFFFFF"/>
        <w:spacing w:after="0" w:line="276" w:lineRule="auto"/>
        <w:ind w:right="144" w:firstLine="446"/>
        <w:rPr>
          <w:color w:val="000000"/>
        </w:rPr>
      </w:pPr>
      <w:r w:rsidRPr="00B52E55">
        <w:rPr>
          <w:color w:val="000000"/>
        </w:rPr>
        <w:t>Հաշվետու ժամանակաշրջանում ստուգաճշտող լրացուցիչ ֆինանսական վեց գործակիցներից մեկը չի համապատասխանում միջազգային պրակտիկայում ընդունված թույլատրելի սահմանային նորմային և վկայում են ֆինանսական ծանր վիճակի միջին հավանականության մասին:</w:t>
      </w:r>
    </w:p>
    <w:p w14:paraId="34AB43F0" w14:textId="77777777" w:rsidR="004442B5" w:rsidRPr="00B52E55" w:rsidRDefault="004442B5" w:rsidP="00DC7720">
      <w:pPr>
        <w:shd w:val="clear" w:color="auto" w:fill="FFFFFF"/>
        <w:spacing w:after="0" w:line="276" w:lineRule="auto"/>
        <w:ind w:right="144" w:firstLine="446"/>
        <w:rPr>
          <w:color w:val="000000"/>
        </w:rPr>
      </w:pPr>
      <w:r w:rsidRPr="00B52E55">
        <w:rPr>
          <w:color w:val="000000"/>
        </w:rPr>
        <w:t>Հաշվետու ժամանակաշրջանում զուտ շահույթի մարժան 3.5 տոկոսային կետով պակաս է պրակտիկայում կիրառվող նվազագույն նորմայից, արագ իրացվելիության գործակիցը հաշվետու ժամանակաշրջանում նախորդ ժամանակաշրջանի նկատմամբ աճել է 0.5-ով և կազմել 2.6, այսինքն Ընկերությունը կարող է առանց պաշարների մեծության արագ իրացվելի ակտիվների հաշվին մարել ընթացիկ պարտավորությունները:</w:t>
      </w:r>
    </w:p>
    <w:p w14:paraId="295A1A8B" w14:textId="77777777" w:rsidR="004442B5" w:rsidRPr="00A35CD3" w:rsidRDefault="004442B5" w:rsidP="00DC7720">
      <w:pPr>
        <w:shd w:val="clear" w:color="auto" w:fill="FFFFFF"/>
        <w:spacing w:after="0" w:line="276" w:lineRule="auto"/>
        <w:ind w:right="144" w:firstLine="446"/>
        <w:rPr>
          <w:color w:val="000000"/>
        </w:rPr>
      </w:pPr>
      <w:r w:rsidRPr="00B52E55">
        <w:rPr>
          <w:color w:val="000000"/>
        </w:rPr>
        <w:t>Հաշվի առնելով, որ հաշվետու ժամանակաշրջանում սնանկացման կանխատեսման Ալթմանի Z-միավորը վկայում է Ընկերության ֆինանսական ծանր վիճակի ցածր հավանականության մասին, իսկ հաշվետու ժամանակաշրջանում ստուգաճշտող լրացուցիչ ֆինանսական վեց գործակիցներից մեկը չի համապատասխանում միջազգային պրակտիկայում ընդունված թույլատրելի սահմանային նորմային և վկայում է ֆինանսական ծանր վիճակի միջին հավանականության մասին, հետևաբար այս երկու նախնական գնահատումների զուգակցման արդյունքում Ընկերության ֆինանսական ծանր վիճակի հավանականությունը գնահատվում է ցածր:</w:t>
      </w:r>
    </w:p>
    <w:p w14:paraId="00B8FD7F" w14:textId="402B5E22" w:rsidR="004442B5" w:rsidRPr="00A35CD3" w:rsidRDefault="004442B5" w:rsidP="00DC7720">
      <w:pPr>
        <w:shd w:val="clear" w:color="auto" w:fill="FFFFFF"/>
        <w:spacing w:after="0" w:line="276" w:lineRule="auto"/>
        <w:ind w:right="144" w:firstLine="446"/>
        <w:rPr>
          <w:color w:val="000000"/>
        </w:rPr>
      </w:pPr>
      <w:r w:rsidRPr="00A35CD3">
        <w:rPr>
          <w:color w:val="000000"/>
        </w:rPr>
        <w:lastRenderedPageBreak/>
        <w:t>Վարկային պարտավորությունների հետ կապված անհրաժեշտ է նշել, որ Ընկերությունը չունի ՀՀ պետական բյուջեի նկատմամբ ենթավարկային պայման</w:t>
      </w:r>
      <w:r w:rsidR="007724F4">
        <w:rPr>
          <w:color w:val="000000"/>
          <w:lang w:val="hy-AM"/>
        </w:rPr>
        <w:t>ա</w:t>
      </w:r>
      <w:r w:rsidRPr="00A35CD3">
        <w:rPr>
          <w:color w:val="000000"/>
        </w:rPr>
        <w:t>գրերով նախատեսված վարկային պարտավորություններ:</w:t>
      </w:r>
    </w:p>
    <w:p w14:paraId="53E1B10D"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Ընկերությունը ներգրավված չի այնպիսի տեղական կամ միջազգային դատական վարույթներում, որոնք կարող են էական ազդեցություն ունենալ ընկերության ֆինանսական վիճակի վրա:</w:t>
      </w:r>
    </w:p>
    <w:p w14:paraId="1452173E" w14:textId="77777777" w:rsidR="004442B5" w:rsidRPr="00A35CD3" w:rsidRDefault="004442B5" w:rsidP="00DC7720">
      <w:pPr>
        <w:shd w:val="clear" w:color="auto" w:fill="FFFFFF"/>
        <w:spacing w:after="0" w:line="276" w:lineRule="auto"/>
        <w:ind w:right="144" w:firstLine="446"/>
        <w:rPr>
          <w:color w:val="000000"/>
        </w:rPr>
      </w:pPr>
      <w:r w:rsidRPr="00B52E55">
        <w:rPr>
          <w:color w:val="000000"/>
        </w:rPr>
        <w:t>Հարկ է նաև նշել, որ կոնցեսիոն պայմանագրով նախատեսված է, որ կոնցեդենտը սուբսիդավորում է (մասնակի փոխհատուցում է) համաձայնեցված ծավալներով և ուղղություններով ուղևորափոխադրումների կոնցեսիոների (Ընկերության) տարեկան վնասը կոնցեսիոների կողմից անկախ աուդիտորի կողմից այդ վնասների հաստատված հաշվարկների ներկայացման պարագայում:</w:t>
      </w:r>
    </w:p>
    <w:p w14:paraId="2C526A76" w14:textId="77777777" w:rsidR="004442B5" w:rsidRPr="00B52E55" w:rsidRDefault="004442B5" w:rsidP="00DC7720">
      <w:pPr>
        <w:shd w:val="clear" w:color="auto" w:fill="FFFFFF"/>
        <w:spacing w:after="0" w:line="276" w:lineRule="auto"/>
        <w:ind w:right="144" w:firstLine="446"/>
        <w:rPr>
          <w:color w:val="000000"/>
        </w:rPr>
      </w:pPr>
      <w:r w:rsidRPr="00B52E55">
        <w:rPr>
          <w:color w:val="000000"/>
        </w:rPr>
        <w:t>Սուբսիդիայի համաձայնեցված չափը կազմում է 2015թ. 25%, 2016թ. մինչև 2038թ. 30 տոկոս (2015թ. համար 344.1 մլն դրամ, 2016</w:t>
      </w:r>
      <w:proofErr w:type="gramStart"/>
      <w:r w:rsidRPr="00B52E55">
        <w:rPr>
          <w:color w:val="000000"/>
        </w:rPr>
        <w:t>թ.`</w:t>
      </w:r>
      <w:proofErr w:type="gramEnd"/>
      <w:r w:rsidRPr="00B52E55">
        <w:rPr>
          <w:color w:val="000000"/>
        </w:rPr>
        <w:t xml:space="preserve"> 312.8 մլն դրամ, իսկ 2017թ-ին 301.7 մլն դրամ, 2018թ-ին՝ 347.0 մլն դրամ, 2019թ. նախատեսվել է 352.0 մլն դրամ, փաստացի վճարվել է 377.8 մլն դրամ):</w:t>
      </w:r>
    </w:p>
    <w:p w14:paraId="70CAE889" w14:textId="77777777" w:rsidR="004442B5" w:rsidRPr="00A35CD3" w:rsidRDefault="004442B5" w:rsidP="00DC7720">
      <w:pPr>
        <w:shd w:val="clear" w:color="auto" w:fill="FFFFFF"/>
        <w:spacing w:after="0" w:line="276" w:lineRule="auto"/>
        <w:ind w:right="144" w:firstLine="446"/>
        <w:rPr>
          <w:color w:val="000000"/>
        </w:rPr>
      </w:pPr>
      <w:r w:rsidRPr="00B52E55">
        <w:rPr>
          <w:color w:val="000000"/>
        </w:rPr>
        <w:t>Միաժամանակ կոնցեսիոն պայմանագրով նախատեսված է նաև, որ կոնցեսիոները</w:t>
      </w:r>
      <w:r w:rsidRPr="00A35CD3">
        <w:rPr>
          <w:color w:val="000000"/>
        </w:rPr>
        <w:t xml:space="preserve"> կոնցեդենտին պետք է վճարի տարեկան կոնցեսիոն վճար` համախառն հասույթի 2%-ի չափով (2015</w:t>
      </w:r>
      <w:proofErr w:type="gramStart"/>
      <w:r w:rsidRPr="00A35CD3">
        <w:rPr>
          <w:color w:val="000000"/>
        </w:rPr>
        <w:t>թ.`</w:t>
      </w:r>
      <w:proofErr w:type="gramEnd"/>
      <w:r w:rsidRPr="00A35CD3">
        <w:rPr>
          <w:color w:val="000000"/>
        </w:rPr>
        <w:t xml:space="preserve"> 344.1 մլն դրամ, 2016թ.` 312.8 մլն դրամ, 2017թ.` 301.7 մլն դրամ, իսկ 2018թ.՝ 347.0</w:t>
      </w:r>
      <w:r w:rsidRPr="00A35CD3">
        <w:rPr>
          <w:color w:val="000000"/>
          <w:lang w:val="hy-AM"/>
        </w:rPr>
        <w:t xml:space="preserve"> </w:t>
      </w:r>
      <w:r w:rsidRPr="00A35CD3">
        <w:rPr>
          <w:color w:val="000000"/>
        </w:rPr>
        <w:t>մլն դրամ, 2019թ. փաստացի վճարվել է 377.8 մլն դրամ):</w:t>
      </w:r>
    </w:p>
    <w:p w14:paraId="3347CE66"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 xml:space="preserve">Հետևաբար հաշվի առնելով, որ ՀՀ պետական բյուջեից տրամադրվող սուբսիդիայի և Ընկերության կողմից վճարվող կոնցեսիոն վճարի չափերը համեմատելի են, ուստի Ընկերության կողմից ՀՀ պետական բյուջեի վճարվող կոնցեսիոն վճարի չվճարման ռիսկը գնահատվում է բավականին </w:t>
      </w:r>
      <w:r w:rsidRPr="00B52E55">
        <w:rPr>
          <w:color w:val="000000"/>
        </w:rPr>
        <w:t>ցածր:</w:t>
      </w:r>
    </w:p>
    <w:p w14:paraId="64C5F7FE" w14:textId="77777777" w:rsidR="004442B5" w:rsidRDefault="004442B5" w:rsidP="00DC7720">
      <w:pPr>
        <w:shd w:val="clear" w:color="auto" w:fill="FFFFFF"/>
        <w:spacing w:after="0" w:line="276" w:lineRule="auto"/>
        <w:ind w:right="144" w:firstLine="446"/>
        <w:rPr>
          <w:color w:val="000000"/>
          <w:lang w:val="hy-AM"/>
        </w:rPr>
      </w:pPr>
      <w:r w:rsidRPr="00A35CD3">
        <w:rPr>
          <w:color w:val="000000"/>
        </w:rPr>
        <w:t xml:space="preserve">Միաժամանակ հաշվի առնելով վերոգրյալը, ինչպես նաև Ընկերության ֆինանսատնտեսական գործունեության վերլուծության արդյունքները` ՀՀ պետական բյուջեից Ընկերությանը չնախատեսված փոխառությունների, սուբսիդիաների (այդ թվում լրացուցիչ) տրամադրման, սեփական կապիտալի համալրման կամ այլ վճարումներ կատարելու անհրաժեշտության, ինչպես նաև Ընկերության կողմից ՀՀ պետական բյուջե վճարվող կոնցեսիոն վճարի չվճարման ռիսկը </w:t>
      </w:r>
      <w:r w:rsidRPr="00B52E55">
        <w:rPr>
          <w:color w:val="000000"/>
        </w:rPr>
        <w:t xml:space="preserve">գնահատվում </w:t>
      </w:r>
      <w:r>
        <w:rPr>
          <w:color w:val="000000"/>
        </w:rPr>
        <w:t xml:space="preserve">է </w:t>
      </w:r>
      <w:r w:rsidRPr="00B52E55">
        <w:rPr>
          <w:color w:val="000000"/>
        </w:rPr>
        <w:t>ցածր:</w:t>
      </w:r>
    </w:p>
    <w:p w14:paraId="19C7BC6B" w14:textId="77777777" w:rsidR="004442B5" w:rsidRPr="003A3567" w:rsidRDefault="004442B5" w:rsidP="00DC7720">
      <w:pPr>
        <w:shd w:val="clear" w:color="auto" w:fill="FFFFFF"/>
        <w:spacing w:after="0" w:line="276" w:lineRule="auto"/>
        <w:ind w:right="144" w:firstLine="446"/>
        <w:rPr>
          <w:b/>
          <w:color w:val="000000"/>
          <w:lang w:val="hy-AM"/>
        </w:rPr>
      </w:pPr>
      <w:r w:rsidRPr="003A3567">
        <w:rPr>
          <w:b/>
          <w:color w:val="000000"/>
          <w:lang w:val="hy-AM"/>
        </w:rPr>
        <w:t>«Վեոլիա Ջուր» ՓԲԸ</w:t>
      </w:r>
    </w:p>
    <w:p w14:paraId="1E9412FD" w14:textId="5AC720BB" w:rsidR="004442B5" w:rsidRPr="003A3567" w:rsidRDefault="004442B5" w:rsidP="00DC7720">
      <w:pPr>
        <w:shd w:val="clear" w:color="auto" w:fill="FFFFFF"/>
        <w:spacing w:after="0" w:line="276" w:lineRule="auto"/>
        <w:ind w:right="144" w:firstLine="446"/>
        <w:rPr>
          <w:color w:val="000000"/>
          <w:lang w:val="hy-AM"/>
        </w:rPr>
      </w:pPr>
      <w:r w:rsidRPr="003A3567">
        <w:rPr>
          <w:color w:val="000000"/>
          <w:lang w:val="hy-AM"/>
        </w:rPr>
        <w:t>21.11.2016թ. ՀՀ կառավարության և «Վեոլիա Օ Կոմպանի Ժեներալ Դեզ Օ» կոմանդիտային բաժնետիրական ընկերության և «Վեոլիա Ջուր» ՓԲԸ-ի (այսուհետ` Ընկերություն) միջև կնքվել է «Երևան Ջուր», «Հայջրմուղկոյուղի», «Լոռի-ջրմուղկոյուղի», «Շիրակ-ջրմուղկոյուղի» և «Նոր Ակունք» փակ բաժնետիրական ընկերությունների կողմից օգտագործվող ու պահպանվող ջրային համակարգերի և այլ գույքի վարձակալության պայմանագիր` 15 տարի ժամկետով (Վարձակալական պայման</w:t>
      </w:r>
      <w:r w:rsidR="007724F4">
        <w:rPr>
          <w:color w:val="000000"/>
          <w:lang w:val="hy-AM"/>
        </w:rPr>
        <w:t>ա</w:t>
      </w:r>
      <w:r w:rsidRPr="003A3567">
        <w:rPr>
          <w:color w:val="000000"/>
          <w:lang w:val="hy-AM"/>
        </w:rPr>
        <w:t>գիր):</w:t>
      </w:r>
    </w:p>
    <w:p w14:paraId="31A93DA4" w14:textId="35ECDFE2" w:rsidR="004442B5" w:rsidRPr="003A3567" w:rsidRDefault="004442B5" w:rsidP="00DC7720">
      <w:pPr>
        <w:shd w:val="clear" w:color="auto" w:fill="FFFFFF"/>
        <w:spacing w:after="0" w:line="276" w:lineRule="auto"/>
        <w:ind w:right="144" w:firstLine="446"/>
        <w:rPr>
          <w:color w:val="000000"/>
          <w:lang w:val="hy-AM"/>
        </w:rPr>
      </w:pPr>
      <w:r w:rsidRPr="003A3567">
        <w:rPr>
          <w:color w:val="000000"/>
          <w:lang w:val="hy-AM"/>
        </w:rPr>
        <w:t>Վարձակալական պայման</w:t>
      </w:r>
      <w:r w:rsidR="007724F4">
        <w:rPr>
          <w:color w:val="000000"/>
          <w:lang w:val="hy-AM"/>
        </w:rPr>
        <w:t>ա</w:t>
      </w:r>
      <w:r w:rsidRPr="003A3567">
        <w:rPr>
          <w:color w:val="000000"/>
          <w:lang w:val="hy-AM"/>
        </w:rPr>
        <w:t>գրի 9-րդ հոդվածի համաձայն Ընկերության կողմից մատուցվող ջրամատակարարման և կեղտաջրերի հեռացման ծառայությունների սակագները կարգավորվում և հաստա</w:t>
      </w:r>
      <w:r w:rsidR="007724F4">
        <w:rPr>
          <w:color w:val="000000"/>
          <w:lang w:val="hy-AM"/>
        </w:rPr>
        <w:t>տ</w:t>
      </w:r>
      <w:r w:rsidRPr="003A3567">
        <w:rPr>
          <w:color w:val="000000"/>
          <w:lang w:val="hy-AM"/>
        </w:rPr>
        <w:t>վում են Հանրային ծառայությունները կարգավորող հանձնաժողովի կողմից:</w:t>
      </w:r>
    </w:p>
    <w:p w14:paraId="44AE8C3A" w14:textId="77777777" w:rsidR="004442B5" w:rsidRDefault="004442B5" w:rsidP="00DC7720">
      <w:pPr>
        <w:shd w:val="clear" w:color="auto" w:fill="FFFFFF"/>
        <w:spacing w:after="0" w:line="276" w:lineRule="auto"/>
        <w:ind w:right="144" w:firstLine="446"/>
        <w:rPr>
          <w:color w:val="000000"/>
          <w:lang w:val="hy-AM"/>
        </w:rPr>
      </w:pPr>
      <w:r w:rsidRPr="003A3567">
        <w:rPr>
          <w:color w:val="000000"/>
          <w:lang w:val="hy-AM"/>
        </w:rPr>
        <w:lastRenderedPageBreak/>
        <w:t>Միաժամանակ Վարձակալ</w:t>
      </w:r>
      <w:r>
        <w:rPr>
          <w:color w:val="000000"/>
          <w:lang w:val="hy-AM"/>
        </w:rPr>
        <w:t>ական</w:t>
      </w:r>
      <w:r w:rsidRPr="003A3567">
        <w:rPr>
          <w:color w:val="000000"/>
          <w:lang w:val="hy-AM"/>
        </w:rPr>
        <w:t xml:space="preserve"> պայմանագրի 8-րդ հոդվածի համաձայն Ընկերությունը պարտավոր է յուրաքանչյուր կիսամյակ վճարել վարձակալության վճար` համաձայն նախատեսված վարձակալության վճարի վճարման ժամանակացույցի: Վարձակալության վճարի ամբողջական գումարը կազմ</w:t>
      </w:r>
      <w:r>
        <w:rPr>
          <w:color w:val="000000"/>
          <w:lang w:val="hy-AM"/>
        </w:rPr>
        <w:t>ել</w:t>
      </w:r>
      <w:r w:rsidRPr="003A3567">
        <w:rPr>
          <w:color w:val="000000"/>
          <w:lang w:val="hy-AM"/>
        </w:rPr>
        <w:t xml:space="preserve"> է 89.7 մլրդ ՀՀ դրամ</w:t>
      </w:r>
      <w:r>
        <w:rPr>
          <w:color w:val="000000"/>
          <w:lang w:val="hy-AM"/>
        </w:rPr>
        <w:t>։</w:t>
      </w:r>
      <w:r w:rsidRPr="003A3567">
        <w:rPr>
          <w:color w:val="000000"/>
          <w:lang w:val="hy-AM"/>
        </w:rPr>
        <w:t xml:space="preserve"> </w:t>
      </w:r>
    </w:p>
    <w:p w14:paraId="77466A21" w14:textId="77777777" w:rsidR="004442B5" w:rsidRPr="003A3567" w:rsidRDefault="004442B5" w:rsidP="00DC7720">
      <w:pPr>
        <w:shd w:val="clear" w:color="auto" w:fill="FFFFFF"/>
        <w:spacing w:after="0" w:line="276" w:lineRule="auto"/>
        <w:ind w:right="144" w:firstLine="446"/>
        <w:rPr>
          <w:color w:val="000000"/>
          <w:lang w:val="hy-AM"/>
        </w:rPr>
      </w:pPr>
      <w:r w:rsidRPr="003A3567">
        <w:rPr>
          <w:color w:val="000000"/>
          <w:lang w:val="hy-AM"/>
        </w:rPr>
        <w:t>Հաշվետու ժամանակաշրջանում «Վեոլիա Ջուր» ՓԲԸ-ի (այսուհետ` Ընկերություն) ընդամենը եկամուտները կազմել են 22.4 մլրդ դրամ նախորդ ժամանակաշրջանի 21.4 մլրդ դրամի դիմաց` կամ ավել 4.6%-ով (1.0 մլրդ դրամով):</w:t>
      </w:r>
    </w:p>
    <w:p w14:paraId="636264C1" w14:textId="77777777" w:rsidR="004442B5" w:rsidRPr="003A3567" w:rsidRDefault="004442B5" w:rsidP="00DC7720">
      <w:pPr>
        <w:shd w:val="clear" w:color="auto" w:fill="FFFFFF"/>
        <w:spacing w:after="0" w:line="276" w:lineRule="auto"/>
        <w:ind w:right="144" w:firstLine="446"/>
        <w:rPr>
          <w:color w:val="000000"/>
          <w:lang w:val="hy-AM"/>
        </w:rPr>
      </w:pPr>
      <w:r w:rsidRPr="003A3567">
        <w:rPr>
          <w:rFonts w:ascii="Sylfaen" w:hAnsi="Sylfaen"/>
          <w:color w:val="000000"/>
          <w:lang w:val="hy-AM"/>
        </w:rPr>
        <w:t> </w:t>
      </w:r>
      <w:r w:rsidRPr="003A3567">
        <w:rPr>
          <w:color w:val="000000"/>
          <w:lang w:val="hy-AM"/>
        </w:rPr>
        <w:t>Հաշվետու ժամանակաշրջանում Ընկերության ծախսերը կազմել են 19.2 մլրդ դրամ` նախորդ ժամանակաշրջանի 19.4 մլրդ դրամի դիմաց` կամ պակաս 1.0%-ով (0.2 մլրդ դրամով):</w:t>
      </w:r>
    </w:p>
    <w:p w14:paraId="50C02830" w14:textId="77777777" w:rsidR="004442B5" w:rsidRPr="003A3567" w:rsidRDefault="004442B5" w:rsidP="00DC7720">
      <w:pPr>
        <w:shd w:val="clear" w:color="auto" w:fill="FFFFFF"/>
        <w:spacing w:after="0" w:line="276" w:lineRule="auto"/>
        <w:ind w:right="144" w:firstLine="446"/>
        <w:rPr>
          <w:color w:val="000000"/>
          <w:lang w:val="hy-AM"/>
        </w:rPr>
      </w:pPr>
      <w:r w:rsidRPr="003A3567">
        <w:rPr>
          <w:color w:val="000000"/>
          <w:lang w:val="hy-AM"/>
        </w:rPr>
        <w:t>Ընկերության 22.4 մլրդ դրամ ընդհանուր եկամուտների և 19.2 մլրդ դրամ ընդհանուր ծախսերի արդյունքում հաշվետու ժամանակաշրջանում շահույթը կազմել է 3.2 մլրդ դրամ:</w:t>
      </w:r>
    </w:p>
    <w:p w14:paraId="76D29EBD" w14:textId="77777777" w:rsidR="004442B5" w:rsidRPr="003A3567" w:rsidRDefault="004442B5" w:rsidP="00DC7720">
      <w:pPr>
        <w:shd w:val="clear" w:color="auto" w:fill="FFFFFF"/>
        <w:spacing w:after="0" w:line="276" w:lineRule="auto"/>
        <w:ind w:right="144" w:firstLine="446"/>
        <w:rPr>
          <w:color w:val="000000"/>
          <w:lang w:val="hy-AM"/>
        </w:rPr>
      </w:pPr>
      <w:r w:rsidRPr="003A3567">
        <w:rPr>
          <w:color w:val="000000"/>
          <w:lang w:val="hy-AM"/>
        </w:rPr>
        <w:t xml:space="preserve">Ընկերության հարկաբյուջետային ռիսկերի գնահատման համար կիրառված ֆինանսական գործակիցների ամփոփ արդյունքները և պրակտիկայում ընդունված թույլատրելի սահմանային նորմաները ներկայացված են </w:t>
      </w:r>
      <w:r w:rsidRPr="00A35CD3">
        <w:rPr>
          <w:color w:val="000000"/>
          <w:lang w:val="hy-AM"/>
        </w:rPr>
        <w:t>ա</w:t>
      </w:r>
      <w:r w:rsidRPr="003A3567">
        <w:rPr>
          <w:color w:val="000000"/>
          <w:lang w:val="hy-AM"/>
        </w:rPr>
        <w:t>ղյուսակում:</w:t>
      </w:r>
    </w:p>
    <w:p w14:paraId="0920A8AE" w14:textId="77777777" w:rsidR="004442B5" w:rsidRPr="003A3567" w:rsidRDefault="004442B5" w:rsidP="004442B5">
      <w:pPr>
        <w:shd w:val="clear" w:color="auto" w:fill="FFFFFF"/>
        <w:spacing w:after="0" w:line="240" w:lineRule="auto"/>
        <w:ind w:right="150" w:firstLine="450"/>
        <w:rPr>
          <w:color w:val="000000"/>
          <w:lang w:val="hy-AM"/>
        </w:rPr>
      </w:pPr>
      <w:r w:rsidRPr="003A3567">
        <w:rPr>
          <w:rFonts w:ascii="Sylfaen" w:hAnsi="Sylfaen"/>
          <w:color w:val="000000"/>
          <w:lang w:val="hy-AM"/>
        </w:rPr>
        <w:t> </w:t>
      </w:r>
    </w:p>
    <w:p w14:paraId="44F3E3F7" w14:textId="77777777" w:rsidR="004442B5" w:rsidRPr="00DC7720" w:rsidRDefault="004442B5" w:rsidP="004442B5">
      <w:pPr>
        <w:shd w:val="clear" w:color="auto" w:fill="FFFFFF"/>
        <w:spacing w:after="0" w:line="240" w:lineRule="auto"/>
        <w:ind w:right="150" w:firstLine="450"/>
        <w:rPr>
          <w:i/>
          <w:color w:val="000000"/>
          <w:sz w:val="20"/>
          <w:szCs w:val="20"/>
          <w:lang w:val="hy-AM"/>
        </w:rPr>
      </w:pPr>
      <w:r w:rsidRPr="00DC7720">
        <w:rPr>
          <w:b/>
          <w:bCs/>
          <w:color w:val="000000"/>
          <w:sz w:val="20"/>
          <w:szCs w:val="20"/>
          <w:lang w:val="hy-AM"/>
        </w:rPr>
        <w:t xml:space="preserve">Աղյուսակ </w:t>
      </w:r>
      <w:r w:rsidR="00DC7720" w:rsidRPr="00BE7F99">
        <w:rPr>
          <w:b/>
          <w:bCs/>
          <w:color w:val="000000"/>
          <w:sz w:val="20"/>
          <w:szCs w:val="20"/>
          <w:lang w:val="hy-AM"/>
        </w:rPr>
        <w:t>5.</w:t>
      </w:r>
      <w:r w:rsidRPr="00DC7720">
        <w:rPr>
          <w:b/>
          <w:bCs/>
          <w:color w:val="000000"/>
          <w:sz w:val="20"/>
          <w:szCs w:val="20"/>
          <w:lang w:val="hy-AM"/>
        </w:rPr>
        <w:t>12</w:t>
      </w:r>
      <w:r w:rsidRPr="00DC7720">
        <w:rPr>
          <w:b/>
          <w:color w:val="000000"/>
          <w:sz w:val="20"/>
          <w:szCs w:val="20"/>
          <w:lang w:val="hy-AM"/>
        </w:rPr>
        <w:t xml:space="preserve"> </w:t>
      </w:r>
      <w:r w:rsidRPr="00DC7720">
        <w:rPr>
          <w:i/>
          <w:color w:val="000000"/>
          <w:sz w:val="20"/>
          <w:szCs w:val="20"/>
          <w:lang w:val="hy-AM"/>
        </w:rPr>
        <w:t>«Վեոլիա Ջուր» ՓԲԸ-ի ֆինանսական ցուցանիշները</w:t>
      </w:r>
      <w:r w:rsidRPr="00DC7720">
        <w:rPr>
          <w:rFonts w:ascii="Sylfaen" w:hAnsi="Sylfaen"/>
          <w:i/>
          <w:color w:val="000000"/>
          <w:sz w:val="20"/>
          <w:szCs w:val="20"/>
          <w:lang w:val="hy-AM"/>
        </w:rPr>
        <w:t> </w:t>
      </w:r>
    </w:p>
    <w:p w14:paraId="5B7D62E1" w14:textId="77777777" w:rsidR="004442B5" w:rsidRPr="00DC7720" w:rsidRDefault="004442B5" w:rsidP="004442B5">
      <w:pPr>
        <w:shd w:val="clear" w:color="auto" w:fill="FFFFFF"/>
        <w:spacing w:after="0" w:line="240" w:lineRule="auto"/>
        <w:ind w:right="150" w:firstLine="450"/>
        <w:rPr>
          <w:rFonts w:ascii="Sylfaen" w:hAnsi="Sylfaen"/>
          <w:i/>
          <w:color w:val="000000"/>
          <w:lang w:val="hy-AM"/>
        </w:rPr>
      </w:pPr>
      <w:r w:rsidRPr="00DC7720">
        <w:rPr>
          <w:rFonts w:ascii="Sylfaen" w:hAnsi="Sylfaen"/>
          <w:i/>
          <w:color w:val="000000"/>
          <w:lang w:val="hy-AM"/>
        </w:rPr>
        <w:t> </w:t>
      </w:r>
    </w:p>
    <w:tbl>
      <w:tblPr>
        <w:tblW w:w="8789" w:type="dxa"/>
        <w:tblCellSpacing w:w="0" w:type="dxa"/>
        <w:tblInd w:w="754"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350"/>
        <w:gridCol w:w="903"/>
        <w:gridCol w:w="850"/>
        <w:gridCol w:w="851"/>
        <w:gridCol w:w="2835"/>
      </w:tblGrid>
      <w:tr w:rsidR="004442B5" w:rsidRPr="00DC7720" w14:paraId="7A62B1E4" w14:textId="77777777" w:rsidTr="00C85113">
        <w:trPr>
          <w:tblCellSpacing w:w="0" w:type="dxa"/>
        </w:trPr>
        <w:tc>
          <w:tcPr>
            <w:tcW w:w="3350"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74473E02" w14:textId="77777777" w:rsidR="004442B5" w:rsidRPr="00DC7720" w:rsidRDefault="004442B5" w:rsidP="00C85113">
            <w:pPr>
              <w:spacing w:after="0" w:line="240" w:lineRule="auto"/>
              <w:ind w:firstLine="0"/>
              <w:jc w:val="center"/>
              <w:rPr>
                <w:color w:val="FFFFFF" w:themeColor="background1"/>
                <w:sz w:val="20"/>
                <w:szCs w:val="20"/>
              </w:rPr>
            </w:pPr>
            <w:r w:rsidRPr="00DC7720">
              <w:rPr>
                <w:color w:val="FFFFFF" w:themeColor="background1"/>
                <w:sz w:val="20"/>
                <w:szCs w:val="20"/>
              </w:rPr>
              <w:t>Ցուցանիշ</w:t>
            </w:r>
          </w:p>
        </w:tc>
        <w:tc>
          <w:tcPr>
            <w:tcW w:w="903"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6C22BE9F" w14:textId="77777777" w:rsidR="004442B5" w:rsidRPr="00DC7720" w:rsidRDefault="004442B5" w:rsidP="00C85113">
            <w:pPr>
              <w:spacing w:after="0" w:line="240" w:lineRule="auto"/>
              <w:ind w:firstLine="0"/>
              <w:jc w:val="center"/>
              <w:rPr>
                <w:rFonts w:eastAsia="Times New Roman" w:cs="Times New Roman"/>
                <w:color w:val="FFFFFF" w:themeColor="background1"/>
                <w:sz w:val="20"/>
                <w:szCs w:val="20"/>
              </w:rPr>
            </w:pPr>
            <w:r w:rsidRPr="00DC7720">
              <w:rPr>
                <w:color w:val="FFFFFF" w:themeColor="background1"/>
                <w:sz w:val="20"/>
                <w:szCs w:val="20"/>
              </w:rPr>
              <w:t>2017թ.</w:t>
            </w:r>
          </w:p>
        </w:tc>
        <w:tc>
          <w:tcPr>
            <w:tcW w:w="850"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0BF7C92F" w14:textId="77777777" w:rsidR="004442B5" w:rsidRPr="00DC7720" w:rsidRDefault="004442B5" w:rsidP="00C85113">
            <w:pPr>
              <w:spacing w:after="0" w:line="240" w:lineRule="auto"/>
              <w:ind w:firstLine="0"/>
              <w:jc w:val="center"/>
              <w:rPr>
                <w:rFonts w:eastAsia="Times New Roman" w:cs="Times New Roman"/>
                <w:color w:val="FFFFFF" w:themeColor="background1"/>
                <w:sz w:val="20"/>
                <w:szCs w:val="20"/>
              </w:rPr>
            </w:pPr>
            <w:r w:rsidRPr="00DC7720">
              <w:rPr>
                <w:color w:val="FFFFFF" w:themeColor="background1"/>
                <w:sz w:val="20"/>
                <w:szCs w:val="20"/>
              </w:rPr>
              <w:t>2018թ.</w:t>
            </w:r>
          </w:p>
        </w:tc>
        <w:tc>
          <w:tcPr>
            <w:tcW w:w="851"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3BEDC772" w14:textId="77777777" w:rsidR="004442B5" w:rsidRPr="00DC7720" w:rsidRDefault="004442B5" w:rsidP="00C85113">
            <w:pPr>
              <w:spacing w:after="0" w:line="240" w:lineRule="auto"/>
              <w:ind w:firstLine="0"/>
              <w:jc w:val="center"/>
              <w:rPr>
                <w:rFonts w:eastAsia="Times New Roman" w:cs="Times New Roman"/>
                <w:color w:val="FFFFFF" w:themeColor="background1"/>
                <w:sz w:val="20"/>
                <w:szCs w:val="20"/>
              </w:rPr>
            </w:pPr>
            <w:r w:rsidRPr="00DC7720">
              <w:rPr>
                <w:color w:val="FFFFFF" w:themeColor="background1"/>
                <w:sz w:val="20"/>
                <w:szCs w:val="20"/>
              </w:rPr>
              <w:t>2019թ.</w:t>
            </w:r>
          </w:p>
        </w:tc>
        <w:tc>
          <w:tcPr>
            <w:tcW w:w="2835" w:type="dxa"/>
            <w:tcBorders>
              <w:top w:val="outset" w:sz="6" w:space="0" w:color="auto"/>
              <w:left w:val="outset" w:sz="6" w:space="0" w:color="auto"/>
              <w:bottom w:val="outset" w:sz="6" w:space="0" w:color="auto"/>
              <w:right w:val="outset" w:sz="6" w:space="0" w:color="auto"/>
            </w:tcBorders>
            <w:shd w:val="clear" w:color="auto" w:fill="0070C0"/>
            <w:tcMar>
              <w:top w:w="30" w:type="dxa"/>
              <w:left w:w="30" w:type="dxa"/>
              <w:bottom w:w="30" w:type="dxa"/>
              <w:right w:w="30" w:type="dxa"/>
            </w:tcMar>
            <w:vAlign w:val="center"/>
            <w:hideMark/>
          </w:tcPr>
          <w:p w14:paraId="2C09432C" w14:textId="77777777" w:rsidR="004442B5" w:rsidRPr="00DC7720" w:rsidRDefault="004442B5" w:rsidP="00C85113">
            <w:pPr>
              <w:spacing w:after="0" w:line="240" w:lineRule="auto"/>
              <w:ind w:firstLine="0"/>
              <w:jc w:val="center"/>
              <w:rPr>
                <w:color w:val="FFFFFF" w:themeColor="background1"/>
                <w:sz w:val="20"/>
                <w:szCs w:val="20"/>
              </w:rPr>
            </w:pPr>
            <w:r w:rsidRPr="00DC7720">
              <w:rPr>
                <w:color w:val="FFFFFF" w:themeColor="background1"/>
                <w:sz w:val="20"/>
                <w:szCs w:val="20"/>
              </w:rPr>
              <w:t>Թույլատրելի սահմանային նորմա</w:t>
            </w:r>
          </w:p>
        </w:tc>
      </w:tr>
      <w:tr w:rsidR="004442B5" w:rsidRPr="00DC7720" w14:paraId="1A02395F" w14:textId="77777777" w:rsidTr="00FF692C">
        <w:trPr>
          <w:tblCellSpacing w:w="0" w:type="dxa"/>
        </w:trPr>
        <w:tc>
          <w:tcPr>
            <w:tcW w:w="33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74F7FE6"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Ծախսերի վերականգնման գործակից</w:t>
            </w:r>
          </w:p>
        </w:tc>
        <w:tc>
          <w:tcPr>
            <w:tcW w:w="903"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FEA6EFF"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1.0</w:t>
            </w:r>
          </w:p>
        </w:tc>
        <w:tc>
          <w:tcPr>
            <w:tcW w:w="8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5FB121A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1.1</w:t>
            </w:r>
          </w:p>
        </w:tc>
        <w:tc>
          <w:tcPr>
            <w:tcW w:w="851"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2965B933"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1.2</w:t>
            </w:r>
          </w:p>
        </w:tc>
        <w:tc>
          <w:tcPr>
            <w:tcW w:w="2835"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E7E9AB7"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Առնվազն 1</w:t>
            </w:r>
          </w:p>
        </w:tc>
      </w:tr>
      <w:tr w:rsidR="004442B5" w:rsidRPr="00DC7720" w14:paraId="5989AA6A" w14:textId="77777777" w:rsidTr="00C85113">
        <w:trPr>
          <w:tblCellSpacing w:w="0" w:type="dxa"/>
        </w:trPr>
        <w:tc>
          <w:tcPr>
            <w:tcW w:w="33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25FB1A6"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Զուտ շահույթի մարժա (%)</w:t>
            </w:r>
          </w:p>
        </w:tc>
        <w:tc>
          <w:tcPr>
            <w:tcW w:w="90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C2F19BB"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(2.2)</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5FAC80B"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(14.1)</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00D90ED0"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(9.0)</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219F99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Առնվազն 8%</w:t>
            </w:r>
          </w:p>
        </w:tc>
      </w:tr>
      <w:tr w:rsidR="004442B5" w:rsidRPr="00DC7720" w14:paraId="13DEBC4A" w14:textId="77777777" w:rsidTr="001B57F3">
        <w:trPr>
          <w:tblCellSpacing w:w="0" w:type="dxa"/>
        </w:trPr>
        <w:tc>
          <w:tcPr>
            <w:tcW w:w="33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15B9A8F"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Արագ իրացվելիության գործակից</w:t>
            </w:r>
          </w:p>
        </w:tc>
        <w:tc>
          <w:tcPr>
            <w:tcW w:w="903"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02452D48"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3.7</w:t>
            </w:r>
          </w:p>
        </w:tc>
        <w:tc>
          <w:tcPr>
            <w:tcW w:w="8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32E6C1A7"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0.6</w:t>
            </w:r>
          </w:p>
        </w:tc>
        <w:tc>
          <w:tcPr>
            <w:tcW w:w="851"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599FFAB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1.0</w:t>
            </w:r>
          </w:p>
        </w:tc>
        <w:tc>
          <w:tcPr>
            <w:tcW w:w="2835"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962F1AF"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Առնվազն 1</w:t>
            </w:r>
          </w:p>
        </w:tc>
      </w:tr>
      <w:tr w:rsidR="004442B5" w:rsidRPr="00DC7720" w14:paraId="28200C0F" w14:textId="77777777" w:rsidTr="00C85113">
        <w:trPr>
          <w:tblCellSpacing w:w="0" w:type="dxa"/>
        </w:trPr>
        <w:tc>
          <w:tcPr>
            <w:tcW w:w="33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2EA2412"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Դեբիտորական պարտքերի շրջանառություն (օր)</w:t>
            </w:r>
          </w:p>
        </w:tc>
        <w:tc>
          <w:tcPr>
            <w:tcW w:w="90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4B76A16D"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79.3</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211BB91A"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72.3</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F98E081"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74.3</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6E98855"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Առավելագույնը 60 օր</w:t>
            </w:r>
          </w:p>
        </w:tc>
      </w:tr>
      <w:tr w:rsidR="004442B5" w:rsidRPr="00DC7720" w14:paraId="234013A7" w14:textId="77777777" w:rsidTr="001B57F3">
        <w:trPr>
          <w:tblCellSpacing w:w="0" w:type="dxa"/>
        </w:trPr>
        <w:tc>
          <w:tcPr>
            <w:tcW w:w="33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07B537E"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Պարտքի սպասարկման գործակից</w:t>
            </w:r>
          </w:p>
        </w:tc>
        <w:tc>
          <w:tcPr>
            <w:tcW w:w="903"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463F03E1"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0.0</w:t>
            </w:r>
          </w:p>
        </w:tc>
        <w:tc>
          <w:tcPr>
            <w:tcW w:w="8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A84B95C"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0.1</w:t>
            </w:r>
          </w:p>
        </w:tc>
        <w:tc>
          <w:tcPr>
            <w:tcW w:w="851"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50C7EA78"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0.0</w:t>
            </w:r>
          </w:p>
        </w:tc>
        <w:tc>
          <w:tcPr>
            <w:tcW w:w="2835"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207AD4BD"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Առավելագույնը 0.5</w:t>
            </w:r>
          </w:p>
        </w:tc>
      </w:tr>
      <w:tr w:rsidR="004442B5" w:rsidRPr="00DC7720" w14:paraId="5CCAC947" w14:textId="77777777" w:rsidTr="00C85113">
        <w:trPr>
          <w:tblCellSpacing w:w="0" w:type="dxa"/>
        </w:trPr>
        <w:tc>
          <w:tcPr>
            <w:tcW w:w="33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6C3EC1F6"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Վերաֆինանսավորման գործակից</w:t>
            </w:r>
          </w:p>
        </w:tc>
        <w:tc>
          <w:tcPr>
            <w:tcW w:w="903"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EA3E178"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1.2</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00D9009"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5.3</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135B8223"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2.1</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14:paraId="389C3C87"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Առավելագույնը 1</w:t>
            </w:r>
          </w:p>
        </w:tc>
      </w:tr>
      <w:tr w:rsidR="004442B5" w:rsidRPr="00DC7720" w14:paraId="7B82978D" w14:textId="77777777" w:rsidTr="001B57F3">
        <w:trPr>
          <w:tblCellSpacing w:w="0" w:type="dxa"/>
        </w:trPr>
        <w:tc>
          <w:tcPr>
            <w:tcW w:w="33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A989882" w14:textId="77777777" w:rsidR="004442B5" w:rsidRPr="00DC7720" w:rsidRDefault="004442B5" w:rsidP="00C85113">
            <w:pPr>
              <w:spacing w:after="0" w:line="240" w:lineRule="auto"/>
              <w:ind w:firstLine="0"/>
              <w:jc w:val="left"/>
              <w:rPr>
                <w:color w:val="000000"/>
                <w:sz w:val="20"/>
                <w:szCs w:val="20"/>
              </w:rPr>
            </w:pPr>
            <w:r w:rsidRPr="00DC7720">
              <w:rPr>
                <w:color w:val="000000"/>
                <w:sz w:val="20"/>
                <w:szCs w:val="20"/>
              </w:rPr>
              <w:t>Z միավոր</w:t>
            </w:r>
          </w:p>
        </w:tc>
        <w:tc>
          <w:tcPr>
            <w:tcW w:w="903"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7B1FACC2"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1.1</w:t>
            </w:r>
          </w:p>
        </w:tc>
        <w:tc>
          <w:tcPr>
            <w:tcW w:w="850"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09338025"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(1.3)</w:t>
            </w:r>
          </w:p>
        </w:tc>
        <w:tc>
          <w:tcPr>
            <w:tcW w:w="851"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17C7D40D"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(0.5)</w:t>
            </w:r>
          </w:p>
        </w:tc>
        <w:tc>
          <w:tcPr>
            <w:tcW w:w="2835" w:type="dxa"/>
            <w:tcBorders>
              <w:top w:val="outset" w:sz="6" w:space="0" w:color="auto"/>
              <w:left w:val="outset" w:sz="6" w:space="0" w:color="auto"/>
              <w:bottom w:val="outset" w:sz="6" w:space="0" w:color="auto"/>
              <w:right w:val="outset" w:sz="6" w:space="0" w:color="auto"/>
            </w:tcBorders>
            <w:shd w:val="clear" w:color="auto" w:fill="C6D9F1" w:themeFill="text2" w:themeFillTint="33"/>
            <w:tcMar>
              <w:top w:w="30" w:type="dxa"/>
              <w:left w:w="30" w:type="dxa"/>
              <w:bottom w:w="30" w:type="dxa"/>
              <w:right w:w="30" w:type="dxa"/>
            </w:tcMar>
            <w:vAlign w:val="center"/>
            <w:hideMark/>
          </w:tcPr>
          <w:p w14:paraId="681EAA92" w14:textId="77777777" w:rsidR="004442B5" w:rsidRPr="00DC7720" w:rsidRDefault="004442B5" w:rsidP="00C85113">
            <w:pPr>
              <w:spacing w:after="0" w:line="240" w:lineRule="auto"/>
              <w:ind w:firstLine="0"/>
              <w:jc w:val="center"/>
              <w:rPr>
                <w:color w:val="000000"/>
                <w:sz w:val="20"/>
                <w:szCs w:val="20"/>
              </w:rPr>
            </w:pPr>
            <w:r w:rsidRPr="00DC7720">
              <w:rPr>
                <w:color w:val="000000"/>
                <w:sz w:val="20"/>
                <w:szCs w:val="20"/>
              </w:rPr>
              <w:t>Ապահով գոտի` Z&gt;2.6, Գորշ գոտի` 1.1&lt; Z&lt;2.6, Ծանր գոտի Z&lt;1.1</w:t>
            </w:r>
          </w:p>
        </w:tc>
      </w:tr>
    </w:tbl>
    <w:p w14:paraId="5BFCE75E" w14:textId="77777777" w:rsidR="004442B5" w:rsidRPr="00DC7720" w:rsidRDefault="004442B5" w:rsidP="004442B5">
      <w:pPr>
        <w:shd w:val="clear" w:color="auto" w:fill="FFFFFF"/>
        <w:spacing w:after="0" w:line="240" w:lineRule="auto"/>
        <w:ind w:right="150" w:firstLine="0"/>
        <w:rPr>
          <w:color w:val="000000"/>
          <w:sz w:val="20"/>
          <w:szCs w:val="20"/>
        </w:rPr>
      </w:pPr>
    </w:p>
    <w:p w14:paraId="1044F7C3"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 xml:space="preserve">Ինչպես երևում է </w:t>
      </w:r>
      <w:r w:rsidRPr="00A35CD3">
        <w:rPr>
          <w:color w:val="000000"/>
          <w:lang w:val="hy-AM"/>
        </w:rPr>
        <w:t>ա</w:t>
      </w:r>
      <w:r w:rsidRPr="00A35CD3">
        <w:rPr>
          <w:color w:val="000000"/>
        </w:rPr>
        <w:t xml:space="preserve">ղյուսակից հաշվետու ժամանակաշրջաններում սնանկացման կանխատեսման Ալթմանի Z-միավորը վկայում է Ընկերության ֆինանսական վիճակի </w:t>
      </w:r>
      <w:r>
        <w:rPr>
          <w:color w:val="000000"/>
        </w:rPr>
        <w:t xml:space="preserve">վատթարացման նշանակալի </w:t>
      </w:r>
      <w:r w:rsidRPr="00A35CD3">
        <w:rPr>
          <w:color w:val="000000"/>
        </w:rPr>
        <w:t>հավանականության մասին (գործակիցը` Z=-0.5 գտնվում է սահմանված ծանր գոտում` Z&lt;1.1):</w:t>
      </w:r>
    </w:p>
    <w:p w14:paraId="40E1BBEC"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lastRenderedPageBreak/>
        <w:t>Հաշվետու ժամանակաշրջանում ստուգաճշտող լրացուցիչ ֆինանսական վեց գործակիցներից երեքը չեն համապատասխանում միջազգային պրակտիկայում ընդունված թույլատրելի սահմանային նորմային և վկայում են ֆինանսական ծանր վիճակի հավանականության մասին:</w:t>
      </w:r>
    </w:p>
    <w:p w14:paraId="2EF31C89"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Հաշվետու ժամանակաշրջանում զուտ շահույթի մարժան 17.0 տոկոսային կետով պակաս է պրակտիկայում կիրառվող նվազագույն նորմայից:</w:t>
      </w:r>
    </w:p>
    <w:p w14:paraId="3F9A7867" w14:textId="5B55B3AC" w:rsidR="004442B5" w:rsidRPr="00A35CD3" w:rsidRDefault="004442B5" w:rsidP="00DC7720">
      <w:pPr>
        <w:shd w:val="clear" w:color="auto" w:fill="FFFFFF"/>
        <w:spacing w:after="0" w:line="276" w:lineRule="auto"/>
        <w:ind w:right="144" w:firstLine="446"/>
        <w:rPr>
          <w:color w:val="000000"/>
        </w:rPr>
      </w:pPr>
      <w:r w:rsidRPr="00A35CD3">
        <w:rPr>
          <w:color w:val="000000"/>
        </w:rPr>
        <w:t>Վարկային պարտավորությունների հետ կապված անհրաժեշտ է նշել, որ Ընկերությունը չունի ՀՀ պետական բյուջեի նկատմամբ ենթավարկային պայման</w:t>
      </w:r>
      <w:r w:rsidR="007724F4">
        <w:rPr>
          <w:color w:val="000000"/>
          <w:lang w:val="hy-AM"/>
        </w:rPr>
        <w:t>ա</w:t>
      </w:r>
      <w:r w:rsidRPr="00A35CD3">
        <w:rPr>
          <w:color w:val="000000"/>
        </w:rPr>
        <w:t>գրերով նախատեսված վարկային պարտավորություններ:</w:t>
      </w:r>
    </w:p>
    <w:p w14:paraId="2409EFF2" w14:textId="77777777" w:rsidR="004442B5" w:rsidRPr="00A35CD3" w:rsidRDefault="004442B5" w:rsidP="00DC7720">
      <w:pPr>
        <w:shd w:val="clear" w:color="auto" w:fill="FFFFFF"/>
        <w:spacing w:after="0" w:line="276" w:lineRule="auto"/>
        <w:ind w:right="144" w:firstLine="446"/>
        <w:rPr>
          <w:color w:val="000000"/>
        </w:rPr>
      </w:pPr>
      <w:r w:rsidRPr="00A35CD3">
        <w:rPr>
          <w:color w:val="000000"/>
        </w:rPr>
        <w:t>Ընկերությունը ներգրավված չի այնպիսի տեղական կամ միջազգային դատական վարույթներում, որոնք կարող են էական ազդեցություն ունենալ ընկերության ֆինանսական վիճակի վրա:</w:t>
      </w:r>
    </w:p>
    <w:p w14:paraId="2C46D94D" w14:textId="77777777" w:rsidR="004442B5" w:rsidRDefault="004442B5" w:rsidP="00DC7720">
      <w:pPr>
        <w:shd w:val="clear" w:color="auto" w:fill="FFFFFF"/>
        <w:spacing w:after="0" w:line="276" w:lineRule="auto"/>
        <w:ind w:right="144" w:firstLine="446"/>
        <w:rPr>
          <w:lang w:val="hy-AM"/>
        </w:rPr>
      </w:pPr>
      <w:r w:rsidRPr="00A35CD3">
        <w:rPr>
          <w:color w:val="000000"/>
        </w:rPr>
        <w:t xml:space="preserve">Հաշվի առնելով, որ հաշվետու ժամանակաշրջաններում սնանկացման կանխատեսման Ալթմանի Z-միավորը վկայում է Ընկերության ֆինանսական ծանր վիճակի բարձր հավանականության մասին, իսկ </w:t>
      </w:r>
      <w:r w:rsidRPr="00A35CD3">
        <w:rPr>
          <w:color w:val="000000"/>
          <w:lang w:val="hy-AM"/>
        </w:rPr>
        <w:t>հ</w:t>
      </w:r>
      <w:r w:rsidRPr="00A35CD3">
        <w:rPr>
          <w:color w:val="000000"/>
        </w:rPr>
        <w:t xml:space="preserve">աշվետու ժամանակաշրջանում ստուգաճշտող լրացուցիչ ֆինանսական վեց գործակիցներից երեքը չեն համապատասխանում միջազգային պրակտիկայում ընդունված թույլատրելի սահմանային նորմային և վկայում են ֆինանսական ծանր վիճակի հավանականության մասին, հետևաբար այս երկու նախնական գնահատումների զուգակցման արդյունքում Ընկերության ֆինանսական վիճակի հավանականությունը </w:t>
      </w:r>
      <w:r>
        <w:rPr>
          <w:color w:val="000000"/>
        </w:rPr>
        <w:t>նշանակալի է</w:t>
      </w:r>
      <w:r w:rsidRPr="002204DF">
        <w:rPr>
          <w:color w:val="000000"/>
        </w:rPr>
        <w:t>:</w:t>
      </w:r>
      <w:r w:rsidRPr="00A35CD3">
        <w:rPr>
          <w:lang w:val="hy-AM"/>
        </w:rPr>
        <w:t xml:space="preserve"> </w:t>
      </w:r>
    </w:p>
    <w:p w14:paraId="350B3644" w14:textId="77777777" w:rsidR="004442B5" w:rsidRDefault="004442B5" w:rsidP="00DC7720">
      <w:pPr>
        <w:shd w:val="clear" w:color="auto" w:fill="FFFFFF"/>
        <w:spacing w:after="0" w:line="276" w:lineRule="auto"/>
        <w:ind w:right="144" w:firstLine="446"/>
        <w:rPr>
          <w:rFonts w:eastAsia="Calibri"/>
          <w:b/>
          <w:lang w:val="hy-AM"/>
        </w:rPr>
      </w:pPr>
      <w:r>
        <w:rPr>
          <w:rFonts w:eastAsia="Calibri"/>
          <w:b/>
          <w:lang w:val="hy-AM"/>
        </w:rPr>
        <w:t xml:space="preserve">Պետություն-մասնավոր գործընկերության (ՊՄԳ) ձևաչափով գործող ընկերությունների </w:t>
      </w:r>
      <w:r w:rsidRPr="00C14EB7">
        <w:rPr>
          <w:rFonts w:eastAsia="Calibri"/>
          <w:b/>
          <w:lang w:val="hy-AM"/>
        </w:rPr>
        <w:t>պայմանագր</w:t>
      </w:r>
      <w:r>
        <w:rPr>
          <w:rFonts w:eastAsia="Calibri"/>
          <w:b/>
          <w:lang w:val="hy-AM"/>
        </w:rPr>
        <w:t>եր</w:t>
      </w:r>
      <w:r w:rsidRPr="00C14EB7">
        <w:rPr>
          <w:rFonts w:eastAsia="Calibri"/>
          <w:b/>
          <w:lang w:val="hy-AM"/>
        </w:rPr>
        <w:t>ից բխող պայմանական պարտավորությունների վերլուծություն.</w:t>
      </w:r>
    </w:p>
    <w:p w14:paraId="0A2D99A3" w14:textId="01DAADC5" w:rsidR="004442B5" w:rsidRPr="00D335A3" w:rsidRDefault="004442B5" w:rsidP="00DC7720">
      <w:pPr>
        <w:shd w:val="clear" w:color="auto" w:fill="FFFFFF"/>
        <w:spacing w:after="0" w:line="276" w:lineRule="auto"/>
        <w:ind w:right="144" w:firstLine="446"/>
        <w:rPr>
          <w:rFonts w:eastAsia="Calibri"/>
          <w:lang w:val="hy-AM"/>
        </w:rPr>
      </w:pPr>
      <w:r w:rsidRPr="00447A4E">
        <w:rPr>
          <w:rFonts w:eastAsia="Calibri"/>
          <w:lang w:val="hy-AM"/>
        </w:rPr>
        <w:t xml:space="preserve">Վերլուծության են ենթարկվել ստորև ներկայացված ՊՄԳ ձևաչափով գործող թվով երեք </w:t>
      </w:r>
      <w:r>
        <w:rPr>
          <w:rFonts w:eastAsia="Calibri"/>
          <w:lang w:val="hy-AM"/>
        </w:rPr>
        <w:t>ընկերու</w:t>
      </w:r>
      <w:r w:rsidRPr="00447A4E">
        <w:rPr>
          <w:rFonts w:eastAsia="Calibri"/>
          <w:lang w:val="hy-AM"/>
        </w:rPr>
        <w:t>թյունների պայմանագրերը</w:t>
      </w:r>
      <w:r>
        <w:rPr>
          <w:rFonts w:eastAsia="Calibri"/>
          <w:lang w:val="hy-AM"/>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39"/>
        <w:gridCol w:w="1021"/>
        <w:gridCol w:w="993"/>
        <w:gridCol w:w="1701"/>
        <w:gridCol w:w="1701"/>
      </w:tblGrid>
      <w:tr w:rsidR="004442B5" w:rsidRPr="00A03AF2" w14:paraId="2C4E1FD0" w14:textId="77777777" w:rsidTr="00C85113">
        <w:trPr>
          <w:trHeight w:val="278"/>
        </w:trPr>
        <w:tc>
          <w:tcPr>
            <w:tcW w:w="2518" w:type="dxa"/>
            <w:vMerge w:val="restart"/>
            <w:shd w:val="clear" w:color="auto" w:fill="0070C0"/>
          </w:tcPr>
          <w:p w14:paraId="126BA7E8" w14:textId="77777777" w:rsidR="004442B5" w:rsidRPr="008B51F8" w:rsidRDefault="004442B5" w:rsidP="00C85113">
            <w:pPr>
              <w:ind w:firstLine="0"/>
              <w:jc w:val="center"/>
              <w:rPr>
                <w:b/>
                <w:bCs/>
                <w:color w:val="FFFFFF" w:themeColor="background1"/>
                <w:sz w:val="20"/>
                <w:szCs w:val="20"/>
                <w:lang w:val="hy-AM"/>
              </w:rPr>
            </w:pPr>
          </w:p>
          <w:p w14:paraId="471530C5" w14:textId="77777777" w:rsidR="004442B5" w:rsidRPr="008B51F8" w:rsidRDefault="004442B5" w:rsidP="00C85113">
            <w:pPr>
              <w:ind w:firstLine="0"/>
              <w:jc w:val="center"/>
              <w:rPr>
                <w:b/>
                <w:bCs/>
                <w:color w:val="FFFFFF" w:themeColor="background1"/>
                <w:sz w:val="20"/>
                <w:szCs w:val="20"/>
                <w:lang w:val="hy-AM"/>
              </w:rPr>
            </w:pPr>
          </w:p>
          <w:p w14:paraId="12FCC5F8" w14:textId="77777777" w:rsidR="004442B5" w:rsidRPr="008B51F8" w:rsidRDefault="004442B5" w:rsidP="00C85113">
            <w:pPr>
              <w:ind w:firstLine="0"/>
              <w:jc w:val="center"/>
              <w:rPr>
                <w:rFonts w:eastAsia="Times New Roman" w:cs="Times New Roman"/>
                <w:b/>
                <w:bCs/>
                <w:color w:val="FFFFFF" w:themeColor="background1"/>
                <w:sz w:val="20"/>
                <w:szCs w:val="20"/>
                <w:lang w:val="hy-AM"/>
              </w:rPr>
            </w:pPr>
            <w:r w:rsidRPr="008B51F8">
              <w:rPr>
                <w:b/>
                <w:bCs/>
                <w:color w:val="FFFFFF" w:themeColor="background1"/>
                <w:sz w:val="20"/>
                <w:szCs w:val="20"/>
                <w:lang w:val="hy-AM"/>
              </w:rPr>
              <w:t>Անվանում</w:t>
            </w:r>
          </w:p>
        </w:tc>
        <w:tc>
          <w:tcPr>
            <w:tcW w:w="2239" w:type="dxa"/>
            <w:vMerge w:val="restart"/>
            <w:shd w:val="clear" w:color="auto" w:fill="0070C0"/>
          </w:tcPr>
          <w:p w14:paraId="06436AC1" w14:textId="77777777" w:rsidR="004442B5" w:rsidRPr="008B51F8" w:rsidRDefault="004442B5" w:rsidP="00C85113">
            <w:pPr>
              <w:ind w:firstLine="0"/>
              <w:jc w:val="center"/>
              <w:rPr>
                <w:b/>
                <w:bCs/>
                <w:color w:val="FFFFFF" w:themeColor="background1"/>
                <w:sz w:val="20"/>
                <w:szCs w:val="20"/>
                <w:lang w:val="hy-AM"/>
              </w:rPr>
            </w:pPr>
          </w:p>
          <w:p w14:paraId="63630F4E" w14:textId="77777777" w:rsidR="004442B5" w:rsidRPr="008B51F8" w:rsidRDefault="004442B5" w:rsidP="00C85113">
            <w:pPr>
              <w:ind w:firstLine="0"/>
              <w:jc w:val="center"/>
              <w:rPr>
                <w:b/>
                <w:bCs/>
                <w:color w:val="FFFFFF" w:themeColor="background1"/>
                <w:sz w:val="20"/>
                <w:szCs w:val="20"/>
                <w:lang w:val="hy-AM"/>
              </w:rPr>
            </w:pPr>
          </w:p>
          <w:p w14:paraId="6A4F0F15" w14:textId="77777777" w:rsidR="004442B5" w:rsidRPr="008B51F8" w:rsidRDefault="004442B5" w:rsidP="00C85113">
            <w:pPr>
              <w:ind w:firstLine="0"/>
              <w:jc w:val="center"/>
              <w:rPr>
                <w:rFonts w:eastAsia="Times New Roman" w:cs="Times New Roman"/>
                <w:b/>
                <w:bCs/>
                <w:color w:val="FFFFFF" w:themeColor="background1"/>
                <w:sz w:val="20"/>
                <w:szCs w:val="20"/>
                <w:lang w:val="hy-AM"/>
              </w:rPr>
            </w:pPr>
            <w:r w:rsidRPr="008B51F8">
              <w:rPr>
                <w:b/>
                <w:bCs/>
                <w:color w:val="FFFFFF" w:themeColor="background1"/>
                <w:sz w:val="20"/>
                <w:szCs w:val="20"/>
                <w:lang w:val="hy-AM"/>
              </w:rPr>
              <w:t>Ոլորտ</w:t>
            </w:r>
          </w:p>
        </w:tc>
        <w:tc>
          <w:tcPr>
            <w:tcW w:w="1021" w:type="dxa"/>
            <w:vMerge w:val="restart"/>
            <w:shd w:val="clear" w:color="auto" w:fill="0070C0"/>
          </w:tcPr>
          <w:p w14:paraId="76027A1C" w14:textId="77777777" w:rsidR="004442B5" w:rsidRPr="008B51F8" w:rsidRDefault="004442B5" w:rsidP="00C85113">
            <w:pPr>
              <w:ind w:firstLine="0"/>
              <w:jc w:val="center"/>
              <w:rPr>
                <w:b/>
                <w:bCs/>
                <w:color w:val="FFFFFF" w:themeColor="background1"/>
                <w:sz w:val="20"/>
                <w:szCs w:val="20"/>
                <w:lang w:val="hy-AM"/>
              </w:rPr>
            </w:pPr>
          </w:p>
          <w:p w14:paraId="58136A13" w14:textId="77777777" w:rsidR="004442B5" w:rsidRPr="008B51F8" w:rsidRDefault="004442B5" w:rsidP="00C85113">
            <w:pPr>
              <w:ind w:firstLine="0"/>
              <w:jc w:val="center"/>
              <w:rPr>
                <w:b/>
                <w:bCs/>
                <w:color w:val="FFFFFF" w:themeColor="background1"/>
                <w:sz w:val="20"/>
                <w:szCs w:val="20"/>
                <w:lang w:val="hy-AM"/>
              </w:rPr>
            </w:pPr>
          </w:p>
          <w:p w14:paraId="7BD935F0" w14:textId="77777777" w:rsidR="004442B5" w:rsidRPr="008B51F8" w:rsidRDefault="004442B5" w:rsidP="00C85113">
            <w:pPr>
              <w:ind w:firstLine="0"/>
              <w:jc w:val="center"/>
              <w:rPr>
                <w:rFonts w:eastAsia="Times New Roman" w:cs="Times New Roman"/>
                <w:b/>
                <w:bCs/>
                <w:color w:val="FFFFFF" w:themeColor="background1"/>
                <w:sz w:val="20"/>
                <w:szCs w:val="20"/>
                <w:lang w:val="hy-AM"/>
              </w:rPr>
            </w:pPr>
            <w:r w:rsidRPr="008B51F8">
              <w:rPr>
                <w:b/>
                <w:bCs/>
                <w:color w:val="FFFFFF" w:themeColor="background1"/>
                <w:sz w:val="20"/>
                <w:szCs w:val="20"/>
                <w:lang w:val="hy-AM"/>
              </w:rPr>
              <w:t>Սկիզբ</w:t>
            </w:r>
          </w:p>
        </w:tc>
        <w:tc>
          <w:tcPr>
            <w:tcW w:w="993" w:type="dxa"/>
            <w:vMerge w:val="restart"/>
            <w:shd w:val="clear" w:color="auto" w:fill="0070C0"/>
          </w:tcPr>
          <w:p w14:paraId="56F72CA0" w14:textId="77777777" w:rsidR="004442B5" w:rsidRPr="008B51F8" w:rsidRDefault="004442B5" w:rsidP="00C85113">
            <w:pPr>
              <w:ind w:firstLine="0"/>
              <w:jc w:val="center"/>
              <w:rPr>
                <w:b/>
                <w:bCs/>
                <w:color w:val="FFFFFF" w:themeColor="background1"/>
                <w:sz w:val="20"/>
                <w:szCs w:val="20"/>
                <w:lang w:val="hy-AM"/>
              </w:rPr>
            </w:pPr>
          </w:p>
          <w:p w14:paraId="6377DA74" w14:textId="77777777" w:rsidR="004442B5" w:rsidRPr="008B51F8" w:rsidRDefault="004442B5" w:rsidP="00C85113">
            <w:pPr>
              <w:ind w:firstLine="0"/>
              <w:jc w:val="center"/>
              <w:rPr>
                <w:b/>
                <w:bCs/>
                <w:color w:val="FFFFFF" w:themeColor="background1"/>
                <w:sz w:val="20"/>
                <w:szCs w:val="20"/>
                <w:lang w:val="hy-AM"/>
              </w:rPr>
            </w:pPr>
          </w:p>
          <w:p w14:paraId="0804764D" w14:textId="77777777" w:rsidR="004442B5" w:rsidRPr="008B51F8" w:rsidRDefault="004442B5" w:rsidP="00C85113">
            <w:pPr>
              <w:ind w:firstLine="0"/>
              <w:jc w:val="center"/>
              <w:rPr>
                <w:rFonts w:eastAsia="Times New Roman" w:cs="Times New Roman"/>
                <w:b/>
                <w:bCs/>
                <w:color w:val="FFFFFF" w:themeColor="background1"/>
                <w:sz w:val="20"/>
                <w:szCs w:val="20"/>
                <w:lang w:val="hy-AM"/>
              </w:rPr>
            </w:pPr>
            <w:r w:rsidRPr="008B51F8">
              <w:rPr>
                <w:b/>
                <w:bCs/>
                <w:color w:val="FFFFFF" w:themeColor="background1"/>
                <w:sz w:val="20"/>
                <w:szCs w:val="20"/>
                <w:lang w:val="hy-AM"/>
              </w:rPr>
              <w:t>Ավարտ</w:t>
            </w:r>
          </w:p>
        </w:tc>
        <w:tc>
          <w:tcPr>
            <w:tcW w:w="3402" w:type="dxa"/>
            <w:gridSpan w:val="2"/>
            <w:shd w:val="clear" w:color="auto" w:fill="0070C0"/>
          </w:tcPr>
          <w:p w14:paraId="2E3B1980" w14:textId="77777777" w:rsidR="004442B5" w:rsidRPr="008B51F8" w:rsidRDefault="004442B5" w:rsidP="00C85113">
            <w:pPr>
              <w:ind w:firstLine="0"/>
              <w:jc w:val="center"/>
              <w:rPr>
                <w:rFonts w:eastAsia="Times New Roman" w:cs="Times New Roman"/>
                <w:b/>
                <w:bCs/>
                <w:color w:val="FFFFFF" w:themeColor="background1"/>
                <w:sz w:val="20"/>
                <w:szCs w:val="20"/>
                <w:lang w:val="hy-AM"/>
              </w:rPr>
            </w:pPr>
            <w:r w:rsidRPr="008B51F8">
              <w:rPr>
                <w:b/>
                <w:bCs/>
                <w:color w:val="FFFFFF" w:themeColor="background1"/>
                <w:sz w:val="20"/>
                <w:szCs w:val="20"/>
                <w:lang w:val="hy-AM"/>
              </w:rPr>
              <w:t>Պայմանական պարտավորությունների ֆիսկալ ռիսկի կարգավիճակը</w:t>
            </w:r>
          </w:p>
        </w:tc>
      </w:tr>
      <w:tr w:rsidR="004442B5" w:rsidRPr="0088205E" w14:paraId="5EEBB901" w14:textId="77777777" w:rsidTr="00C85113">
        <w:trPr>
          <w:trHeight w:val="277"/>
        </w:trPr>
        <w:tc>
          <w:tcPr>
            <w:tcW w:w="2518" w:type="dxa"/>
            <w:vMerge/>
            <w:shd w:val="clear" w:color="auto" w:fill="0070C0"/>
          </w:tcPr>
          <w:p w14:paraId="4C274002" w14:textId="77777777" w:rsidR="004442B5" w:rsidRPr="008B51F8" w:rsidRDefault="004442B5" w:rsidP="00C85113">
            <w:pPr>
              <w:ind w:firstLine="0"/>
              <w:jc w:val="center"/>
              <w:rPr>
                <w:b/>
                <w:bCs/>
                <w:color w:val="FFFFFF" w:themeColor="background1"/>
                <w:sz w:val="20"/>
                <w:szCs w:val="20"/>
                <w:lang w:val="hy-AM"/>
              </w:rPr>
            </w:pPr>
          </w:p>
        </w:tc>
        <w:tc>
          <w:tcPr>
            <w:tcW w:w="2239" w:type="dxa"/>
            <w:vMerge/>
            <w:shd w:val="clear" w:color="auto" w:fill="0070C0"/>
          </w:tcPr>
          <w:p w14:paraId="18CF7794" w14:textId="77777777" w:rsidR="004442B5" w:rsidRPr="008B51F8" w:rsidRDefault="004442B5" w:rsidP="00C85113">
            <w:pPr>
              <w:ind w:firstLine="0"/>
              <w:jc w:val="center"/>
              <w:rPr>
                <w:b/>
                <w:bCs/>
                <w:color w:val="FFFFFF" w:themeColor="background1"/>
                <w:sz w:val="20"/>
                <w:szCs w:val="20"/>
                <w:lang w:val="hy-AM"/>
              </w:rPr>
            </w:pPr>
          </w:p>
        </w:tc>
        <w:tc>
          <w:tcPr>
            <w:tcW w:w="1021" w:type="dxa"/>
            <w:vMerge/>
            <w:shd w:val="clear" w:color="auto" w:fill="0070C0"/>
          </w:tcPr>
          <w:p w14:paraId="6A2B1CFD" w14:textId="77777777" w:rsidR="004442B5" w:rsidRPr="008B51F8" w:rsidRDefault="004442B5" w:rsidP="00C85113">
            <w:pPr>
              <w:ind w:firstLine="0"/>
              <w:jc w:val="center"/>
              <w:rPr>
                <w:b/>
                <w:bCs/>
                <w:color w:val="FFFFFF" w:themeColor="background1"/>
                <w:sz w:val="20"/>
                <w:szCs w:val="20"/>
                <w:lang w:val="hy-AM"/>
              </w:rPr>
            </w:pPr>
          </w:p>
        </w:tc>
        <w:tc>
          <w:tcPr>
            <w:tcW w:w="993" w:type="dxa"/>
            <w:vMerge/>
            <w:shd w:val="clear" w:color="auto" w:fill="0070C0"/>
          </w:tcPr>
          <w:p w14:paraId="130406E8" w14:textId="77777777" w:rsidR="004442B5" w:rsidRPr="008B51F8" w:rsidRDefault="004442B5" w:rsidP="00C85113">
            <w:pPr>
              <w:ind w:firstLine="0"/>
              <w:jc w:val="center"/>
              <w:rPr>
                <w:b/>
                <w:bCs/>
                <w:color w:val="FFFFFF" w:themeColor="background1"/>
                <w:sz w:val="20"/>
                <w:szCs w:val="20"/>
                <w:lang w:val="hy-AM"/>
              </w:rPr>
            </w:pPr>
          </w:p>
        </w:tc>
        <w:tc>
          <w:tcPr>
            <w:tcW w:w="1701" w:type="dxa"/>
            <w:shd w:val="clear" w:color="auto" w:fill="0070C0"/>
          </w:tcPr>
          <w:p w14:paraId="1C89A276" w14:textId="77777777" w:rsidR="004442B5" w:rsidRPr="008B51F8" w:rsidRDefault="004442B5" w:rsidP="00C85113">
            <w:pPr>
              <w:ind w:firstLine="0"/>
              <w:jc w:val="center"/>
              <w:rPr>
                <w:rFonts w:eastAsia="Times New Roman" w:cs="Times New Roman"/>
                <w:b/>
                <w:bCs/>
                <w:color w:val="FFFFFF" w:themeColor="background1"/>
                <w:sz w:val="20"/>
                <w:szCs w:val="20"/>
              </w:rPr>
            </w:pPr>
            <w:r w:rsidRPr="008B51F8">
              <w:rPr>
                <w:b/>
                <w:bCs/>
                <w:color w:val="FFFFFF" w:themeColor="background1"/>
                <w:sz w:val="20"/>
                <w:szCs w:val="20"/>
                <w:lang w:val="hy-AM"/>
              </w:rPr>
              <w:t xml:space="preserve">Մինչև </w:t>
            </w:r>
            <w:r w:rsidRPr="008B51F8">
              <w:rPr>
                <w:b/>
                <w:bCs/>
                <w:color w:val="FFFFFF" w:themeColor="background1"/>
                <w:sz w:val="20"/>
                <w:szCs w:val="20"/>
              </w:rPr>
              <w:t>COVID 19</w:t>
            </w:r>
          </w:p>
        </w:tc>
        <w:tc>
          <w:tcPr>
            <w:tcW w:w="1701" w:type="dxa"/>
            <w:shd w:val="clear" w:color="auto" w:fill="0070C0"/>
          </w:tcPr>
          <w:p w14:paraId="672A5AD6" w14:textId="77777777" w:rsidR="004442B5" w:rsidRPr="008B51F8" w:rsidRDefault="004442B5" w:rsidP="00C85113">
            <w:pPr>
              <w:ind w:firstLine="0"/>
              <w:jc w:val="center"/>
              <w:rPr>
                <w:rFonts w:eastAsia="Times New Roman" w:cs="Times New Roman"/>
                <w:b/>
                <w:bCs/>
                <w:color w:val="FFFFFF" w:themeColor="background1"/>
                <w:sz w:val="20"/>
                <w:szCs w:val="20"/>
                <w:lang w:val="hy-AM"/>
              </w:rPr>
            </w:pPr>
            <w:r w:rsidRPr="008B51F8">
              <w:rPr>
                <w:b/>
                <w:bCs/>
                <w:color w:val="FFFFFF" w:themeColor="background1"/>
                <w:sz w:val="20"/>
                <w:szCs w:val="20"/>
              </w:rPr>
              <w:t xml:space="preserve">COVID-19 </w:t>
            </w:r>
            <w:r w:rsidRPr="008B51F8">
              <w:rPr>
                <w:b/>
                <w:bCs/>
                <w:color w:val="FFFFFF" w:themeColor="background1"/>
                <w:sz w:val="20"/>
                <w:szCs w:val="20"/>
                <w:lang w:val="hy-AM"/>
              </w:rPr>
              <w:t>ի պայմաններում</w:t>
            </w:r>
          </w:p>
        </w:tc>
      </w:tr>
      <w:tr w:rsidR="004442B5" w:rsidRPr="00256E86" w14:paraId="5766EFE4" w14:textId="77777777" w:rsidTr="00C85113">
        <w:tc>
          <w:tcPr>
            <w:tcW w:w="2518" w:type="dxa"/>
            <w:shd w:val="clear" w:color="auto" w:fill="auto"/>
          </w:tcPr>
          <w:p w14:paraId="14253F78" w14:textId="77777777" w:rsidR="004442B5" w:rsidRPr="00DD5310" w:rsidRDefault="004442B5" w:rsidP="00C85113">
            <w:pPr>
              <w:shd w:val="clear" w:color="auto" w:fill="FFFFFF"/>
              <w:ind w:right="150" w:firstLine="0"/>
              <w:rPr>
                <w:rFonts w:eastAsia="Calibri"/>
                <w:b/>
                <w:sz w:val="20"/>
                <w:szCs w:val="20"/>
                <w:lang w:val="hy-AM"/>
              </w:rPr>
            </w:pPr>
            <w:r w:rsidRPr="00DD5310">
              <w:rPr>
                <w:b/>
                <w:color w:val="000000"/>
                <w:sz w:val="20"/>
                <w:szCs w:val="20"/>
                <w:lang w:val="hy-AM"/>
              </w:rPr>
              <w:t>«Հարավկովկասյան երկաթուղի» ՓԲԸ</w:t>
            </w:r>
          </w:p>
        </w:tc>
        <w:tc>
          <w:tcPr>
            <w:tcW w:w="2239" w:type="dxa"/>
            <w:shd w:val="clear" w:color="auto" w:fill="auto"/>
          </w:tcPr>
          <w:p w14:paraId="7400ABD8" w14:textId="77777777" w:rsidR="004442B5" w:rsidRPr="00DD5310" w:rsidRDefault="004442B5" w:rsidP="00C85113">
            <w:pPr>
              <w:ind w:firstLine="0"/>
              <w:jc w:val="center"/>
              <w:rPr>
                <w:sz w:val="20"/>
                <w:szCs w:val="20"/>
                <w:lang w:val="hy-AM"/>
              </w:rPr>
            </w:pPr>
            <w:r w:rsidRPr="00DD5310">
              <w:rPr>
                <w:sz w:val="20"/>
                <w:szCs w:val="20"/>
                <w:lang w:val="hy-AM"/>
              </w:rPr>
              <w:t>Տրանսպորտ</w:t>
            </w:r>
          </w:p>
        </w:tc>
        <w:tc>
          <w:tcPr>
            <w:tcW w:w="1021" w:type="dxa"/>
            <w:shd w:val="clear" w:color="auto" w:fill="auto"/>
          </w:tcPr>
          <w:p w14:paraId="58CD61B9" w14:textId="77777777" w:rsidR="004442B5" w:rsidRPr="00DD5310" w:rsidRDefault="004442B5" w:rsidP="00C85113">
            <w:pPr>
              <w:ind w:firstLine="0"/>
              <w:jc w:val="center"/>
              <w:rPr>
                <w:sz w:val="20"/>
                <w:szCs w:val="20"/>
                <w:lang w:val="hy-AM"/>
              </w:rPr>
            </w:pPr>
            <w:r w:rsidRPr="00DD5310">
              <w:rPr>
                <w:sz w:val="20"/>
                <w:szCs w:val="20"/>
              </w:rPr>
              <w:t>2008</w:t>
            </w:r>
            <w:r w:rsidRPr="00DD5310">
              <w:rPr>
                <w:sz w:val="20"/>
                <w:szCs w:val="20"/>
                <w:lang w:val="hy-AM"/>
              </w:rPr>
              <w:t>թ.</w:t>
            </w:r>
          </w:p>
        </w:tc>
        <w:tc>
          <w:tcPr>
            <w:tcW w:w="993" w:type="dxa"/>
            <w:shd w:val="clear" w:color="auto" w:fill="auto"/>
          </w:tcPr>
          <w:p w14:paraId="5A2AD18B" w14:textId="77777777" w:rsidR="004442B5" w:rsidRPr="00DD5310" w:rsidRDefault="004442B5" w:rsidP="00C85113">
            <w:pPr>
              <w:ind w:firstLine="0"/>
              <w:jc w:val="center"/>
              <w:rPr>
                <w:sz w:val="20"/>
                <w:szCs w:val="20"/>
                <w:lang w:val="ru-RU"/>
              </w:rPr>
            </w:pPr>
            <w:r w:rsidRPr="00DD5310">
              <w:rPr>
                <w:sz w:val="20"/>
                <w:szCs w:val="20"/>
                <w:lang w:val="ru-RU"/>
              </w:rPr>
              <w:t>2038</w:t>
            </w:r>
            <w:r w:rsidRPr="00DD5310">
              <w:rPr>
                <w:sz w:val="20"/>
                <w:szCs w:val="20"/>
                <w:lang w:val="hy-AM"/>
              </w:rPr>
              <w:t>թ.</w:t>
            </w:r>
          </w:p>
        </w:tc>
        <w:tc>
          <w:tcPr>
            <w:tcW w:w="1701" w:type="dxa"/>
            <w:shd w:val="clear" w:color="auto" w:fill="auto"/>
          </w:tcPr>
          <w:p w14:paraId="37B5AB72" w14:textId="77777777" w:rsidR="004442B5" w:rsidRPr="00DD5310" w:rsidRDefault="004442B5" w:rsidP="00C85113">
            <w:pPr>
              <w:ind w:firstLine="0"/>
              <w:jc w:val="center"/>
              <w:rPr>
                <w:sz w:val="20"/>
                <w:szCs w:val="20"/>
                <w:lang w:val="hy-AM"/>
              </w:rPr>
            </w:pPr>
            <w:r w:rsidRPr="00DD5310">
              <w:rPr>
                <w:sz w:val="20"/>
                <w:szCs w:val="20"/>
                <w:lang w:val="hy-AM"/>
              </w:rPr>
              <w:t>Միջին</w:t>
            </w:r>
          </w:p>
        </w:tc>
        <w:tc>
          <w:tcPr>
            <w:tcW w:w="1701" w:type="dxa"/>
            <w:shd w:val="clear" w:color="auto" w:fill="auto"/>
          </w:tcPr>
          <w:p w14:paraId="4F7F081C" w14:textId="77777777" w:rsidR="004442B5" w:rsidRPr="00DD5310" w:rsidRDefault="004442B5" w:rsidP="00C85113">
            <w:pPr>
              <w:ind w:firstLine="0"/>
              <w:jc w:val="center"/>
              <w:rPr>
                <w:sz w:val="20"/>
                <w:szCs w:val="20"/>
                <w:lang w:val="hy-AM"/>
              </w:rPr>
            </w:pPr>
            <w:r w:rsidRPr="00DD5310">
              <w:rPr>
                <w:sz w:val="20"/>
                <w:szCs w:val="20"/>
                <w:lang w:val="hy-AM"/>
              </w:rPr>
              <w:t>Բարձր</w:t>
            </w:r>
          </w:p>
        </w:tc>
      </w:tr>
      <w:tr w:rsidR="004442B5" w:rsidRPr="00256E86" w14:paraId="26D0F808" w14:textId="77777777" w:rsidTr="001B57F3">
        <w:tc>
          <w:tcPr>
            <w:tcW w:w="2518" w:type="dxa"/>
            <w:shd w:val="clear" w:color="auto" w:fill="C6D9F1" w:themeFill="text2" w:themeFillTint="33"/>
          </w:tcPr>
          <w:p w14:paraId="230DCFE0" w14:textId="77777777" w:rsidR="004442B5" w:rsidRPr="00DD5310" w:rsidRDefault="004442B5" w:rsidP="00C85113">
            <w:pPr>
              <w:ind w:firstLine="0"/>
              <w:rPr>
                <w:sz w:val="20"/>
                <w:szCs w:val="20"/>
                <w:lang w:val="hy-AM"/>
              </w:rPr>
            </w:pPr>
            <w:r w:rsidRPr="00DD5310">
              <w:rPr>
                <w:b/>
                <w:color w:val="000000"/>
                <w:sz w:val="20"/>
                <w:szCs w:val="20"/>
                <w:lang w:val="hy-AM"/>
              </w:rPr>
              <w:t>«Վեոլիա Ջուր» ՓԲԸ</w:t>
            </w:r>
          </w:p>
        </w:tc>
        <w:tc>
          <w:tcPr>
            <w:tcW w:w="2239" w:type="dxa"/>
            <w:shd w:val="clear" w:color="auto" w:fill="C6D9F1" w:themeFill="text2" w:themeFillTint="33"/>
          </w:tcPr>
          <w:p w14:paraId="63EC9A3E" w14:textId="77777777" w:rsidR="004442B5" w:rsidRPr="00DD5310" w:rsidRDefault="004442B5" w:rsidP="00C85113">
            <w:pPr>
              <w:ind w:firstLine="0"/>
              <w:jc w:val="center"/>
              <w:rPr>
                <w:sz w:val="20"/>
                <w:szCs w:val="20"/>
                <w:lang w:val="hy-AM"/>
              </w:rPr>
            </w:pPr>
            <w:r w:rsidRPr="00DD5310">
              <w:rPr>
                <w:sz w:val="20"/>
                <w:szCs w:val="20"/>
                <w:lang w:val="hy-AM"/>
              </w:rPr>
              <w:t>Ջրամատակարարում և կեղտաջրերի հեռացում</w:t>
            </w:r>
          </w:p>
        </w:tc>
        <w:tc>
          <w:tcPr>
            <w:tcW w:w="1021" w:type="dxa"/>
            <w:shd w:val="clear" w:color="auto" w:fill="C6D9F1" w:themeFill="text2" w:themeFillTint="33"/>
          </w:tcPr>
          <w:p w14:paraId="06E61C83" w14:textId="77777777" w:rsidR="004442B5" w:rsidRPr="00DD5310" w:rsidRDefault="004442B5" w:rsidP="00C85113">
            <w:pPr>
              <w:ind w:firstLine="0"/>
              <w:jc w:val="center"/>
              <w:rPr>
                <w:sz w:val="20"/>
                <w:szCs w:val="20"/>
              </w:rPr>
            </w:pPr>
            <w:r w:rsidRPr="00DD5310">
              <w:rPr>
                <w:sz w:val="20"/>
                <w:szCs w:val="20"/>
              </w:rPr>
              <w:t>2016</w:t>
            </w:r>
            <w:r w:rsidRPr="00DD5310">
              <w:rPr>
                <w:sz w:val="20"/>
                <w:szCs w:val="20"/>
                <w:lang w:val="hy-AM"/>
              </w:rPr>
              <w:t>թ.</w:t>
            </w:r>
          </w:p>
        </w:tc>
        <w:tc>
          <w:tcPr>
            <w:tcW w:w="993" w:type="dxa"/>
            <w:shd w:val="clear" w:color="auto" w:fill="C6D9F1" w:themeFill="text2" w:themeFillTint="33"/>
          </w:tcPr>
          <w:p w14:paraId="44E074DA" w14:textId="77777777" w:rsidR="004442B5" w:rsidRPr="00DD5310" w:rsidRDefault="004442B5" w:rsidP="00C85113">
            <w:pPr>
              <w:ind w:firstLine="0"/>
              <w:jc w:val="center"/>
              <w:rPr>
                <w:sz w:val="20"/>
                <w:szCs w:val="20"/>
              </w:rPr>
            </w:pPr>
            <w:r w:rsidRPr="00DD5310">
              <w:rPr>
                <w:sz w:val="20"/>
                <w:szCs w:val="20"/>
              </w:rPr>
              <w:t>2031</w:t>
            </w:r>
            <w:r w:rsidRPr="00DD5310">
              <w:rPr>
                <w:sz w:val="20"/>
                <w:szCs w:val="20"/>
                <w:lang w:val="hy-AM"/>
              </w:rPr>
              <w:t>թ.</w:t>
            </w:r>
          </w:p>
        </w:tc>
        <w:tc>
          <w:tcPr>
            <w:tcW w:w="1701" w:type="dxa"/>
            <w:shd w:val="clear" w:color="auto" w:fill="C6D9F1" w:themeFill="text2" w:themeFillTint="33"/>
          </w:tcPr>
          <w:p w14:paraId="71EFAFED" w14:textId="77777777" w:rsidR="004442B5" w:rsidRPr="00DD5310" w:rsidRDefault="004442B5" w:rsidP="00C85113">
            <w:pPr>
              <w:ind w:firstLine="0"/>
              <w:jc w:val="center"/>
              <w:rPr>
                <w:sz w:val="20"/>
                <w:szCs w:val="20"/>
                <w:lang w:val="hy-AM"/>
              </w:rPr>
            </w:pPr>
            <w:r w:rsidRPr="00DD5310">
              <w:rPr>
                <w:sz w:val="20"/>
                <w:szCs w:val="20"/>
                <w:lang w:val="hy-AM"/>
              </w:rPr>
              <w:t>Միջին</w:t>
            </w:r>
          </w:p>
        </w:tc>
        <w:tc>
          <w:tcPr>
            <w:tcW w:w="1701" w:type="dxa"/>
            <w:shd w:val="clear" w:color="auto" w:fill="C6D9F1" w:themeFill="text2" w:themeFillTint="33"/>
          </w:tcPr>
          <w:p w14:paraId="133D040C" w14:textId="77777777" w:rsidR="004442B5" w:rsidRPr="00DD5310" w:rsidRDefault="004442B5" w:rsidP="00C85113">
            <w:pPr>
              <w:ind w:firstLine="0"/>
              <w:jc w:val="center"/>
              <w:rPr>
                <w:sz w:val="20"/>
                <w:szCs w:val="20"/>
                <w:lang w:val="hy-AM"/>
              </w:rPr>
            </w:pPr>
            <w:r w:rsidRPr="00DD5310">
              <w:rPr>
                <w:sz w:val="20"/>
                <w:szCs w:val="20"/>
                <w:lang w:val="hy-AM"/>
              </w:rPr>
              <w:t>Միջին</w:t>
            </w:r>
          </w:p>
        </w:tc>
      </w:tr>
      <w:tr w:rsidR="004442B5" w:rsidRPr="00256E86" w14:paraId="20C10BA8" w14:textId="77777777" w:rsidTr="00C85113">
        <w:trPr>
          <w:trHeight w:val="791"/>
        </w:trPr>
        <w:tc>
          <w:tcPr>
            <w:tcW w:w="2518" w:type="dxa"/>
            <w:shd w:val="clear" w:color="auto" w:fill="auto"/>
          </w:tcPr>
          <w:p w14:paraId="39C8232C" w14:textId="77777777" w:rsidR="004442B5" w:rsidRPr="00DD5310" w:rsidRDefault="004442B5" w:rsidP="00C85113">
            <w:pPr>
              <w:ind w:firstLine="0"/>
              <w:rPr>
                <w:sz w:val="20"/>
                <w:szCs w:val="20"/>
                <w:lang w:val="hy-AM"/>
              </w:rPr>
            </w:pPr>
            <w:r w:rsidRPr="00DD5310">
              <w:rPr>
                <w:b/>
                <w:bCs/>
                <w:sz w:val="20"/>
                <w:szCs w:val="20"/>
                <w:lang w:val="hy-AM"/>
              </w:rPr>
              <w:t>«Արմենիա միջազգային օդանավակայաններ» ՓԲԸ</w:t>
            </w:r>
          </w:p>
        </w:tc>
        <w:tc>
          <w:tcPr>
            <w:tcW w:w="2239" w:type="dxa"/>
            <w:shd w:val="clear" w:color="auto" w:fill="auto"/>
          </w:tcPr>
          <w:p w14:paraId="4DFA27C6" w14:textId="77777777" w:rsidR="004442B5" w:rsidRPr="00DD5310" w:rsidRDefault="004442B5" w:rsidP="00C85113">
            <w:pPr>
              <w:ind w:firstLine="0"/>
              <w:jc w:val="center"/>
              <w:rPr>
                <w:sz w:val="20"/>
                <w:szCs w:val="20"/>
                <w:lang w:val="hy-AM"/>
              </w:rPr>
            </w:pPr>
            <w:r w:rsidRPr="00DD5310">
              <w:rPr>
                <w:sz w:val="20"/>
                <w:szCs w:val="20"/>
                <w:lang w:val="hy-AM"/>
              </w:rPr>
              <w:t>Տրանսպորտ</w:t>
            </w:r>
          </w:p>
        </w:tc>
        <w:tc>
          <w:tcPr>
            <w:tcW w:w="1021" w:type="dxa"/>
            <w:shd w:val="clear" w:color="auto" w:fill="auto"/>
          </w:tcPr>
          <w:p w14:paraId="10D4BA23" w14:textId="77777777" w:rsidR="004442B5" w:rsidRPr="00DD5310" w:rsidRDefault="004442B5" w:rsidP="00C85113">
            <w:pPr>
              <w:ind w:firstLine="0"/>
              <w:jc w:val="center"/>
              <w:rPr>
                <w:sz w:val="20"/>
                <w:szCs w:val="20"/>
                <w:lang w:val="hy-AM"/>
              </w:rPr>
            </w:pPr>
            <w:r w:rsidRPr="00DD5310">
              <w:rPr>
                <w:sz w:val="20"/>
                <w:szCs w:val="20"/>
              </w:rPr>
              <w:t>2002</w:t>
            </w:r>
            <w:r w:rsidRPr="00DD5310">
              <w:rPr>
                <w:sz w:val="20"/>
                <w:szCs w:val="20"/>
                <w:lang w:val="hy-AM"/>
              </w:rPr>
              <w:t>թ.</w:t>
            </w:r>
          </w:p>
        </w:tc>
        <w:tc>
          <w:tcPr>
            <w:tcW w:w="993" w:type="dxa"/>
            <w:shd w:val="clear" w:color="auto" w:fill="auto"/>
          </w:tcPr>
          <w:p w14:paraId="4BF59712" w14:textId="77777777" w:rsidR="004442B5" w:rsidRPr="00DD5310" w:rsidRDefault="004442B5" w:rsidP="00C85113">
            <w:pPr>
              <w:ind w:firstLine="0"/>
              <w:jc w:val="center"/>
              <w:rPr>
                <w:sz w:val="20"/>
                <w:szCs w:val="20"/>
              </w:rPr>
            </w:pPr>
            <w:r w:rsidRPr="00DD5310">
              <w:rPr>
                <w:sz w:val="20"/>
                <w:szCs w:val="20"/>
              </w:rPr>
              <w:t>2032</w:t>
            </w:r>
            <w:r w:rsidRPr="00DD5310">
              <w:rPr>
                <w:sz w:val="20"/>
                <w:szCs w:val="20"/>
                <w:lang w:val="hy-AM"/>
              </w:rPr>
              <w:t>թ.</w:t>
            </w:r>
          </w:p>
        </w:tc>
        <w:tc>
          <w:tcPr>
            <w:tcW w:w="1701" w:type="dxa"/>
            <w:shd w:val="clear" w:color="auto" w:fill="auto"/>
          </w:tcPr>
          <w:p w14:paraId="27B17CE2" w14:textId="77777777" w:rsidR="004442B5" w:rsidRPr="00DD5310" w:rsidRDefault="004442B5" w:rsidP="00C85113">
            <w:pPr>
              <w:ind w:firstLine="0"/>
              <w:jc w:val="center"/>
              <w:rPr>
                <w:sz w:val="20"/>
                <w:szCs w:val="20"/>
                <w:lang w:val="hy-AM"/>
              </w:rPr>
            </w:pPr>
            <w:r w:rsidRPr="00DD5310">
              <w:rPr>
                <w:sz w:val="20"/>
                <w:szCs w:val="20"/>
                <w:lang w:val="hy-AM"/>
              </w:rPr>
              <w:t>Ցածր</w:t>
            </w:r>
          </w:p>
        </w:tc>
        <w:tc>
          <w:tcPr>
            <w:tcW w:w="1701" w:type="dxa"/>
            <w:shd w:val="clear" w:color="auto" w:fill="auto"/>
          </w:tcPr>
          <w:p w14:paraId="5F10C0CB" w14:textId="77777777" w:rsidR="004442B5" w:rsidRPr="00DD5310" w:rsidRDefault="004442B5" w:rsidP="00C85113">
            <w:pPr>
              <w:ind w:firstLine="0"/>
              <w:jc w:val="center"/>
              <w:rPr>
                <w:sz w:val="20"/>
                <w:szCs w:val="20"/>
                <w:lang w:val="hy-AM"/>
              </w:rPr>
            </w:pPr>
            <w:r w:rsidRPr="00DD5310">
              <w:rPr>
                <w:sz w:val="20"/>
                <w:szCs w:val="20"/>
                <w:lang w:val="hy-AM"/>
              </w:rPr>
              <w:t>Բարձր</w:t>
            </w:r>
          </w:p>
        </w:tc>
      </w:tr>
    </w:tbl>
    <w:p w14:paraId="28E8F2B1" w14:textId="77777777" w:rsidR="004442B5" w:rsidRDefault="004442B5" w:rsidP="004442B5"/>
    <w:p w14:paraId="0BB32ECB" w14:textId="77777777" w:rsidR="004442B5" w:rsidRPr="00D335A3" w:rsidRDefault="004442B5" w:rsidP="004B6657">
      <w:pPr>
        <w:spacing w:line="276" w:lineRule="auto"/>
      </w:pPr>
    </w:p>
    <w:p w14:paraId="7416E7F3" w14:textId="3D4921B4" w:rsidR="004442B5" w:rsidRPr="00256E86" w:rsidRDefault="004442B5" w:rsidP="004B6657">
      <w:pPr>
        <w:spacing w:after="0" w:line="276" w:lineRule="auto"/>
        <w:ind w:firstLine="720"/>
        <w:rPr>
          <w:lang w:val="hy-AM"/>
        </w:rPr>
      </w:pPr>
      <w:r w:rsidRPr="00256E86">
        <w:rPr>
          <w:lang w:val="hy-AM"/>
        </w:rPr>
        <w:t>Համաձայն ՊՄԳ պայմանագրերի</w:t>
      </w:r>
      <w:r>
        <w:rPr>
          <w:lang w:val="hy-AM"/>
        </w:rPr>
        <w:t>՝</w:t>
      </w:r>
      <w:r w:rsidRPr="00256E86">
        <w:rPr>
          <w:lang w:val="hy-AM"/>
        </w:rPr>
        <w:t xml:space="preserve"> </w:t>
      </w:r>
      <w:r>
        <w:rPr>
          <w:lang w:val="hy-AM"/>
        </w:rPr>
        <w:t xml:space="preserve">պայմանական պարտավորությունների </w:t>
      </w:r>
      <w:r w:rsidRPr="00256E86">
        <w:rPr>
          <w:lang w:val="hy-AM"/>
        </w:rPr>
        <w:t xml:space="preserve">նյութականացման ռիսկը եղել է միջին կամ ցածր, սակայն </w:t>
      </w:r>
      <w:r w:rsidRPr="00667597">
        <w:rPr>
          <w:lang w:val="hy-AM"/>
        </w:rPr>
        <w:t>COVID</w:t>
      </w:r>
      <w:r w:rsidRPr="00256E86">
        <w:rPr>
          <w:lang w:val="hy-AM"/>
        </w:rPr>
        <w:t xml:space="preserve"> 19-ի ճգնաժամի պայմաններում ռիսկի աստիճանը բարձրացել է ՊՄԳ բոլոր պայմանագրերի համար, հաշվի առնելով, որ ճգնաժամ</w:t>
      </w:r>
      <w:r>
        <w:rPr>
          <w:lang w:val="hy-AM"/>
        </w:rPr>
        <w:t>ն</w:t>
      </w:r>
      <w:r w:rsidRPr="00256E86">
        <w:rPr>
          <w:lang w:val="hy-AM"/>
        </w:rPr>
        <w:t xml:space="preserve"> այս կամ այլ կերպ ազդում է ընկերությունների դրամական հոսքերի վրա, ինչն իր հերթին մեծացնում է </w:t>
      </w:r>
      <w:r>
        <w:rPr>
          <w:lang w:val="hy-AM"/>
        </w:rPr>
        <w:t xml:space="preserve">պայմանագրի </w:t>
      </w:r>
      <w:r w:rsidRPr="00256E86">
        <w:rPr>
          <w:lang w:val="hy-AM"/>
        </w:rPr>
        <w:t>վերաբանակց</w:t>
      </w:r>
      <w:r>
        <w:rPr>
          <w:lang w:val="hy-AM"/>
        </w:rPr>
        <w:t>ման</w:t>
      </w:r>
      <w:r w:rsidRPr="00256E86">
        <w:rPr>
          <w:lang w:val="hy-AM"/>
        </w:rPr>
        <w:t xml:space="preserve"> և վաղաժամ դադարեցման ռիսկերը։ </w:t>
      </w:r>
    </w:p>
    <w:p w14:paraId="2DCD5D0D" w14:textId="77777777" w:rsidR="004442B5" w:rsidRPr="00256E86" w:rsidRDefault="004442B5" w:rsidP="004B6657">
      <w:pPr>
        <w:spacing w:after="0" w:line="276" w:lineRule="auto"/>
        <w:ind w:firstLine="720"/>
        <w:rPr>
          <w:lang w:val="hy-AM"/>
        </w:rPr>
      </w:pPr>
      <w:r w:rsidRPr="00256E86">
        <w:rPr>
          <w:lang w:val="hy-AM"/>
        </w:rPr>
        <w:t xml:space="preserve">COVID 19-ի ճգնաժամային իրավիճակով պայմանավորված ՊՄԳ ընկերությունների կորպորատիվ ռիսկերի նախորդ վերլուծությունների օգտակարությունը </w:t>
      </w:r>
      <w:r>
        <w:rPr>
          <w:lang w:val="hy-AM"/>
        </w:rPr>
        <w:t xml:space="preserve">կարող է </w:t>
      </w:r>
      <w:r w:rsidRPr="00256E86">
        <w:rPr>
          <w:lang w:val="hy-AM"/>
        </w:rPr>
        <w:t>նվազել, քանի որ ֆինանսական հաշվետվությունների թվերը ներկայացնում են անցյալը, իսկ ներկա պայմաններում առավել կարևոր է դրամական միջոցների ընթացիկ դիրքը</w:t>
      </w:r>
      <w:r>
        <w:rPr>
          <w:lang w:val="hy-AM"/>
        </w:rPr>
        <w:t>,</w:t>
      </w:r>
      <w:r w:rsidRPr="00256E86">
        <w:rPr>
          <w:lang w:val="hy-AM"/>
        </w:rPr>
        <w:t xml:space="preserve"> բաժնետերերի և վարկատուների </w:t>
      </w:r>
      <w:r w:rsidRPr="005B42B2">
        <w:rPr>
          <w:lang w:val="hy-AM"/>
        </w:rPr>
        <w:t>կողմից ՊՄԳ ընկերությանն աջակցելու կարողությունն ու  պատրաստակամությունը, ինչպես նաև</w:t>
      </w:r>
      <w:r w:rsidRPr="00153A09">
        <w:rPr>
          <w:color w:val="FF0000"/>
          <w:lang w:val="hy-AM"/>
        </w:rPr>
        <w:t xml:space="preserve"> </w:t>
      </w:r>
      <w:r w:rsidRPr="00256E86">
        <w:rPr>
          <w:lang w:val="hy-AM"/>
        </w:rPr>
        <w:t xml:space="preserve">ՀՀ </w:t>
      </w:r>
      <w:r>
        <w:rPr>
          <w:lang w:val="hy-AM"/>
        </w:rPr>
        <w:t>կ</w:t>
      </w:r>
      <w:r w:rsidRPr="00256E86">
        <w:rPr>
          <w:lang w:val="hy-AM"/>
        </w:rPr>
        <w:t>առավարության հետ ընդունելի պայմանավորվածություններ ձեռք բերելու պատրաստակամությունը՝ հաշվի առնելով ճգնաժամի տևողության և դրա հետևանքների հետ կապված անորոշության բարձր մակարդակը:</w:t>
      </w:r>
    </w:p>
    <w:p w14:paraId="3A77744B" w14:textId="77777777" w:rsidR="004442B5" w:rsidRPr="005B42B2" w:rsidRDefault="004442B5" w:rsidP="004B6657">
      <w:pPr>
        <w:spacing w:line="276" w:lineRule="auto"/>
        <w:ind w:firstLine="450"/>
        <w:rPr>
          <w:lang w:val="hy-AM"/>
        </w:rPr>
      </w:pPr>
      <w:r w:rsidRPr="00256E86">
        <w:rPr>
          <w:lang w:val="hy-AM"/>
        </w:rPr>
        <w:t>Ստորև ներկայացվ</w:t>
      </w:r>
      <w:r>
        <w:rPr>
          <w:lang w:val="hy-AM"/>
        </w:rPr>
        <w:t>ում</w:t>
      </w:r>
      <w:r w:rsidRPr="00256E86">
        <w:rPr>
          <w:lang w:val="hy-AM"/>
        </w:rPr>
        <w:t xml:space="preserve"> է յուրաքանչյուր ՊՄԳ պայմանագրի հակիրճ նկարագրությունը:</w:t>
      </w:r>
    </w:p>
    <w:p w14:paraId="13B54068" w14:textId="77777777" w:rsidR="004442B5" w:rsidRPr="00153A09" w:rsidRDefault="004442B5" w:rsidP="004B6657">
      <w:pPr>
        <w:shd w:val="clear" w:color="auto" w:fill="FFFFFF"/>
        <w:spacing w:before="120" w:after="0" w:line="276" w:lineRule="auto"/>
        <w:ind w:right="147" w:firstLine="448"/>
        <w:rPr>
          <w:rFonts w:eastAsia="Calibri"/>
          <w:b/>
          <w:lang w:val="hy-AM"/>
        </w:rPr>
      </w:pPr>
      <w:r w:rsidRPr="00B82399">
        <w:rPr>
          <w:b/>
          <w:color w:val="000000"/>
          <w:lang w:val="hy-AM"/>
        </w:rPr>
        <w:t>«Հարավկովկասյան երկաթուղի» ՓԲԸ</w:t>
      </w:r>
      <w:r>
        <w:rPr>
          <w:b/>
          <w:color w:val="000000"/>
          <w:lang w:val="hy-AM"/>
        </w:rPr>
        <w:t>.</w:t>
      </w:r>
    </w:p>
    <w:p w14:paraId="2B74A37C" w14:textId="77777777" w:rsidR="004442B5" w:rsidRPr="0004781E" w:rsidRDefault="004442B5" w:rsidP="004B6657">
      <w:pPr>
        <w:shd w:val="clear" w:color="auto" w:fill="FFFFFF"/>
        <w:spacing w:before="120" w:after="0" w:line="276" w:lineRule="auto"/>
        <w:ind w:right="147" w:firstLine="448"/>
        <w:rPr>
          <w:color w:val="000000"/>
          <w:lang w:val="hy-AM"/>
        </w:rPr>
      </w:pPr>
      <w:r w:rsidRPr="004C3A8D">
        <w:rPr>
          <w:color w:val="000000"/>
          <w:lang w:val="hy-AM"/>
        </w:rPr>
        <w:t>ՀՀ կառավարության 07.02.2008թ. N83-Ա որոշման հիման վրա Հայաստանի Հանրապետության, «Հարավկովկասյան երկաթուղի» ՓԲԸ-ի և «Ռուսական երկաթուղիներ» ԲԲԸ-ի միջև 13.02.2008թ. կնքվել է «Հայկական երկաթուղու համակարգը «Ռուսական երկաթուղիներ» ԲԲԸ կողմից ստեղծված «Հարավկովկասյան երկաթուղի» ՓԲԸ փոխանցելու մասին» կոնցեսիոն պայմանագիրը:</w:t>
      </w:r>
    </w:p>
    <w:p w14:paraId="34B08D63" w14:textId="77777777" w:rsidR="004442B5" w:rsidRDefault="004442B5" w:rsidP="004B6657">
      <w:pPr>
        <w:shd w:val="clear" w:color="auto" w:fill="FFFFFF"/>
        <w:spacing w:after="0" w:line="276" w:lineRule="auto"/>
        <w:ind w:right="150" w:firstLine="450"/>
        <w:rPr>
          <w:color w:val="000000"/>
          <w:lang w:val="hy-AM"/>
        </w:rPr>
      </w:pPr>
      <w:r>
        <w:rPr>
          <w:color w:val="000000"/>
          <w:lang w:val="hy-AM"/>
        </w:rPr>
        <w:t>Կոնցեսիոն պայմանագիրը</w:t>
      </w:r>
      <w:r w:rsidRPr="00A86F3F">
        <w:rPr>
          <w:color w:val="000000"/>
          <w:lang w:val="hy-AM"/>
        </w:rPr>
        <w:t xml:space="preserve"> ներառում է վնասի սուբսիդավորում ուղևոր</w:t>
      </w:r>
      <w:r>
        <w:rPr>
          <w:color w:val="000000"/>
          <w:lang w:val="hy-AM"/>
        </w:rPr>
        <w:t>ափոխադրման</w:t>
      </w:r>
      <w:r w:rsidRPr="00A86F3F">
        <w:rPr>
          <w:color w:val="000000"/>
          <w:lang w:val="hy-AM"/>
        </w:rPr>
        <w:t xml:space="preserve"> ոչ </w:t>
      </w:r>
      <w:r>
        <w:rPr>
          <w:color w:val="000000"/>
          <w:lang w:val="hy-AM"/>
        </w:rPr>
        <w:t>շահութաբեր</w:t>
      </w:r>
      <w:r w:rsidRPr="00A86F3F">
        <w:rPr>
          <w:color w:val="000000"/>
          <w:lang w:val="hy-AM"/>
        </w:rPr>
        <w:t xml:space="preserve"> </w:t>
      </w:r>
      <w:r>
        <w:rPr>
          <w:color w:val="000000"/>
          <w:lang w:val="hy-AM"/>
        </w:rPr>
        <w:t xml:space="preserve">երթուղիների </w:t>
      </w:r>
      <w:r w:rsidRPr="00A86F3F">
        <w:rPr>
          <w:color w:val="000000"/>
          <w:lang w:val="hy-AM"/>
        </w:rPr>
        <w:t xml:space="preserve">համար, </w:t>
      </w:r>
      <w:r>
        <w:rPr>
          <w:color w:val="000000"/>
          <w:lang w:val="hy-AM"/>
        </w:rPr>
        <w:t>ինչն էլ նյութականացել է յուրաքանչյուր տարի</w:t>
      </w:r>
      <w:r w:rsidRPr="00A86F3F">
        <w:rPr>
          <w:color w:val="000000"/>
          <w:lang w:val="hy-AM"/>
        </w:rPr>
        <w:t xml:space="preserve">: </w:t>
      </w:r>
      <w:r>
        <w:rPr>
          <w:color w:val="000000"/>
          <w:lang w:val="hy-AM"/>
        </w:rPr>
        <w:t xml:space="preserve">Սակայն </w:t>
      </w:r>
      <w:r w:rsidRPr="00A86F3F">
        <w:rPr>
          <w:color w:val="000000"/>
          <w:lang w:val="hy-AM"/>
        </w:rPr>
        <w:t>վճարման ենթակա գումարներ</w:t>
      </w:r>
      <w:r>
        <w:rPr>
          <w:color w:val="000000"/>
          <w:lang w:val="hy-AM"/>
        </w:rPr>
        <w:t xml:space="preserve">ի առավելագույն չափը սահմանափակվում է </w:t>
      </w:r>
      <w:r w:rsidRPr="00A86F3F">
        <w:rPr>
          <w:color w:val="000000"/>
          <w:lang w:val="hy-AM"/>
        </w:rPr>
        <w:t xml:space="preserve">տարեկան կոնցեսիոն վճարի չափով: Ըստ առկա պատմական տեղեկատվության, </w:t>
      </w:r>
      <w:r>
        <w:rPr>
          <w:color w:val="000000"/>
          <w:lang w:val="hy-AM"/>
        </w:rPr>
        <w:t xml:space="preserve">կոնցեսիոն </w:t>
      </w:r>
      <w:r w:rsidRPr="00A86F3F">
        <w:rPr>
          <w:color w:val="000000"/>
          <w:lang w:val="hy-AM"/>
        </w:rPr>
        <w:t xml:space="preserve">պայմանագրի </w:t>
      </w:r>
      <w:r>
        <w:rPr>
          <w:color w:val="000000"/>
          <w:lang w:val="hy-AM"/>
        </w:rPr>
        <w:t>մեկնարկից</w:t>
      </w:r>
      <w:r w:rsidRPr="00A86F3F">
        <w:rPr>
          <w:color w:val="000000"/>
          <w:lang w:val="hy-AM"/>
        </w:rPr>
        <w:t xml:space="preserve"> ի վեր ոչ մի այլ </w:t>
      </w:r>
      <w:r>
        <w:rPr>
          <w:color w:val="000000"/>
          <w:lang w:val="hy-AM"/>
        </w:rPr>
        <w:t>պայմանական պարտավորության նյութականացում տեղի չի ունեցել</w:t>
      </w:r>
      <w:r w:rsidRPr="00A86F3F">
        <w:rPr>
          <w:color w:val="000000"/>
          <w:lang w:val="hy-AM"/>
        </w:rPr>
        <w:t>:</w:t>
      </w:r>
    </w:p>
    <w:p w14:paraId="742CD16C" w14:textId="77777777" w:rsidR="004442B5" w:rsidRPr="00171E0C" w:rsidRDefault="004442B5" w:rsidP="004B6657">
      <w:pPr>
        <w:shd w:val="clear" w:color="auto" w:fill="FFFFFF"/>
        <w:spacing w:after="0" w:line="276" w:lineRule="auto"/>
        <w:ind w:right="150" w:firstLine="450"/>
        <w:rPr>
          <w:color w:val="000000"/>
          <w:lang w:val="hy-AM"/>
        </w:rPr>
      </w:pPr>
      <w:r w:rsidRPr="00171E0C">
        <w:rPr>
          <w:color w:val="000000"/>
          <w:lang w:val="hy-AM"/>
        </w:rPr>
        <w:t>Կոնցեսիոն պայմանագիր</w:t>
      </w:r>
      <w:r>
        <w:rPr>
          <w:color w:val="000000"/>
          <w:lang w:val="hy-AM"/>
        </w:rPr>
        <w:t>ը</w:t>
      </w:r>
      <w:r w:rsidRPr="00171E0C">
        <w:rPr>
          <w:color w:val="000000"/>
          <w:lang w:val="hy-AM"/>
        </w:rPr>
        <w:t xml:space="preserve"> նախատեսում է </w:t>
      </w:r>
      <w:r>
        <w:rPr>
          <w:color w:val="000000"/>
          <w:lang w:val="hy-AM"/>
        </w:rPr>
        <w:t xml:space="preserve">նաև </w:t>
      </w:r>
      <w:r w:rsidRPr="00171E0C">
        <w:rPr>
          <w:color w:val="000000"/>
          <w:lang w:val="hy-AM"/>
        </w:rPr>
        <w:t xml:space="preserve">փոխհատուցումներ մի շարք դեպքերում, որոնց </w:t>
      </w:r>
      <w:r>
        <w:rPr>
          <w:color w:val="000000"/>
          <w:lang w:val="hy-AM"/>
        </w:rPr>
        <w:t>նյութականացման ռիսկի հավանականությունն</w:t>
      </w:r>
      <w:r w:rsidRPr="00171E0C">
        <w:rPr>
          <w:color w:val="000000"/>
          <w:lang w:val="hy-AM"/>
        </w:rPr>
        <w:t xml:space="preserve"> </w:t>
      </w:r>
      <w:r>
        <w:rPr>
          <w:color w:val="000000"/>
          <w:lang w:val="hy-AM"/>
        </w:rPr>
        <w:t>ավելանում է</w:t>
      </w:r>
      <w:r w:rsidRPr="00171E0C">
        <w:rPr>
          <w:color w:val="000000"/>
          <w:lang w:val="hy-AM"/>
        </w:rPr>
        <w:t xml:space="preserve"> պայմանավորված</w:t>
      </w:r>
      <w:r>
        <w:rPr>
          <w:color w:val="000000"/>
          <w:lang w:val="hy-AM"/>
        </w:rPr>
        <w:t xml:space="preserve"> համավարակի հետ կապված </w:t>
      </w:r>
      <w:r w:rsidRPr="00171E0C">
        <w:rPr>
          <w:color w:val="000000"/>
          <w:lang w:val="hy-AM"/>
        </w:rPr>
        <w:t>ճգնաժամով։ Այդպիսի դեպքերից են՝</w:t>
      </w:r>
    </w:p>
    <w:p w14:paraId="766B20DB" w14:textId="77777777" w:rsidR="004442B5" w:rsidRPr="00171E0C" w:rsidRDefault="004442B5" w:rsidP="004B6657">
      <w:pPr>
        <w:spacing w:line="276" w:lineRule="auto"/>
        <w:rPr>
          <w:color w:val="000000"/>
          <w:lang w:val="hy-AM"/>
        </w:rPr>
      </w:pPr>
      <w:r w:rsidRPr="00171E0C">
        <w:rPr>
          <w:color w:val="000000"/>
          <w:lang w:val="hy-AM"/>
        </w:rPr>
        <w:t>Օրենսդրության անբարենպաստ փոփոխություն</w:t>
      </w:r>
      <w:r>
        <w:rPr>
          <w:color w:val="000000"/>
          <w:lang w:val="hy-AM"/>
        </w:rPr>
        <w:t>,</w:t>
      </w:r>
    </w:p>
    <w:p w14:paraId="06D85EE2" w14:textId="77777777" w:rsidR="004442B5" w:rsidRPr="00171E0C" w:rsidRDefault="004442B5" w:rsidP="004B6657">
      <w:pPr>
        <w:spacing w:line="276" w:lineRule="auto"/>
        <w:rPr>
          <w:color w:val="000000"/>
          <w:lang w:val="hy-AM"/>
        </w:rPr>
      </w:pPr>
      <w:r w:rsidRPr="00171E0C">
        <w:rPr>
          <w:color w:val="000000"/>
          <w:lang w:val="hy-AM"/>
        </w:rPr>
        <w:t>Անհաղթահարելի ուժի ազդեցության մեղմման ծախսեր</w:t>
      </w:r>
      <w:r>
        <w:rPr>
          <w:color w:val="000000"/>
          <w:lang w:val="hy-AM"/>
        </w:rPr>
        <w:t>,</w:t>
      </w:r>
    </w:p>
    <w:p w14:paraId="35BCB82D" w14:textId="77777777" w:rsidR="004442B5" w:rsidRPr="00171E0C" w:rsidRDefault="004442B5" w:rsidP="004B6657">
      <w:pPr>
        <w:spacing w:line="276" w:lineRule="auto"/>
        <w:rPr>
          <w:color w:val="000000"/>
          <w:lang w:val="hy-AM"/>
        </w:rPr>
      </w:pPr>
      <w:r w:rsidRPr="00171E0C">
        <w:rPr>
          <w:color w:val="000000"/>
          <w:lang w:val="hy-AM"/>
        </w:rPr>
        <w:t>Անհաղթահարելի ուժի հետևանքով պայմանագրի վաղաժամ դադարեցման հետ կապված վճարումներ</w:t>
      </w:r>
      <w:r>
        <w:rPr>
          <w:color w:val="000000"/>
          <w:lang w:val="hy-AM"/>
        </w:rPr>
        <w:t>,</w:t>
      </w:r>
    </w:p>
    <w:p w14:paraId="23F27968" w14:textId="77777777" w:rsidR="004442B5" w:rsidRPr="00171E0C" w:rsidRDefault="004442B5" w:rsidP="004B6657">
      <w:pPr>
        <w:spacing w:line="276" w:lineRule="auto"/>
        <w:rPr>
          <w:color w:val="000000"/>
          <w:lang w:val="hy-AM"/>
        </w:rPr>
      </w:pPr>
      <w:r w:rsidRPr="00171E0C">
        <w:rPr>
          <w:color w:val="000000"/>
          <w:lang w:val="hy-AM"/>
        </w:rPr>
        <w:t>Կոնցեդենտի դեֆոլտի հիմքով պայմանագրի վաղաժամ դադարեցման վճարներ</w:t>
      </w:r>
      <w:r>
        <w:rPr>
          <w:color w:val="000000"/>
          <w:lang w:val="hy-AM"/>
        </w:rPr>
        <w:t>,</w:t>
      </w:r>
      <w:r w:rsidRPr="00171E0C">
        <w:rPr>
          <w:color w:val="000000"/>
          <w:lang w:val="hy-AM"/>
        </w:rPr>
        <w:t xml:space="preserve"> </w:t>
      </w:r>
    </w:p>
    <w:p w14:paraId="28284334" w14:textId="77777777" w:rsidR="004442B5" w:rsidRDefault="004442B5" w:rsidP="004B6657">
      <w:pPr>
        <w:spacing w:line="276" w:lineRule="auto"/>
        <w:rPr>
          <w:color w:val="000000"/>
          <w:lang w:val="hy-AM"/>
        </w:rPr>
      </w:pPr>
      <w:r w:rsidRPr="00171E0C">
        <w:rPr>
          <w:color w:val="000000"/>
          <w:lang w:val="hy-AM"/>
        </w:rPr>
        <w:lastRenderedPageBreak/>
        <w:t>Փոխադարձ համաձայնությամբ պայմանագրի վաղաժամ դադարեցման վճարներ</w:t>
      </w:r>
      <w:r>
        <w:rPr>
          <w:color w:val="000000"/>
          <w:lang w:val="hy-AM"/>
        </w:rPr>
        <w:t>:</w:t>
      </w:r>
    </w:p>
    <w:p w14:paraId="2BA6F31D" w14:textId="77777777" w:rsidR="004442B5" w:rsidRDefault="004442B5" w:rsidP="004B6657">
      <w:pPr>
        <w:spacing w:after="0" w:line="276" w:lineRule="auto"/>
        <w:ind w:firstLine="448"/>
        <w:rPr>
          <w:color w:val="000000"/>
          <w:lang w:val="hy-AM"/>
        </w:rPr>
      </w:pPr>
      <w:r>
        <w:rPr>
          <w:color w:val="000000"/>
          <w:lang w:val="hy-AM"/>
        </w:rPr>
        <w:t>Կոնցեսիոն պ</w:t>
      </w:r>
      <w:r w:rsidRPr="00171E0C">
        <w:rPr>
          <w:color w:val="000000"/>
          <w:lang w:val="hy-AM"/>
        </w:rPr>
        <w:t>այմանագրի վաղաժամ դադարեցման վճարներ</w:t>
      </w:r>
      <w:r>
        <w:rPr>
          <w:color w:val="000000"/>
          <w:lang w:val="hy-AM"/>
        </w:rPr>
        <w:t xml:space="preserve">ի մասով պայմանական պարտավորությունները չափելի են և </w:t>
      </w:r>
      <w:r w:rsidRPr="00171E0C">
        <w:rPr>
          <w:color w:val="000000"/>
          <w:lang w:val="hy-AM"/>
        </w:rPr>
        <w:t>առավելագույն ազդեցությունը գնահատվում է 96</w:t>
      </w:r>
      <w:r>
        <w:rPr>
          <w:color w:val="000000"/>
          <w:lang w:val="hy-AM"/>
        </w:rPr>
        <w:t>.</w:t>
      </w:r>
      <w:r w:rsidRPr="00171E0C">
        <w:rPr>
          <w:color w:val="000000"/>
          <w:lang w:val="hy-AM"/>
        </w:rPr>
        <w:t>9 մլ</w:t>
      </w:r>
      <w:r>
        <w:rPr>
          <w:color w:val="000000"/>
          <w:lang w:val="hy-AM"/>
        </w:rPr>
        <w:t>րդ</w:t>
      </w:r>
      <w:r w:rsidRPr="00171E0C">
        <w:rPr>
          <w:color w:val="000000"/>
          <w:lang w:val="hy-AM"/>
        </w:rPr>
        <w:t xml:space="preserve"> ՀՀ դրամ</w:t>
      </w:r>
      <w:r w:rsidRPr="006C372A">
        <w:rPr>
          <w:vertAlign w:val="superscript"/>
        </w:rPr>
        <w:footnoteReference w:id="21"/>
      </w:r>
      <w:r w:rsidRPr="00171E0C">
        <w:rPr>
          <w:color w:val="000000"/>
          <w:lang w:val="hy-AM"/>
        </w:rPr>
        <w:t>։</w:t>
      </w:r>
      <w:r>
        <w:rPr>
          <w:color w:val="000000"/>
          <w:lang w:val="hy-AM"/>
        </w:rPr>
        <w:t xml:space="preserve"> </w:t>
      </w:r>
      <w:r w:rsidRPr="00A86F3F">
        <w:rPr>
          <w:rFonts w:cs="GHEA Grapalat"/>
          <w:color w:val="000000"/>
          <w:lang w:val="hy-AM"/>
        </w:rPr>
        <w:t>Վաղաժամ</w:t>
      </w:r>
      <w:r>
        <w:rPr>
          <w:rFonts w:cs="GHEA Grapalat"/>
          <w:color w:val="000000"/>
          <w:lang w:val="hy-AM"/>
        </w:rPr>
        <w:t xml:space="preserve"> </w:t>
      </w:r>
      <w:r w:rsidRPr="00A86F3F">
        <w:rPr>
          <w:rFonts w:cs="GHEA Grapalat"/>
          <w:color w:val="000000"/>
          <w:lang w:val="hy-AM"/>
        </w:rPr>
        <w:t>դադարեցումը</w:t>
      </w:r>
      <w:r w:rsidRPr="00A86F3F">
        <w:rPr>
          <w:color w:val="000000"/>
          <w:lang w:val="hy-AM"/>
        </w:rPr>
        <w:t xml:space="preserve"> </w:t>
      </w:r>
      <w:r>
        <w:rPr>
          <w:rFonts w:cs="GHEA Grapalat"/>
          <w:color w:val="000000"/>
          <w:lang w:val="hy-AM"/>
        </w:rPr>
        <w:t>ենթադրում է</w:t>
      </w:r>
      <w:r w:rsidRPr="00A86F3F">
        <w:rPr>
          <w:color w:val="000000"/>
          <w:lang w:val="hy-AM"/>
        </w:rPr>
        <w:t xml:space="preserve"> նաև շարժակազմի ձեռք բեր</w:t>
      </w:r>
      <w:r>
        <w:rPr>
          <w:color w:val="000000"/>
          <w:lang w:val="hy-AM"/>
        </w:rPr>
        <w:t xml:space="preserve">ման </w:t>
      </w:r>
      <w:r w:rsidRPr="00A86F3F">
        <w:rPr>
          <w:color w:val="000000"/>
          <w:lang w:val="hy-AM"/>
        </w:rPr>
        <w:t xml:space="preserve">և այլընտրանքային </w:t>
      </w:r>
      <w:r>
        <w:rPr>
          <w:color w:val="000000"/>
          <w:lang w:val="hy-AM"/>
        </w:rPr>
        <w:t>գործընկերոջ ընտրության գործընթացի ծախսեր</w:t>
      </w:r>
      <w:r w:rsidRPr="00A86F3F">
        <w:rPr>
          <w:color w:val="000000"/>
          <w:lang w:val="hy-AM"/>
        </w:rPr>
        <w:t>:</w:t>
      </w:r>
    </w:p>
    <w:p w14:paraId="3EC9757A" w14:textId="77777777" w:rsidR="004442B5" w:rsidRDefault="004442B5" w:rsidP="004B6657">
      <w:pPr>
        <w:shd w:val="clear" w:color="auto" w:fill="FFFFFF"/>
        <w:spacing w:after="0" w:line="276" w:lineRule="auto"/>
        <w:ind w:right="150" w:firstLine="450"/>
        <w:rPr>
          <w:color w:val="000000"/>
          <w:lang w:val="hy-AM"/>
        </w:rPr>
      </w:pPr>
      <w:r w:rsidRPr="00654B86">
        <w:rPr>
          <w:color w:val="000000"/>
          <w:lang w:val="hy-AM"/>
        </w:rPr>
        <w:t xml:space="preserve">Կոնցեսիոն պայմանագրի ֆիսկալ ռիսկայնության կարգավիճակը մինչև համավարակը գնահատվում էր միջին, իսկ </w:t>
      </w:r>
      <w:r>
        <w:rPr>
          <w:color w:val="000000"/>
          <w:lang w:val="hy-AM"/>
        </w:rPr>
        <w:t xml:space="preserve">համավարակի հետ կապված </w:t>
      </w:r>
      <w:r w:rsidRPr="00171E0C">
        <w:rPr>
          <w:color w:val="000000"/>
          <w:lang w:val="hy-AM"/>
        </w:rPr>
        <w:t>ճգնաժամով</w:t>
      </w:r>
      <w:r w:rsidRPr="00654B86">
        <w:rPr>
          <w:color w:val="000000"/>
          <w:lang w:val="hy-AM"/>
        </w:rPr>
        <w:t xml:space="preserve"> պայմանավորված՝ բարձր։</w:t>
      </w:r>
    </w:p>
    <w:p w14:paraId="51ACB045" w14:textId="77777777" w:rsidR="004442B5" w:rsidRDefault="004442B5" w:rsidP="004B6657">
      <w:pPr>
        <w:shd w:val="clear" w:color="auto" w:fill="FFFFFF"/>
        <w:spacing w:after="0" w:line="276" w:lineRule="auto"/>
        <w:ind w:right="150" w:firstLine="450"/>
        <w:rPr>
          <w:b/>
          <w:color w:val="000000"/>
          <w:lang w:val="hy-AM"/>
        </w:rPr>
      </w:pPr>
    </w:p>
    <w:p w14:paraId="68F336EF" w14:textId="77777777" w:rsidR="004442B5" w:rsidRPr="003A3567" w:rsidRDefault="004442B5" w:rsidP="004B6657">
      <w:pPr>
        <w:shd w:val="clear" w:color="auto" w:fill="FFFFFF"/>
        <w:spacing w:after="0" w:line="276" w:lineRule="auto"/>
        <w:ind w:right="150" w:firstLine="450"/>
        <w:rPr>
          <w:b/>
          <w:color w:val="000000"/>
          <w:lang w:val="hy-AM"/>
        </w:rPr>
      </w:pPr>
      <w:r w:rsidRPr="003A3567">
        <w:rPr>
          <w:b/>
          <w:color w:val="000000"/>
          <w:lang w:val="hy-AM"/>
        </w:rPr>
        <w:t xml:space="preserve"> «Վեոլիա Ջուր» ՓԲԸ</w:t>
      </w:r>
      <w:r>
        <w:rPr>
          <w:b/>
          <w:color w:val="000000"/>
          <w:lang w:val="hy-AM"/>
        </w:rPr>
        <w:t>.</w:t>
      </w:r>
    </w:p>
    <w:p w14:paraId="558F4FEE" w14:textId="77777777" w:rsidR="004442B5" w:rsidRPr="003A3567" w:rsidRDefault="004442B5" w:rsidP="004B6657">
      <w:pPr>
        <w:shd w:val="clear" w:color="auto" w:fill="FFFFFF"/>
        <w:spacing w:after="0" w:line="276" w:lineRule="auto"/>
        <w:ind w:right="150" w:firstLine="450"/>
        <w:rPr>
          <w:color w:val="000000"/>
          <w:lang w:val="hy-AM"/>
        </w:rPr>
      </w:pPr>
    </w:p>
    <w:p w14:paraId="75FA46E2" w14:textId="77777777" w:rsidR="004442B5" w:rsidRPr="003A3567" w:rsidRDefault="004442B5" w:rsidP="004B6657">
      <w:pPr>
        <w:shd w:val="clear" w:color="auto" w:fill="FFFFFF"/>
        <w:spacing w:after="0" w:line="276" w:lineRule="auto"/>
        <w:ind w:right="150" w:firstLine="450"/>
        <w:rPr>
          <w:color w:val="000000"/>
          <w:lang w:val="hy-AM"/>
        </w:rPr>
      </w:pPr>
      <w:r w:rsidRPr="003A3567">
        <w:rPr>
          <w:color w:val="000000"/>
          <w:lang w:val="hy-AM"/>
        </w:rPr>
        <w:t>21.11.2016թ. ՀՀ կառավարության և «Վեոլիա Օ Կոմպանի Ժեներալ Դեզ Օ» կոմանդիտային բաժնետիրական ընկերության և «Վեոլիա Ջուր» ՓԲԸ-ի (այսուհետ` Ընկերություն) միջև կնքվել է «Երևան Ջուր», «Հայջրմուղկոյուղի», «Լոռի-ջրմուղկոյուղի», «Շիրակ-ջրմուղկոյուղի» և «Նոր Ակունք» փակ բաժնետիրական ընկերությունների կողմից օգտագործվող ու պահպանվող ջրային համակարգերի և այլ գույքի վարձակալության պայմանագիր` 15 տարի ժամկետով (Վարձակալական պայմանգիր):</w:t>
      </w:r>
    </w:p>
    <w:p w14:paraId="1D7E3BBF" w14:textId="77777777" w:rsidR="004442B5" w:rsidRPr="00A10ABD" w:rsidRDefault="004442B5" w:rsidP="004B6657">
      <w:pPr>
        <w:spacing w:after="0" w:line="276" w:lineRule="auto"/>
        <w:ind w:firstLine="450"/>
        <w:rPr>
          <w:lang w:val="hy-AM"/>
        </w:rPr>
      </w:pPr>
      <w:r>
        <w:rPr>
          <w:lang w:val="hy-AM"/>
        </w:rPr>
        <w:t>Վարձակալական</w:t>
      </w:r>
      <w:r w:rsidRPr="00BA4BF6">
        <w:rPr>
          <w:lang w:val="hy-AM"/>
        </w:rPr>
        <w:t xml:space="preserve"> պայմանագր</w:t>
      </w:r>
      <w:r>
        <w:rPr>
          <w:lang w:val="hy-AM"/>
        </w:rPr>
        <w:t xml:space="preserve">ի գծով ՀՀ կառավարությունը ստանձնել է </w:t>
      </w:r>
      <w:r w:rsidRPr="00BA4BF6">
        <w:rPr>
          <w:lang w:val="hy-AM"/>
        </w:rPr>
        <w:t>մի շարք նշանակալի պայմանական պարտավորություններ</w:t>
      </w:r>
      <w:r>
        <w:rPr>
          <w:lang w:val="hy-AM"/>
        </w:rPr>
        <w:t>, այդ թվում ՝</w:t>
      </w:r>
    </w:p>
    <w:p w14:paraId="0EC6DABE" w14:textId="77777777" w:rsidR="004442B5" w:rsidRPr="0050427E" w:rsidRDefault="004442B5" w:rsidP="004B6657">
      <w:pPr>
        <w:spacing w:after="0" w:line="276" w:lineRule="auto"/>
        <w:rPr>
          <w:lang w:val="hy-AM"/>
        </w:rPr>
      </w:pPr>
      <w:r w:rsidRPr="00BA4BF6">
        <w:rPr>
          <w:lang w:val="hy-AM"/>
        </w:rPr>
        <w:t xml:space="preserve">- </w:t>
      </w:r>
      <w:r>
        <w:rPr>
          <w:lang w:val="hy-AM"/>
        </w:rPr>
        <w:t>Ե</w:t>
      </w:r>
      <w:r w:rsidRPr="00BA4BF6">
        <w:rPr>
          <w:lang w:val="hy-AM"/>
        </w:rPr>
        <w:t xml:space="preserve">թե </w:t>
      </w:r>
      <w:r>
        <w:rPr>
          <w:lang w:val="hy-AM"/>
        </w:rPr>
        <w:t xml:space="preserve">Վարձակալը </w:t>
      </w:r>
      <w:r w:rsidRPr="00BA4BF6">
        <w:rPr>
          <w:lang w:val="hy-AM"/>
        </w:rPr>
        <w:t>պարտադիր</w:t>
      </w:r>
      <w:r>
        <w:rPr>
          <w:lang w:val="hy-AM"/>
        </w:rPr>
        <w:t xml:space="preserve"> բնույթի</w:t>
      </w:r>
      <w:r w:rsidRPr="00BA4BF6">
        <w:rPr>
          <w:lang w:val="hy-AM"/>
        </w:rPr>
        <w:t xml:space="preserve"> կապիտալ աշխատանքներից բացի իրականացրել է այլ </w:t>
      </w:r>
      <w:r w:rsidRPr="0050427E">
        <w:rPr>
          <w:lang w:val="hy-AM"/>
        </w:rPr>
        <w:t>աշխատանքներ, ապա համապատասխան գումարը ենթակա է փոխհատուցման Վարձատուի կողմից (ով նաև հանդիսանում է կոնցեսիոն ակտիվների վարձատու):</w:t>
      </w:r>
    </w:p>
    <w:p w14:paraId="7DC26204" w14:textId="77777777" w:rsidR="004442B5" w:rsidRPr="00A10ABD" w:rsidRDefault="004442B5" w:rsidP="004B6657">
      <w:pPr>
        <w:spacing w:after="0" w:line="276" w:lineRule="auto"/>
        <w:rPr>
          <w:lang w:val="hy-AM"/>
        </w:rPr>
      </w:pPr>
      <w:r w:rsidRPr="0050427E">
        <w:rPr>
          <w:lang w:val="hy-AM"/>
        </w:rPr>
        <w:t>- Առկա է բազային սակագնի երաշխիք, որն արդեն երկու անգամ կիրառվել է՝ ներառյալ ՀՀ կառավարության կողմից վարձակալական վճարի կրճատմամբ` միտված խուսափելու սպառողների համար առաջիկայում սակագներ</w:t>
      </w:r>
      <w:r>
        <w:rPr>
          <w:lang w:val="hy-AM"/>
        </w:rPr>
        <w:t>ի</w:t>
      </w:r>
      <w:r w:rsidRPr="0050427E">
        <w:rPr>
          <w:lang w:val="hy-AM"/>
        </w:rPr>
        <w:t xml:space="preserve"> բարձրացումից:</w:t>
      </w:r>
    </w:p>
    <w:p w14:paraId="25374018" w14:textId="77777777" w:rsidR="004442B5" w:rsidRPr="004C3A8D" w:rsidRDefault="004442B5" w:rsidP="004B6657">
      <w:pPr>
        <w:spacing w:after="0" w:line="276" w:lineRule="auto"/>
        <w:rPr>
          <w:lang w:val="hy-AM"/>
        </w:rPr>
      </w:pPr>
      <w:r w:rsidRPr="00BA4BF6">
        <w:rPr>
          <w:lang w:val="hy-AM"/>
        </w:rPr>
        <w:t xml:space="preserve">- </w:t>
      </w:r>
      <w:r>
        <w:rPr>
          <w:lang w:val="hy-AM"/>
        </w:rPr>
        <w:t xml:space="preserve">Վարձակալական </w:t>
      </w:r>
      <w:r w:rsidRPr="00BA4BF6">
        <w:rPr>
          <w:lang w:val="hy-AM"/>
        </w:rPr>
        <w:t xml:space="preserve">պայմանագիրը լի է </w:t>
      </w:r>
      <w:r>
        <w:rPr>
          <w:lang w:val="hy-AM"/>
        </w:rPr>
        <w:t>վերաբանակցությունների</w:t>
      </w:r>
      <w:r w:rsidRPr="00BA4BF6">
        <w:rPr>
          <w:lang w:val="hy-AM"/>
        </w:rPr>
        <w:t xml:space="preserve"> և վաղաժամկետ դադարեցման իրադարձություններով</w:t>
      </w:r>
      <w:r>
        <w:rPr>
          <w:lang w:val="hy-AM"/>
        </w:rPr>
        <w:t>։</w:t>
      </w:r>
      <w:r w:rsidRPr="00BA4BF6">
        <w:rPr>
          <w:lang w:val="hy-AM"/>
        </w:rPr>
        <w:t xml:space="preserve"> </w:t>
      </w:r>
      <w:r>
        <w:rPr>
          <w:lang w:val="hy-AM"/>
        </w:rPr>
        <w:t xml:space="preserve">Առաջիկայում </w:t>
      </w:r>
      <w:r w:rsidRPr="00BA4BF6">
        <w:rPr>
          <w:lang w:val="hy-AM"/>
        </w:rPr>
        <w:t>Վ</w:t>
      </w:r>
      <w:r>
        <w:rPr>
          <w:lang w:val="hy-AM"/>
        </w:rPr>
        <w:t>արձակալական պայմանագրի վ</w:t>
      </w:r>
      <w:r w:rsidRPr="00BA4BF6">
        <w:rPr>
          <w:lang w:val="hy-AM"/>
        </w:rPr>
        <w:t>աղաժամկետ դադարեցման ռիսկը ցածր է</w:t>
      </w:r>
      <w:r>
        <w:rPr>
          <w:lang w:val="hy-AM"/>
        </w:rPr>
        <w:t xml:space="preserve">։ </w:t>
      </w:r>
    </w:p>
    <w:p w14:paraId="53A2B04F" w14:textId="77777777" w:rsidR="004442B5" w:rsidRDefault="004442B5" w:rsidP="004B6657">
      <w:pPr>
        <w:spacing w:after="0" w:line="276" w:lineRule="auto"/>
        <w:rPr>
          <w:lang w:val="hy-AM"/>
        </w:rPr>
      </w:pPr>
      <w:r w:rsidRPr="003A3567">
        <w:rPr>
          <w:color w:val="000000"/>
          <w:lang w:val="hy-AM"/>
        </w:rPr>
        <w:t>«Վեոլիա Ջուր» ՓԲԸ</w:t>
      </w:r>
      <w:r>
        <w:rPr>
          <w:color w:val="000000"/>
          <w:lang w:val="hy-AM"/>
        </w:rPr>
        <w:t>-ն</w:t>
      </w:r>
      <w:r>
        <w:rPr>
          <w:lang w:val="hy-AM"/>
        </w:rPr>
        <w:t xml:space="preserve"> </w:t>
      </w:r>
      <w:r w:rsidRPr="00BA4BF6">
        <w:rPr>
          <w:lang w:val="hy-AM"/>
        </w:rPr>
        <w:t>օժանդակու</w:t>
      </w:r>
      <w:r>
        <w:rPr>
          <w:lang w:val="hy-AM"/>
        </w:rPr>
        <w:t xml:space="preserve">թյուն է </w:t>
      </w:r>
      <w:r w:rsidRPr="0050427E">
        <w:rPr>
          <w:lang w:val="hy-AM"/>
        </w:rPr>
        <w:t>ստացել մայր ընկերությունից, ինչը փոխհատուցում է դրամական միջոցների հոսքի նվազման ռիսկը՝ սպառողների որոշ</w:t>
      </w:r>
      <w:r>
        <w:rPr>
          <w:lang w:val="hy-AM"/>
        </w:rPr>
        <w:t xml:space="preserve"> խմբերի վճարների հավաքագրման վատթարացման հետևանքով։ </w:t>
      </w:r>
    </w:p>
    <w:p w14:paraId="2352AD81" w14:textId="77777777" w:rsidR="004442B5" w:rsidRDefault="004442B5" w:rsidP="004B6657">
      <w:pPr>
        <w:spacing w:after="0" w:line="276" w:lineRule="auto"/>
        <w:rPr>
          <w:lang w:val="hy-AM"/>
        </w:rPr>
      </w:pPr>
      <w:r>
        <w:rPr>
          <w:lang w:val="hy-AM"/>
        </w:rPr>
        <w:lastRenderedPageBreak/>
        <w:t>Սակայն, եթե համավարակով պայմանավորված մեծ քանակով սպառողներ և</w:t>
      </w:r>
      <w:r w:rsidRPr="00BA4BF6">
        <w:rPr>
          <w:lang w:val="hy-AM"/>
        </w:rPr>
        <w:t>, մասնավորապես</w:t>
      </w:r>
      <w:r>
        <w:rPr>
          <w:lang w:val="hy-AM"/>
        </w:rPr>
        <w:t>,</w:t>
      </w:r>
      <w:r w:rsidRPr="00BA4BF6">
        <w:rPr>
          <w:lang w:val="hy-AM"/>
        </w:rPr>
        <w:t xml:space="preserve"> </w:t>
      </w:r>
      <w:r>
        <w:rPr>
          <w:lang w:val="hy-AM"/>
        </w:rPr>
        <w:t xml:space="preserve">խոշոր սպառողները կանգնեն ծառայությունների դիմաց վճարումների խնդիրների առջև, ապա </w:t>
      </w:r>
      <w:r w:rsidRPr="00BA4BF6">
        <w:rPr>
          <w:lang w:val="hy-AM"/>
        </w:rPr>
        <w:t xml:space="preserve"> Կոնցե</w:t>
      </w:r>
      <w:r w:rsidRPr="00726B24">
        <w:rPr>
          <w:lang w:val="hy-AM"/>
        </w:rPr>
        <w:t>սիոները</w:t>
      </w:r>
      <w:r w:rsidRPr="00BA4BF6">
        <w:rPr>
          <w:lang w:val="hy-AM"/>
        </w:rPr>
        <w:t xml:space="preserve"> կարող </w:t>
      </w:r>
      <w:r>
        <w:rPr>
          <w:lang w:val="hy-AM"/>
        </w:rPr>
        <w:t>է արձանագրել</w:t>
      </w:r>
      <w:r w:rsidRPr="00BA4BF6">
        <w:rPr>
          <w:lang w:val="hy-AM"/>
        </w:rPr>
        <w:t xml:space="preserve">, որ </w:t>
      </w:r>
      <w:r>
        <w:rPr>
          <w:lang w:val="hy-AM"/>
        </w:rPr>
        <w:t xml:space="preserve">Վարձակալական </w:t>
      </w:r>
      <w:r w:rsidRPr="00BA4BF6">
        <w:rPr>
          <w:lang w:val="hy-AM"/>
        </w:rPr>
        <w:t xml:space="preserve">պայմանագրի ֆինանսական հավասարակշռությունը խախտված է </w:t>
      </w:r>
      <w:r>
        <w:rPr>
          <w:lang w:val="hy-AM"/>
        </w:rPr>
        <w:t>և դիմել ՀՀ կառավարությանը`</w:t>
      </w:r>
      <w:r w:rsidRPr="00BA4BF6">
        <w:rPr>
          <w:lang w:val="hy-AM"/>
        </w:rPr>
        <w:t xml:space="preserve"> </w:t>
      </w:r>
      <w:r>
        <w:rPr>
          <w:lang w:val="hy-AM"/>
        </w:rPr>
        <w:t xml:space="preserve">պայմանագրի </w:t>
      </w:r>
      <w:r w:rsidRPr="00BA4BF6">
        <w:rPr>
          <w:lang w:val="hy-AM"/>
        </w:rPr>
        <w:t xml:space="preserve">պայմանների </w:t>
      </w:r>
      <w:r>
        <w:rPr>
          <w:lang w:val="hy-AM"/>
        </w:rPr>
        <w:t>վերանայման համար</w:t>
      </w:r>
      <w:r w:rsidRPr="00BA4BF6">
        <w:rPr>
          <w:lang w:val="hy-AM"/>
        </w:rPr>
        <w:t>:</w:t>
      </w:r>
    </w:p>
    <w:p w14:paraId="35D6E96F" w14:textId="77777777" w:rsidR="004442B5" w:rsidRDefault="004442B5" w:rsidP="004B6657">
      <w:pPr>
        <w:spacing w:after="0" w:line="276" w:lineRule="auto"/>
        <w:rPr>
          <w:lang w:val="hy-AM"/>
        </w:rPr>
      </w:pPr>
      <w:r>
        <w:rPr>
          <w:lang w:val="hy-AM"/>
        </w:rPr>
        <w:t xml:space="preserve">Վարձակալական պայմանագրի ֆիսկալ ռիսկայնության </w:t>
      </w:r>
      <w:r w:rsidRPr="00BA4BF6">
        <w:rPr>
          <w:lang w:val="hy-AM"/>
        </w:rPr>
        <w:t xml:space="preserve">կարգավիճակը </w:t>
      </w:r>
      <w:r w:rsidRPr="001D427B">
        <w:rPr>
          <w:lang w:val="hy-AM"/>
        </w:rPr>
        <w:t>COVID-</w:t>
      </w:r>
      <w:r w:rsidRPr="00BA4BF6">
        <w:rPr>
          <w:lang w:val="hy-AM"/>
        </w:rPr>
        <w:t>19</w:t>
      </w:r>
      <w:r w:rsidRPr="001D427B">
        <w:rPr>
          <w:lang w:val="hy-AM"/>
        </w:rPr>
        <w:t xml:space="preserve"> </w:t>
      </w:r>
      <w:r>
        <w:rPr>
          <w:lang w:val="hy-AM"/>
        </w:rPr>
        <w:t>համավարակից</w:t>
      </w:r>
      <w:r w:rsidRPr="00BA4BF6">
        <w:rPr>
          <w:lang w:val="hy-AM"/>
        </w:rPr>
        <w:t xml:space="preserve"> առաջ միջին էր և շարունակում է մնալ միջին </w:t>
      </w:r>
      <w:r>
        <w:rPr>
          <w:lang w:val="hy-AM"/>
        </w:rPr>
        <w:t>համավարակի ընթացքում</w:t>
      </w:r>
      <w:r w:rsidRPr="00BA4BF6">
        <w:rPr>
          <w:lang w:val="hy-AM"/>
        </w:rPr>
        <w:t>:</w:t>
      </w:r>
    </w:p>
    <w:p w14:paraId="10C60A50" w14:textId="77777777" w:rsidR="004442B5" w:rsidRPr="00AB77D4" w:rsidRDefault="004442B5" w:rsidP="004B6657">
      <w:pPr>
        <w:spacing w:before="120" w:after="0" w:line="276" w:lineRule="auto"/>
        <w:ind w:firstLine="450"/>
        <w:rPr>
          <w:b/>
          <w:bCs/>
          <w:lang w:val="hy-AM"/>
        </w:rPr>
      </w:pPr>
      <w:r>
        <w:rPr>
          <w:b/>
          <w:bCs/>
          <w:lang w:val="hy-AM"/>
        </w:rPr>
        <w:t>«</w:t>
      </w:r>
      <w:r w:rsidRPr="00BA4BF6">
        <w:rPr>
          <w:b/>
          <w:bCs/>
          <w:lang w:val="hy-AM"/>
        </w:rPr>
        <w:t>Արմենիա միջազգային օդանավակայաններ</w:t>
      </w:r>
      <w:r w:rsidRPr="00B82399">
        <w:rPr>
          <w:b/>
          <w:color w:val="000000"/>
          <w:lang w:val="hy-AM"/>
        </w:rPr>
        <w:t>» ՓԲԸ</w:t>
      </w:r>
      <w:r>
        <w:rPr>
          <w:b/>
          <w:bCs/>
          <w:lang w:val="hy-AM"/>
        </w:rPr>
        <w:t>.</w:t>
      </w:r>
    </w:p>
    <w:p w14:paraId="18866160" w14:textId="77777777" w:rsidR="004442B5" w:rsidRPr="00602E1C" w:rsidRDefault="004442B5" w:rsidP="004B6657">
      <w:pPr>
        <w:spacing w:after="0" w:line="276" w:lineRule="auto"/>
        <w:rPr>
          <w:lang w:val="hy-AM"/>
        </w:rPr>
      </w:pPr>
      <w:r>
        <w:rPr>
          <w:lang w:val="hy-AM"/>
        </w:rPr>
        <w:t>Կոնցեսիոն</w:t>
      </w:r>
      <w:r w:rsidRPr="00602E1C">
        <w:rPr>
          <w:lang w:val="hy-AM"/>
        </w:rPr>
        <w:t xml:space="preserve"> պայմանագիրը գործում է 200</w:t>
      </w:r>
      <w:r w:rsidRPr="00BA4BF6">
        <w:rPr>
          <w:lang w:val="hy-AM"/>
        </w:rPr>
        <w:t>2</w:t>
      </w:r>
      <w:r w:rsidRPr="00602E1C">
        <w:rPr>
          <w:lang w:val="hy-AM"/>
        </w:rPr>
        <w:t>թ</w:t>
      </w:r>
      <w:r>
        <w:rPr>
          <w:lang w:val="hy-AM"/>
        </w:rPr>
        <w:t>-ից</w:t>
      </w:r>
      <w:r w:rsidRPr="00602E1C">
        <w:rPr>
          <w:lang w:val="hy-AM"/>
        </w:rPr>
        <w:t xml:space="preserve"> Երևանի «Զվարթնոց» օդանավակայանի համար, իսկ 20</w:t>
      </w:r>
      <w:r w:rsidRPr="00BA4BF6">
        <w:rPr>
          <w:lang w:val="hy-AM"/>
        </w:rPr>
        <w:t>07</w:t>
      </w:r>
      <w:r w:rsidRPr="00602E1C">
        <w:rPr>
          <w:lang w:val="hy-AM"/>
        </w:rPr>
        <w:t>թ</w:t>
      </w:r>
      <w:r>
        <w:rPr>
          <w:lang w:val="hy-AM"/>
        </w:rPr>
        <w:t>-</w:t>
      </w:r>
      <w:r w:rsidRPr="00602E1C">
        <w:rPr>
          <w:lang w:val="hy-AM"/>
        </w:rPr>
        <w:t>ի</w:t>
      </w:r>
      <w:r>
        <w:rPr>
          <w:lang w:val="hy-AM"/>
        </w:rPr>
        <w:t>ց</w:t>
      </w:r>
      <w:r w:rsidRPr="00602E1C">
        <w:rPr>
          <w:lang w:val="hy-AM"/>
        </w:rPr>
        <w:t xml:space="preserve"> </w:t>
      </w:r>
      <w:r>
        <w:rPr>
          <w:lang w:val="hy-AM"/>
        </w:rPr>
        <w:t xml:space="preserve">ի </w:t>
      </w:r>
      <w:r w:rsidRPr="00602E1C">
        <w:rPr>
          <w:lang w:val="hy-AM"/>
        </w:rPr>
        <w:t>վեր ներառում է նաև Գյումրու</w:t>
      </w:r>
      <w:r w:rsidRPr="000358D5">
        <w:rPr>
          <w:lang w:val="hy-AM"/>
        </w:rPr>
        <w:t xml:space="preserve"> </w:t>
      </w:r>
      <w:r w:rsidRPr="00BA4BF6">
        <w:rPr>
          <w:lang w:val="hy-AM"/>
        </w:rPr>
        <w:t>«</w:t>
      </w:r>
      <w:r>
        <w:rPr>
          <w:lang w:val="hy-AM"/>
        </w:rPr>
        <w:t>Շիրակ» օդանավակայանը</w:t>
      </w:r>
      <w:r w:rsidRPr="00602E1C">
        <w:rPr>
          <w:lang w:val="hy-AM"/>
        </w:rPr>
        <w:t xml:space="preserve">: </w:t>
      </w:r>
      <w:r>
        <w:rPr>
          <w:lang w:val="hy-AM"/>
        </w:rPr>
        <w:t>Մայր ընկերությունը</w:t>
      </w:r>
      <w:r w:rsidRPr="00602E1C">
        <w:rPr>
          <w:lang w:val="hy-AM"/>
        </w:rPr>
        <w:t xml:space="preserve"> աշխարհի օդանավակայանների խոշորագույն օպերատորներից է՝ </w:t>
      </w:r>
      <w:r>
        <w:rPr>
          <w:lang w:val="hy-AM"/>
        </w:rPr>
        <w:t>«</w:t>
      </w:r>
      <w:r w:rsidRPr="00E23BBD">
        <w:rPr>
          <w:lang w:val="hy-AM"/>
        </w:rPr>
        <w:t xml:space="preserve">Կորպորասիոն Ամերիկա Ս.Ա.» </w:t>
      </w:r>
      <w:r w:rsidRPr="00602E1C">
        <w:rPr>
          <w:lang w:val="hy-AM"/>
        </w:rPr>
        <w:t xml:space="preserve"> ընկերությունը, որը ցուցակվ</w:t>
      </w:r>
      <w:r>
        <w:rPr>
          <w:lang w:val="hy-AM"/>
        </w:rPr>
        <w:t xml:space="preserve">ած </w:t>
      </w:r>
      <w:r w:rsidRPr="00602E1C">
        <w:rPr>
          <w:lang w:val="hy-AM"/>
        </w:rPr>
        <w:t xml:space="preserve">է </w:t>
      </w:r>
      <w:r>
        <w:rPr>
          <w:lang w:val="hy-AM"/>
        </w:rPr>
        <w:t xml:space="preserve">Նյու Յորքի </w:t>
      </w:r>
      <w:r w:rsidRPr="008F2836">
        <w:rPr>
          <w:lang w:val="hy-AM"/>
        </w:rPr>
        <w:t>ֆոնդային</w:t>
      </w:r>
      <w:r>
        <w:rPr>
          <w:lang w:val="hy-AM"/>
        </w:rPr>
        <w:t xml:space="preserve"> բորսայում</w:t>
      </w:r>
      <w:r w:rsidRPr="008F2836">
        <w:rPr>
          <w:lang w:val="hy-AM"/>
        </w:rPr>
        <w:t>:</w:t>
      </w:r>
    </w:p>
    <w:p w14:paraId="76527032" w14:textId="77777777" w:rsidR="004442B5" w:rsidRPr="00602E1C" w:rsidRDefault="004442B5" w:rsidP="004B6657">
      <w:pPr>
        <w:spacing w:after="0" w:line="276" w:lineRule="auto"/>
        <w:rPr>
          <w:lang w:val="hy-AM"/>
        </w:rPr>
      </w:pPr>
      <w:r w:rsidRPr="00602E1C">
        <w:rPr>
          <w:lang w:val="hy-AM"/>
        </w:rPr>
        <w:t xml:space="preserve">Խումբը մինչև 2019 թվականը </w:t>
      </w:r>
      <w:r>
        <w:rPr>
          <w:lang w:val="hy-AM"/>
        </w:rPr>
        <w:t xml:space="preserve">շահութաբերության բարձր ցուցանիշներ ուներ, </w:t>
      </w:r>
      <w:r w:rsidRPr="00602E1C">
        <w:rPr>
          <w:lang w:val="hy-AM"/>
        </w:rPr>
        <w:t xml:space="preserve">իսկ </w:t>
      </w:r>
      <w:r>
        <w:rPr>
          <w:lang w:val="hy-AM"/>
        </w:rPr>
        <w:t>ՀՀ-ի</w:t>
      </w:r>
      <w:r w:rsidRPr="00602E1C">
        <w:rPr>
          <w:lang w:val="hy-AM"/>
        </w:rPr>
        <w:t xml:space="preserve"> դուստր ձեռնարկությունը եղել է ամենաարդյունավետներից մեկը:</w:t>
      </w:r>
    </w:p>
    <w:p w14:paraId="53A72393" w14:textId="77777777" w:rsidR="004442B5" w:rsidRPr="00602E1C" w:rsidRDefault="004442B5" w:rsidP="004B6657">
      <w:pPr>
        <w:spacing w:after="0" w:line="276" w:lineRule="auto"/>
        <w:rPr>
          <w:lang w:val="hy-AM"/>
        </w:rPr>
      </w:pPr>
      <w:r w:rsidRPr="00602E1C">
        <w:rPr>
          <w:lang w:val="hy-AM"/>
        </w:rPr>
        <w:t xml:space="preserve">Պայմանագիրը Կոնցեսիոներին հնարավորություն է տալիս միակողմանիորեն երկարացնել </w:t>
      </w:r>
      <w:r>
        <w:rPr>
          <w:lang w:val="hy-AM"/>
        </w:rPr>
        <w:t>կոնցեսիայի</w:t>
      </w:r>
      <w:r w:rsidRPr="00602E1C">
        <w:rPr>
          <w:lang w:val="hy-AM"/>
        </w:rPr>
        <w:t xml:space="preserve"> տևողությունը: </w:t>
      </w:r>
    </w:p>
    <w:p w14:paraId="4E0CB085" w14:textId="77777777" w:rsidR="004442B5" w:rsidRPr="00602E1C" w:rsidRDefault="004442B5" w:rsidP="004B6657">
      <w:pPr>
        <w:spacing w:after="0" w:line="276" w:lineRule="auto"/>
        <w:rPr>
          <w:lang w:val="hy-AM"/>
        </w:rPr>
      </w:pPr>
      <w:r w:rsidRPr="00602E1C">
        <w:rPr>
          <w:lang w:val="hy-AM"/>
        </w:rPr>
        <w:t xml:space="preserve">Հաշվի առնելով ընկերության բարձր </w:t>
      </w:r>
      <w:r>
        <w:rPr>
          <w:lang w:val="hy-AM"/>
        </w:rPr>
        <w:t xml:space="preserve">շահութաբերությունը՝ պայմանագրի վաղաժամ դադարեցման պայմանական պարտավորությունը և ընկերության բիզնես ռիսկը գնահատվել են ցածր։ </w:t>
      </w:r>
    </w:p>
    <w:p w14:paraId="57DCAA4B" w14:textId="77777777" w:rsidR="004442B5" w:rsidRPr="00602E1C" w:rsidRDefault="004442B5" w:rsidP="004B6657">
      <w:pPr>
        <w:spacing w:after="0" w:line="276" w:lineRule="auto"/>
        <w:rPr>
          <w:lang w:val="hy-AM"/>
        </w:rPr>
      </w:pPr>
      <w:r>
        <w:rPr>
          <w:lang w:val="hy-AM"/>
        </w:rPr>
        <w:t>Սակայն ի</w:t>
      </w:r>
      <w:r w:rsidRPr="00602E1C">
        <w:rPr>
          <w:lang w:val="hy-AM"/>
        </w:rPr>
        <w:t xml:space="preserve">րավիճակը փոխվել է </w:t>
      </w:r>
      <w:r>
        <w:rPr>
          <w:lang w:val="hy-AM"/>
        </w:rPr>
        <w:t>համավարակով պայմանավորված</w:t>
      </w:r>
      <w:r w:rsidRPr="00602E1C">
        <w:rPr>
          <w:lang w:val="hy-AM"/>
        </w:rPr>
        <w:t>, քանի որ</w:t>
      </w:r>
      <w:r>
        <w:rPr>
          <w:lang w:val="hy-AM"/>
        </w:rPr>
        <w:t xml:space="preserve"> աշխարհում</w:t>
      </w:r>
      <w:r w:rsidRPr="00602E1C">
        <w:rPr>
          <w:lang w:val="hy-AM"/>
        </w:rPr>
        <w:t xml:space="preserve"> օդանավակայանների </w:t>
      </w:r>
      <w:r>
        <w:rPr>
          <w:lang w:val="hy-AM"/>
        </w:rPr>
        <w:t xml:space="preserve">ոլորտը ճգնաժամից առավել </w:t>
      </w:r>
      <w:r w:rsidRPr="00602E1C">
        <w:rPr>
          <w:lang w:val="hy-AM"/>
        </w:rPr>
        <w:t>տուժածներից մեկն է:</w:t>
      </w:r>
    </w:p>
    <w:p w14:paraId="477DE021" w14:textId="77777777" w:rsidR="004442B5" w:rsidRPr="00602E1C" w:rsidRDefault="004442B5" w:rsidP="004B6657">
      <w:pPr>
        <w:spacing w:after="0" w:line="276" w:lineRule="auto"/>
        <w:rPr>
          <w:lang w:val="hy-AM"/>
        </w:rPr>
      </w:pPr>
      <w:r>
        <w:rPr>
          <w:lang w:val="hy-AM"/>
        </w:rPr>
        <w:t xml:space="preserve">Ըստ խմբի կողմից  հրապարակած առաջին եռամսյակի ֆինանսական հաշվետվությունների` եռամսյակի վերջի դրությամբ </w:t>
      </w:r>
      <w:r w:rsidRPr="00602E1C">
        <w:rPr>
          <w:lang w:val="hy-AM"/>
        </w:rPr>
        <w:t>ընկերություն</w:t>
      </w:r>
      <w:r>
        <w:rPr>
          <w:lang w:val="hy-AM"/>
        </w:rPr>
        <w:t>ն</w:t>
      </w:r>
      <w:r w:rsidRPr="00602E1C">
        <w:rPr>
          <w:lang w:val="hy-AM"/>
        </w:rPr>
        <w:t xml:space="preserve"> ուներ դրամական </w:t>
      </w:r>
      <w:r>
        <w:rPr>
          <w:lang w:val="hy-AM"/>
        </w:rPr>
        <w:t>միջոցների մնացորդներ</w:t>
      </w:r>
      <w:r w:rsidRPr="00602E1C">
        <w:rPr>
          <w:lang w:val="hy-AM"/>
        </w:rPr>
        <w:t xml:space="preserve">, որոնք </w:t>
      </w:r>
      <w:r>
        <w:rPr>
          <w:lang w:val="hy-AM"/>
        </w:rPr>
        <w:t xml:space="preserve">թույլ էին տալիս </w:t>
      </w:r>
      <w:r w:rsidRPr="008F2836">
        <w:rPr>
          <w:lang w:val="hy-AM"/>
        </w:rPr>
        <w:t>սպասարկել միջազգային սինդիկացված վարկը հաջորդ</w:t>
      </w:r>
      <w:r w:rsidRPr="00602E1C">
        <w:rPr>
          <w:lang w:val="hy-AM"/>
        </w:rPr>
        <w:t xml:space="preserve"> ամիսների ընթացքում:</w:t>
      </w:r>
    </w:p>
    <w:p w14:paraId="430C2682" w14:textId="77777777" w:rsidR="004442B5" w:rsidRPr="00602E1C" w:rsidRDefault="004442B5" w:rsidP="004B6657">
      <w:pPr>
        <w:spacing w:after="0" w:line="276" w:lineRule="auto"/>
        <w:rPr>
          <w:lang w:val="hy-AM"/>
        </w:rPr>
      </w:pPr>
      <w:r>
        <w:rPr>
          <w:lang w:val="hy-AM"/>
        </w:rPr>
        <w:t>Միաժամանակ,</w:t>
      </w:r>
      <w:r w:rsidRPr="00602E1C">
        <w:rPr>
          <w:lang w:val="hy-AM"/>
        </w:rPr>
        <w:t xml:space="preserve"> խմբի գրեթե բոլոր ընկերությունները գտնվում էին ֆինանսական </w:t>
      </w:r>
      <w:r>
        <w:rPr>
          <w:lang w:val="hy-AM"/>
        </w:rPr>
        <w:t xml:space="preserve">դժվարությունների </w:t>
      </w:r>
      <w:r w:rsidRPr="00602E1C">
        <w:rPr>
          <w:lang w:val="hy-AM"/>
        </w:rPr>
        <w:t>մեջ և բանակցում էին վարկատուների հետ վարկերի վերակառուց</w:t>
      </w:r>
      <w:r>
        <w:rPr>
          <w:lang w:val="hy-AM"/>
        </w:rPr>
        <w:t>ման շուրջ</w:t>
      </w:r>
      <w:r w:rsidRPr="00602E1C">
        <w:rPr>
          <w:lang w:val="hy-AM"/>
        </w:rPr>
        <w:t>,</w:t>
      </w:r>
      <w:r>
        <w:rPr>
          <w:lang w:val="hy-AM"/>
        </w:rPr>
        <w:t xml:space="preserve"> ինչպես նաև</w:t>
      </w:r>
      <w:r w:rsidRPr="00602E1C">
        <w:rPr>
          <w:lang w:val="hy-AM"/>
        </w:rPr>
        <w:t xml:space="preserve"> բանակցություններ վարում կառավարությունների</w:t>
      </w:r>
      <w:r>
        <w:rPr>
          <w:lang w:val="hy-AM"/>
        </w:rPr>
        <w:t xml:space="preserve"> կողմից</w:t>
      </w:r>
      <w:r w:rsidRPr="00602E1C">
        <w:rPr>
          <w:lang w:val="hy-AM"/>
        </w:rPr>
        <w:t xml:space="preserve"> կոնցեսիոն վճարների ժամանակավոր </w:t>
      </w:r>
      <w:r>
        <w:rPr>
          <w:lang w:val="hy-AM"/>
        </w:rPr>
        <w:t>դադարեցման</w:t>
      </w:r>
      <w:r w:rsidRPr="00602E1C">
        <w:rPr>
          <w:lang w:val="hy-AM"/>
        </w:rPr>
        <w:t xml:space="preserve"> և որոշ դեպքերում լրացուցիչ աջակցությ</w:t>
      </w:r>
      <w:r>
        <w:rPr>
          <w:lang w:val="hy-AM"/>
        </w:rPr>
        <w:t>ան տրամադրման շուրջ</w:t>
      </w:r>
      <w:r w:rsidRPr="00602E1C">
        <w:rPr>
          <w:lang w:val="hy-AM"/>
        </w:rPr>
        <w:t>:</w:t>
      </w:r>
    </w:p>
    <w:p w14:paraId="442E1EDF" w14:textId="77777777" w:rsidR="004442B5" w:rsidRPr="00602E1C" w:rsidRDefault="004442B5" w:rsidP="004B6657">
      <w:pPr>
        <w:spacing w:after="0" w:line="276" w:lineRule="auto"/>
        <w:rPr>
          <w:lang w:val="hy-AM"/>
        </w:rPr>
      </w:pPr>
      <w:r>
        <w:rPr>
          <w:lang w:val="hy-AM"/>
        </w:rPr>
        <w:t xml:space="preserve">Իրավիճակն </w:t>
      </w:r>
      <w:r w:rsidRPr="00602E1C">
        <w:rPr>
          <w:lang w:val="hy-AM"/>
        </w:rPr>
        <w:t>համեմատաբար վերահսկ</w:t>
      </w:r>
      <w:r>
        <w:rPr>
          <w:lang w:val="hy-AM"/>
        </w:rPr>
        <w:t xml:space="preserve">ելի </w:t>
      </w:r>
      <w:r w:rsidRPr="00602E1C">
        <w:rPr>
          <w:lang w:val="hy-AM"/>
        </w:rPr>
        <w:t xml:space="preserve">է հայկական ընկերության համար, </w:t>
      </w:r>
      <w:r>
        <w:rPr>
          <w:lang w:val="hy-AM"/>
        </w:rPr>
        <w:t xml:space="preserve">սակայն </w:t>
      </w:r>
      <w:r w:rsidRPr="00602E1C">
        <w:rPr>
          <w:lang w:val="hy-AM"/>
        </w:rPr>
        <w:t>անորոշության բարձր մակարդակով:</w:t>
      </w:r>
    </w:p>
    <w:p w14:paraId="38631C17" w14:textId="77777777" w:rsidR="004442B5" w:rsidRDefault="004442B5" w:rsidP="004B6657">
      <w:pPr>
        <w:spacing w:after="0" w:line="276" w:lineRule="auto"/>
        <w:rPr>
          <w:lang w:val="hy-AM"/>
        </w:rPr>
      </w:pPr>
      <w:r>
        <w:rPr>
          <w:lang w:val="hy-AM"/>
        </w:rPr>
        <w:t>Առկա է</w:t>
      </w:r>
      <w:r w:rsidRPr="00602E1C">
        <w:rPr>
          <w:lang w:val="hy-AM"/>
        </w:rPr>
        <w:t xml:space="preserve"> ռիսկ, որ միջազգային </w:t>
      </w:r>
      <w:r w:rsidRPr="00286C9E">
        <w:rPr>
          <w:lang w:val="hy-AM"/>
        </w:rPr>
        <w:t>վարկատուները հայտարարեն դեֆոլտ և արագացնեն</w:t>
      </w:r>
      <w:r w:rsidRPr="00602E1C">
        <w:rPr>
          <w:lang w:val="hy-AM"/>
        </w:rPr>
        <w:t xml:space="preserve"> վարկի մարումը</w:t>
      </w:r>
      <w:r>
        <w:rPr>
          <w:lang w:val="hy-AM"/>
        </w:rPr>
        <w:t>, ընդ որում</w:t>
      </w:r>
      <w:r w:rsidRPr="00602E1C">
        <w:rPr>
          <w:lang w:val="hy-AM"/>
        </w:rPr>
        <w:t xml:space="preserve"> վարկատուներ</w:t>
      </w:r>
      <w:r>
        <w:rPr>
          <w:lang w:val="hy-AM"/>
        </w:rPr>
        <w:t xml:space="preserve">ի օգտին են գրավադրված </w:t>
      </w:r>
      <w:r w:rsidRPr="00602E1C">
        <w:rPr>
          <w:lang w:val="hy-AM"/>
        </w:rPr>
        <w:t>ընկերության բաժնետոմսեր</w:t>
      </w:r>
      <w:r>
        <w:rPr>
          <w:lang w:val="hy-AM"/>
        </w:rPr>
        <w:t>ը և ակտիվները</w:t>
      </w:r>
      <w:r w:rsidRPr="00602E1C">
        <w:rPr>
          <w:lang w:val="hy-AM"/>
        </w:rPr>
        <w:t xml:space="preserve">: </w:t>
      </w:r>
      <w:r>
        <w:rPr>
          <w:lang w:val="hy-AM"/>
        </w:rPr>
        <w:t xml:space="preserve">Այս համատեքստում հնարավոր է առաջանա ՀՀ կառավարության կողմից միջամտելու անհրաժեշտություն։ </w:t>
      </w:r>
    </w:p>
    <w:p w14:paraId="4D397858" w14:textId="77777777" w:rsidR="004442B5" w:rsidRPr="00494E7B" w:rsidRDefault="004442B5" w:rsidP="004B6657">
      <w:pPr>
        <w:spacing w:after="0" w:line="276" w:lineRule="auto"/>
        <w:rPr>
          <w:lang w:val="hy-AM"/>
        </w:rPr>
      </w:pPr>
      <w:r w:rsidRPr="00424FD4">
        <w:rPr>
          <w:lang w:val="hy-AM"/>
        </w:rPr>
        <w:t xml:space="preserve">Վարկի մնացորդը 2020 թվականի սկզբին </w:t>
      </w:r>
      <w:r w:rsidRPr="0055462D">
        <w:rPr>
          <w:lang w:val="hy-AM"/>
        </w:rPr>
        <w:t xml:space="preserve">գնահատվում </w:t>
      </w:r>
      <w:r w:rsidRPr="00286C9E">
        <w:rPr>
          <w:lang w:val="hy-AM"/>
        </w:rPr>
        <w:t>է 36 մլրդ ՀՀ</w:t>
      </w:r>
      <w:r w:rsidRPr="0055462D">
        <w:rPr>
          <w:lang w:val="hy-AM"/>
        </w:rPr>
        <w:t xml:space="preserve"> դրամ, որ</w:t>
      </w:r>
      <w:r>
        <w:rPr>
          <w:lang w:val="hy-AM"/>
        </w:rPr>
        <w:t>ի մի մասը</w:t>
      </w:r>
      <w:r w:rsidRPr="0055462D">
        <w:rPr>
          <w:lang w:val="hy-AM"/>
        </w:rPr>
        <w:t xml:space="preserve"> կարող է դառնալ ՀՀ կառավարության պարտավորություն</w:t>
      </w:r>
      <w:r>
        <w:rPr>
          <w:lang w:val="hy-AM"/>
        </w:rPr>
        <w:t xml:space="preserve"> </w:t>
      </w:r>
      <w:r w:rsidRPr="001D427B">
        <w:rPr>
          <w:lang w:val="hy-AM"/>
        </w:rPr>
        <w:t>(</w:t>
      </w:r>
      <w:r>
        <w:rPr>
          <w:lang w:val="hy-AM"/>
        </w:rPr>
        <w:t xml:space="preserve">հաշվի առնելով դրամական միջոցների մնացորդի </w:t>
      </w:r>
      <w:r>
        <w:rPr>
          <w:lang w:val="hy-AM"/>
        </w:rPr>
        <w:lastRenderedPageBreak/>
        <w:t>վերաբերյալ առկա տեղեկությունները</w:t>
      </w:r>
      <w:r w:rsidRPr="001D427B">
        <w:rPr>
          <w:lang w:val="hy-AM"/>
        </w:rPr>
        <w:t>)</w:t>
      </w:r>
      <w:r w:rsidRPr="0055462D">
        <w:rPr>
          <w:lang w:val="hy-AM"/>
        </w:rPr>
        <w:t>`</w:t>
      </w:r>
      <w:r>
        <w:rPr>
          <w:lang w:val="hy-AM"/>
        </w:rPr>
        <w:t xml:space="preserve"> </w:t>
      </w:r>
      <w:r w:rsidRPr="0055462D">
        <w:rPr>
          <w:lang w:val="hy-AM"/>
        </w:rPr>
        <w:t>Կոնցենդենտի</w:t>
      </w:r>
      <w:r>
        <w:rPr>
          <w:lang w:val="hy-AM"/>
        </w:rPr>
        <w:t xml:space="preserve"> </w:t>
      </w:r>
      <w:r w:rsidRPr="00424FD4">
        <w:rPr>
          <w:lang w:val="hy-AM"/>
        </w:rPr>
        <w:t xml:space="preserve">կամ </w:t>
      </w:r>
      <w:r>
        <w:rPr>
          <w:lang w:val="hy-AM"/>
        </w:rPr>
        <w:t xml:space="preserve">մայր </w:t>
      </w:r>
      <w:r w:rsidRPr="00C57047">
        <w:rPr>
          <w:lang w:val="hy-AM"/>
        </w:rPr>
        <w:t>ընկերության ֆինանսական դժվարությունների առկայության դեպքում։</w:t>
      </w:r>
      <w:r>
        <w:rPr>
          <w:lang w:val="hy-AM"/>
        </w:rPr>
        <w:t xml:space="preserve"> </w:t>
      </w:r>
      <w:r w:rsidRPr="00C57047">
        <w:rPr>
          <w:lang w:val="hy-AM"/>
        </w:rPr>
        <w:t>ՀՀ կառավարության համար առավելագույն պարտավորությունը գնահատվում է 12 մլրդ ՀՀ դրամ:</w:t>
      </w:r>
      <w:r>
        <w:rPr>
          <w:lang w:val="hy-AM"/>
        </w:rPr>
        <w:t xml:space="preserve"> </w:t>
      </w:r>
      <w:r w:rsidRPr="00C57047">
        <w:rPr>
          <w:lang w:val="hy-AM"/>
        </w:rPr>
        <w:t>Հետևաբար, վերոնշյալ ՊՄԳ պայմանագրի</w:t>
      </w:r>
      <w:r>
        <w:rPr>
          <w:lang w:val="hy-AM"/>
        </w:rPr>
        <w:t xml:space="preserve"> ֆիսկալ ռիսկայնության կարգավիճակը</w:t>
      </w:r>
      <w:r w:rsidRPr="00C57047">
        <w:rPr>
          <w:lang w:val="hy-AM"/>
        </w:rPr>
        <w:t xml:space="preserve"> համարվում է բարձր</w:t>
      </w:r>
      <w:r>
        <w:rPr>
          <w:lang w:val="hy-AM"/>
        </w:rPr>
        <w:t>:</w:t>
      </w:r>
      <w:r w:rsidRPr="00C57047">
        <w:rPr>
          <w:lang w:val="hy-AM"/>
        </w:rPr>
        <w:t xml:space="preserve"> </w:t>
      </w:r>
    </w:p>
    <w:p w14:paraId="30CAA794" w14:textId="75DC3133" w:rsidR="004442B5" w:rsidRDefault="004442B5" w:rsidP="004B6657">
      <w:pPr>
        <w:spacing w:before="0" w:after="200" w:line="276" w:lineRule="auto"/>
        <w:ind w:firstLine="0"/>
        <w:jc w:val="left"/>
        <w:rPr>
          <w:lang w:val="hy-AM"/>
        </w:rPr>
      </w:pPr>
      <w:r>
        <w:rPr>
          <w:lang w:val="hy-AM"/>
        </w:rPr>
        <w:br w:type="page"/>
      </w:r>
    </w:p>
    <w:p w14:paraId="02FD1929" w14:textId="738837E3" w:rsidR="00813400" w:rsidRPr="00C76568" w:rsidRDefault="00813400" w:rsidP="00813400">
      <w:pPr>
        <w:pStyle w:val="Heading3"/>
        <w:numPr>
          <w:ilvl w:val="0"/>
          <w:numId w:val="0"/>
        </w:numPr>
        <w:spacing w:before="0" w:after="120"/>
        <w:rPr>
          <w:rFonts w:eastAsia="Times New Roman" w:cs="Times New Roman"/>
          <w:caps w:val="0"/>
          <w:color w:val="1F497D" w:themeColor="text2"/>
          <w:sz w:val="28"/>
          <w:szCs w:val="28"/>
        </w:rPr>
      </w:pPr>
      <w:bookmarkStart w:id="387" w:name="_Toc46154388"/>
      <w:r>
        <w:rPr>
          <w:rFonts w:eastAsia="Times New Roman" w:cs="Times New Roman"/>
          <w:caps w:val="0"/>
          <w:color w:val="1F497D" w:themeColor="text2"/>
          <w:sz w:val="28"/>
          <w:szCs w:val="28"/>
        </w:rPr>
        <w:lastRenderedPageBreak/>
        <w:t>6</w:t>
      </w:r>
      <w:r w:rsidRPr="00C76568">
        <w:rPr>
          <w:rFonts w:eastAsia="Times New Roman" w:cs="Times New Roman"/>
          <w:caps w:val="0"/>
          <w:color w:val="1F497D" w:themeColor="text2"/>
          <w:sz w:val="28"/>
          <w:szCs w:val="28"/>
        </w:rPr>
        <w:t xml:space="preserve">. </w:t>
      </w:r>
      <w:r w:rsidRPr="00813400">
        <w:rPr>
          <w:rFonts w:eastAsia="Times New Roman" w:cs="Times New Roman"/>
          <w:caps w:val="0"/>
          <w:color w:val="1F497D" w:themeColor="text2"/>
          <w:sz w:val="28"/>
          <w:szCs w:val="28"/>
        </w:rPr>
        <w:t xml:space="preserve">ՀԱՐԿԱՅԻՆ ԾԱԽՍԵՐԸ </w:t>
      </w:r>
      <w:r>
        <w:rPr>
          <w:rFonts w:eastAsia="Times New Roman" w:cs="Times New Roman"/>
          <w:caps w:val="0"/>
          <w:color w:val="1F497D" w:themeColor="text2"/>
          <w:sz w:val="28"/>
          <w:szCs w:val="28"/>
        </w:rPr>
        <w:t>ԵՎ</w:t>
      </w:r>
      <w:r w:rsidRPr="00813400">
        <w:rPr>
          <w:rFonts w:eastAsia="Times New Roman" w:cs="Times New Roman"/>
          <w:caps w:val="0"/>
          <w:color w:val="1F497D" w:themeColor="text2"/>
          <w:sz w:val="28"/>
          <w:szCs w:val="28"/>
        </w:rPr>
        <w:t xml:space="preserve"> ԴՐԱՆՑ ԿՐՃԱՏՈՒՄԸ</w:t>
      </w:r>
      <w:bookmarkEnd w:id="387"/>
    </w:p>
    <w:p w14:paraId="078A61D8" w14:textId="77777777" w:rsidR="00813400" w:rsidRDefault="00813400" w:rsidP="00813400">
      <w:pPr>
        <w:spacing w:before="0" w:after="0" w:line="276" w:lineRule="auto"/>
        <w:rPr>
          <w:lang w:val="hy-AM"/>
        </w:rPr>
      </w:pPr>
    </w:p>
    <w:p w14:paraId="07FB0B90" w14:textId="7B159F3A" w:rsidR="00813400" w:rsidRPr="00813400" w:rsidRDefault="00813400" w:rsidP="00813400">
      <w:pPr>
        <w:spacing w:before="0" w:after="0" w:line="276" w:lineRule="auto"/>
        <w:rPr>
          <w:lang w:val="hy-AM"/>
        </w:rPr>
      </w:pPr>
      <w:r w:rsidRPr="00813400">
        <w:rPr>
          <w:lang w:val="hy-AM"/>
        </w:rPr>
        <w:t>Արդյունավետ հարկա</w:t>
      </w:r>
      <w:r w:rsidRPr="00813400">
        <w:rPr>
          <w:lang w:val="hy-AM"/>
        </w:rPr>
        <w:softHyphen/>
        <w:t>բյու</w:t>
      </w:r>
      <w:r w:rsidRPr="00813400">
        <w:rPr>
          <w:lang w:val="hy-AM"/>
        </w:rPr>
        <w:softHyphen/>
        <w:t>ջետային քաղաքականություն մշա</w:t>
      </w:r>
      <w:r w:rsidRPr="00813400">
        <w:rPr>
          <w:lang w:val="hy-AM"/>
        </w:rPr>
        <w:softHyphen/>
        <w:t>կելու և իրականացնելու տես</w:t>
      </w:r>
      <w:r w:rsidRPr="00813400">
        <w:rPr>
          <w:lang w:val="hy-AM"/>
        </w:rPr>
        <w:softHyphen/>
        <w:t>անկ</w:t>
      </w:r>
      <w:r w:rsidRPr="00813400">
        <w:rPr>
          <w:lang w:val="hy-AM"/>
        </w:rPr>
        <w:softHyphen/>
        <w:t xml:space="preserve">յունից հարկային ծախսերի գնահատականը և դրանց կրճատումը խիստ կարևոր է, քանի որ հարկային ծախսերի առկայությունը </w:t>
      </w:r>
      <w:r w:rsidRPr="00813400">
        <w:rPr>
          <w:rFonts w:cs="Sylfaen"/>
          <w:lang w:val="hy-AM"/>
        </w:rPr>
        <w:t>պետությանը զրկում է աջակցության ավելի հասցեական ծրագրեր իրա</w:t>
      </w:r>
      <w:r w:rsidRPr="00813400">
        <w:rPr>
          <w:rFonts w:cs="Sylfaen"/>
          <w:lang w:val="hy-AM"/>
        </w:rPr>
        <w:softHyphen/>
        <w:t>կա</w:t>
      </w:r>
      <w:r w:rsidRPr="00813400">
        <w:rPr>
          <w:rFonts w:cs="Sylfaen"/>
          <w:lang w:val="hy-AM"/>
        </w:rPr>
        <w:softHyphen/>
        <w:t>նաց</w:t>
      </w:r>
      <w:r w:rsidRPr="00813400">
        <w:rPr>
          <w:rFonts w:cs="Sylfaen"/>
          <w:lang w:val="hy-AM"/>
        </w:rPr>
        <w:softHyphen/>
        <w:t>նելու հնարավորությունից:</w:t>
      </w:r>
      <w:r w:rsidRPr="00813400">
        <w:rPr>
          <w:lang w:val="hy-AM"/>
        </w:rPr>
        <w:t xml:space="preserve"> </w:t>
      </w:r>
    </w:p>
    <w:p w14:paraId="44F743CB" w14:textId="77777777" w:rsidR="00813400" w:rsidRPr="00813400" w:rsidRDefault="00813400" w:rsidP="00813400">
      <w:pPr>
        <w:spacing w:before="0" w:after="0" w:line="276" w:lineRule="auto"/>
        <w:rPr>
          <w:lang w:val="hy-AM"/>
        </w:rPr>
      </w:pPr>
      <w:r w:rsidRPr="00813400">
        <w:rPr>
          <w:lang w:val="hy-AM"/>
        </w:rPr>
        <w:t>Հայաստանի Հանրապետության գործող օրենսդրությամբ Հարկային ծախս հասկա</w:t>
      </w:r>
      <w:r w:rsidRPr="00813400">
        <w:rPr>
          <w:lang w:val="hy-AM"/>
        </w:rPr>
        <w:softHyphen/>
        <w:t>ցու</w:t>
      </w:r>
      <w:r w:rsidRPr="00813400">
        <w:rPr>
          <w:lang w:val="hy-AM"/>
        </w:rPr>
        <w:softHyphen/>
        <w:t>թյունը սահմանված չէ: Բովան</w:t>
      </w:r>
      <w:r w:rsidRPr="00813400">
        <w:rPr>
          <w:lang w:val="hy-AM"/>
        </w:rPr>
        <w:softHyphen/>
        <w:t>դակային առումով, հարկային ծախսերը գործող հարկային արտոնությունների հետևան</w:t>
      </w:r>
      <w:r w:rsidRPr="00813400">
        <w:rPr>
          <w:lang w:val="hy-AM"/>
        </w:rPr>
        <w:softHyphen/>
        <w:t>քով պետական բյուջե չգանձվող (պակաս գանձվող) հարկային եկամուտներն են կամ այդ եկամուտների չափով պետության կրած այլընտրանքային ծախ</w:t>
      </w:r>
      <w:r w:rsidRPr="00813400">
        <w:rPr>
          <w:lang w:val="hy-AM"/>
        </w:rPr>
        <w:softHyphen/>
        <w:t>սերն են, քանի որ հարկային ծախսերը հանգեցնում են համապատասխան գումարի չափով բյու</w:t>
      </w:r>
      <w:r w:rsidRPr="00813400">
        <w:rPr>
          <w:lang w:val="hy-AM"/>
        </w:rPr>
        <w:softHyphen/>
        <w:t>ջետային ծախսերի կրճատման: Հարկային ծախսերի ձևավորման արդյունքում նվազում է հանրային ֆինանս</w:t>
      </w:r>
      <w:r w:rsidRPr="00813400">
        <w:rPr>
          <w:lang w:val="hy-AM"/>
        </w:rPr>
        <w:softHyphen/>
        <w:t>ների կառա</w:t>
      </w:r>
      <w:r w:rsidRPr="00813400">
        <w:rPr>
          <w:lang w:val="hy-AM"/>
        </w:rPr>
        <w:softHyphen/>
        <w:t>վար</w:t>
      </w:r>
      <w:r w:rsidRPr="00813400">
        <w:rPr>
          <w:lang w:val="hy-AM"/>
        </w:rPr>
        <w:softHyphen/>
        <w:t>ման արդյունավետությունն ու թափանցիկությունը, սահ</w:t>
      </w:r>
      <w:r w:rsidRPr="00813400">
        <w:rPr>
          <w:lang w:val="hy-AM"/>
        </w:rPr>
        <w:softHyphen/>
        <w:t>մա</w:t>
      </w:r>
      <w:r w:rsidRPr="00813400">
        <w:rPr>
          <w:lang w:val="hy-AM"/>
        </w:rPr>
        <w:softHyphen/>
        <w:t>նափակ</w:t>
      </w:r>
      <w:r w:rsidRPr="00813400">
        <w:rPr>
          <w:lang w:val="hy-AM"/>
        </w:rPr>
        <w:softHyphen/>
        <w:t>վում են պետության վերա</w:t>
      </w:r>
      <w:r w:rsidRPr="00813400">
        <w:rPr>
          <w:lang w:val="hy-AM"/>
        </w:rPr>
        <w:softHyphen/>
        <w:t>բաշխիչ գործառույթի շրջանակները: Այդ իսկ պատ</w:t>
      </w:r>
      <w:r w:rsidRPr="00813400">
        <w:rPr>
          <w:lang w:val="hy-AM"/>
        </w:rPr>
        <w:softHyphen/>
        <w:t>ճա</w:t>
      </w:r>
      <w:r w:rsidRPr="00813400">
        <w:rPr>
          <w:lang w:val="hy-AM"/>
        </w:rPr>
        <w:softHyphen/>
        <w:t>ռով հար</w:t>
      </w:r>
      <w:r w:rsidRPr="00813400">
        <w:rPr>
          <w:lang w:val="hy-AM"/>
        </w:rPr>
        <w:softHyphen/>
        <w:t>կա</w:t>
      </w:r>
      <w:r w:rsidRPr="00813400">
        <w:rPr>
          <w:lang w:val="hy-AM"/>
        </w:rPr>
        <w:softHyphen/>
        <w:t>յին ծախսերի կրճա</w:t>
      </w:r>
      <w:r w:rsidRPr="00813400">
        <w:rPr>
          <w:lang w:val="hy-AM"/>
        </w:rPr>
        <w:softHyphen/>
        <w:t>տումը կարևոր նշանակություն ունի պետության հար</w:t>
      </w:r>
      <w:r w:rsidRPr="00813400">
        <w:rPr>
          <w:lang w:val="hy-AM"/>
        </w:rPr>
        <w:softHyphen/>
        <w:t>կա</w:t>
      </w:r>
      <w:r w:rsidRPr="00813400">
        <w:rPr>
          <w:lang w:val="hy-AM"/>
        </w:rPr>
        <w:softHyphen/>
        <w:t>բյու</w:t>
      </w:r>
      <w:r w:rsidRPr="00813400">
        <w:rPr>
          <w:lang w:val="hy-AM"/>
        </w:rPr>
        <w:softHyphen/>
        <w:t>ջե</w:t>
      </w:r>
      <w:r w:rsidRPr="00813400">
        <w:rPr>
          <w:lang w:val="hy-AM"/>
        </w:rPr>
        <w:softHyphen/>
        <w:t>տային քաղա</w:t>
      </w:r>
      <w:r w:rsidRPr="00813400">
        <w:rPr>
          <w:lang w:val="hy-AM"/>
        </w:rPr>
        <w:softHyphen/>
        <w:t>քա</w:t>
      </w:r>
      <w:r w:rsidRPr="00813400">
        <w:rPr>
          <w:lang w:val="hy-AM"/>
        </w:rPr>
        <w:softHyphen/>
      </w:r>
      <w:r w:rsidRPr="00813400">
        <w:rPr>
          <w:lang w:val="hy-AM"/>
        </w:rPr>
        <w:softHyphen/>
        <w:t>կանության տեսան</w:t>
      </w:r>
      <w:r w:rsidRPr="00813400">
        <w:rPr>
          <w:lang w:val="hy-AM"/>
        </w:rPr>
        <w:softHyphen/>
        <w:t>կյունից:</w:t>
      </w:r>
    </w:p>
    <w:p w14:paraId="5CF08A3A" w14:textId="77777777" w:rsidR="00813400" w:rsidRPr="00813400" w:rsidRDefault="00813400" w:rsidP="00813400">
      <w:pPr>
        <w:spacing w:before="0" w:after="0" w:line="276" w:lineRule="auto"/>
        <w:rPr>
          <w:lang w:val="hy-AM"/>
        </w:rPr>
      </w:pPr>
      <w:r w:rsidRPr="00813400">
        <w:rPr>
          <w:lang w:val="hy-AM"/>
        </w:rPr>
        <w:t>2020 թվականի հարկային ծախսերի գնահատման արդյունքների համաձայն, հարկային ծախ</w:t>
      </w:r>
      <w:r w:rsidRPr="00813400">
        <w:rPr>
          <w:lang w:val="hy-AM"/>
        </w:rPr>
        <w:softHyphen/>
        <w:t>սերի տարեկան մեծությունը կազմել է 457,407 մլն. դրամ, որից ավելացված արժեքի հարկի գծով՝ 357,771 մլն. դրամ, շահութահարկի գծով՝ 81,329 մլն. դրամ, եկամտա</w:t>
      </w:r>
      <w:r w:rsidRPr="00813400">
        <w:rPr>
          <w:lang w:val="hy-AM"/>
        </w:rPr>
        <w:softHyphen/>
        <w:t>յին հարկի գծով՝ 18,306 մլն. դրամ:</w:t>
      </w:r>
    </w:p>
    <w:p w14:paraId="12F3B7DA" w14:textId="77777777" w:rsidR="00813400" w:rsidRPr="00813400" w:rsidRDefault="00813400" w:rsidP="00813400">
      <w:pPr>
        <w:spacing w:before="0" w:after="0" w:line="276" w:lineRule="auto"/>
        <w:rPr>
          <w:lang w:val="hy-AM"/>
        </w:rPr>
      </w:pPr>
      <w:r w:rsidRPr="00813400">
        <w:rPr>
          <w:lang w:val="hy-AM"/>
        </w:rPr>
        <w:t>Այս առումով, Կառավարության կողմից իրականացվող հարկային քաղաքա</w:t>
      </w:r>
      <w:r w:rsidRPr="00813400">
        <w:rPr>
          <w:lang w:val="hy-AM"/>
        </w:rPr>
        <w:softHyphen/>
        <w:t>կա</w:t>
      </w:r>
      <w:r w:rsidRPr="00813400">
        <w:rPr>
          <w:lang w:val="hy-AM"/>
        </w:rPr>
        <w:softHyphen/>
        <w:t>նու</w:t>
      </w:r>
      <w:r w:rsidRPr="00813400">
        <w:rPr>
          <w:lang w:val="hy-AM"/>
        </w:rPr>
        <w:softHyphen/>
        <w:t>թյունը նպատակաուղղված է լինելու հարկային արտոնությունների աստիճանաբար կրճատ</w:t>
      </w:r>
      <w:r w:rsidRPr="00813400">
        <w:rPr>
          <w:lang w:val="hy-AM"/>
        </w:rPr>
        <w:softHyphen/>
        <w:t>մանը, արդյունքում նաև հարկային ծախսերի կրճատմանը:</w:t>
      </w:r>
    </w:p>
    <w:p w14:paraId="2AE0E570" w14:textId="77777777" w:rsidR="00813400" w:rsidRPr="00813400" w:rsidRDefault="00813400" w:rsidP="00813400">
      <w:pPr>
        <w:spacing w:before="0" w:after="0" w:line="276" w:lineRule="auto"/>
        <w:rPr>
          <w:lang w:val="hy-AM"/>
        </w:rPr>
      </w:pPr>
      <w:r w:rsidRPr="00813400">
        <w:rPr>
          <w:lang w:val="hy-AM"/>
        </w:rPr>
        <w:t>Ընդ որում, շեշ</w:t>
      </w:r>
      <w:r w:rsidRPr="00813400">
        <w:rPr>
          <w:lang w:val="hy-AM"/>
        </w:rPr>
        <w:softHyphen/>
        <w:t>տա</w:t>
      </w:r>
      <w:r w:rsidRPr="00813400">
        <w:rPr>
          <w:lang w:val="hy-AM"/>
        </w:rPr>
        <w:softHyphen/>
        <w:t>դրումը կատարվելու է հատկապես այն արտո</w:t>
      </w:r>
      <w:r w:rsidRPr="00813400">
        <w:rPr>
          <w:lang w:val="hy-AM"/>
        </w:rPr>
        <w:softHyphen/>
        <w:t>նու</w:t>
      </w:r>
      <w:r w:rsidRPr="00813400">
        <w:rPr>
          <w:lang w:val="hy-AM"/>
        </w:rPr>
        <w:softHyphen/>
        <w:t>թյու</w:t>
      </w:r>
      <w:r w:rsidRPr="00813400">
        <w:rPr>
          <w:lang w:val="hy-AM"/>
        </w:rPr>
        <w:softHyphen/>
        <w:t>նների կրճատ</w:t>
      </w:r>
      <w:r w:rsidRPr="00813400">
        <w:rPr>
          <w:lang w:val="hy-AM"/>
        </w:rPr>
        <w:softHyphen/>
      </w:r>
      <w:r w:rsidRPr="00813400">
        <w:rPr>
          <w:lang w:val="hy-AM"/>
        </w:rPr>
        <w:softHyphen/>
        <w:t>ման վրա, որոնց կիրա</w:t>
      </w:r>
      <w:r w:rsidRPr="00813400">
        <w:rPr>
          <w:lang w:val="hy-AM"/>
        </w:rPr>
        <w:softHyphen/>
        <w:t>ռու</w:t>
      </w:r>
      <w:r w:rsidRPr="00813400">
        <w:rPr>
          <w:lang w:val="hy-AM"/>
        </w:rPr>
        <w:softHyphen/>
        <w:t>թյան արդյունավետությունը չի հիմնավորվում «ծախ</w:t>
      </w:r>
      <w:r w:rsidRPr="00813400">
        <w:rPr>
          <w:lang w:val="hy-AM"/>
        </w:rPr>
        <w:softHyphen/>
        <w:t>սեր-օգուտ</w:t>
      </w:r>
      <w:r w:rsidRPr="00813400">
        <w:rPr>
          <w:lang w:val="hy-AM"/>
        </w:rPr>
        <w:softHyphen/>
        <w:t>ներ» վեր</w:t>
      </w:r>
      <w:r w:rsidRPr="00813400">
        <w:rPr>
          <w:lang w:val="hy-AM"/>
        </w:rPr>
        <w:softHyphen/>
        <w:t>լու</w:t>
      </w:r>
      <w:r w:rsidRPr="00813400">
        <w:rPr>
          <w:lang w:val="hy-AM"/>
        </w:rPr>
        <w:softHyphen/>
        <w:t>ծու</w:t>
      </w:r>
      <w:r w:rsidRPr="00813400">
        <w:rPr>
          <w:lang w:val="hy-AM"/>
        </w:rPr>
        <w:softHyphen/>
        <w:t>թյունների արդ</w:t>
      </w:r>
      <w:r w:rsidRPr="00813400">
        <w:rPr>
          <w:lang w:val="hy-AM"/>
        </w:rPr>
        <w:softHyphen/>
        <w:t>յունք</w:t>
      </w:r>
      <w:r w:rsidRPr="00813400">
        <w:rPr>
          <w:lang w:val="hy-AM"/>
        </w:rPr>
        <w:softHyphen/>
      </w:r>
      <w:r w:rsidRPr="00813400">
        <w:rPr>
          <w:lang w:val="hy-AM"/>
        </w:rPr>
        <w:softHyphen/>
        <w:t>նե</w:t>
      </w:r>
      <w:r w:rsidRPr="00813400">
        <w:rPr>
          <w:lang w:val="hy-AM"/>
        </w:rPr>
        <w:softHyphen/>
        <w:t>րով: Այսինքն, բոլոր այն հարկային արտո</w:t>
      </w:r>
      <w:r w:rsidRPr="00813400">
        <w:rPr>
          <w:lang w:val="hy-AM"/>
        </w:rPr>
        <w:softHyphen/>
        <w:t>նու</w:t>
      </w:r>
      <w:r w:rsidRPr="00813400">
        <w:rPr>
          <w:lang w:val="hy-AM"/>
        </w:rPr>
        <w:softHyphen/>
        <w:t>թյունները, որոնց կիրա</w:t>
      </w:r>
      <w:r w:rsidRPr="00813400">
        <w:rPr>
          <w:lang w:val="hy-AM"/>
        </w:rPr>
        <w:softHyphen/>
      </w:r>
      <w:r w:rsidRPr="00813400">
        <w:rPr>
          <w:lang w:val="hy-AM"/>
        </w:rPr>
        <w:softHyphen/>
        <w:t>ռության արդ</w:t>
      </w:r>
      <w:r w:rsidRPr="00813400">
        <w:rPr>
          <w:lang w:val="hy-AM"/>
        </w:rPr>
        <w:softHyphen/>
        <w:t>յուն</w:t>
      </w:r>
      <w:r w:rsidRPr="00813400">
        <w:rPr>
          <w:lang w:val="hy-AM"/>
        </w:rPr>
        <w:softHyphen/>
        <w:t>քում սպա</w:t>
      </w:r>
      <w:r w:rsidRPr="00813400">
        <w:rPr>
          <w:lang w:val="hy-AM"/>
        </w:rPr>
        <w:softHyphen/>
        <w:t>ռող</w:t>
      </w:r>
      <w:r w:rsidRPr="00813400">
        <w:rPr>
          <w:lang w:val="hy-AM"/>
        </w:rPr>
        <w:softHyphen/>
        <w:t>ների ու տնտեսա</w:t>
      </w:r>
      <w:r w:rsidRPr="00813400">
        <w:rPr>
          <w:lang w:val="hy-AM"/>
        </w:rPr>
        <w:softHyphen/>
        <w:t>վա</w:t>
      </w:r>
      <w:r w:rsidRPr="00813400">
        <w:rPr>
          <w:lang w:val="hy-AM"/>
        </w:rPr>
        <w:softHyphen/>
        <w:t>րող սուբյեկտ</w:t>
      </w:r>
      <w:r w:rsidRPr="00813400">
        <w:rPr>
          <w:lang w:val="hy-AM"/>
        </w:rPr>
        <w:softHyphen/>
        <w:t>ների համար ստեղծ</w:t>
      </w:r>
      <w:r w:rsidRPr="00813400">
        <w:rPr>
          <w:lang w:val="hy-AM"/>
        </w:rPr>
        <w:softHyphen/>
        <w:t>վող «օգուտ</w:t>
      </w:r>
      <w:r w:rsidRPr="00813400">
        <w:rPr>
          <w:lang w:val="hy-AM"/>
        </w:rPr>
        <w:softHyphen/>
        <w:t>ները» համար</w:t>
      </w:r>
      <w:r w:rsidRPr="00813400">
        <w:rPr>
          <w:lang w:val="hy-AM"/>
        </w:rPr>
        <w:softHyphen/>
        <w:t>ժեք չեն պետության կրած «ծախսերին» (պետու</w:t>
      </w:r>
      <w:r w:rsidRPr="00813400">
        <w:rPr>
          <w:lang w:val="hy-AM"/>
        </w:rPr>
        <w:softHyphen/>
        <w:t>թյան կորց</w:t>
      </w:r>
      <w:r w:rsidRPr="00813400">
        <w:rPr>
          <w:lang w:val="hy-AM"/>
        </w:rPr>
        <w:softHyphen/>
        <w:t>րած հար</w:t>
      </w:r>
      <w:r w:rsidRPr="00813400">
        <w:rPr>
          <w:lang w:val="hy-AM"/>
        </w:rPr>
        <w:softHyphen/>
        <w:t>կա</w:t>
      </w:r>
      <w:r w:rsidRPr="00813400">
        <w:rPr>
          <w:lang w:val="hy-AM"/>
        </w:rPr>
        <w:softHyphen/>
        <w:t>յին եկամուտ</w:t>
      </w:r>
      <w:r w:rsidRPr="00813400">
        <w:rPr>
          <w:lang w:val="hy-AM"/>
        </w:rPr>
        <w:softHyphen/>
        <w:t>նե</w:t>
      </w:r>
      <w:r w:rsidRPr="00813400">
        <w:rPr>
          <w:lang w:val="hy-AM"/>
        </w:rPr>
        <w:softHyphen/>
        <w:t>րին), պետք է աստիճանաբար կրճատվեն՝ ընդլայնելով և ամրա</w:t>
      </w:r>
      <w:r w:rsidRPr="00813400">
        <w:rPr>
          <w:lang w:val="hy-AM"/>
        </w:rPr>
        <w:softHyphen/>
        <w:t>պնդե</w:t>
      </w:r>
      <w:r w:rsidRPr="00813400">
        <w:rPr>
          <w:lang w:val="hy-AM"/>
        </w:rPr>
        <w:softHyphen/>
        <w:t>լով հարկ</w:t>
      </w:r>
      <w:r w:rsidRPr="00813400">
        <w:rPr>
          <w:lang w:val="hy-AM"/>
        </w:rPr>
        <w:softHyphen/>
        <w:t>ման բազան:</w:t>
      </w:r>
    </w:p>
    <w:p w14:paraId="10CEB8DB" w14:textId="77777777" w:rsidR="00813400" w:rsidRPr="00813400" w:rsidRDefault="00813400" w:rsidP="00813400">
      <w:pPr>
        <w:spacing w:before="0" w:after="0" w:line="276" w:lineRule="auto"/>
        <w:rPr>
          <w:rFonts w:cs="Sylfaen"/>
          <w:lang w:val="hy-AM"/>
        </w:rPr>
      </w:pPr>
      <w:r w:rsidRPr="00813400">
        <w:rPr>
          <w:rFonts w:cs="Sylfaen"/>
          <w:lang w:val="hy-AM"/>
        </w:rPr>
        <w:t>Ուսումնասիրության արդյունքները ցույց են տալիս, որ Հայաս</w:t>
      </w:r>
      <w:r w:rsidRPr="00813400">
        <w:rPr>
          <w:rFonts w:cs="Sylfaen"/>
          <w:lang w:val="hy-AM"/>
        </w:rPr>
        <w:softHyphen/>
        <w:t>տանի Հանրապետու</w:t>
      </w:r>
      <w:r w:rsidRPr="00813400">
        <w:rPr>
          <w:rFonts w:cs="Sylfaen"/>
          <w:lang w:val="hy-AM"/>
        </w:rPr>
        <w:softHyphen/>
        <w:t>թյու</w:t>
      </w:r>
      <w:r w:rsidRPr="00813400">
        <w:rPr>
          <w:rFonts w:cs="Sylfaen"/>
          <w:lang w:val="hy-AM"/>
        </w:rPr>
        <w:softHyphen/>
        <w:t>նում չափազանց լայն է հատկապես ԱԱՀ-ից ազատված գործարքների շրջա</w:t>
      </w:r>
      <w:r w:rsidRPr="00813400">
        <w:rPr>
          <w:rFonts w:cs="Sylfaen"/>
          <w:lang w:val="hy-AM"/>
        </w:rPr>
        <w:softHyphen/>
        <w:t>նակը: Բացի այդ, խնդիրը կայանում է նրանում, որ ԱԱՀ-ից ազատման արտո</w:t>
      </w:r>
      <w:r w:rsidRPr="00813400">
        <w:rPr>
          <w:rFonts w:cs="Sylfaen"/>
          <w:lang w:val="hy-AM"/>
        </w:rPr>
        <w:softHyphen/>
        <w:t>նությունները՝ որպես սպառ</w:t>
      </w:r>
      <w:r w:rsidRPr="00813400">
        <w:rPr>
          <w:rFonts w:cs="Sylfaen"/>
          <w:lang w:val="hy-AM"/>
        </w:rPr>
        <w:softHyphen/>
        <w:t>ման հարկից ազատման արտոնություններ, հիմնականում պետք է նախատեսված լինեն հասա</w:t>
      </w:r>
      <w:r w:rsidRPr="00813400">
        <w:rPr>
          <w:rFonts w:cs="Sylfaen"/>
          <w:lang w:val="hy-AM"/>
        </w:rPr>
        <w:softHyphen/>
      </w:r>
      <w:r w:rsidRPr="00813400">
        <w:rPr>
          <w:rFonts w:cs="Sylfaen"/>
          <w:lang w:val="hy-AM"/>
        </w:rPr>
        <w:softHyphen/>
        <w:t>րա</w:t>
      </w:r>
      <w:r w:rsidRPr="00813400">
        <w:rPr>
          <w:rFonts w:cs="Sylfaen"/>
          <w:lang w:val="hy-AM"/>
        </w:rPr>
        <w:softHyphen/>
        <w:t>կու</w:t>
      </w:r>
      <w:r w:rsidRPr="00813400">
        <w:rPr>
          <w:rFonts w:cs="Sylfaen"/>
          <w:lang w:val="hy-AM"/>
        </w:rPr>
        <w:softHyphen/>
        <w:t>թյան սոցիալա</w:t>
      </w:r>
      <w:r w:rsidRPr="00813400">
        <w:rPr>
          <w:rFonts w:cs="Sylfaen"/>
          <w:lang w:val="hy-AM"/>
        </w:rPr>
        <w:softHyphen/>
        <w:t>պես անապահով խմբերի սպառումը մատչելի դարձնելու համար: Գործ</w:t>
      </w:r>
      <w:r w:rsidRPr="00813400">
        <w:rPr>
          <w:rFonts w:cs="Sylfaen"/>
          <w:lang w:val="hy-AM"/>
        </w:rPr>
        <w:softHyphen/>
        <w:t>նա</w:t>
      </w:r>
      <w:r w:rsidRPr="00813400">
        <w:rPr>
          <w:rFonts w:cs="Sylfaen"/>
          <w:lang w:val="hy-AM"/>
        </w:rPr>
        <w:softHyphen/>
        <w:t>կա</w:t>
      </w:r>
      <w:r w:rsidRPr="00813400">
        <w:rPr>
          <w:rFonts w:cs="Sylfaen"/>
          <w:lang w:val="hy-AM"/>
        </w:rPr>
        <w:softHyphen/>
        <w:t>նում, սակայն, ԱԱՀ-ից ազատման արտոնու</w:t>
      </w:r>
      <w:r w:rsidRPr="00813400">
        <w:rPr>
          <w:rFonts w:cs="Sylfaen"/>
          <w:lang w:val="hy-AM"/>
        </w:rPr>
        <w:softHyphen/>
        <w:t>թյուն</w:t>
      </w:r>
      <w:r w:rsidRPr="00813400">
        <w:rPr>
          <w:rFonts w:cs="Sylfaen"/>
          <w:lang w:val="hy-AM"/>
        </w:rPr>
        <w:softHyphen/>
        <w:t>ներից օգտվում են ինչպես հասա</w:t>
      </w:r>
      <w:r w:rsidRPr="00813400">
        <w:rPr>
          <w:rFonts w:cs="Sylfaen"/>
          <w:lang w:val="hy-AM"/>
        </w:rPr>
        <w:softHyphen/>
        <w:t>րա</w:t>
      </w:r>
      <w:r w:rsidRPr="00813400">
        <w:rPr>
          <w:rFonts w:cs="Sylfaen"/>
          <w:lang w:val="hy-AM"/>
        </w:rPr>
        <w:softHyphen/>
        <w:t>կու</w:t>
      </w:r>
      <w:r w:rsidRPr="00813400">
        <w:rPr>
          <w:rFonts w:cs="Sylfaen"/>
          <w:lang w:val="hy-AM"/>
        </w:rPr>
        <w:softHyphen/>
        <w:t>թյան սոցիալապես անա</w:t>
      </w:r>
      <w:r w:rsidRPr="00813400">
        <w:rPr>
          <w:rFonts w:cs="Sylfaen"/>
          <w:lang w:val="hy-AM"/>
        </w:rPr>
        <w:softHyphen/>
        <w:t>պահով խմբերը, այն</w:t>
      </w:r>
      <w:r w:rsidRPr="00813400">
        <w:rPr>
          <w:rFonts w:cs="Sylfaen"/>
          <w:lang w:val="hy-AM"/>
        </w:rPr>
        <w:softHyphen/>
        <w:t>պես էլ բարձր եկամուտներ ունե</w:t>
      </w:r>
      <w:r w:rsidRPr="00813400">
        <w:rPr>
          <w:rFonts w:cs="Sylfaen"/>
          <w:lang w:val="hy-AM"/>
        </w:rPr>
        <w:softHyphen/>
        <w:t>ցող խմբերը և վեր</w:t>
      </w:r>
      <w:r w:rsidRPr="00813400">
        <w:rPr>
          <w:rFonts w:cs="Sylfaen"/>
          <w:lang w:val="hy-AM"/>
        </w:rPr>
        <w:softHyphen/>
        <w:t>ջիններս՝ թերևս անհա</w:t>
      </w:r>
      <w:r w:rsidRPr="00813400">
        <w:rPr>
          <w:rFonts w:cs="Sylfaen"/>
          <w:lang w:val="hy-AM"/>
        </w:rPr>
        <w:softHyphen/>
        <w:t>մեմատ ավելի մեծ չափով, քանի որ նրանք ավելի շատ են սպառում ԱԱՀ-ից ազատ</w:t>
      </w:r>
      <w:r w:rsidRPr="00813400">
        <w:rPr>
          <w:rFonts w:cs="Sylfaen"/>
          <w:lang w:val="hy-AM"/>
        </w:rPr>
        <w:softHyphen/>
        <w:t>ված ապրանքներ և ծառա</w:t>
      </w:r>
      <w:r w:rsidRPr="00813400">
        <w:rPr>
          <w:rFonts w:cs="Sylfaen"/>
          <w:lang w:val="hy-AM"/>
        </w:rPr>
        <w:softHyphen/>
        <w:t>յու</w:t>
      </w:r>
      <w:r w:rsidRPr="00813400">
        <w:rPr>
          <w:rFonts w:cs="Sylfaen"/>
          <w:lang w:val="hy-AM"/>
        </w:rPr>
        <w:softHyphen/>
        <w:t xml:space="preserve">թյուններ: </w:t>
      </w:r>
      <w:r w:rsidRPr="00813400">
        <w:rPr>
          <w:rFonts w:cs="Sylfaen"/>
          <w:lang w:val="hy-AM"/>
        </w:rPr>
        <w:lastRenderedPageBreak/>
        <w:t>Այս առումով, ԱԱՀ-ից ազատ</w:t>
      </w:r>
      <w:r w:rsidRPr="00813400">
        <w:rPr>
          <w:rFonts w:cs="Sylfaen"/>
          <w:lang w:val="hy-AM"/>
        </w:rPr>
        <w:softHyphen/>
        <w:t>ման արտո</w:t>
      </w:r>
      <w:r w:rsidRPr="00813400">
        <w:rPr>
          <w:rFonts w:cs="Sylfaen"/>
          <w:lang w:val="hy-AM"/>
        </w:rPr>
        <w:softHyphen/>
        <w:t>նությունները կորց</w:t>
      </w:r>
      <w:r w:rsidRPr="00813400">
        <w:rPr>
          <w:rFonts w:cs="Sylfaen"/>
          <w:lang w:val="hy-AM"/>
        </w:rPr>
        <w:softHyphen/>
        <w:t>նում են իրենց հաս</w:t>
      </w:r>
      <w:r w:rsidRPr="00813400">
        <w:rPr>
          <w:rFonts w:cs="Sylfaen"/>
          <w:lang w:val="hy-AM"/>
        </w:rPr>
        <w:softHyphen/>
        <w:t>ցեա</w:t>
      </w:r>
      <w:r w:rsidRPr="00813400">
        <w:rPr>
          <w:rFonts w:cs="Sylfaen"/>
          <w:lang w:val="hy-AM"/>
        </w:rPr>
        <w:softHyphen/>
        <w:t>կանությունը և իրենց հիմնական նպա</w:t>
      </w:r>
      <w:r w:rsidRPr="00813400">
        <w:rPr>
          <w:rFonts w:cs="Sylfaen"/>
          <w:lang w:val="hy-AM"/>
        </w:rPr>
        <w:softHyphen/>
        <w:t xml:space="preserve">տակին չեն ծառայում: </w:t>
      </w:r>
    </w:p>
    <w:p w14:paraId="659661C1" w14:textId="77777777" w:rsidR="00813400" w:rsidRPr="00813400" w:rsidRDefault="00813400" w:rsidP="00813400">
      <w:pPr>
        <w:spacing w:before="0" w:after="0" w:line="276" w:lineRule="auto"/>
        <w:rPr>
          <w:lang w:val="hy-AM"/>
        </w:rPr>
      </w:pPr>
      <w:r w:rsidRPr="00813400">
        <w:rPr>
          <w:rFonts w:cs="Sylfaen"/>
          <w:lang w:val="hy-AM"/>
        </w:rPr>
        <w:t>Հաշվի առնե</w:t>
      </w:r>
      <w:r w:rsidRPr="00813400">
        <w:rPr>
          <w:rFonts w:cs="Sylfaen"/>
          <w:lang w:val="hy-AM"/>
        </w:rPr>
        <w:softHyphen/>
        <w:t>լով վերոնշյալ հանգա</w:t>
      </w:r>
      <w:r w:rsidRPr="00813400">
        <w:rPr>
          <w:rFonts w:cs="Sylfaen"/>
          <w:lang w:val="hy-AM"/>
        </w:rPr>
        <w:softHyphen/>
        <w:t>մանք</w:t>
      </w:r>
      <w:r w:rsidRPr="00813400">
        <w:rPr>
          <w:rFonts w:cs="Sylfaen"/>
          <w:lang w:val="hy-AM"/>
        </w:rPr>
        <w:softHyphen/>
        <w:t>ները և մեծապես կարևո</w:t>
      </w:r>
      <w:r w:rsidRPr="00813400">
        <w:rPr>
          <w:rFonts w:cs="Sylfaen"/>
          <w:lang w:val="hy-AM"/>
        </w:rPr>
        <w:softHyphen/>
        <w:t>րե</w:t>
      </w:r>
      <w:r w:rsidRPr="00813400">
        <w:rPr>
          <w:rFonts w:cs="Sylfaen"/>
          <w:lang w:val="hy-AM"/>
        </w:rPr>
        <w:softHyphen/>
        <w:t>լով սահմանափակ բյուջետային հնա</w:t>
      </w:r>
      <w:r w:rsidRPr="00813400">
        <w:rPr>
          <w:rFonts w:cs="Sylfaen"/>
          <w:lang w:val="hy-AM"/>
        </w:rPr>
        <w:softHyphen/>
        <w:t>րավորությունները պետական աջակցության ծրագ</w:t>
      </w:r>
      <w:r w:rsidRPr="00813400">
        <w:rPr>
          <w:rFonts w:cs="Sylfaen"/>
          <w:lang w:val="hy-AM"/>
        </w:rPr>
        <w:softHyphen/>
        <w:t>րերի շրջանակներում առա</w:t>
      </w:r>
      <w:r w:rsidRPr="00813400">
        <w:rPr>
          <w:rFonts w:cs="Sylfaen"/>
          <w:lang w:val="hy-AM"/>
        </w:rPr>
        <w:softHyphen/>
        <w:t>վելագույն հաս</w:t>
      </w:r>
      <w:r w:rsidRPr="00813400">
        <w:rPr>
          <w:rFonts w:cs="Sylfaen"/>
          <w:lang w:val="hy-AM"/>
        </w:rPr>
        <w:softHyphen/>
        <w:t>ցեականությամբ օգտագործելու նպատակադրումը՝ քննարկման առարկա է դառնալու ԱԱՀ-ից ազատման արտո</w:t>
      </w:r>
      <w:r w:rsidRPr="00813400">
        <w:rPr>
          <w:rFonts w:cs="Sylfaen"/>
          <w:lang w:val="hy-AM"/>
        </w:rPr>
        <w:softHyphen/>
        <w:t>նությունների շրջանակը կրճա</w:t>
      </w:r>
      <w:r w:rsidRPr="00813400">
        <w:rPr>
          <w:rFonts w:cs="Sylfaen"/>
          <w:lang w:val="hy-AM"/>
        </w:rPr>
        <w:softHyphen/>
        <w:t>տելու և փոխա</w:t>
      </w:r>
      <w:r w:rsidRPr="00813400">
        <w:rPr>
          <w:rFonts w:cs="Sylfaen"/>
          <w:lang w:val="hy-AM"/>
        </w:rPr>
        <w:softHyphen/>
      </w:r>
      <w:r w:rsidRPr="00813400">
        <w:rPr>
          <w:rFonts w:cs="Sylfaen"/>
          <w:lang w:val="hy-AM"/>
        </w:rPr>
        <w:softHyphen/>
        <w:t>րենը հասա</w:t>
      </w:r>
      <w:r w:rsidRPr="00813400">
        <w:rPr>
          <w:rFonts w:cs="Sylfaen"/>
          <w:lang w:val="hy-AM"/>
        </w:rPr>
        <w:softHyphen/>
        <w:t>րակության սոցիալապես անա</w:t>
      </w:r>
      <w:r w:rsidRPr="00813400">
        <w:rPr>
          <w:rFonts w:cs="Sylfaen"/>
          <w:lang w:val="hy-AM"/>
        </w:rPr>
        <w:softHyphen/>
        <w:t>պահով խմբերին պետական բյու</w:t>
      </w:r>
      <w:r w:rsidRPr="00813400">
        <w:rPr>
          <w:rFonts w:cs="Sylfaen"/>
          <w:lang w:val="hy-AM"/>
        </w:rPr>
        <w:softHyphen/>
        <w:t>ջեից հաս</w:t>
      </w:r>
      <w:r w:rsidRPr="00813400">
        <w:rPr>
          <w:rFonts w:cs="Sylfaen"/>
          <w:lang w:val="hy-AM"/>
        </w:rPr>
        <w:softHyphen/>
        <w:t>ցեա</w:t>
      </w:r>
      <w:r w:rsidRPr="00813400">
        <w:rPr>
          <w:rFonts w:cs="Sylfaen"/>
          <w:lang w:val="hy-AM"/>
        </w:rPr>
        <w:softHyphen/>
        <w:t>կան ձևով տրամադրվող աջակցության ծավալն ընդլայնելու հնարավո</w:t>
      </w:r>
      <w:r w:rsidRPr="00813400">
        <w:rPr>
          <w:rFonts w:cs="Sylfaen"/>
          <w:lang w:val="hy-AM"/>
        </w:rPr>
        <w:softHyphen/>
        <w:t>րու</w:t>
      </w:r>
      <w:r w:rsidRPr="00813400">
        <w:rPr>
          <w:rFonts w:cs="Sylfaen"/>
          <w:lang w:val="hy-AM"/>
        </w:rPr>
        <w:softHyphen/>
        <w:t>թյունը՝ դրա</w:t>
      </w:r>
      <w:r w:rsidRPr="00813400">
        <w:rPr>
          <w:rFonts w:cs="Sylfaen"/>
          <w:lang w:val="hy-AM"/>
        </w:rPr>
        <w:softHyphen/>
        <w:t>նով իսկ պետու</w:t>
      </w:r>
      <w:r w:rsidRPr="00813400">
        <w:rPr>
          <w:rFonts w:cs="Sylfaen"/>
          <w:lang w:val="hy-AM"/>
        </w:rPr>
        <w:softHyphen/>
        <w:t>թյան աջակցությունը դարձնելով առավել թիրախային ու արդյու</w:t>
      </w:r>
      <w:r w:rsidRPr="00813400">
        <w:rPr>
          <w:rFonts w:cs="Sylfaen"/>
          <w:lang w:val="hy-AM"/>
        </w:rPr>
        <w:softHyphen/>
        <w:t>նա</w:t>
      </w:r>
      <w:r w:rsidRPr="00813400">
        <w:rPr>
          <w:rFonts w:cs="Sylfaen"/>
          <w:lang w:val="hy-AM"/>
        </w:rPr>
        <w:softHyphen/>
        <w:t>վետ:</w:t>
      </w:r>
    </w:p>
    <w:p w14:paraId="1B5867C4" w14:textId="3650448C" w:rsidR="00813400" w:rsidRDefault="00813400" w:rsidP="004B6657">
      <w:pPr>
        <w:spacing w:before="0" w:after="200" w:line="276" w:lineRule="auto"/>
        <w:ind w:firstLine="0"/>
        <w:jc w:val="left"/>
        <w:rPr>
          <w:lang w:val="hy-AM"/>
        </w:rPr>
      </w:pPr>
    </w:p>
    <w:p w14:paraId="4062767E" w14:textId="3947B790" w:rsidR="00813400" w:rsidRDefault="00813400" w:rsidP="004B6657">
      <w:pPr>
        <w:spacing w:before="0" w:after="200" w:line="276" w:lineRule="auto"/>
        <w:ind w:firstLine="0"/>
        <w:jc w:val="left"/>
        <w:rPr>
          <w:lang w:val="hy-AM"/>
        </w:rPr>
      </w:pPr>
    </w:p>
    <w:p w14:paraId="0F59D586" w14:textId="7F69B995" w:rsidR="00813400" w:rsidRDefault="00813400" w:rsidP="004B6657">
      <w:pPr>
        <w:spacing w:before="0" w:after="200" w:line="276" w:lineRule="auto"/>
        <w:ind w:firstLine="0"/>
        <w:jc w:val="left"/>
        <w:rPr>
          <w:lang w:val="hy-AM"/>
        </w:rPr>
      </w:pPr>
    </w:p>
    <w:p w14:paraId="16019865" w14:textId="2E47D504" w:rsidR="00813400" w:rsidRDefault="00813400" w:rsidP="004B6657">
      <w:pPr>
        <w:spacing w:before="0" w:after="200" w:line="276" w:lineRule="auto"/>
        <w:ind w:firstLine="0"/>
        <w:jc w:val="left"/>
        <w:rPr>
          <w:lang w:val="hy-AM"/>
        </w:rPr>
      </w:pPr>
    </w:p>
    <w:p w14:paraId="14C3C1DD" w14:textId="737C0F11" w:rsidR="00813400" w:rsidRDefault="00813400" w:rsidP="004B6657">
      <w:pPr>
        <w:spacing w:before="0" w:after="200" w:line="276" w:lineRule="auto"/>
        <w:ind w:firstLine="0"/>
        <w:jc w:val="left"/>
        <w:rPr>
          <w:lang w:val="hy-AM"/>
        </w:rPr>
      </w:pPr>
    </w:p>
    <w:p w14:paraId="795B0153" w14:textId="1FA1F0A6" w:rsidR="00813400" w:rsidRDefault="00813400" w:rsidP="004B6657">
      <w:pPr>
        <w:spacing w:before="0" w:after="200" w:line="276" w:lineRule="auto"/>
        <w:ind w:firstLine="0"/>
        <w:jc w:val="left"/>
        <w:rPr>
          <w:lang w:val="hy-AM"/>
        </w:rPr>
      </w:pPr>
    </w:p>
    <w:p w14:paraId="2299D0AC" w14:textId="7465DB76" w:rsidR="00813400" w:rsidRDefault="00813400" w:rsidP="004B6657">
      <w:pPr>
        <w:spacing w:before="0" w:after="200" w:line="276" w:lineRule="auto"/>
        <w:ind w:firstLine="0"/>
        <w:jc w:val="left"/>
        <w:rPr>
          <w:lang w:val="hy-AM"/>
        </w:rPr>
      </w:pPr>
    </w:p>
    <w:p w14:paraId="02A1389B" w14:textId="4E5456F7" w:rsidR="00813400" w:rsidRDefault="00813400" w:rsidP="004B6657">
      <w:pPr>
        <w:spacing w:before="0" w:after="200" w:line="276" w:lineRule="auto"/>
        <w:ind w:firstLine="0"/>
        <w:jc w:val="left"/>
        <w:rPr>
          <w:lang w:val="hy-AM"/>
        </w:rPr>
      </w:pPr>
    </w:p>
    <w:p w14:paraId="14990F95" w14:textId="5882F4EB" w:rsidR="00813400" w:rsidRDefault="00813400" w:rsidP="004B6657">
      <w:pPr>
        <w:spacing w:before="0" w:after="200" w:line="276" w:lineRule="auto"/>
        <w:ind w:firstLine="0"/>
        <w:jc w:val="left"/>
        <w:rPr>
          <w:lang w:val="hy-AM"/>
        </w:rPr>
      </w:pPr>
    </w:p>
    <w:p w14:paraId="32FABA28" w14:textId="665680A1" w:rsidR="00813400" w:rsidRDefault="00813400" w:rsidP="004B6657">
      <w:pPr>
        <w:spacing w:before="0" w:after="200" w:line="276" w:lineRule="auto"/>
        <w:ind w:firstLine="0"/>
        <w:jc w:val="left"/>
        <w:rPr>
          <w:lang w:val="hy-AM"/>
        </w:rPr>
      </w:pPr>
    </w:p>
    <w:p w14:paraId="1F917D1A" w14:textId="4CE32073" w:rsidR="00813400" w:rsidRDefault="00813400" w:rsidP="004B6657">
      <w:pPr>
        <w:spacing w:before="0" w:after="200" w:line="276" w:lineRule="auto"/>
        <w:ind w:firstLine="0"/>
        <w:jc w:val="left"/>
        <w:rPr>
          <w:lang w:val="hy-AM"/>
        </w:rPr>
      </w:pPr>
    </w:p>
    <w:p w14:paraId="4060C9C6" w14:textId="22E0DD25" w:rsidR="00813400" w:rsidRDefault="00813400" w:rsidP="004B6657">
      <w:pPr>
        <w:spacing w:before="0" w:after="200" w:line="276" w:lineRule="auto"/>
        <w:ind w:firstLine="0"/>
        <w:jc w:val="left"/>
        <w:rPr>
          <w:lang w:val="hy-AM"/>
        </w:rPr>
      </w:pPr>
    </w:p>
    <w:p w14:paraId="279086CC" w14:textId="42E414CA" w:rsidR="00813400" w:rsidRDefault="00813400" w:rsidP="004B6657">
      <w:pPr>
        <w:spacing w:before="0" w:after="200" w:line="276" w:lineRule="auto"/>
        <w:ind w:firstLine="0"/>
        <w:jc w:val="left"/>
        <w:rPr>
          <w:lang w:val="hy-AM"/>
        </w:rPr>
      </w:pPr>
    </w:p>
    <w:p w14:paraId="42FE7488" w14:textId="77777777" w:rsidR="00813400" w:rsidRDefault="00813400" w:rsidP="004B6657">
      <w:pPr>
        <w:spacing w:before="0" w:after="200" w:line="276" w:lineRule="auto"/>
        <w:ind w:firstLine="0"/>
        <w:jc w:val="left"/>
        <w:rPr>
          <w:lang w:val="hy-AM"/>
        </w:rPr>
      </w:pPr>
    </w:p>
    <w:p w14:paraId="3CE43B97" w14:textId="3BF2CA98" w:rsidR="00813400" w:rsidRDefault="00813400" w:rsidP="004B6657">
      <w:pPr>
        <w:spacing w:before="0" w:after="200" w:line="276" w:lineRule="auto"/>
        <w:ind w:firstLine="0"/>
        <w:jc w:val="left"/>
        <w:rPr>
          <w:lang w:val="hy-AM"/>
        </w:rPr>
      </w:pPr>
    </w:p>
    <w:p w14:paraId="6C52FA70" w14:textId="5340DC49" w:rsidR="00813400" w:rsidRDefault="00813400" w:rsidP="004B6657">
      <w:pPr>
        <w:spacing w:before="0" w:after="200" w:line="276" w:lineRule="auto"/>
        <w:ind w:firstLine="0"/>
        <w:jc w:val="left"/>
        <w:rPr>
          <w:lang w:val="hy-AM"/>
        </w:rPr>
      </w:pPr>
    </w:p>
    <w:p w14:paraId="7A4FCE55" w14:textId="0138188A" w:rsidR="00813400" w:rsidRDefault="00813400" w:rsidP="004B6657">
      <w:pPr>
        <w:spacing w:before="0" w:after="200" w:line="276" w:lineRule="auto"/>
        <w:ind w:firstLine="0"/>
        <w:jc w:val="left"/>
        <w:rPr>
          <w:lang w:val="hy-AM"/>
        </w:rPr>
      </w:pPr>
    </w:p>
    <w:p w14:paraId="35471316" w14:textId="77777777" w:rsidR="00A03AF2" w:rsidRDefault="00A03AF2" w:rsidP="00CD7613">
      <w:pPr>
        <w:pStyle w:val="Heading1"/>
        <w:spacing w:line="276" w:lineRule="auto"/>
        <w:rPr>
          <w:sz w:val="24"/>
          <w:szCs w:val="24"/>
          <w:lang w:val="hy-AM"/>
        </w:rPr>
      </w:pPr>
      <w:bookmarkStart w:id="388" w:name="_Toc46154389"/>
    </w:p>
    <w:p w14:paraId="698BA9E9" w14:textId="738E4DAE" w:rsidR="00317E60" w:rsidRPr="00AE38CD" w:rsidRDefault="00317E60" w:rsidP="00CD7613">
      <w:pPr>
        <w:pStyle w:val="Heading1"/>
        <w:spacing w:line="276" w:lineRule="auto"/>
        <w:rPr>
          <w:sz w:val="24"/>
          <w:szCs w:val="24"/>
          <w:lang w:val="hy-AM"/>
        </w:rPr>
      </w:pPr>
      <w:r w:rsidRPr="00AE38CD">
        <w:rPr>
          <w:sz w:val="24"/>
          <w:szCs w:val="24"/>
          <w:lang w:val="hy-AM"/>
        </w:rPr>
        <w:lastRenderedPageBreak/>
        <w:t>ՀԱՎԵԼՎԱԾՆԵՐ</w:t>
      </w:r>
      <w:bookmarkEnd w:id="386"/>
      <w:bookmarkEnd w:id="388"/>
    </w:p>
    <w:p w14:paraId="2E0244FC" w14:textId="77777777" w:rsidR="00BD1643" w:rsidRPr="00BD1643" w:rsidRDefault="00BD1643" w:rsidP="00BD1643">
      <w:pPr>
        <w:rPr>
          <w:lang w:val="hy-AM"/>
        </w:rPr>
      </w:pPr>
    </w:p>
    <w:p w14:paraId="281D3C42" w14:textId="399EC6A4" w:rsidR="00317E60" w:rsidRPr="00CD7613" w:rsidRDefault="00317E60" w:rsidP="00CD7613">
      <w:pPr>
        <w:spacing w:after="0" w:line="276" w:lineRule="auto"/>
        <w:rPr>
          <w:rFonts w:cs="Tahoma"/>
          <w:noProof/>
          <w:lang w:val="hy-AM"/>
        </w:rPr>
      </w:pPr>
      <w:r w:rsidRPr="00CD7613">
        <w:rPr>
          <w:rFonts w:cs="Tahoma"/>
          <w:b/>
          <w:noProof/>
          <w:lang w:val="hy-AM"/>
        </w:rPr>
        <w:t>Հավելված 1.</w:t>
      </w:r>
      <w:r w:rsidRPr="00CD7613">
        <w:rPr>
          <w:rFonts w:cs="Tahoma"/>
          <w:noProof/>
          <w:lang w:val="hy-AM"/>
        </w:rPr>
        <w:t xml:space="preserve"> Հայաստանի Հանրապետության ՀՀ 2021-2023 թվականների պետական միջնաժամկետ ծախսերի ծրագ</w:t>
      </w:r>
      <w:r w:rsidR="007724F4">
        <w:rPr>
          <w:rFonts w:cs="Tahoma"/>
          <w:noProof/>
          <w:lang w:val="hy-AM"/>
        </w:rPr>
        <w:t>ր</w:t>
      </w:r>
      <w:r w:rsidRPr="00CD7613">
        <w:rPr>
          <w:rFonts w:cs="Tahoma"/>
          <w:noProof/>
          <w:lang w:val="hy-AM"/>
        </w:rPr>
        <w:t>երն՛ ըստ պետական մարմինների կողմից իրականացվող ծրագրերի և ըստ բյուջետային հատկացումների գլխավոր կարգադրիչների</w:t>
      </w:r>
    </w:p>
    <w:p w14:paraId="049D791C" w14:textId="77777777" w:rsidR="00317E60" w:rsidRPr="00CD7613" w:rsidRDefault="00317E60" w:rsidP="00CD7613">
      <w:pPr>
        <w:spacing w:after="0" w:line="276" w:lineRule="auto"/>
        <w:rPr>
          <w:rFonts w:cs="Tahoma"/>
          <w:noProof/>
          <w:lang w:val="hy-AM"/>
        </w:rPr>
      </w:pPr>
    </w:p>
    <w:p w14:paraId="283BE570" w14:textId="1B3760AA" w:rsidR="00317E60" w:rsidRPr="00CD7613" w:rsidRDefault="00317E60" w:rsidP="00CD7613">
      <w:pPr>
        <w:spacing w:after="0" w:line="276" w:lineRule="auto"/>
        <w:rPr>
          <w:rFonts w:cs="Tahoma"/>
          <w:noProof/>
          <w:lang w:val="hy-AM"/>
        </w:rPr>
      </w:pPr>
      <w:r w:rsidRPr="00CD7613">
        <w:rPr>
          <w:rFonts w:cs="Tahoma"/>
          <w:b/>
          <w:noProof/>
          <w:lang w:val="hy-AM"/>
        </w:rPr>
        <w:t>Հավելված 2.</w:t>
      </w:r>
      <w:r w:rsidRPr="00CD7613">
        <w:rPr>
          <w:rFonts w:cs="Tahoma"/>
          <w:noProof/>
          <w:lang w:val="hy-AM"/>
        </w:rPr>
        <w:t xml:space="preserve"> Հայաստանի Հանրապետության ՀՀ 2021-2023 թվականների պետական միջնաժամկետ ծախսերի ծրագ</w:t>
      </w:r>
      <w:r w:rsidR="007724F4">
        <w:rPr>
          <w:rFonts w:cs="Tahoma"/>
          <w:noProof/>
          <w:lang w:val="hy-AM"/>
        </w:rPr>
        <w:t>ր</w:t>
      </w:r>
      <w:r w:rsidRPr="00CD7613">
        <w:rPr>
          <w:rFonts w:cs="Tahoma"/>
          <w:noProof/>
          <w:lang w:val="hy-AM"/>
        </w:rPr>
        <w:t>երով նախատեսված ծախսերն՝  ըստ բյուջետային ծախսերի տնտեսագիտական դասակարգման</w:t>
      </w:r>
    </w:p>
    <w:p w14:paraId="1CDDD15B" w14:textId="77777777" w:rsidR="00317E60" w:rsidRPr="00CD7613" w:rsidRDefault="00317E60" w:rsidP="00CD7613">
      <w:pPr>
        <w:spacing w:after="0" w:line="276" w:lineRule="auto"/>
        <w:rPr>
          <w:rFonts w:cs="Tahoma"/>
          <w:noProof/>
          <w:lang w:val="hy-AM"/>
        </w:rPr>
      </w:pPr>
    </w:p>
    <w:p w14:paraId="04B55778" w14:textId="3684207E" w:rsidR="00317E60" w:rsidRPr="00CD7613" w:rsidRDefault="00317E60" w:rsidP="00CD7613">
      <w:pPr>
        <w:spacing w:after="0" w:line="276" w:lineRule="auto"/>
        <w:rPr>
          <w:rFonts w:cs="Tahoma"/>
          <w:noProof/>
          <w:lang w:val="hy-AM"/>
        </w:rPr>
      </w:pPr>
      <w:r w:rsidRPr="00CD7613">
        <w:rPr>
          <w:rFonts w:cs="Tahoma"/>
          <w:b/>
          <w:noProof/>
          <w:lang w:val="hy-AM"/>
        </w:rPr>
        <w:t>Հավելված 3.</w:t>
      </w:r>
      <w:r w:rsidRPr="00CD7613">
        <w:rPr>
          <w:rFonts w:cs="Tahoma"/>
          <w:noProof/>
          <w:lang w:val="hy-AM"/>
        </w:rPr>
        <w:t xml:space="preserve"> Հայաստանի Հանրապետության ՀՀ 2021-2023 թվականների պետական միջնաժամկետ ծախսերի ծրագ</w:t>
      </w:r>
      <w:r w:rsidR="007724F4">
        <w:rPr>
          <w:rFonts w:cs="Tahoma"/>
          <w:noProof/>
          <w:lang w:val="hy-AM"/>
        </w:rPr>
        <w:t>ր</w:t>
      </w:r>
      <w:r w:rsidRPr="00CD7613">
        <w:rPr>
          <w:rFonts w:cs="Tahoma"/>
          <w:noProof/>
          <w:lang w:val="hy-AM"/>
        </w:rPr>
        <w:t>երով նախատեսված ծախսերն՝  ըստ բյուջետային ծախսերի գործառական դասակարգման</w:t>
      </w:r>
    </w:p>
    <w:p w14:paraId="3BE94E0B" w14:textId="77777777" w:rsidR="00317E60" w:rsidRPr="00CD7613" w:rsidRDefault="00317E60" w:rsidP="00CD7613">
      <w:pPr>
        <w:spacing w:after="0" w:line="276" w:lineRule="auto"/>
        <w:rPr>
          <w:rFonts w:cs="Tahoma"/>
          <w:noProof/>
          <w:lang w:val="hy-AM"/>
        </w:rPr>
      </w:pPr>
    </w:p>
    <w:p w14:paraId="0063BF5C" w14:textId="77777777" w:rsidR="00317E60" w:rsidRPr="00CD7613" w:rsidRDefault="00317E60" w:rsidP="00CD7613">
      <w:pPr>
        <w:spacing w:after="0" w:line="276" w:lineRule="auto"/>
        <w:rPr>
          <w:rFonts w:cs="Tahoma"/>
          <w:noProof/>
          <w:lang w:val="hy-AM"/>
        </w:rPr>
      </w:pPr>
      <w:r w:rsidRPr="00CD7613">
        <w:rPr>
          <w:rFonts w:cs="Tahoma"/>
          <w:b/>
          <w:noProof/>
          <w:lang w:val="hy-AM"/>
        </w:rPr>
        <w:t xml:space="preserve">Հավելված 4. </w:t>
      </w:r>
      <w:r w:rsidRPr="00CD7613">
        <w:rPr>
          <w:rFonts w:cs="Tahoma"/>
          <w:noProof/>
          <w:lang w:val="hy-AM"/>
        </w:rPr>
        <w:t>Հայաստանի Հանրապետության 2021-2023 թվականների պետական բյուջեների դեֆիցիտի (պակասուրդի) ֆինանսավորման աղբյուրներն` ըստ առանձին տարրերի</w:t>
      </w:r>
    </w:p>
    <w:p w14:paraId="0DB0EB37" w14:textId="77777777" w:rsidR="00317E60" w:rsidRPr="00CD7613" w:rsidRDefault="00317E60" w:rsidP="00CD7613">
      <w:pPr>
        <w:spacing w:after="0" w:line="276" w:lineRule="auto"/>
        <w:rPr>
          <w:rFonts w:cs="Tahoma"/>
          <w:noProof/>
          <w:lang w:val="hy-AM"/>
        </w:rPr>
      </w:pPr>
    </w:p>
    <w:p w14:paraId="573C58B3" w14:textId="77777777" w:rsidR="00317E60" w:rsidRPr="00CD7613" w:rsidRDefault="00317E60" w:rsidP="00CD7613">
      <w:pPr>
        <w:spacing w:after="0" w:line="276" w:lineRule="auto"/>
        <w:rPr>
          <w:rFonts w:cs="Tahoma"/>
          <w:noProof/>
          <w:lang w:val="hy-AM"/>
        </w:rPr>
      </w:pPr>
      <w:r w:rsidRPr="00CD7613">
        <w:rPr>
          <w:rFonts w:cs="Tahoma"/>
          <w:b/>
          <w:noProof/>
          <w:lang w:val="hy-AM"/>
        </w:rPr>
        <w:t>Հավելված 5.</w:t>
      </w:r>
      <w:r w:rsidRPr="00CD7613">
        <w:rPr>
          <w:rFonts w:cs="Tahoma"/>
          <w:noProof/>
          <w:lang w:val="hy-AM"/>
        </w:rPr>
        <w:t xml:space="preserve"> ՀՀ 2021-2023 թվականների պետական բյուջեի ծախսային ծրագրերի գծով վերջնական արդյունքի ցուցանիշները</w:t>
      </w:r>
    </w:p>
    <w:p w14:paraId="4123AA51" w14:textId="77777777" w:rsidR="00317E60" w:rsidRPr="00CD7613" w:rsidRDefault="00317E60" w:rsidP="00CD7613">
      <w:pPr>
        <w:spacing w:after="0" w:line="276" w:lineRule="auto"/>
        <w:rPr>
          <w:rFonts w:cs="Tahoma"/>
          <w:noProof/>
          <w:lang w:val="hy-AM"/>
        </w:rPr>
      </w:pPr>
    </w:p>
    <w:p w14:paraId="1049C8EF" w14:textId="506E7683" w:rsidR="00317E60" w:rsidRPr="00CD7613" w:rsidRDefault="00317E60" w:rsidP="00CD7613">
      <w:pPr>
        <w:spacing w:after="0" w:line="276" w:lineRule="auto"/>
        <w:rPr>
          <w:rFonts w:cs="Tahoma"/>
          <w:noProof/>
          <w:lang w:val="hy-AM"/>
        </w:rPr>
      </w:pPr>
      <w:r w:rsidRPr="00CD7613">
        <w:rPr>
          <w:rFonts w:cs="Tahoma"/>
          <w:b/>
          <w:noProof/>
          <w:lang w:val="hy-AM"/>
        </w:rPr>
        <w:t>Հավելված 6.</w:t>
      </w:r>
      <w:r w:rsidRPr="00CD7613">
        <w:rPr>
          <w:rFonts w:cs="Tahoma"/>
          <w:noProof/>
          <w:lang w:val="hy-AM"/>
        </w:rPr>
        <w:t xml:space="preserve"> Հայաստանի Հանրապետության 2021-2023թթ. ժամանակահատվածում ռազմավարությունից բխող նոր նախաձեռնություններ՝ ըստ բյուջետային գլխավոր կարգադրիչների</w:t>
      </w:r>
    </w:p>
    <w:p w14:paraId="79AE34B0" w14:textId="77777777" w:rsidR="00317E60" w:rsidRPr="00CD7613" w:rsidRDefault="00317E60" w:rsidP="00CD7613">
      <w:pPr>
        <w:spacing w:after="0" w:line="276" w:lineRule="auto"/>
        <w:rPr>
          <w:rFonts w:cs="Tahoma"/>
          <w:noProof/>
          <w:lang w:val="hy-AM"/>
        </w:rPr>
      </w:pPr>
    </w:p>
    <w:p w14:paraId="2B284929" w14:textId="7D6BDBE2" w:rsidR="00C76568" w:rsidRDefault="00317E60" w:rsidP="00CD7613">
      <w:pPr>
        <w:spacing w:after="0" w:line="276" w:lineRule="auto"/>
        <w:rPr>
          <w:rFonts w:cs="Tahoma"/>
          <w:noProof/>
          <w:lang w:val="hy-AM"/>
        </w:rPr>
      </w:pPr>
      <w:r w:rsidRPr="00CD7613">
        <w:rPr>
          <w:rFonts w:cs="Tahoma"/>
          <w:b/>
          <w:noProof/>
          <w:lang w:val="hy-AM"/>
        </w:rPr>
        <w:t>Հավելված 7.</w:t>
      </w:r>
      <w:r w:rsidRPr="00CD7613">
        <w:rPr>
          <w:rFonts w:cs="Tahoma"/>
          <w:noProof/>
          <w:lang w:val="hy-AM"/>
        </w:rPr>
        <w:t xml:space="preserve"> 2021-2023թթ. ժամանակահատվածում առաջնահերթ կապիտալ ծախսերն՝ ըստ բյուջետային գլխավոր կարգադրիչների</w:t>
      </w:r>
    </w:p>
    <w:p w14:paraId="59EFBE3A" w14:textId="77777777" w:rsidR="00361C14" w:rsidRDefault="00361C14" w:rsidP="00CD7613">
      <w:pPr>
        <w:spacing w:after="0" w:line="276" w:lineRule="auto"/>
        <w:rPr>
          <w:rFonts w:cs="Tahoma"/>
          <w:noProof/>
          <w:lang w:val="hy-AM"/>
        </w:rPr>
      </w:pPr>
    </w:p>
    <w:p w14:paraId="5D618D46" w14:textId="77777777" w:rsidR="00361C14" w:rsidRDefault="00361C14" w:rsidP="00CD7613">
      <w:pPr>
        <w:spacing w:after="0" w:line="276" w:lineRule="auto"/>
        <w:rPr>
          <w:rFonts w:cs="Tahoma"/>
          <w:noProof/>
          <w:lang w:val="hy-AM"/>
        </w:rPr>
      </w:pPr>
    </w:p>
    <w:p w14:paraId="75ECB90D" w14:textId="77777777" w:rsidR="00361C14" w:rsidRDefault="00361C14" w:rsidP="00CD7613">
      <w:pPr>
        <w:spacing w:after="0" w:line="276" w:lineRule="auto"/>
        <w:rPr>
          <w:rFonts w:cs="Tahoma"/>
          <w:noProof/>
          <w:lang w:val="hy-AM"/>
        </w:rPr>
      </w:pPr>
    </w:p>
    <w:p w14:paraId="153D76C2" w14:textId="77777777" w:rsidR="00361C14" w:rsidRPr="007022D4" w:rsidRDefault="00361C14" w:rsidP="001E3EC3">
      <w:pPr>
        <w:pStyle w:val="mechtex"/>
        <w:spacing w:line="240" w:lineRule="auto"/>
        <w:ind w:firstLine="720"/>
        <w:jc w:val="left"/>
        <w:rPr>
          <w:rFonts w:ascii="GHEA Mariam" w:hAnsi="GHEA Mariam" w:cs="Arial Armenian"/>
          <w:lang w:val="hy-AM"/>
        </w:rPr>
      </w:pPr>
      <w:r w:rsidRPr="007022D4">
        <w:rPr>
          <w:rFonts w:ascii="GHEA Mariam" w:hAnsi="GHEA Mariam" w:cs="Sylfaen"/>
          <w:lang w:val="hy-AM"/>
        </w:rPr>
        <w:t>ՀԱՅԱՍՏԱՆԻ</w:t>
      </w:r>
      <w:r w:rsidRPr="007022D4">
        <w:rPr>
          <w:rFonts w:ascii="GHEA Mariam" w:hAnsi="GHEA Mariam" w:cs="Arial Armenian"/>
          <w:lang w:val="hy-AM"/>
        </w:rPr>
        <w:t xml:space="preserve">  </w:t>
      </w:r>
      <w:r w:rsidRPr="007022D4">
        <w:rPr>
          <w:rFonts w:ascii="GHEA Mariam" w:hAnsi="GHEA Mariam" w:cs="Sylfaen"/>
          <w:lang w:val="hy-AM"/>
        </w:rPr>
        <w:t>ՀԱՆՐԱՊԵՏՈՒԹՅԱՆ</w:t>
      </w:r>
    </w:p>
    <w:p w14:paraId="7201A453" w14:textId="77777777" w:rsidR="00361C14" w:rsidRPr="007022D4" w:rsidRDefault="00361C14" w:rsidP="001E3EC3">
      <w:pPr>
        <w:pStyle w:val="mechtex"/>
        <w:spacing w:line="240" w:lineRule="auto"/>
        <w:ind w:firstLine="720"/>
        <w:jc w:val="left"/>
        <w:rPr>
          <w:rFonts w:ascii="GHEA Mariam" w:hAnsi="GHEA Mariam" w:cs="Sylfaen"/>
          <w:lang w:val="hy-AM"/>
        </w:rPr>
      </w:pPr>
      <w:r w:rsidRPr="007022D4">
        <w:rPr>
          <w:rFonts w:ascii="GHEA Mariam" w:hAnsi="GHEA Mariam"/>
          <w:lang w:val="hy-AM"/>
        </w:rPr>
        <w:t xml:space="preserve">  </w:t>
      </w:r>
      <w:r w:rsidRPr="007022D4">
        <w:rPr>
          <w:rFonts w:ascii="GHEA Mariam" w:hAnsi="GHEA Mariam" w:cs="Sylfaen"/>
          <w:lang w:val="hy-AM"/>
        </w:rPr>
        <w:t>ՎԱՐՉԱՊԵՏԻ ԱՇԽԱՏԱԿԱԶՄԻ</w:t>
      </w:r>
    </w:p>
    <w:p w14:paraId="0816CDB5" w14:textId="26B57D32" w:rsidR="00361C14" w:rsidRPr="007022D4" w:rsidRDefault="00361C14" w:rsidP="007022D4">
      <w:pPr>
        <w:pStyle w:val="mechtex"/>
        <w:spacing w:line="240" w:lineRule="auto"/>
        <w:ind w:firstLine="720"/>
        <w:jc w:val="left"/>
        <w:rPr>
          <w:rFonts w:cs="Tahoma"/>
          <w:noProof/>
          <w:lang w:val="hy-AM"/>
        </w:rPr>
      </w:pPr>
      <w:r w:rsidRPr="007022D4">
        <w:rPr>
          <w:rFonts w:ascii="GHEA Mariam" w:hAnsi="GHEA Mariam" w:cs="Sylfaen"/>
          <w:lang w:val="hy-AM"/>
        </w:rPr>
        <w:t xml:space="preserve">                 ՂԵԿԱՎԱՐ</w:t>
      </w:r>
      <w:r w:rsidRPr="007022D4">
        <w:rPr>
          <w:rFonts w:ascii="GHEA Mariam" w:hAnsi="GHEA Mariam" w:cs="Arial Armenian"/>
          <w:lang w:val="hy-AM"/>
        </w:rPr>
        <w:tab/>
        <w:t xml:space="preserve">                                                      </w:t>
      </w:r>
      <w:r w:rsidR="001E3EC3" w:rsidRPr="007022D4">
        <w:rPr>
          <w:rFonts w:ascii="GHEA Mariam" w:hAnsi="GHEA Mariam" w:cs="Arial Armenian"/>
          <w:lang w:val="hy-AM"/>
        </w:rPr>
        <w:t xml:space="preserve">               </w:t>
      </w:r>
      <w:r w:rsidRPr="007022D4">
        <w:rPr>
          <w:rFonts w:ascii="GHEA Mariam" w:hAnsi="GHEA Mariam" w:cs="Arial Armenian"/>
          <w:lang w:val="hy-AM"/>
        </w:rPr>
        <w:t xml:space="preserve">   </w:t>
      </w:r>
      <w:r w:rsidR="007022D4" w:rsidRPr="007724F4">
        <w:rPr>
          <w:rFonts w:ascii="GHEA Mariam" w:hAnsi="GHEA Mariam" w:cs="Arial Armenian"/>
          <w:lang w:val="hy-AM"/>
        </w:rPr>
        <w:t xml:space="preserve">        </w:t>
      </w:r>
      <w:r w:rsidRPr="007022D4">
        <w:rPr>
          <w:rFonts w:ascii="GHEA Mariam" w:hAnsi="GHEA Mariam" w:cs="Arial Armenian"/>
          <w:lang w:val="hy-AM"/>
        </w:rPr>
        <w:t>Է</w:t>
      </w:r>
      <w:r w:rsidRPr="007022D4">
        <w:rPr>
          <w:rFonts w:ascii="GHEA Mariam" w:hAnsi="GHEA Mariam" w:cs="Sylfaen"/>
          <w:lang w:val="hy-AM"/>
        </w:rPr>
        <w:t>.</w:t>
      </w:r>
      <w:r w:rsidRPr="007022D4">
        <w:rPr>
          <w:rFonts w:ascii="GHEA Mariam" w:hAnsi="GHEA Mariam" w:cs="Arial Armenian"/>
          <w:lang w:val="hy-AM"/>
        </w:rPr>
        <w:t xml:space="preserve"> ԱՂԱՋԱՆ</w:t>
      </w:r>
      <w:r w:rsidRPr="007022D4">
        <w:rPr>
          <w:rFonts w:ascii="GHEA Mariam" w:hAnsi="GHEA Mariam" w:cs="Sylfaen"/>
          <w:lang w:val="hy-AM"/>
        </w:rPr>
        <w:t>ՅԱՆ</w:t>
      </w:r>
    </w:p>
    <w:sectPr w:rsidR="00361C14" w:rsidRPr="007022D4" w:rsidSect="00D53E34">
      <w:footerReference w:type="even" r:id="rId94"/>
      <w:pgSz w:w="12240" w:h="15840"/>
      <w:pgMar w:top="1134" w:right="851" w:bottom="1134" w:left="102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951188" w14:textId="77777777" w:rsidR="00664348" w:rsidRDefault="00664348">
      <w:r>
        <w:separator/>
      </w:r>
    </w:p>
  </w:endnote>
  <w:endnote w:type="continuationSeparator" w:id="0">
    <w:p w14:paraId="5AB35662" w14:textId="77777777" w:rsidR="00664348" w:rsidRDefault="0066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LatArm">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w:charset w:val="B1"/>
    <w:family w:val="swiss"/>
    <w:pitch w:val="variable"/>
    <w:sig w:usb0="80000A67" w:usb1="00000000" w:usb2="00000000" w:usb3="00000000" w:csb0="000001F7" w:csb1="00000000"/>
  </w:font>
  <w:font w:name="Arial A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rial-Armenian">
    <w:altName w:val="Arial Armeni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ussian Baltica">
    <w:panose1 w:val="02027200000000000000"/>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allak Helv">
    <w:panose1 w:val="020B7200000000000000"/>
    <w:charset w:val="00"/>
    <w:family w:val="swiss"/>
    <w:pitch w:val="variable"/>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panose1 w:val="00000000000000000000"/>
    <w:charset w:val="CC"/>
    <w:family w:val="swiss"/>
    <w:notTrueType/>
    <w:pitch w:val="variable"/>
    <w:sig w:usb0="00000201" w:usb1="00000000" w:usb2="00000000" w:usb3="00000000" w:csb0="00000004" w:csb1="00000000"/>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erriweather">
    <w:altName w:val="Times New Roman"/>
    <w:charset w:val="00"/>
    <w:family w:val="auto"/>
    <w:pitch w:val="default"/>
  </w:font>
  <w:font w:name="Microsoft JhengHei">
    <w:panose1 w:val="020B0604030504040204"/>
    <w:charset w:val="88"/>
    <w:family w:val="swiss"/>
    <w:pitch w:val="variable"/>
    <w:sig w:usb0="000002A7" w:usb1="28CF4400" w:usb2="00000016" w:usb3="00000000" w:csb0="00100009" w:csb1="00000000"/>
  </w:font>
  <w:font w:name="Times Unicode">
    <w:panose1 w:val="020206030504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E695E" w14:textId="339359BF" w:rsidR="00CB6CFF" w:rsidRDefault="00CB6CFF">
    <w:pPr>
      <w:pStyle w:val="Footer"/>
      <w:jc w:val="center"/>
    </w:pPr>
    <w:r>
      <w:fldChar w:fldCharType="begin"/>
    </w:r>
    <w:r>
      <w:instrText xml:space="preserve"> PAGE   \* MERGEFORMAT </w:instrText>
    </w:r>
    <w:r>
      <w:fldChar w:fldCharType="separate"/>
    </w:r>
    <w:r w:rsidR="007022D4">
      <w:rPr>
        <w:noProof/>
      </w:rPr>
      <w:t>6</w:t>
    </w:r>
    <w:r>
      <w:rPr>
        <w:noProof/>
      </w:rPr>
      <w:fldChar w:fldCharType="end"/>
    </w:r>
  </w:p>
  <w:p w14:paraId="0A7D1644" w14:textId="77777777" w:rsidR="00CB6CFF" w:rsidRDefault="00CB6CFF"/>
  <w:p w14:paraId="7BCBDD61" w14:textId="77777777" w:rsidR="00CB6CFF" w:rsidRDefault="00CB6C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CA024" w14:textId="569A53CC" w:rsidR="00CB6CFF" w:rsidRDefault="00CB6CFF">
    <w:pPr>
      <w:pStyle w:val="Footer"/>
      <w:jc w:val="center"/>
    </w:pPr>
    <w:r>
      <w:fldChar w:fldCharType="begin"/>
    </w:r>
    <w:r>
      <w:instrText xml:space="preserve"> PAGE   \* MERGEFORMAT </w:instrText>
    </w:r>
    <w:r>
      <w:fldChar w:fldCharType="separate"/>
    </w:r>
    <w:r w:rsidR="007022D4">
      <w:rPr>
        <w:noProof/>
      </w:rPr>
      <w:t>203</w:t>
    </w:r>
    <w:r>
      <w:rPr>
        <w:noProof/>
      </w:rPr>
      <w:fldChar w:fldCharType="end"/>
    </w:r>
  </w:p>
  <w:p w14:paraId="4AB84943" w14:textId="77777777" w:rsidR="00CB6CFF" w:rsidRDefault="00CB6CFF">
    <w:pPr>
      <w:pStyle w:val="Footer"/>
    </w:pPr>
  </w:p>
  <w:p w14:paraId="1ADF746C" w14:textId="77777777" w:rsidR="00CB6CFF" w:rsidRDefault="00CB6CF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92397" w14:textId="77777777" w:rsidR="00CB6CFF" w:rsidRDefault="00CB6CFF" w:rsidP="009A34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2E5737EA" w14:textId="77777777" w:rsidR="00CB6CFF" w:rsidRDefault="00CB6CF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D508E" w14:textId="77777777" w:rsidR="00CB6CFF" w:rsidRDefault="00CB6CFF" w:rsidP="009A34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3C2844E8" w14:textId="77777777" w:rsidR="00CB6CFF" w:rsidRDefault="00CB6C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5D793" w14:textId="77777777" w:rsidR="00664348" w:rsidRDefault="00664348">
      <w:r>
        <w:separator/>
      </w:r>
    </w:p>
  </w:footnote>
  <w:footnote w:type="continuationSeparator" w:id="0">
    <w:p w14:paraId="140442A3" w14:textId="77777777" w:rsidR="00664348" w:rsidRDefault="00664348">
      <w:r>
        <w:continuationSeparator/>
      </w:r>
    </w:p>
  </w:footnote>
  <w:footnote w:id="1">
    <w:p w14:paraId="1BEBCF87" w14:textId="77777777" w:rsidR="00CB6CFF" w:rsidRPr="008C23C8" w:rsidRDefault="00CB6CFF" w:rsidP="008C23C8">
      <w:pPr>
        <w:pStyle w:val="FootnoteText"/>
        <w:rPr>
          <w:lang w:val="hy-AM"/>
        </w:rPr>
      </w:pPr>
      <w:r>
        <w:rPr>
          <w:rStyle w:val="FootnoteReference"/>
        </w:rPr>
        <w:footnoteRef/>
      </w:r>
      <w:r>
        <w:t xml:space="preserve"> </w:t>
      </w:r>
      <w:r w:rsidRPr="008C23C8">
        <w:t xml:space="preserve">Աղբյուրը՝ ԱՄՀ, hունիս ամսվա հրապարակում` </w:t>
      </w:r>
      <w:hyperlink r:id="rId1" w:history="1">
        <w:r w:rsidRPr="008C23C8">
          <w:rPr>
            <w:rStyle w:val="Hyperlink"/>
            <w:i/>
          </w:rPr>
          <w:t>https://www.imf.org/en/Publications/WEO/Issues/2020/06/24/WEOUpdateJune2020</w:t>
        </w:r>
      </w:hyperlink>
    </w:p>
  </w:footnote>
  <w:footnote w:id="2">
    <w:p w14:paraId="40851F7F" w14:textId="77777777" w:rsidR="00CB6CFF" w:rsidRDefault="00CB6CFF" w:rsidP="0035033F">
      <w:pPr>
        <w:pStyle w:val="FootnoteText"/>
        <w:spacing w:line="240" w:lineRule="auto"/>
        <w:rPr>
          <w:lang w:val="hy-AM"/>
        </w:rPr>
      </w:pPr>
      <w:r w:rsidRPr="008E50CF">
        <w:rPr>
          <w:rStyle w:val="FootnoteReference"/>
        </w:rPr>
        <w:footnoteRef/>
      </w:r>
      <w:r w:rsidRPr="008C23C8">
        <w:rPr>
          <w:i/>
          <w:lang w:val="hy-AM"/>
        </w:rPr>
        <w:t>ՏԱՑ-ի աճին ճյուղերի նպաստումները ՀՀ ֆինանսների նախարարության գնահատականներն են: Գյուղատնտեսության ցուցանիշը ներառված չէ հաշվարկներում, քանի որ հրապարակվում է եռամսյակային պարբերականությամբ՝ պայմանավորված գյուղատնտեսության սեզոնայնությամբ և բնակլիմայական ոչ կայուն պայմաններից կախված ամսական արտադրության տատանողականության հարթեցման անհրաժեշտությամբ:</w:t>
      </w:r>
    </w:p>
  </w:footnote>
  <w:footnote w:id="3">
    <w:p w14:paraId="4E16207B" w14:textId="77777777" w:rsidR="00CB6CFF" w:rsidRPr="00EA45BA" w:rsidRDefault="00CB6CFF" w:rsidP="00EA45BA">
      <w:pPr>
        <w:pStyle w:val="FootnoteText"/>
        <w:rPr>
          <w:lang w:val="hy-AM"/>
        </w:rPr>
      </w:pPr>
      <w:r w:rsidRPr="002276A1">
        <w:rPr>
          <w:rStyle w:val="FootnoteReference"/>
        </w:rPr>
        <w:footnoteRef/>
      </w:r>
      <w:r w:rsidRPr="00EA45BA">
        <w:rPr>
          <w:lang w:val="hy-AM"/>
        </w:rPr>
        <w:t xml:space="preserve"> </w:t>
      </w:r>
      <w:r w:rsidRPr="00EA45BA">
        <w:rPr>
          <w:i/>
          <w:lang w:val="hy-AM"/>
        </w:rPr>
        <w:t xml:space="preserve">Տե՛ս Գնաճի հաշվետվություն, 2020/2, ՀՀ ԿԲ, </w:t>
      </w:r>
      <w:hyperlink r:id="rId2" w:history="1">
        <w:r w:rsidRPr="00EA45BA">
          <w:rPr>
            <w:rStyle w:val="Hyperlink"/>
            <w:i/>
            <w:lang w:val="hy-AM"/>
          </w:rPr>
          <w:t>https://www.cba.am/Storage/AM/downloads/parberakan/DVQ/Gnach_II_20.pdf</w:t>
        </w:r>
      </w:hyperlink>
      <w:r w:rsidRPr="00EA45BA">
        <w:rPr>
          <w:i/>
          <w:lang w:val="hy-AM"/>
        </w:rPr>
        <w:t>։</w:t>
      </w:r>
      <w:r w:rsidRPr="00EA45BA">
        <w:rPr>
          <w:lang w:val="hy-AM"/>
        </w:rPr>
        <w:t xml:space="preserve"> </w:t>
      </w:r>
    </w:p>
  </w:footnote>
  <w:footnote w:id="4">
    <w:p w14:paraId="41E8E440" w14:textId="77777777" w:rsidR="00CB6CFF" w:rsidRPr="008F1329" w:rsidRDefault="00CB6CFF" w:rsidP="00EA45BA">
      <w:pPr>
        <w:pBdr>
          <w:top w:val="nil"/>
          <w:left w:val="nil"/>
          <w:bottom w:val="nil"/>
          <w:right w:val="nil"/>
          <w:between w:val="nil"/>
        </w:pBdr>
        <w:rPr>
          <w:rFonts w:ascii="Merriweather" w:eastAsia="Merriweather" w:hAnsi="Merriweather" w:cs="Merriweather"/>
          <w:color w:val="000000"/>
          <w:sz w:val="20"/>
          <w:szCs w:val="20"/>
          <w:lang w:val="hy-AM"/>
        </w:rPr>
      </w:pPr>
      <w:r>
        <w:rPr>
          <w:rStyle w:val="FootnoteReference"/>
        </w:rPr>
        <w:footnoteRef/>
      </w:r>
      <w:r w:rsidRPr="008F1329">
        <w:rPr>
          <w:color w:val="000000"/>
          <w:sz w:val="20"/>
          <w:szCs w:val="20"/>
          <w:lang w:val="hy-AM"/>
        </w:rPr>
        <w:t xml:space="preserve"> </w:t>
      </w:r>
      <w:r w:rsidRPr="00F330A0">
        <w:rPr>
          <w:rFonts w:eastAsia="GHEA Grapalat" w:cs="GHEA Grapalat"/>
          <w:i/>
          <w:color w:val="000000"/>
          <w:sz w:val="16"/>
          <w:szCs w:val="16"/>
          <w:lang w:val="hy-AM"/>
        </w:rPr>
        <w:t xml:space="preserve">ՀՀ ֆինանսների նախարարության հարկաբյուջետային քաղաքականության դինամիկ ստոխաստիկ </w:t>
      </w:r>
      <w:r w:rsidRPr="00F330A0">
        <w:rPr>
          <w:rFonts w:eastAsia="GHEA Grapalat" w:cs="GHEA Grapalat"/>
          <w:i/>
          <w:sz w:val="16"/>
          <w:szCs w:val="16"/>
          <w:lang w:val="hy-AM"/>
        </w:rPr>
        <w:t xml:space="preserve">ընդհանուր հավասարակշռության </w:t>
      </w:r>
      <w:r w:rsidRPr="00F330A0">
        <w:rPr>
          <w:rFonts w:eastAsia="GHEA Grapalat" w:cs="GHEA Grapalat"/>
          <w:i/>
          <w:color w:val="000000"/>
          <w:sz w:val="16"/>
          <w:szCs w:val="16"/>
          <w:lang w:val="hy-AM"/>
        </w:rPr>
        <w:t>մոդելը մշակվել է 2018-2020</w:t>
      </w:r>
      <w:r w:rsidRPr="00216BEF">
        <w:rPr>
          <w:rFonts w:eastAsia="GHEA Grapalat" w:cs="GHEA Grapalat"/>
          <w:i/>
          <w:color w:val="000000"/>
          <w:sz w:val="16"/>
          <w:szCs w:val="16"/>
          <w:lang w:val="hy-AM"/>
        </w:rPr>
        <w:t xml:space="preserve">թթ. </w:t>
      </w:r>
      <w:r w:rsidRPr="00F330A0">
        <w:rPr>
          <w:rFonts w:eastAsia="GHEA Grapalat" w:cs="GHEA Grapalat"/>
          <w:i/>
          <w:color w:val="000000"/>
          <w:sz w:val="16"/>
          <w:szCs w:val="16"/>
          <w:lang w:val="hy-AM"/>
        </w:rPr>
        <w:t xml:space="preserve">ընթացքում՝ ԱՄՀ կողմից տրամադրված տեխնիկական աջակցության </w:t>
      </w:r>
      <w:r>
        <w:rPr>
          <w:rFonts w:eastAsia="GHEA Grapalat" w:cs="GHEA Grapalat"/>
          <w:i/>
          <w:color w:val="000000"/>
          <w:sz w:val="16"/>
          <w:szCs w:val="16"/>
          <w:lang w:val="hy-AM"/>
        </w:rPr>
        <w:t>շրջանակներում, ավելի մանրամասն տես Ներդիր 3.-ում:</w:t>
      </w:r>
    </w:p>
  </w:footnote>
  <w:footnote w:id="5">
    <w:p w14:paraId="1E8955BA" w14:textId="77777777" w:rsidR="00CB6CFF" w:rsidRPr="00EA45BA" w:rsidRDefault="00CB6CFF" w:rsidP="00EA45BA">
      <w:pPr>
        <w:pStyle w:val="FootnoteText"/>
        <w:rPr>
          <w:lang w:val="hy-AM"/>
        </w:rPr>
      </w:pPr>
      <w:r>
        <w:rPr>
          <w:rStyle w:val="FootnoteReference"/>
        </w:rPr>
        <w:footnoteRef/>
      </w:r>
      <w:r w:rsidRPr="00EA45BA">
        <w:rPr>
          <w:lang w:val="hy-AM"/>
        </w:rPr>
        <w:t xml:space="preserve"> </w:t>
      </w:r>
      <w:r w:rsidRPr="00EA45BA">
        <w:rPr>
          <w:rFonts w:eastAsia="GHEA Grapalat" w:cs="GHEA Grapalat"/>
          <w:i/>
          <w:color w:val="000000"/>
          <w:lang w:val="hy-AM"/>
        </w:rPr>
        <w:t>ՀՀ գործընկեր երկրների տնտեսական աճերի 2020 և 2021 թթ. ԱՄՀ կողմից ապրիլ ամսվա կանխատեսումները ներկայացված են Աղյուսակ 1.2.-ում</w:t>
      </w:r>
    </w:p>
  </w:footnote>
  <w:footnote w:id="6">
    <w:p w14:paraId="15AA7852" w14:textId="77777777" w:rsidR="00CB6CFF" w:rsidRPr="00E23179" w:rsidRDefault="00CB6CFF" w:rsidP="00AE7D71">
      <w:pPr>
        <w:rPr>
          <w:lang w:val="hy-AM"/>
        </w:rPr>
      </w:pPr>
      <w:r w:rsidRPr="006F5B44">
        <w:rPr>
          <w:sz w:val="16"/>
          <w:szCs w:val="20"/>
          <w:vertAlign w:val="superscript"/>
          <w:lang w:val="hy-AM"/>
        </w:rPr>
        <w:footnoteRef/>
      </w:r>
      <w:r w:rsidRPr="006F5B44">
        <w:rPr>
          <w:sz w:val="16"/>
          <w:szCs w:val="20"/>
          <w:vertAlign w:val="superscript"/>
          <w:lang w:val="hy-AM"/>
        </w:rPr>
        <w:t xml:space="preserve"> </w:t>
      </w:r>
      <w:r w:rsidRPr="00F330A0">
        <w:rPr>
          <w:i/>
          <w:sz w:val="16"/>
          <w:szCs w:val="20"/>
          <w:lang w:val="hy-AM"/>
        </w:rPr>
        <w:t>Աղյուսակ</w:t>
      </w:r>
      <w:r w:rsidRPr="0035033F">
        <w:rPr>
          <w:i/>
          <w:sz w:val="16"/>
          <w:szCs w:val="20"/>
          <w:lang w:val="hy-AM"/>
        </w:rPr>
        <w:t>ի</w:t>
      </w:r>
      <w:r w:rsidRPr="00F330A0">
        <w:rPr>
          <w:i/>
          <w:sz w:val="16"/>
          <w:szCs w:val="20"/>
          <w:lang w:val="hy-AM"/>
        </w:rPr>
        <w:t xml:space="preserve"> 1-ին սյունը իրենից ներկայացնում է տնտեսական աճի հնարավոր միջա</w:t>
      </w:r>
      <w:r w:rsidRPr="00F330A0">
        <w:rPr>
          <w:i/>
          <w:sz w:val="16"/>
          <w:szCs w:val="20"/>
          <w:lang w:val="hy-AM"/>
        </w:rPr>
        <w:softHyphen/>
        <w:t>կայքերը, իսկ 2-ից 5-րդ սյուները` համապատասխան միջակայքերում միջնաժամկետում տնտեսական աճի գտնվելու հավանականությունները։ Աղյուսակում ներկայացվել են տնտեսական աճի ամենահավանական միջակայքերը, որոնք միասին ծածկում են բաշխման ընդհանուր հավանականության շուրջ 95%-ը, այսինքն` հավանականությունը, որ տնտեսական աճը կգտնվի -8%-ից 12% միջակայքում, կազմում է մոտ 95%:</w:t>
      </w:r>
    </w:p>
  </w:footnote>
  <w:footnote w:id="7">
    <w:p w14:paraId="47D69AA9" w14:textId="77777777" w:rsidR="00CB6CFF" w:rsidRPr="00484683" w:rsidRDefault="00CB6CFF" w:rsidP="00C7695C">
      <w:pPr>
        <w:pStyle w:val="FootnoteText"/>
        <w:rPr>
          <w:lang w:val="hy-AM"/>
        </w:rPr>
      </w:pPr>
      <w:r w:rsidRPr="00484683">
        <w:rPr>
          <w:rStyle w:val="FootnoteReference"/>
          <w:sz w:val="18"/>
          <w:szCs w:val="18"/>
        </w:rPr>
        <w:footnoteRef/>
      </w:r>
      <w:r w:rsidRPr="00C7695C">
        <w:rPr>
          <w:lang w:val="hy-AM"/>
        </w:rPr>
        <w:t xml:space="preserve"> </w:t>
      </w:r>
      <w:r w:rsidRPr="00484683">
        <w:rPr>
          <w:lang w:val="hy-AM"/>
        </w:rPr>
        <w:t xml:space="preserve">Տե՛ս «Բյուջետային համակարգի մասին» ՀՀ օրենքի 21-րդ հոդվածի 8.2, 8.3 և 8.4 մասերը, «Պետական պարտքի մասին» ՀՀ օրենքի 5-րդ հոդվածի 6-րդ և 7-րդ մասերը, ինչպես նաև ՀՀ </w:t>
      </w:r>
      <w:r>
        <w:rPr>
          <w:lang w:val="hy-AM"/>
        </w:rPr>
        <w:t>կ</w:t>
      </w:r>
      <w:r w:rsidRPr="00484683">
        <w:rPr>
          <w:lang w:val="hy-AM"/>
        </w:rPr>
        <w:t>առավարության</w:t>
      </w:r>
      <w:r>
        <w:rPr>
          <w:lang w:val="hy-AM"/>
        </w:rPr>
        <w:t>՝</w:t>
      </w:r>
      <w:r w:rsidRPr="00484683">
        <w:rPr>
          <w:lang w:val="hy-AM"/>
        </w:rPr>
        <w:t xml:space="preserve"> 2018 թվականի օգոստոսի 23-ի N 942-Ն որոշումը:</w:t>
      </w:r>
    </w:p>
  </w:footnote>
  <w:footnote w:id="8">
    <w:p w14:paraId="0EF81A11" w14:textId="77777777" w:rsidR="00CB6CFF" w:rsidRPr="000878DD" w:rsidRDefault="00CB6CFF" w:rsidP="00C7695C">
      <w:pPr>
        <w:pStyle w:val="FootnoteText"/>
        <w:rPr>
          <w:lang w:val="hy-AM"/>
        </w:rPr>
      </w:pPr>
      <w:r w:rsidRPr="00426D58">
        <w:rPr>
          <w:rStyle w:val="FootnoteReference"/>
        </w:rPr>
        <w:footnoteRef/>
      </w:r>
      <w:r w:rsidRPr="000878DD">
        <w:rPr>
          <w:lang w:val="hy-AM"/>
        </w:rPr>
        <w:t xml:space="preserve"> </w:t>
      </w:r>
      <w:r w:rsidRPr="00426D58">
        <w:rPr>
          <w:lang w:val="hy-AM"/>
        </w:rPr>
        <w:t xml:space="preserve">Կառավարության պարտքի բեռի փոփոխության տրոհումը ըստ գործոնների հաշվարկվել է բաց տնտեսությունում </w:t>
      </w:r>
      <w:r>
        <w:rPr>
          <w:lang w:val="hy-AM"/>
        </w:rPr>
        <w:t>«</w:t>
      </w:r>
      <w:r w:rsidRPr="00426D58">
        <w:rPr>
          <w:lang w:val="hy-AM"/>
        </w:rPr>
        <w:t>պարտքի շարժման</w:t>
      </w:r>
      <w:r>
        <w:rPr>
          <w:lang w:val="hy-AM"/>
        </w:rPr>
        <w:t>»</w:t>
      </w:r>
      <w:r w:rsidRPr="00426D58">
        <w:rPr>
          <w:lang w:val="hy-AM"/>
        </w:rPr>
        <w:t xml:space="preserve"> բանաձևի օգնությամբ, որտեղ պարտքի փոփոխությունը ֆունկցիա է տնտեսական աճից</w:t>
      </w:r>
      <w:r>
        <w:rPr>
          <w:rFonts w:ascii="Cambria Math" w:hAnsi="Cambria Math" w:cs="Cambria Math"/>
          <w:lang w:val="hy-AM"/>
        </w:rPr>
        <w:t>,</w:t>
      </w:r>
      <w:r w:rsidRPr="000878DD">
        <w:rPr>
          <w:lang w:val="hy-AM"/>
        </w:rPr>
        <w:t xml:space="preserve"> </w:t>
      </w:r>
      <w:r w:rsidRPr="000878DD">
        <w:rPr>
          <w:rFonts w:cs="GHEA Grapalat"/>
          <w:lang w:val="hy-AM"/>
        </w:rPr>
        <w:t>բյուջեի</w:t>
      </w:r>
      <w:r w:rsidRPr="000878DD">
        <w:rPr>
          <w:lang w:val="hy-AM"/>
        </w:rPr>
        <w:t xml:space="preserve"> առաջնային հաշվեկշռից, փոխարժեքից, իրական տոկոսադրույքից </w:t>
      </w:r>
      <w:r w:rsidRPr="00426D58">
        <w:rPr>
          <w:lang w:val="hy-AM"/>
        </w:rPr>
        <w:t xml:space="preserve">և պարտք առաջացնող այլ հոսքերից </w:t>
      </w:r>
      <w:r w:rsidRPr="000878DD">
        <w:rPr>
          <w:lang w:val="hy-AM"/>
        </w:rPr>
        <w:t>(</w:t>
      </w:r>
      <w:r>
        <w:rPr>
          <w:lang w:val="hy-AM"/>
        </w:rPr>
        <w:t>ՀՀ</w:t>
      </w:r>
      <w:r w:rsidRPr="00426D58">
        <w:rPr>
          <w:lang w:val="hy-AM"/>
        </w:rPr>
        <w:t xml:space="preserve"> </w:t>
      </w:r>
      <w:r>
        <w:rPr>
          <w:lang w:val="hy-AM"/>
        </w:rPr>
        <w:t>համար</w:t>
      </w:r>
      <w:r w:rsidRPr="00426D58">
        <w:rPr>
          <w:lang w:val="hy-AM"/>
        </w:rPr>
        <w:t>՝ զուտ վարկավորում պետական բյուջեից</w:t>
      </w:r>
      <w:r w:rsidRPr="000878DD">
        <w:rPr>
          <w:lang w:val="hy-AM"/>
        </w:rPr>
        <w:t>)</w:t>
      </w:r>
      <w:r w:rsidRPr="00426D58">
        <w:rPr>
          <w:lang w:val="hy-AM"/>
        </w:rPr>
        <w:t xml:space="preserve">։ Հաշվարկման ընթացքում այս գործոններով չբացատրված պարտքի փոփոխության չափը արտացոլվում է որպես «մնացորդ», և, կարող է բնութագրել </w:t>
      </w:r>
      <w:r w:rsidRPr="0035033F">
        <w:rPr>
          <w:lang w:val="hy-AM"/>
        </w:rPr>
        <w:t>ք</w:t>
      </w:r>
      <w:r w:rsidRPr="00426D58">
        <w:rPr>
          <w:lang w:val="hy-AM"/>
        </w:rPr>
        <w:t>րոս</w:t>
      </w:r>
      <w:r w:rsidRPr="0035033F">
        <w:rPr>
          <w:lang w:val="hy-AM"/>
        </w:rPr>
        <w:t xml:space="preserve"> </w:t>
      </w:r>
      <w:r w:rsidRPr="00DA3AAD">
        <w:rPr>
          <w:lang w:val="hy-AM"/>
        </w:rPr>
        <w:t>(</w:t>
      </w:r>
      <w:r w:rsidRPr="00DA3AAD">
        <w:rPr>
          <w:color w:val="C00000"/>
          <w:lang w:val="hy-AM"/>
        </w:rPr>
        <w:t>արժույթների միմյանց նկատմամբ</w:t>
      </w:r>
      <w:r w:rsidRPr="007750C0">
        <w:rPr>
          <w:color w:val="C00000"/>
          <w:lang w:val="hy-AM"/>
        </w:rPr>
        <w:t>)</w:t>
      </w:r>
      <w:r w:rsidRPr="007750C0">
        <w:rPr>
          <w:i/>
          <w:color w:val="C00000"/>
          <w:lang w:val="hy-AM"/>
        </w:rPr>
        <w:t xml:space="preserve"> </w:t>
      </w:r>
      <w:r w:rsidRPr="00426D58">
        <w:rPr>
          <w:lang w:val="hy-AM"/>
        </w:rPr>
        <w:t>փոխարժեքների փոփոխությամբ պայմանավորված վերագնահատման ազդեցությունները։</w:t>
      </w:r>
      <w:r w:rsidRPr="000878DD">
        <w:rPr>
          <w:lang w:val="hy-AM"/>
        </w:rPr>
        <w:t xml:space="preserve"> </w:t>
      </w:r>
      <w:r w:rsidRPr="00426D58">
        <w:rPr>
          <w:lang w:val="hy-AM"/>
        </w:rPr>
        <w:t xml:space="preserve"> </w:t>
      </w:r>
    </w:p>
  </w:footnote>
  <w:footnote w:id="9">
    <w:p w14:paraId="5F0CBB64" w14:textId="77777777" w:rsidR="00CB6CFF" w:rsidRPr="006518B4" w:rsidRDefault="00CB6CFF" w:rsidP="00C7695C">
      <w:pPr>
        <w:pStyle w:val="FootnoteText"/>
        <w:rPr>
          <w:lang w:val="hy-AM"/>
        </w:rPr>
      </w:pPr>
      <w:r>
        <w:rPr>
          <w:rStyle w:val="FootnoteReference"/>
          <w:rFonts w:eastAsia="SimSun"/>
        </w:rPr>
        <w:footnoteRef/>
      </w:r>
      <w:r w:rsidRPr="006518B4">
        <w:rPr>
          <w:lang w:val="ro-RO"/>
        </w:rPr>
        <w:t xml:space="preserve"> </w:t>
      </w:r>
      <w:r>
        <w:rPr>
          <w:lang w:val="hy-AM"/>
        </w:rPr>
        <w:t xml:space="preserve">Տնտեսության աջակցության ծրագրերն առավել մանրամասն ներկայացված են ՀՀ կառավարության պաշտոնական էջում, որը հասանելի է հետևյալ հղմամբ. </w:t>
      </w:r>
      <w:hyperlink r:id="rId3" w:history="1">
        <w:r w:rsidRPr="008C63C1">
          <w:rPr>
            <w:rStyle w:val="Hyperlink"/>
            <w:lang w:val="hy-AM"/>
          </w:rPr>
          <w:t>https://www.gov.am/am/covid19./</w:t>
        </w:r>
      </w:hyperlink>
      <w:r>
        <w:rPr>
          <w:lang w:val="hy-AM"/>
        </w:rPr>
        <w:t xml:space="preserve"> </w:t>
      </w:r>
    </w:p>
  </w:footnote>
  <w:footnote w:id="10">
    <w:p w14:paraId="067DD488" w14:textId="77777777" w:rsidR="00CB6CFF" w:rsidRPr="006518B4" w:rsidRDefault="00CB6CFF" w:rsidP="00C7695C">
      <w:pPr>
        <w:pStyle w:val="FootnoteText"/>
        <w:rPr>
          <w:lang w:val="hy-AM"/>
        </w:rPr>
      </w:pPr>
      <w:r>
        <w:rPr>
          <w:rStyle w:val="FootnoteReference"/>
          <w:rFonts w:eastAsia="SimSun"/>
        </w:rPr>
        <w:footnoteRef/>
      </w:r>
      <w:r w:rsidRPr="006518B4">
        <w:rPr>
          <w:lang w:val="hy-AM"/>
        </w:rPr>
        <w:t xml:space="preserve"> </w:t>
      </w:r>
      <w:r>
        <w:rPr>
          <w:lang w:val="hy-AM"/>
        </w:rPr>
        <w:t xml:space="preserve">Սոցիալական աջակցության ծրագրերն առավել մանրամասն ներկայացված են ՀՀ կառավարության պաշտոնական էջում, որը հասանելի է հետևյալ հղմամբ. </w:t>
      </w:r>
      <w:hyperlink r:id="rId4" w:history="1">
        <w:r w:rsidRPr="008C63C1">
          <w:rPr>
            <w:rStyle w:val="Hyperlink"/>
            <w:lang w:val="hy-AM"/>
          </w:rPr>
          <w:t>https://www.gov.am/am/covid-19-cragrer./</w:t>
        </w:r>
      </w:hyperlink>
      <w:r>
        <w:rPr>
          <w:lang w:val="hy-AM"/>
        </w:rPr>
        <w:t xml:space="preserve"> </w:t>
      </w:r>
    </w:p>
  </w:footnote>
  <w:footnote w:id="11">
    <w:p w14:paraId="244F19C8" w14:textId="77777777" w:rsidR="00CB6CFF" w:rsidRPr="000878DD" w:rsidRDefault="00CB6CFF" w:rsidP="00C7695C">
      <w:pPr>
        <w:pStyle w:val="FootnoteText"/>
        <w:rPr>
          <w:lang w:val="hy-AM"/>
        </w:rPr>
      </w:pPr>
      <w:r>
        <w:rPr>
          <w:rStyle w:val="FootnoteReference"/>
        </w:rPr>
        <w:footnoteRef/>
      </w:r>
      <w:r w:rsidRPr="000878DD">
        <w:rPr>
          <w:lang w:val="hy-AM"/>
        </w:rPr>
        <w:t xml:space="preserve"> Հարկաբյուջետային կանխատեսումների համար հիմք է հանդիսացել 2020թ.-</w:t>
      </w:r>
      <w:r>
        <w:rPr>
          <w:lang w:val="hy-AM"/>
        </w:rPr>
        <w:t>ի ապրիլի վերջի դրությամբ առկա տեղեկատվությունը՝ համավարակի</w:t>
      </w:r>
      <w:r w:rsidRPr="00B2302A">
        <w:rPr>
          <w:lang w:val="hy-AM"/>
        </w:rPr>
        <w:t xml:space="preserve"> տարածման արագության, դրա </w:t>
      </w:r>
      <w:r>
        <w:rPr>
          <w:lang w:val="hy-AM"/>
        </w:rPr>
        <w:t>տնտեսական ազդեցությունների, միջազգային կազմակերպությունների կանխատեսումների, ինչպես նաև հարկաբյուջետային քաղաքականության հակաճգնաժամային միջոցառումների վերաբերյալ:</w:t>
      </w:r>
    </w:p>
  </w:footnote>
  <w:footnote w:id="12">
    <w:p w14:paraId="099CE63A" w14:textId="77777777" w:rsidR="00CB6CFF" w:rsidRPr="00E2325B" w:rsidRDefault="00CB6CFF" w:rsidP="00C7695C">
      <w:pPr>
        <w:pStyle w:val="FootnoteText"/>
        <w:rPr>
          <w:lang w:val="hy-AM"/>
        </w:rPr>
      </w:pPr>
      <w:r w:rsidRPr="00E2325B">
        <w:rPr>
          <w:rStyle w:val="FootnoteReference"/>
        </w:rPr>
        <w:footnoteRef/>
      </w:r>
      <w:r w:rsidRPr="00E2325B">
        <w:rPr>
          <w:lang w:val="hy-AM"/>
        </w:rPr>
        <w:t xml:space="preserve"> </w:t>
      </w:r>
      <w:r>
        <w:rPr>
          <w:lang w:val="hy-AM"/>
        </w:rPr>
        <w:t>Ա</w:t>
      </w:r>
      <w:r w:rsidRPr="00E2325B">
        <w:rPr>
          <w:lang w:val="hy-AM"/>
        </w:rPr>
        <w:t>յս հատվածում նկարագրված ռիսկերի առավել մանրամասն վերլուծությունը ներկայացված է այս փաստաթղթի ՄԱՍ IV-ի «</w:t>
      </w:r>
      <w:r>
        <w:rPr>
          <w:lang w:val="hy-AM"/>
        </w:rPr>
        <w:t>Պ</w:t>
      </w:r>
      <w:r w:rsidRPr="00E2325B">
        <w:rPr>
          <w:lang w:val="hy-AM"/>
        </w:rPr>
        <w:t>ետական բյուջեի վրա մակրոտնտեսական կանխատեսված ցուցանիշներից շեղման ռիսկերի ազդեցության քանակական գնահատում»</w:t>
      </w:r>
      <w:r>
        <w:rPr>
          <w:lang w:val="hy-AM"/>
        </w:rPr>
        <w:t xml:space="preserve"> և</w:t>
      </w:r>
      <w:r w:rsidRPr="00E2325B">
        <w:rPr>
          <w:lang w:val="hy-AM"/>
        </w:rPr>
        <w:t xml:space="preserve"> </w:t>
      </w:r>
      <w:r>
        <w:rPr>
          <w:lang w:val="hy-AM"/>
        </w:rPr>
        <w:t>«ՀՀ</w:t>
      </w:r>
      <w:r w:rsidRPr="00E2325B">
        <w:rPr>
          <w:lang w:val="hy-AM"/>
        </w:rPr>
        <w:t xml:space="preserve"> կառավարության պարտքի կայունության վերլուծություն</w:t>
      </w:r>
      <w:r>
        <w:rPr>
          <w:lang w:val="hy-AM"/>
        </w:rPr>
        <w:t>» բաժիններում։</w:t>
      </w:r>
      <w:r w:rsidRPr="00E2325B">
        <w:rPr>
          <w:lang w:val="hy-AM"/>
        </w:rPr>
        <w:t xml:space="preserve"> </w:t>
      </w:r>
    </w:p>
  </w:footnote>
  <w:footnote w:id="13">
    <w:p w14:paraId="6338E701" w14:textId="77777777" w:rsidR="00CB6CFF" w:rsidRPr="001359BB" w:rsidRDefault="00CB6CFF" w:rsidP="00C7695C">
      <w:pPr>
        <w:pStyle w:val="FootnoteText"/>
        <w:rPr>
          <w:lang w:val="hy-AM"/>
        </w:rPr>
      </w:pPr>
      <w:r w:rsidRPr="00AE04D2">
        <w:rPr>
          <w:rStyle w:val="FootnoteReference"/>
        </w:rPr>
        <w:footnoteRef/>
      </w:r>
      <w:r w:rsidRPr="001359BB">
        <w:rPr>
          <w:lang w:val="hy-AM"/>
        </w:rPr>
        <w:t xml:space="preserve"> Հայաստանի Հանրապետության 2020 թվականի պետական բյուջեի մասին» օրենքում փոփոխություն և լրացումներ կատարելու մասին» Հայաստանի Հանրապետության օրենքի նախագծին հավանություն տալու մասին»</w:t>
      </w:r>
    </w:p>
  </w:footnote>
  <w:footnote w:id="14">
    <w:p w14:paraId="19030A73" w14:textId="77777777" w:rsidR="00CB6CFF" w:rsidRPr="00117D85" w:rsidRDefault="00CB6CFF" w:rsidP="00E11F71">
      <w:pPr>
        <w:pStyle w:val="FootnoteText"/>
        <w:rPr>
          <w:sz w:val="14"/>
          <w:lang w:val="sk-SK"/>
        </w:rPr>
      </w:pPr>
      <w:r w:rsidRPr="00117D85">
        <w:rPr>
          <w:rStyle w:val="FootnoteReference"/>
          <w:rFonts w:eastAsiaTheme="majorEastAsia"/>
          <w:sz w:val="18"/>
        </w:rPr>
        <w:footnoteRef/>
      </w:r>
      <w:r w:rsidRPr="00117D85">
        <w:rPr>
          <w:sz w:val="18"/>
          <w:lang w:val="hy-AM"/>
        </w:rPr>
        <w:t>Սա</w:t>
      </w:r>
      <w:r w:rsidRPr="00117D85">
        <w:rPr>
          <w:sz w:val="18"/>
          <w:lang w:val="sk-SK"/>
        </w:rPr>
        <w:t xml:space="preserve"> </w:t>
      </w:r>
      <w:r w:rsidRPr="00117D85">
        <w:rPr>
          <w:sz w:val="18"/>
          <w:lang w:val="hy-AM"/>
        </w:rPr>
        <w:t>որոշակիորեն</w:t>
      </w:r>
      <w:r w:rsidRPr="00117D85">
        <w:rPr>
          <w:sz w:val="18"/>
          <w:lang w:val="sk-SK"/>
        </w:rPr>
        <w:t xml:space="preserve"> </w:t>
      </w:r>
      <w:r w:rsidRPr="00117D85">
        <w:rPr>
          <w:sz w:val="18"/>
          <w:lang w:val="hy-AM"/>
        </w:rPr>
        <w:t>կապված</w:t>
      </w:r>
      <w:r w:rsidRPr="00117D85">
        <w:rPr>
          <w:sz w:val="18"/>
          <w:lang w:val="sk-SK"/>
        </w:rPr>
        <w:t xml:space="preserve"> </w:t>
      </w:r>
      <w:r w:rsidRPr="00117D85">
        <w:rPr>
          <w:sz w:val="18"/>
          <w:lang w:val="hy-AM"/>
        </w:rPr>
        <w:t>է</w:t>
      </w:r>
      <w:r w:rsidRPr="00117D85">
        <w:rPr>
          <w:sz w:val="18"/>
          <w:lang w:val="sk-SK"/>
        </w:rPr>
        <w:t xml:space="preserve"> </w:t>
      </w:r>
      <w:r w:rsidRPr="00117D85">
        <w:rPr>
          <w:sz w:val="18"/>
          <w:lang w:val="hy-AM"/>
        </w:rPr>
        <w:t>նաև</w:t>
      </w:r>
      <w:r w:rsidRPr="00117D85">
        <w:rPr>
          <w:sz w:val="18"/>
          <w:lang w:val="sk-SK"/>
        </w:rPr>
        <w:t xml:space="preserve"> </w:t>
      </w:r>
      <w:r w:rsidRPr="00117D85">
        <w:rPr>
          <w:sz w:val="18"/>
          <w:lang w:val="hy-AM"/>
        </w:rPr>
        <w:t>մոդելների</w:t>
      </w:r>
      <w:r w:rsidRPr="00117D85">
        <w:rPr>
          <w:sz w:val="18"/>
          <w:lang w:val="sk-SK"/>
        </w:rPr>
        <w:t xml:space="preserve"> </w:t>
      </w:r>
      <w:r w:rsidRPr="00117D85">
        <w:rPr>
          <w:sz w:val="18"/>
          <w:lang w:val="hy-AM"/>
        </w:rPr>
        <w:t>սպեցիֆիկացիաների</w:t>
      </w:r>
      <w:r w:rsidRPr="00117D85">
        <w:rPr>
          <w:sz w:val="18"/>
          <w:lang w:val="sk-SK"/>
        </w:rPr>
        <w:t xml:space="preserve"> </w:t>
      </w:r>
      <w:r w:rsidRPr="00117D85">
        <w:rPr>
          <w:sz w:val="18"/>
          <w:lang w:val="hy-AM"/>
        </w:rPr>
        <w:t>հետ</w:t>
      </w:r>
      <w:r w:rsidRPr="00117D85">
        <w:rPr>
          <w:sz w:val="18"/>
          <w:lang w:val="sk-SK"/>
        </w:rPr>
        <w:t xml:space="preserve">, </w:t>
      </w:r>
      <w:r w:rsidRPr="00117D85">
        <w:rPr>
          <w:sz w:val="18"/>
          <w:lang w:val="hy-AM"/>
        </w:rPr>
        <w:t>քանի</w:t>
      </w:r>
      <w:r w:rsidRPr="00117D85">
        <w:rPr>
          <w:sz w:val="18"/>
          <w:lang w:val="sk-SK"/>
        </w:rPr>
        <w:t xml:space="preserve"> </w:t>
      </w:r>
      <w:r w:rsidRPr="00117D85">
        <w:rPr>
          <w:sz w:val="18"/>
          <w:lang w:val="hy-AM"/>
        </w:rPr>
        <w:t>որ</w:t>
      </w:r>
      <w:r w:rsidRPr="00117D85">
        <w:rPr>
          <w:sz w:val="18"/>
          <w:lang w:val="sk-SK"/>
        </w:rPr>
        <w:t xml:space="preserve"> </w:t>
      </w:r>
      <w:r w:rsidRPr="00117D85">
        <w:rPr>
          <w:sz w:val="18"/>
          <w:lang w:val="hy-AM"/>
        </w:rPr>
        <w:t>ժամանակային</w:t>
      </w:r>
      <w:r w:rsidRPr="00117D85">
        <w:rPr>
          <w:sz w:val="18"/>
          <w:lang w:val="sk-SK"/>
        </w:rPr>
        <w:t xml:space="preserve"> </w:t>
      </w:r>
      <w:r w:rsidRPr="00117D85">
        <w:rPr>
          <w:sz w:val="18"/>
          <w:lang w:val="hy-AM"/>
        </w:rPr>
        <w:t>շարքերի</w:t>
      </w:r>
      <w:r w:rsidRPr="00117D85">
        <w:rPr>
          <w:sz w:val="18"/>
          <w:lang w:val="sk-SK"/>
        </w:rPr>
        <w:t xml:space="preserve"> </w:t>
      </w:r>
      <w:r w:rsidRPr="00117D85">
        <w:rPr>
          <w:sz w:val="18"/>
          <w:lang w:val="hy-AM"/>
        </w:rPr>
        <w:t>վրա</w:t>
      </w:r>
      <w:r w:rsidRPr="00117D85">
        <w:rPr>
          <w:sz w:val="18"/>
          <w:lang w:val="sk-SK"/>
        </w:rPr>
        <w:t xml:space="preserve"> </w:t>
      </w:r>
      <w:r w:rsidRPr="00117D85">
        <w:rPr>
          <w:sz w:val="18"/>
          <w:lang w:val="hy-AM"/>
        </w:rPr>
        <w:t>հիմնված</w:t>
      </w:r>
      <w:r w:rsidRPr="00117D85">
        <w:rPr>
          <w:sz w:val="18"/>
          <w:lang w:val="sk-SK"/>
        </w:rPr>
        <w:t xml:space="preserve"> </w:t>
      </w:r>
      <w:r w:rsidRPr="00117D85">
        <w:rPr>
          <w:sz w:val="18"/>
          <w:lang w:val="hy-AM"/>
        </w:rPr>
        <w:t>մոդելներն</w:t>
      </w:r>
      <w:r w:rsidRPr="00117D85">
        <w:rPr>
          <w:sz w:val="18"/>
          <w:lang w:val="sk-SK"/>
        </w:rPr>
        <w:t xml:space="preserve"> </w:t>
      </w:r>
      <w:r w:rsidRPr="00117D85">
        <w:rPr>
          <w:sz w:val="18"/>
          <w:lang w:val="hy-AM"/>
        </w:rPr>
        <w:t>իրենց</w:t>
      </w:r>
      <w:r w:rsidRPr="00117D85">
        <w:rPr>
          <w:sz w:val="18"/>
          <w:lang w:val="sk-SK"/>
        </w:rPr>
        <w:t xml:space="preserve"> </w:t>
      </w:r>
      <w:r w:rsidRPr="00117D85">
        <w:rPr>
          <w:sz w:val="18"/>
          <w:lang w:val="hy-AM"/>
        </w:rPr>
        <w:t>մեջ</w:t>
      </w:r>
      <w:r w:rsidRPr="00117D85">
        <w:rPr>
          <w:sz w:val="18"/>
          <w:lang w:val="sk-SK"/>
        </w:rPr>
        <w:t xml:space="preserve"> </w:t>
      </w:r>
      <w:r w:rsidRPr="00117D85">
        <w:rPr>
          <w:sz w:val="18"/>
          <w:lang w:val="hy-AM"/>
        </w:rPr>
        <w:t>ներառում</w:t>
      </w:r>
      <w:r w:rsidRPr="00117D85">
        <w:rPr>
          <w:sz w:val="18"/>
          <w:lang w:val="sk-SK"/>
        </w:rPr>
        <w:t xml:space="preserve"> </w:t>
      </w:r>
      <w:r w:rsidRPr="00117D85">
        <w:rPr>
          <w:sz w:val="18"/>
          <w:lang w:val="hy-AM"/>
        </w:rPr>
        <w:t>են</w:t>
      </w:r>
      <w:r w:rsidRPr="00117D85">
        <w:rPr>
          <w:sz w:val="18"/>
          <w:lang w:val="sk-SK"/>
        </w:rPr>
        <w:t xml:space="preserve"> </w:t>
      </w:r>
      <w:r w:rsidRPr="00117D85">
        <w:rPr>
          <w:sz w:val="18"/>
          <w:lang w:val="hy-AM"/>
        </w:rPr>
        <w:t>տնտեսության</w:t>
      </w:r>
      <w:r w:rsidRPr="00117D85">
        <w:rPr>
          <w:sz w:val="18"/>
          <w:lang w:val="sk-SK"/>
        </w:rPr>
        <w:t xml:space="preserve"> </w:t>
      </w:r>
      <w:r w:rsidRPr="00117D85">
        <w:rPr>
          <w:sz w:val="18"/>
          <w:lang w:val="hy-AM"/>
        </w:rPr>
        <w:t>նախորդ</w:t>
      </w:r>
      <w:r w:rsidRPr="00117D85">
        <w:rPr>
          <w:sz w:val="18"/>
          <w:lang w:val="sk-SK"/>
        </w:rPr>
        <w:t xml:space="preserve"> </w:t>
      </w:r>
      <w:r w:rsidRPr="00117D85">
        <w:rPr>
          <w:sz w:val="18"/>
          <w:lang w:val="hy-AM"/>
        </w:rPr>
        <w:t>ժամանակահատվածի</w:t>
      </w:r>
      <w:r w:rsidRPr="00117D85">
        <w:rPr>
          <w:sz w:val="18"/>
          <w:lang w:val="sk-SK"/>
        </w:rPr>
        <w:t xml:space="preserve"> </w:t>
      </w:r>
      <w:r w:rsidRPr="00117D85">
        <w:rPr>
          <w:sz w:val="18"/>
          <w:lang w:val="hy-AM"/>
        </w:rPr>
        <w:t>զարգացումների</w:t>
      </w:r>
      <w:r w:rsidRPr="00117D85">
        <w:rPr>
          <w:sz w:val="18"/>
          <w:lang w:val="sk-SK"/>
        </w:rPr>
        <w:t xml:space="preserve"> </w:t>
      </w:r>
      <w:r w:rsidRPr="00117D85">
        <w:rPr>
          <w:sz w:val="18"/>
          <w:lang w:val="hy-AM"/>
        </w:rPr>
        <w:t>տեղեկատվությունը</w:t>
      </w:r>
      <w:r w:rsidRPr="00117D85">
        <w:rPr>
          <w:sz w:val="18"/>
          <w:lang w:val="sk-SK"/>
        </w:rPr>
        <w:t xml:space="preserve">, </w:t>
      </w:r>
      <w:r w:rsidRPr="00117D85">
        <w:rPr>
          <w:sz w:val="18"/>
          <w:lang w:val="hy-AM"/>
        </w:rPr>
        <w:t>իսկ</w:t>
      </w:r>
      <w:r w:rsidRPr="00117D85">
        <w:rPr>
          <w:sz w:val="18"/>
          <w:lang w:val="sk-SK"/>
        </w:rPr>
        <w:t xml:space="preserve"> </w:t>
      </w:r>
      <w:r w:rsidRPr="00117D85">
        <w:rPr>
          <w:sz w:val="18"/>
          <w:lang w:val="hy-AM"/>
        </w:rPr>
        <w:t>կանխատեսվող</w:t>
      </w:r>
      <w:r w:rsidRPr="00117D85">
        <w:rPr>
          <w:sz w:val="18"/>
          <w:lang w:val="sk-SK"/>
        </w:rPr>
        <w:t xml:space="preserve"> </w:t>
      </w:r>
      <w:r w:rsidRPr="00117D85">
        <w:rPr>
          <w:sz w:val="18"/>
          <w:lang w:val="hy-AM"/>
        </w:rPr>
        <w:t>տարում</w:t>
      </w:r>
      <w:r w:rsidRPr="00117D85">
        <w:rPr>
          <w:sz w:val="18"/>
          <w:lang w:val="sk-SK"/>
        </w:rPr>
        <w:t xml:space="preserve"> </w:t>
      </w:r>
      <w:r w:rsidRPr="00117D85">
        <w:rPr>
          <w:sz w:val="18"/>
          <w:lang w:val="hy-AM"/>
        </w:rPr>
        <w:t>ի</w:t>
      </w:r>
      <w:r w:rsidRPr="00117D85">
        <w:rPr>
          <w:sz w:val="18"/>
          <w:lang w:val="sk-SK"/>
        </w:rPr>
        <w:t xml:space="preserve"> </w:t>
      </w:r>
      <w:r w:rsidRPr="00117D85">
        <w:rPr>
          <w:sz w:val="18"/>
          <w:lang w:val="hy-AM"/>
        </w:rPr>
        <w:t>հայտ</w:t>
      </w:r>
      <w:r w:rsidRPr="00117D85">
        <w:rPr>
          <w:sz w:val="18"/>
          <w:lang w:val="sk-SK"/>
        </w:rPr>
        <w:t xml:space="preserve"> </w:t>
      </w:r>
      <w:r w:rsidRPr="00117D85">
        <w:rPr>
          <w:sz w:val="18"/>
          <w:lang w:val="hy-AM"/>
        </w:rPr>
        <w:t>եկող</w:t>
      </w:r>
      <w:r w:rsidRPr="00117D85">
        <w:rPr>
          <w:sz w:val="18"/>
          <w:lang w:val="sk-SK"/>
        </w:rPr>
        <w:t xml:space="preserve"> </w:t>
      </w:r>
      <w:r w:rsidRPr="00117D85">
        <w:rPr>
          <w:sz w:val="18"/>
          <w:lang w:val="hy-AM"/>
        </w:rPr>
        <w:t>տնտեսության</w:t>
      </w:r>
      <w:r w:rsidRPr="00117D85">
        <w:rPr>
          <w:sz w:val="18"/>
          <w:lang w:val="sk-SK"/>
        </w:rPr>
        <w:t xml:space="preserve"> </w:t>
      </w:r>
      <w:r w:rsidRPr="00117D85">
        <w:rPr>
          <w:sz w:val="18"/>
          <w:lang w:val="hy-AM"/>
        </w:rPr>
        <w:t>կառուցվածքային</w:t>
      </w:r>
      <w:r w:rsidRPr="00117D85">
        <w:rPr>
          <w:sz w:val="18"/>
          <w:lang w:val="sk-SK"/>
        </w:rPr>
        <w:t xml:space="preserve"> </w:t>
      </w:r>
      <w:r w:rsidRPr="00117D85">
        <w:rPr>
          <w:sz w:val="18"/>
          <w:lang w:val="hy-AM"/>
        </w:rPr>
        <w:t>տեղաշարժը</w:t>
      </w:r>
      <w:r w:rsidRPr="00117D85">
        <w:rPr>
          <w:sz w:val="18"/>
          <w:lang w:val="sk-SK"/>
        </w:rPr>
        <w:t xml:space="preserve"> </w:t>
      </w:r>
      <w:r w:rsidRPr="00117D85">
        <w:rPr>
          <w:sz w:val="18"/>
          <w:lang w:val="hy-AM"/>
        </w:rPr>
        <w:t>միայն</w:t>
      </w:r>
      <w:r w:rsidRPr="00117D85">
        <w:rPr>
          <w:sz w:val="18"/>
          <w:lang w:val="sk-SK"/>
        </w:rPr>
        <w:t xml:space="preserve"> </w:t>
      </w:r>
      <w:r w:rsidRPr="00117D85">
        <w:rPr>
          <w:sz w:val="18"/>
          <w:lang w:val="hy-AM"/>
        </w:rPr>
        <w:t>կարող</w:t>
      </w:r>
      <w:r w:rsidRPr="00117D85">
        <w:rPr>
          <w:sz w:val="18"/>
          <w:lang w:val="sk-SK"/>
        </w:rPr>
        <w:t xml:space="preserve"> </w:t>
      </w:r>
      <w:r w:rsidRPr="00117D85">
        <w:rPr>
          <w:sz w:val="18"/>
          <w:lang w:val="hy-AM"/>
        </w:rPr>
        <w:t>է</w:t>
      </w:r>
      <w:r w:rsidRPr="00117D85">
        <w:rPr>
          <w:sz w:val="18"/>
          <w:lang w:val="sk-SK"/>
        </w:rPr>
        <w:t xml:space="preserve"> </w:t>
      </w:r>
      <w:r w:rsidRPr="00117D85">
        <w:rPr>
          <w:sz w:val="18"/>
          <w:lang w:val="hy-AM"/>
        </w:rPr>
        <w:t>ներառվել</w:t>
      </w:r>
      <w:r w:rsidRPr="00117D85">
        <w:rPr>
          <w:sz w:val="18"/>
          <w:lang w:val="sk-SK"/>
        </w:rPr>
        <w:t xml:space="preserve"> </w:t>
      </w:r>
      <w:r w:rsidRPr="00117D85">
        <w:rPr>
          <w:sz w:val="18"/>
          <w:lang w:val="hy-AM"/>
        </w:rPr>
        <w:t>հաջորդ</w:t>
      </w:r>
      <w:r w:rsidRPr="00117D85">
        <w:rPr>
          <w:sz w:val="18"/>
          <w:lang w:val="sk-SK"/>
        </w:rPr>
        <w:t xml:space="preserve"> </w:t>
      </w:r>
      <w:r w:rsidRPr="00117D85">
        <w:rPr>
          <w:sz w:val="18"/>
          <w:lang w:val="hy-AM"/>
        </w:rPr>
        <w:t>տարվա</w:t>
      </w:r>
      <w:r w:rsidRPr="00117D85">
        <w:rPr>
          <w:sz w:val="18"/>
          <w:lang w:val="sk-SK"/>
        </w:rPr>
        <w:t xml:space="preserve"> </w:t>
      </w:r>
      <w:r w:rsidRPr="00117D85">
        <w:rPr>
          <w:sz w:val="18"/>
          <w:lang w:val="hy-AM"/>
        </w:rPr>
        <w:t>կանխատեսումների</w:t>
      </w:r>
      <w:r w:rsidRPr="00117D85">
        <w:rPr>
          <w:sz w:val="18"/>
          <w:lang w:val="sk-SK"/>
        </w:rPr>
        <w:t xml:space="preserve"> </w:t>
      </w:r>
      <w:r w:rsidRPr="00117D85">
        <w:rPr>
          <w:sz w:val="18"/>
          <w:lang w:val="hy-AM"/>
        </w:rPr>
        <w:t>մոդելներում</w:t>
      </w:r>
      <w:r w:rsidRPr="00117D85">
        <w:rPr>
          <w:sz w:val="18"/>
          <w:lang w:val="sk-SK"/>
        </w:rPr>
        <w:t xml:space="preserve">: </w:t>
      </w:r>
    </w:p>
  </w:footnote>
  <w:footnote w:id="15">
    <w:p w14:paraId="24B4A5A3" w14:textId="77777777" w:rsidR="00CB6CFF" w:rsidRDefault="00CB6CFF" w:rsidP="00E11F71">
      <w:pPr>
        <w:pStyle w:val="FootnoteText"/>
        <w:rPr>
          <w:lang w:val="ro-RO"/>
        </w:rPr>
      </w:pPr>
      <w:r>
        <w:rPr>
          <w:rStyle w:val="FootnoteReference"/>
          <w:rFonts w:eastAsiaTheme="majorEastAsia"/>
        </w:rPr>
        <w:footnoteRef/>
      </w:r>
      <w:r>
        <w:t>ՀՆԱ</w:t>
      </w:r>
      <w:r>
        <w:rPr>
          <w:lang w:val="ro-RO"/>
        </w:rPr>
        <w:t xml:space="preserve">, </w:t>
      </w:r>
      <w:r>
        <w:t>ներմուծման</w:t>
      </w:r>
      <w:r>
        <w:rPr>
          <w:lang w:val="ro-RO"/>
        </w:rPr>
        <w:t xml:space="preserve">, </w:t>
      </w:r>
      <w:r>
        <w:t>փոխարժեքի</w:t>
      </w:r>
      <w:r>
        <w:rPr>
          <w:lang w:val="sk-SK"/>
        </w:rPr>
        <w:t xml:space="preserve"> </w:t>
      </w:r>
      <w:r>
        <w:t>և</w:t>
      </w:r>
      <w:r>
        <w:rPr>
          <w:lang w:val="sk-SK"/>
        </w:rPr>
        <w:t xml:space="preserve"> </w:t>
      </w:r>
      <w:r>
        <w:t>գների</w:t>
      </w:r>
      <w:r>
        <w:rPr>
          <w:lang w:val="sk-SK"/>
        </w:rPr>
        <w:t xml:space="preserve"> </w:t>
      </w:r>
      <w:r>
        <w:t>գծով</w:t>
      </w:r>
      <w:r>
        <w:rPr>
          <w:lang w:val="sk-SK"/>
        </w:rPr>
        <w:t xml:space="preserve"> </w:t>
      </w:r>
      <w:r>
        <w:t>հավանական</w:t>
      </w:r>
      <w:r>
        <w:rPr>
          <w:lang w:val="sk-SK"/>
        </w:rPr>
        <w:t xml:space="preserve"> </w:t>
      </w:r>
      <w:r>
        <w:t>ռիսկերի</w:t>
      </w:r>
      <w:r>
        <w:rPr>
          <w:lang w:val="sk-SK"/>
        </w:rPr>
        <w:t xml:space="preserve"> </w:t>
      </w:r>
      <w:r>
        <w:t>քանակային</w:t>
      </w:r>
      <w:r>
        <w:rPr>
          <w:lang w:val="sk-SK"/>
        </w:rPr>
        <w:t xml:space="preserve"> </w:t>
      </w:r>
      <w:r>
        <w:t>գնահատականը</w:t>
      </w:r>
      <w:r>
        <w:rPr>
          <w:lang w:val="sk-SK"/>
        </w:rPr>
        <w:t xml:space="preserve"> </w:t>
      </w:r>
      <w:r>
        <w:t>ստացվել</w:t>
      </w:r>
      <w:r>
        <w:rPr>
          <w:lang w:val="sk-SK"/>
        </w:rPr>
        <w:t xml:space="preserve"> </w:t>
      </w:r>
      <w:r>
        <w:t>է</w:t>
      </w:r>
      <w:r>
        <w:rPr>
          <w:lang w:val="sk-SK"/>
        </w:rPr>
        <w:t xml:space="preserve">` </w:t>
      </w:r>
      <w:r>
        <w:t>հիմք</w:t>
      </w:r>
      <w:r>
        <w:rPr>
          <w:lang w:val="sk-SK"/>
        </w:rPr>
        <w:t xml:space="preserve"> ըն</w:t>
      </w:r>
      <w:r>
        <w:t>դունելով</w:t>
      </w:r>
      <w:r>
        <w:rPr>
          <w:lang w:val="sk-SK"/>
        </w:rPr>
        <w:t xml:space="preserve"> </w:t>
      </w:r>
      <w:r>
        <w:t>այս</w:t>
      </w:r>
      <w:r>
        <w:rPr>
          <w:lang w:val="sk-SK"/>
        </w:rPr>
        <w:t xml:space="preserve"> </w:t>
      </w:r>
      <w:r>
        <w:t>գործոնների</w:t>
      </w:r>
      <w:r>
        <w:rPr>
          <w:lang w:val="sk-SK"/>
        </w:rPr>
        <w:t xml:space="preserve"> </w:t>
      </w:r>
      <w:r>
        <w:t>պատմական</w:t>
      </w:r>
      <w:r>
        <w:rPr>
          <w:lang w:val="sk-SK"/>
        </w:rPr>
        <w:t xml:space="preserve"> </w:t>
      </w:r>
      <w:r>
        <w:t>շարժի</w:t>
      </w:r>
      <w:r>
        <w:rPr>
          <w:lang w:val="sk-SK"/>
        </w:rPr>
        <w:t xml:space="preserve"> </w:t>
      </w:r>
      <w:r>
        <w:t>բացարձակ</w:t>
      </w:r>
      <w:r>
        <w:rPr>
          <w:lang w:val="sk-SK"/>
        </w:rPr>
        <w:t xml:space="preserve"> </w:t>
      </w:r>
      <w:r>
        <w:t>միջին</w:t>
      </w:r>
      <w:r>
        <w:rPr>
          <w:lang w:val="sk-SK"/>
        </w:rPr>
        <w:t xml:space="preserve"> </w:t>
      </w:r>
      <w:r>
        <w:t>սխալը</w:t>
      </w:r>
      <w:r>
        <w:rPr>
          <w:lang w:val="ro-RO"/>
        </w:rPr>
        <w:t>:</w:t>
      </w:r>
    </w:p>
  </w:footnote>
  <w:footnote w:id="16">
    <w:p w14:paraId="4143191C" w14:textId="77777777" w:rsidR="00CB6CFF" w:rsidRDefault="00CB6CFF" w:rsidP="00E11F71">
      <w:pPr>
        <w:rPr>
          <w:rFonts w:cs="Sylfaen"/>
          <w:i/>
          <w:sz w:val="16"/>
          <w:szCs w:val="16"/>
          <w:lang w:val="ro-RO"/>
        </w:rPr>
      </w:pPr>
      <w:r>
        <w:rPr>
          <w:rStyle w:val="FootnoteReference"/>
          <w:sz w:val="16"/>
          <w:szCs w:val="16"/>
        </w:rPr>
        <w:footnoteRef/>
      </w:r>
      <w:r>
        <w:rPr>
          <w:rFonts w:cs="Sylfaen"/>
          <w:sz w:val="16"/>
          <w:szCs w:val="16"/>
        </w:rPr>
        <w:t>Հարկային</w:t>
      </w:r>
      <w:r>
        <w:rPr>
          <w:rFonts w:cs="Sylfaen"/>
          <w:sz w:val="16"/>
          <w:szCs w:val="16"/>
          <w:lang w:val="ro-RO"/>
        </w:rPr>
        <w:t xml:space="preserve"> </w:t>
      </w:r>
      <w:r>
        <w:rPr>
          <w:rFonts w:cs="Sylfaen"/>
          <w:sz w:val="16"/>
          <w:szCs w:val="16"/>
        </w:rPr>
        <w:t>եկամուտների</w:t>
      </w:r>
      <w:r>
        <w:rPr>
          <w:rFonts w:cs="Sylfaen"/>
          <w:sz w:val="16"/>
          <w:szCs w:val="16"/>
          <w:lang w:val="ro-RO"/>
        </w:rPr>
        <w:t xml:space="preserve"> </w:t>
      </w:r>
      <w:r>
        <w:rPr>
          <w:rFonts w:cs="Sylfaen"/>
          <w:sz w:val="16"/>
          <w:szCs w:val="16"/>
        </w:rPr>
        <w:t>գծով</w:t>
      </w:r>
      <w:r>
        <w:rPr>
          <w:rFonts w:cs="Sylfaen"/>
          <w:sz w:val="16"/>
          <w:szCs w:val="16"/>
          <w:lang w:val="ro-RO"/>
        </w:rPr>
        <w:t xml:space="preserve"> </w:t>
      </w:r>
      <w:r>
        <w:rPr>
          <w:rFonts w:cs="Sylfaen"/>
          <w:sz w:val="16"/>
          <w:szCs w:val="16"/>
        </w:rPr>
        <w:t>ռիսկերի</w:t>
      </w:r>
      <w:r>
        <w:rPr>
          <w:rFonts w:cs="Sylfaen"/>
          <w:sz w:val="16"/>
          <w:szCs w:val="16"/>
          <w:lang w:val="ro-RO"/>
        </w:rPr>
        <w:t xml:space="preserve"> ազդեցության </w:t>
      </w:r>
      <w:r>
        <w:rPr>
          <w:rFonts w:cs="Sylfaen"/>
          <w:sz w:val="16"/>
          <w:szCs w:val="16"/>
        </w:rPr>
        <w:t>գնահատականը</w:t>
      </w:r>
      <w:r>
        <w:rPr>
          <w:rFonts w:cs="Sylfaen"/>
          <w:sz w:val="16"/>
          <w:szCs w:val="16"/>
          <w:lang w:val="ro-RO"/>
        </w:rPr>
        <w:t xml:space="preserve"> </w:t>
      </w:r>
      <w:r>
        <w:rPr>
          <w:rFonts w:cs="Sylfaen"/>
          <w:sz w:val="16"/>
          <w:szCs w:val="16"/>
        </w:rPr>
        <w:t>կառուցվել</w:t>
      </w:r>
      <w:r>
        <w:rPr>
          <w:rFonts w:cs="Sylfaen"/>
          <w:sz w:val="16"/>
          <w:szCs w:val="16"/>
          <w:lang w:val="ro-RO"/>
        </w:rPr>
        <w:t xml:space="preserve"> </w:t>
      </w:r>
      <w:r>
        <w:rPr>
          <w:rFonts w:cs="Sylfaen"/>
          <w:sz w:val="16"/>
          <w:szCs w:val="16"/>
        </w:rPr>
        <w:t>է</w:t>
      </w:r>
      <w:r>
        <w:rPr>
          <w:rFonts w:cs="Sylfaen"/>
          <w:sz w:val="16"/>
          <w:szCs w:val="16"/>
          <w:lang w:val="ro-RO"/>
        </w:rPr>
        <w:t xml:space="preserve"> </w:t>
      </w:r>
      <w:r>
        <w:rPr>
          <w:rFonts w:cs="Sylfaen"/>
          <w:sz w:val="16"/>
          <w:szCs w:val="16"/>
        </w:rPr>
        <w:t>ՀՀ</w:t>
      </w:r>
      <w:r>
        <w:rPr>
          <w:rFonts w:cs="Sylfaen"/>
          <w:sz w:val="16"/>
          <w:szCs w:val="16"/>
          <w:lang w:val="ro-RO"/>
        </w:rPr>
        <w:t xml:space="preserve"> ֆ</w:t>
      </w:r>
      <w:r>
        <w:rPr>
          <w:rFonts w:cs="Sylfaen"/>
          <w:sz w:val="16"/>
          <w:szCs w:val="16"/>
        </w:rPr>
        <w:t>ինանսների</w:t>
      </w:r>
      <w:r>
        <w:rPr>
          <w:rFonts w:cs="Sylfaen"/>
          <w:sz w:val="16"/>
          <w:szCs w:val="16"/>
          <w:lang w:val="ro-RO"/>
        </w:rPr>
        <w:t xml:space="preserve"> </w:t>
      </w:r>
      <w:r>
        <w:rPr>
          <w:rFonts w:cs="Sylfaen"/>
          <w:sz w:val="16"/>
          <w:szCs w:val="16"/>
        </w:rPr>
        <w:t>նախարարության</w:t>
      </w:r>
      <w:r>
        <w:rPr>
          <w:rFonts w:cs="Sylfaen"/>
          <w:sz w:val="16"/>
          <w:szCs w:val="16"/>
          <w:lang w:val="ro-RO"/>
        </w:rPr>
        <w:t xml:space="preserve"> </w:t>
      </w:r>
      <w:r>
        <w:rPr>
          <w:rFonts w:cs="Sylfaen"/>
          <w:sz w:val="16"/>
          <w:szCs w:val="16"/>
        </w:rPr>
        <w:t>ռիսկերի</w:t>
      </w:r>
      <w:r>
        <w:rPr>
          <w:rFonts w:cs="Sylfaen"/>
          <w:sz w:val="16"/>
          <w:szCs w:val="16"/>
          <w:lang w:val="ro-RO"/>
        </w:rPr>
        <w:t xml:space="preserve"> </w:t>
      </w:r>
      <w:r>
        <w:rPr>
          <w:rFonts w:cs="Sylfaen"/>
          <w:sz w:val="16"/>
          <w:szCs w:val="16"/>
        </w:rPr>
        <w:t>գնահատման</w:t>
      </w:r>
      <w:r>
        <w:rPr>
          <w:rFonts w:cs="Sylfaen"/>
          <w:sz w:val="16"/>
          <w:szCs w:val="16"/>
          <w:lang w:val="ro-RO"/>
        </w:rPr>
        <w:t xml:space="preserve"> </w:t>
      </w:r>
      <w:r>
        <w:rPr>
          <w:rFonts w:cs="Sylfaen"/>
          <w:sz w:val="16"/>
          <w:szCs w:val="16"/>
        </w:rPr>
        <w:t>համակարգի</w:t>
      </w:r>
      <w:r>
        <w:rPr>
          <w:rFonts w:cs="Sylfaen"/>
          <w:sz w:val="16"/>
          <w:szCs w:val="16"/>
          <w:lang w:val="ro-RO"/>
        </w:rPr>
        <w:t xml:space="preserve"> </w:t>
      </w:r>
      <w:r>
        <w:rPr>
          <w:rFonts w:cs="Sylfaen"/>
          <w:sz w:val="16"/>
          <w:szCs w:val="16"/>
        </w:rPr>
        <w:t>ներքո</w:t>
      </w:r>
      <w:r>
        <w:rPr>
          <w:rFonts w:cs="Sylfaen"/>
          <w:sz w:val="16"/>
          <w:szCs w:val="16"/>
          <w:lang w:val="ro-RO"/>
        </w:rPr>
        <w:t xml:space="preserve"> </w:t>
      </w:r>
      <w:r>
        <w:rPr>
          <w:rFonts w:cs="Sylfaen"/>
          <w:sz w:val="16"/>
          <w:szCs w:val="16"/>
        </w:rPr>
        <w:t>կառուցված</w:t>
      </w:r>
      <w:r>
        <w:rPr>
          <w:rFonts w:cs="Sylfaen"/>
          <w:sz w:val="16"/>
          <w:szCs w:val="16"/>
          <w:lang w:val="ro-RO"/>
        </w:rPr>
        <w:t xml:space="preserve"> </w:t>
      </w:r>
      <w:r>
        <w:rPr>
          <w:rFonts w:cs="Sylfaen"/>
          <w:sz w:val="16"/>
          <w:szCs w:val="16"/>
        </w:rPr>
        <w:t>մոդելի</w:t>
      </w:r>
      <w:r>
        <w:rPr>
          <w:rFonts w:cs="Sylfaen"/>
          <w:sz w:val="16"/>
          <w:szCs w:val="16"/>
          <w:lang w:val="ro-RO"/>
        </w:rPr>
        <w:t xml:space="preserve"> </w:t>
      </w:r>
      <w:r>
        <w:rPr>
          <w:rFonts w:cs="Sylfaen"/>
          <w:sz w:val="16"/>
          <w:szCs w:val="16"/>
        </w:rPr>
        <w:t>հիման</w:t>
      </w:r>
      <w:r>
        <w:rPr>
          <w:rFonts w:cs="Sylfaen"/>
          <w:sz w:val="16"/>
          <w:szCs w:val="16"/>
          <w:lang w:val="ro-RO"/>
        </w:rPr>
        <w:t xml:space="preserve"> </w:t>
      </w:r>
      <w:r>
        <w:rPr>
          <w:rFonts w:cs="Sylfaen"/>
          <w:sz w:val="16"/>
          <w:szCs w:val="16"/>
        </w:rPr>
        <w:t>վրա</w:t>
      </w:r>
      <w:r>
        <w:rPr>
          <w:rFonts w:cs="Sylfaen"/>
          <w:sz w:val="16"/>
          <w:szCs w:val="16"/>
          <w:lang w:val="ro-RO"/>
        </w:rPr>
        <w:t>:</w:t>
      </w:r>
      <w:r>
        <w:rPr>
          <w:rFonts w:cs="Sylfaen"/>
          <w:i/>
          <w:sz w:val="16"/>
          <w:szCs w:val="16"/>
          <w:lang w:val="ro-RO"/>
        </w:rPr>
        <w:t xml:space="preserve"> </w:t>
      </w:r>
    </w:p>
  </w:footnote>
  <w:footnote w:id="17">
    <w:p w14:paraId="4627182B" w14:textId="77777777" w:rsidR="00CB6CFF" w:rsidRPr="00CA4440" w:rsidRDefault="00CB6CFF" w:rsidP="00E11F71">
      <w:pPr>
        <w:pStyle w:val="FootnoteText"/>
        <w:rPr>
          <w:rFonts w:cs="Times New Roman"/>
          <w:sz w:val="14"/>
          <w:lang w:val="ro-RO"/>
        </w:rPr>
      </w:pPr>
      <w:r w:rsidRPr="00CA4440">
        <w:rPr>
          <w:rStyle w:val="FootnoteReference"/>
          <w:rFonts w:eastAsiaTheme="majorEastAsia"/>
          <w:sz w:val="18"/>
        </w:rPr>
        <w:footnoteRef/>
      </w:r>
      <w:r w:rsidRPr="00CA4440">
        <w:rPr>
          <w:sz w:val="18"/>
        </w:rPr>
        <w:t>Հավանականային</w:t>
      </w:r>
      <w:r w:rsidRPr="00CA4440">
        <w:rPr>
          <w:sz w:val="18"/>
          <w:lang w:val="ro-RO"/>
        </w:rPr>
        <w:t xml:space="preserve"> </w:t>
      </w:r>
      <w:r w:rsidRPr="00CA4440">
        <w:rPr>
          <w:sz w:val="18"/>
        </w:rPr>
        <w:t>կանխատեսման</w:t>
      </w:r>
      <w:r w:rsidRPr="00CA4440">
        <w:rPr>
          <w:sz w:val="18"/>
          <w:lang w:val="ro-RO"/>
        </w:rPr>
        <w:t xml:space="preserve"> </w:t>
      </w:r>
      <w:r w:rsidRPr="00CA4440">
        <w:rPr>
          <w:sz w:val="18"/>
        </w:rPr>
        <w:t>գրաֆիկի</w:t>
      </w:r>
      <w:r w:rsidRPr="00CA4440">
        <w:rPr>
          <w:sz w:val="18"/>
          <w:lang w:val="ro-RO"/>
        </w:rPr>
        <w:t xml:space="preserve"> </w:t>
      </w:r>
      <w:r w:rsidRPr="00CA4440">
        <w:rPr>
          <w:sz w:val="18"/>
        </w:rPr>
        <w:t>կառուցման</w:t>
      </w:r>
      <w:r w:rsidRPr="00CA4440">
        <w:rPr>
          <w:sz w:val="18"/>
          <w:lang w:val="ro-RO"/>
        </w:rPr>
        <w:t xml:space="preserve"> </w:t>
      </w:r>
      <w:r w:rsidRPr="00CA4440">
        <w:rPr>
          <w:sz w:val="18"/>
        </w:rPr>
        <w:t>ընդհանուր</w:t>
      </w:r>
      <w:r w:rsidRPr="00CA4440">
        <w:rPr>
          <w:sz w:val="18"/>
          <w:lang w:val="ro-RO"/>
        </w:rPr>
        <w:t xml:space="preserve"> </w:t>
      </w:r>
      <w:r w:rsidRPr="00CA4440">
        <w:rPr>
          <w:sz w:val="18"/>
        </w:rPr>
        <w:t>մեթոդաբանությունը</w:t>
      </w:r>
      <w:r w:rsidRPr="00CA4440">
        <w:rPr>
          <w:sz w:val="18"/>
          <w:lang w:val="ro-RO"/>
        </w:rPr>
        <w:t xml:space="preserve"> </w:t>
      </w:r>
      <w:r w:rsidRPr="00CA4440">
        <w:rPr>
          <w:sz w:val="18"/>
        </w:rPr>
        <w:t>ներկայացված</w:t>
      </w:r>
      <w:r w:rsidRPr="00CA4440">
        <w:rPr>
          <w:sz w:val="18"/>
          <w:lang w:val="ro-RO"/>
        </w:rPr>
        <w:t xml:space="preserve"> </w:t>
      </w:r>
      <w:r w:rsidRPr="00CA4440">
        <w:rPr>
          <w:sz w:val="18"/>
        </w:rPr>
        <w:t>է</w:t>
      </w:r>
      <w:r w:rsidRPr="00CA4440">
        <w:rPr>
          <w:sz w:val="18"/>
          <w:lang w:val="ro-RO"/>
        </w:rPr>
        <w:t xml:space="preserve"> </w:t>
      </w:r>
      <w:r w:rsidRPr="00CA4440">
        <w:rPr>
          <w:sz w:val="18"/>
        </w:rPr>
        <w:t>Ներդիր</w:t>
      </w:r>
      <w:r>
        <w:rPr>
          <w:sz w:val="18"/>
          <w:lang w:val="hy-AM"/>
        </w:rPr>
        <w:t>ում</w:t>
      </w:r>
      <w:r w:rsidRPr="00CA4440">
        <w:rPr>
          <w:sz w:val="18"/>
          <w:lang w:val="ro-RO"/>
        </w:rPr>
        <w:t>:</w:t>
      </w:r>
    </w:p>
  </w:footnote>
  <w:footnote w:id="18">
    <w:p w14:paraId="64D71105" w14:textId="77777777" w:rsidR="00CB6CFF" w:rsidRPr="00CA4440" w:rsidRDefault="00CB6CFF" w:rsidP="00E11F71">
      <w:pPr>
        <w:pStyle w:val="FootnoteText"/>
        <w:rPr>
          <w:sz w:val="14"/>
          <w:lang w:val="ro-RO"/>
        </w:rPr>
      </w:pPr>
      <w:r w:rsidRPr="00CA4440">
        <w:rPr>
          <w:rStyle w:val="FootnoteReference"/>
          <w:sz w:val="18"/>
        </w:rPr>
        <w:footnoteRef/>
      </w:r>
      <w:r w:rsidRPr="00CA4440">
        <w:rPr>
          <w:sz w:val="18"/>
          <w:lang w:val="ro-RO"/>
        </w:rPr>
        <w:t>Ընդհանուր ազդեցության գնահատականը հիմնված է մակրոտնտեսական ռիսկերի առանձին հանդես գալու ենթադրության վրա:</w:t>
      </w:r>
    </w:p>
  </w:footnote>
  <w:footnote w:id="19">
    <w:p w14:paraId="29B4E022" w14:textId="77777777" w:rsidR="00CB6CFF" w:rsidRPr="003922B4" w:rsidRDefault="00CB6CFF" w:rsidP="00E11F71">
      <w:pPr>
        <w:pStyle w:val="FootnoteText"/>
        <w:rPr>
          <w:sz w:val="18"/>
          <w:lang w:val="hy-AM"/>
        </w:rPr>
      </w:pPr>
      <w:r w:rsidRPr="003922B4">
        <w:rPr>
          <w:rStyle w:val="FootnoteReference"/>
          <w:sz w:val="18"/>
        </w:rPr>
        <w:footnoteRef/>
      </w:r>
      <w:r w:rsidRPr="00800B4C">
        <w:rPr>
          <w:sz w:val="18"/>
          <w:lang w:val="ro-RO"/>
        </w:rPr>
        <w:t xml:space="preserve"> </w:t>
      </w:r>
      <w:r>
        <w:rPr>
          <w:sz w:val="18"/>
          <w:lang w:val="hy-AM"/>
        </w:rPr>
        <w:t>ՀՀ կառավարության պարտքի կայունության համալիր վերլուծությունը ՀՀ ՖՆ կողմից կհրապարակվի առաջիկայում՝ ներկայացնելով մեթոդաբանության և արդյունքների վերաբերյալ առավել մանրամասն տեղեկատվություն։ Միևնույն ժամանակ նշենք, որ ՀՀ կ</w:t>
      </w:r>
      <w:r w:rsidRPr="003922B4">
        <w:rPr>
          <w:sz w:val="18"/>
          <w:lang w:val="hy-AM"/>
        </w:rPr>
        <w:t>առավարության պարտքի կայունության</w:t>
      </w:r>
      <w:r>
        <w:rPr>
          <w:sz w:val="18"/>
          <w:lang w:val="hy-AM"/>
        </w:rPr>
        <w:t xml:space="preserve"> ներկայացված</w:t>
      </w:r>
      <w:r w:rsidRPr="003922B4">
        <w:rPr>
          <w:sz w:val="18"/>
          <w:lang w:val="hy-AM"/>
        </w:rPr>
        <w:t xml:space="preserve"> գնահատումը հիմնվում է ԱՄՀ կողմից մշակված և կիրառվող՝ ֆինանսական շուկային հասանելիություն ունեցող երկրների պարտքի կայունության վերլուծության մեթոդաբանության վրա </w:t>
      </w:r>
      <w:r w:rsidRPr="0019347B">
        <w:rPr>
          <w:sz w:val="18"/>
          <w:lang w:val="hy-AM"/>
        </w:rPr>
        <w:t xml:space="preserve">(MAC DSA): </w:t>
      </w:r>
      <w:r w:rsidRPr="003922B4">
        <w:rPr>
          <w:sz w:val="18"/>
          <w:lang w:val="hy-AM"/>
        </w:rPr>
        <w:t xml:space="preserve">Վերջինիս և դրա՝ ՀՀ պարտքի կայունության վերլուծության համար կիրառման առանձնահատկություններին կարելի է ծանոթանալ ՀՀ ՖՆ կայքում </w:t>
      </w:r>
      <w:r w:rsidRPr="006B65B8">
        <w:rPr>
          <w:sz w:val="18"/>
          <w:lang w:val="hy-AM"/>
        </w:rPr>
        <w:t>2019թ</w:t>
      </w:r>
      <w:r w:rsidRPr="006B65B8">
        <w:rPr>
          <w:rFonts w:ascii="Cambria Math" w:hAnsi="Cambria Math" w:cs="Cambria Math"/>
          <w:sz w:val="18"/>
          <w:lang w:val="hy-AM"/>
        </w:rPr>
        <w:t>․</w:t>
      </w:r>
      <w:r w:rsidRPr="006B65B8">
        <w:rPr>
          <w:sz w:val="18"/>
          <w:lang w:val="hy-AM"/>
        </w:rPr>
        <w:t>-ին</w:t>
      </w:r>
      <w:r>
        <w:rPr>
          <w:rFonts w:ascii="Cambria Math" w:hAnsi="Cambria Math"/>
          <w:sz w:val="18"/>
          <w:lang w:val="hy-AM"/>
        </w:rPr>
        <w:t xml:space="preserve"> </w:t>
      </w:r>
      <w:r w:rsidRPr="003922B4">
        <w:rPr>
          <w:sz w:val="18"/>
          <w:lang w:val="hy-AM"/>
        </w:rPr>
        <w:t xml:space="preserve">հրապարակված աշխատանքային փաստաթղթում՝ </w:t>
      </w:r>
      <w:hyperlink r:id="rId5" w:history="1">
        <w:r w:rsidRPr="0019347B">
          <w:rPr>
            <w:rStyle w:val="Hyperlink"/>
            <w:sz w:val="18"/>
            <w:lang w:val="hy-AM"/>
          </w:rPr>
          <w:t>http://www.minfin.am/website/images/files/DSA_MoF_2019_last.pdf</w:t>
        </w:r>
      </w:hyperlink>
      <w:r w:rsidRPr="003922B4">
        <w:rPr>
          <w:sz w:val="18"/>
          <w:lang w:val="hy-AM"/>
        </w:rPr>
        <w:t>։</w:t>
      </w:r>
    </w:p>
  </w:footnote>
  <w:footnote w:id="20">
    <w:p w14:paraId="1B0740BC" w14:textId="77777777" w:rsidR="00CB6CFF" w:rsidRPr="00D43D8F" w:rsidRDefault="00CB6CFF" w:rsidP="004442B5">
      <w:pPr>
        <w:spacing w:line="240" w:lineRule="auto"/>
        <w:ind w:firstLine="357"/>
        <w:rPr>
          <w:sz w:val="16"/>
          <w:szCs w:val="16"/>
          <w:lang w:val="hy-AM"/>
        </w:rPr>
      </w:pPr>
      <w:r w:rsidRPr="00F64113">
        <w:rPr>
          <w:sz w:val="16"/>
          <w:szCs w:val="16"/>
          <w:vertAlign w:val="superscript"/>
        </w:rPr>
        <w:footnoteRef/>
      </w:r>
      <w:r w:rsidRPr="00562068">
        <w:rPr>
          <w:sz w:val="16"/>
          <w:szCs w:val="16"/>
          <w:lang w:val="hy-AM"/>
        </w:rPr>
        <w:t xml:space="preserve"> </w:t>
      </w:r>
      <w:r w:rsidRPr="00D43D8F">
        <w:rPr>
          <w:rFonts w:cs="Sylfaen"/>
          <w:sz w:val="16"/>
          <w:szCs w:val="16"/>
          <w:lang w:val="hy-AM"/>
        </w:rPr>
        <w:t>Համաձայն</w:t>
      </w:r>
      <w:r w:rsidRPr="00D43D8F">
        <w:rPr>
          <w:rFonts w:cs="Arial"/>
          <w:sz w:val="16"/>
          <w:szCs w:val="16"/>
          <w:lang w:val="hy-AM"/>
        </w:rPr>
        <w:t xml:space="preserve"> </w:t>
      </w:r>
      <w:r w:rsidRPr="00D43D8F">
        <w:rPr>
          <w:rFonts w:cs="Sylfaen"/>
          <w:sz w:val="16"/>
          <w:szCs w:val="16"/>
          <w:lang w:val="hy-AM"/>
        </w:rPr>
        <w:t>ՀՀ</w:t>
      </w:r>
      <w:r w:rsidRPr="00D43D8F">
        <w:rPr>
          <w:rFonts w:cs="Arial"/>
          <w:sz w:val="16"/>
          <w:szCs w:val="16"/>
          <w:lang w:val="hy-AM"/>
        </w:rPr>
        <w:t xml:space="preserve"> </w:t>
      </w:r>
      <w:r w:rsidRPr="00D43D8F">
        <w:rPr>
          <w:rFonts w:cs="Sylfaen"/>
          <w:sz w:val="16"/>
          <w:szCs w:val="16"/>
          <w:lang w:val="hy-AM"/>
        </w:rPr>
        <w:t>կառավարության</w:t>
      </w:r>
      <w:r w:rsidRPr="00D43D8F">
        <w:rPr>
          <w:rFonts w:cs="Arial"/>
          <w:sz w:val="16"/>
          <w:szCs w:val="16"/>
          <w:lang w:val="hy-AM"/>
        </w:rPr>
        <w:t xml:space="preserve"> 2019 </w:t>
      </w:r>
      <w:r w:rsidRPr="00D43D8F">
        <w:rPr>
          <w:rFonts w:cs="Sylfaen"/>
          <w:sz w:val="16"/>
          <w:szCs w:val="16"/>
          <w:lang w:val="hy-AM"/>
        </w:rPr>
        <w:t>թվականի</w:t>
      </w:r>
      <w:r w:rsidRPr="00D43D8F">
        <w:rPr>
          <w:rFonts w:cs="Arial"/>
          <w:sz w:val="16"/>
          <w:szCs w:val="16"/>
          <w:lang w:val="hy-AM"/>
        </w:rPr>
        <w:t xml:space="preserve"> </w:t>
      </w:r>
      <w:r w:rsidRPr="00D43D8F">
        <w:rPr>
          <w:rFonts w:cs="Sylfaen"/>
          <w:sz w:val="16"/>
          <w:szCs w:val="16"/>
          <w:lang w:val="hy-AM"/>
        </w:rPr>
        <w:t>հունվարի</w:t>
      </w:r>
      <w:r w:rsidRPr="00D43D8F">
        <w:rPr>
          <w:rFonts w:cs="Arial"/>
          <w:sz w:val="16"/>
          <w:szCs w:val="16"/>
          <w:lang w:val="hy-AM"/>
        </w:rPr>
        <w:t xml:space="preserve"> 31-</w:t>
      </w:r>
      <w:r w:rsidRPr="00D43D8F">
        <w:rPr>
          <w:rFonts w:cs="Sylfaen"/>
          <w:sz w:val="16"/>
          <w:szCs w:val="16"/>
          <w:lang w:val="hy-AM"/>
        </w:rPr>
        <w:t>ի</w:t>
      </w:r>
      <w:r w:rsidRPr="00D43D8F">
        <w:rPr>
          <w:rFonts w:cs="Arial"/>
          <w:sz w:val="16"/>
          <w:szCs w:val="16"/>
          <w:lang w:val="hy-AM"/>
        </w:rPr>
        <w:t xml:space="preserve"> ««</w:t>
      </w:r>
      <w:r w:rsidRPr="00D43D8F">
        <w:rPr>
          <w:rFonts w:cs="Sylfaen"/>
          <w:sz w:val="16"/>
          <w:szCs w:val="16"/>
          <w:lang w:val="hy-AM"/>
        </w:rPr>
        <w:t>Էներգակարգաբերում</w:t>
      </w:r>
      <w:r w:rsidRPr="00D43D8F">
        <w:rPr>
          <w:rFonts w:cs="Arial"/>
          <w:sz w:val="16"/>
          <w:szCs w:val="16"/>
          <w:lang w:val="hy-AM"/>
        </w:rPr>
        <w:t xml:space="preserve">» </w:t>
      </w:r>
      <w:r w:rsidRPr="00D43D8F">
        <w:rPr>
          <w:rFonts w:cs="Sylfaen"/>
          <w:sz w:val="16"/>
          <w:szCs w:val="16"/>
          <w:lang w:val="hy-AM"/>
        </w:rPr>
        <w:t>փակ</w:t>
      </w:r>
      <w:r w:rsidRPr="00D43D8F">
        <w:rPr>
          <w:rFonts w:cs="Arial"/>
          <w:sz w:val="16"/>
          <w:szCs w:val="16"/>
          <w:lang w:val="hy-AM"/>
        </w:rPr>
        <w:t xml:space="preserve"> </w:t>
      </w:r>
      <w:r w:rsidRPr="00D43D8F">
        <w:rPr>
          <w:rFonts w:cs="Sylfaen"/>
          <w:sz w:val="16"/>
          <w:szCs w:val="16"/>
          <w:lang w:val="hy-AM"/>
        </w:rPr>
        <w:t>բաժնետիրական</w:t>
      </w:r>
      <w:r w:rsidRPr="00D43D8F">
        <w:rPr>
          <w:rFonts w:cs="Arial"/>
          <w:sz w:val="16"/>
          <w:szCs w:val="16"/>
          <w:lang w:val="hy-AM"/>
        </w:rPr>
        <w:t xml:space="preserve"> </w:t>
      </w:r>
      <w:r w:rsidRPr="00D43D8F">
        <w:rPr>
          <w:rFonts w:cs="Sylfaen"/>
          <w:sz w:val="16"/>
          <w:szCs w:val="16"/>
          <w:lang w:val="hy-AM"/>
        </w:rPr>
        <w:t>ընկերությունը</w:t>
      </w:r>
      <w:r w:rsidRPr="00D43D8F">
        <w:rPr>
          <w:rFonts w:cs="Arial"/>
          <w:sz w:val="16"/>
          <w:szCs w:val="16"/>
          <w:lang w:val="hy-AM"/>
        </w:rPr>
        <w:t xml:space="preserve"> «</w:t>
      </w:r>
      <w:r w:rsidRPr="00D43D8F">
        <w:rPr>
          <w:rFonts w:cs="Sylfaen"/>
          <w:sz w:val="16"/>
          <w:szCs w:val="16"/>
          <w:lang w:val="hy-AM"/>
        </w:rPr>
        <w:t>Էներգետիկայի</w:t>
      </w:r>
      <w:r w:rsidRPr="00D43D8F">
        <w:rPr>
          <w:rFonts w:cs="Arial"/>
          <w:sz w:val="16"/>
          <w:szCs w:val="16"/>
          <w:lang w:val="hy-AM"/>
        </w:rPr>
        <w:t xml:space="preserve"> </w:t>
      </w:r>
      <w:r w:rsidRPr="00D43D8F">
        <w:rPr>
          <w:rFonts w:cs="Sylfaen"/>
          <w:sz w:val="16"/>
          <w:szCs w:val="16"/>
          <w:lang w:val="hy-AM"/>
        </w:rPr>
        <w:t>գիտահետազոտական</w:t>
      </w:r>
      <w:r w:rsidRPr="00D43D8F">
        <w:rPr>
          <w:rFonts w:cs="Arial"/>
          <w:sz w:val="16"/>
          <w:szCs w:val="16"/>
          <w:lang w:val="hy-AM"/>
        </w:rPr>
        <w:t xml:space="preserve"> </w:t>
      </w:r>
      <w:r w:rsidRPr="00D43D8F">
        <w:rPr>
          <w:rFonts w:cs="Sylfaen"/>
          <w:sz w:val="16"/>
          <w:szCs w:val="16"/>
          <w:lang w:val="hy-AM"/>
        </w:rPr>
        <w:t>ինստիտուտ</w:t>
      </w:r>
      <w:r w:rsidRPr="00D43D8F">
        <w:rPr>
          <w:rFonts w:cs="Arial"/>
          <w:sz w:val="16"/>
          <w:szCs w:val="16"/>
          <w:lang w:val="hy-AM"/>
        </w:rPr>
        <w:t xml:space="preserve">» </w:t>
      </w:r>
      <w:r w:rsidRPr="00D43D8F">
        <w:rPr>
          <w:rFonts w:cs="Sylfaen"/>
          <w:sz w:val="16"/>
          <w:szCs w:val="16"/>
          <w:lang w:val="hy-AM"/>
        </w:rPr>
        <w:t>փակ</w:t>
      </w:r>
      <w:r w:rsidRPr="00D43D8F">
        <w:rPr>
          <w:rFonts w:cs="Arial"/>
          <w:sz w:val="16"/>
          <w:szCs w:val="16"/>
          <w:lang w:val="hy-AM"/>
        </w:rPr>
        <w:t xml:space="preserve"> </w:t>
      </w:r>
      <w:r w:rsidRPr="00D43D8F">
        <w:rPr>
          <w:rFonts w:cs="Sylfaen"/>
          <w:sz w:val="16"/>
          <w:szCs w:val="16"/>
          <w:lang w:val="hy-AM"/>
        </w:rPr>
        <w:t>բաժնետիրական</w:t>
      </w:r>
      <w:r w:rsidRPr="00D43D8F">
        <w:rPr>
          <w:rFonts w:cs="Arial"/>
          <w:sz w:val="16"/>
          <w:szCs w:val="16"/>
          <w:lang w:val="hy-AM"/>
        </w:rPr>
        <w:t xml:space="preserve"> </w:t>
      </w:r>
      <w:r w:rsidRPr="00D43D8F">
        <w:rPr>
          <w:rFonts w:cs="Sylfaen"/>
          <w:sz w:val="16"/>
          <w:szCs w:val="16"/>
          <w:lang w:val="hy-AM"/>
        </w:rPr>
        <w:t>ընկերությանը</w:t>
      </w:r>
      <w:r w:rsidRPr="00D43D8F">
        <w:rPr>
          <w:rFonts w:cs="Arial"/>
          <w:sz w:val="16"/>
          <w:szCs w:val="16"/>
          <w:lang w:val="hy-AM"/>
        </w:rPr>
        <w:t xml:space="preserve"> </w:t>
      </w:r>
      <w:r w:rsidRPr="00D43D8F">
        <w:rPr>
          <w:rFonts w:cs="Sylfaen"/>
          <w:sz w:val="16"/>
          <w:szCs w:val="16"/>
          <w:lang w:val="hy-AM"/>
        </w:rPr>
        <w:t>միացման</w:t>
      </w:r>
      <w:r w:rsidRPr="00D43D8F">
        <w:rPr>
          <w:rFonts w:cs="Arial"/>
          <w:sz w:val="16"/>
          <w:szCs w:val="16"/>
          <w:lang w:val="hy-AM"/>
        </w:rPr>
        <w:t xml:space="preserve"> </w:t>
      </w:r>
      <w:r w:rsidRPr="00D43D8F">
        <w:rPr>
          <w:rFonts w:cs="Sylfaen"/>
          <w:sz w:val="16"/>
          <w:szCs w:val="16"/>
          <w:lang w:val="hy-AM"/>
        </w:rPr>
        <w:t>ձևով</w:t>
      </w:r>
      <w:r w:rsidRPr="00D43D8F">
        <w:rPr>
          <w:rFonts w:cs="Arial"/>
          <w:sz w:val="16"/>
          <w:szCs w:val="16"/>
          <w:lang w:val="hy-AM"/>
        </w:rPr>
        <w:t xml:space="preserve"> </w:t>
      </w:r>
      <w:r w:rsidRPr="00D43D8F">
        <w:rPr>
          <w:rFonts w:cs="Sylfaen"/>
          <w:sz w:val="16"/>
          <w:szCs w:val="16"/>
          <w:lang w:val="hy-AM"/>
        </w:rPr>
        <w:t>վերակազմակերպելու</w:t>
      </w:r>
      <w:r w:rsidRPr="00D43D8F">
        <w:rPr>
          <w:rFonts w:cs="Arial"/>
          <w:sz w:val="16"/>
          <w:szCs w:val="16"/>
          <w:lang w:val="hy-AM"/>
        </w:rPr>
        <w:t xml:space="preserve"> </w:t>
      </w:r>
      <w:r w:rsidRPr="00D43D8F">
        <w:rPr>
          <w:rFonts w:cs="Sylfaen"/>
          <w:sz w:val="16"/>
          <w:szCs w:val="16"/>
          <w:lang w:val="hy-AM"/>
        </w:rPr>
        <w:t>մասին</w:t>
      </w:r>
      <w:r w:rsidRPr="00D43D8F">
        <w:rPr>
          <w:rFonts w:cs="Arial"/>
          <w:sz w:val="16"/>
          <w:szCs w:val="16"/>
          <w:lang w:val="hy-AM"/>
        </w:rPr>
        <w:t>» N54-</w:t>
      </w:r>
      <w:r w:rsidRPr="00D43D8F">
        <w:rPr>
          <w:rFonts w:cs="Sylfaen"/>
          <w:sz w:val="16"/>
          <w:szCs w:val="16"/>
          <w:lang w:val="hy-AM"/>
        </w:rPr>
        <w:t>Ա</w:t>
      </w:r>
      <w:r w:rsidRPr="00D43D8F">
        <w:rPr>
          <w:rFonts w:cs="Arial"/>
          <w:sz w:val="16"/>
          <w:szCs w:val="16"/>
          <w:lang w:val="hy-AM"/>
        </w:rPr>
        <w:t xml:space="preserve"> </w:t>
      </w:r>
      <w:r w:rsidRPr="00D43D8F">
        <w:rPr>
          <w:rFonts w:cs="Sylfaen"/>
          <w:sz w:val="16"/>
          <w:szCs w:val="16"/>
          <w:lang w:val="hy-AM"/>
        </w:rPr>
        <w:t>որոշման</w:t>
      </w:r>
      <w:r w:rsidRPr="00D43D8F">
        <w:rPr>
          <w:rFonts w:cs="Arial"/>
          <w:sz w:val="16"/>
          <w:szCs w:val="16"/>
          <w:lang w:val="hy-AM"/>
        </w:rPr>
        <w:t>, 2019</w:t>
      </w:r>
      <w:r w:rsidRPr="00D43D8F">
        <w:rPr>
          <w:rFonts w:cs="Sylfaen"/>
          <w:sz w:val="16"/>
          <w:szCs w:val="16"/>
          <w:lang w:val="hy-AM"/>
        </w:rPr>
        <w:t>թ</w:t>
      </w:r>
      <w:r w:rsidRPr="00D43D8F">
        <w:rPr>
          <w:rFonts w:cs="Arial"/>
          <w:sz w:val="16"/>
          <w:szCs w:val="16"/>
          <w:lang w:val="hy-AM"/>
        </w:rPr>
        <w:t xml:space="preserve">. </w:t>
      </w:r>
      <w:r w:rsidRPr="00D43D8F">
        <w:rPr>
          <w:rFonts w:cs="Sylfaen"/>
          <w:sz w:val="16"/>
          <w:szCs w:val="16"/>
          <w:lang w:val="hy-AM"/>
        </w:rPr>
        <w:t>վերլուծությունը</w:t>
      </w:r>
      <w:r w:rsidRPr="00D43D8F">
        <w:rPr>
          <w:rFonts w:cs="Arial"/>
          <w:sz w:val="16"/>
          <w:szCs w:val="16"/>
          <w:lang w:val="hy-AM"/>
        </w:rPr>
        <w:t xml:space="preserve"> </w:t>
      </w:r>
      <w:r w:rsidRPr="00D43D8F">
        <w:rPr>
          <w:rFonts w:cs="Sylfaen"/>
          <w:sz w:val="16"/>
          <w:szCs w:val="16"/>
          <w:lang w:val="hy-AM"/>
        </w:rPr>
        <w:t>իրականացվել</w:t>
      </w:r>
      <w:r w:rsidRPr="00D43D8F">
        <w:rPr>
          <w:rFonts w:cs="Arial"/>
          <w:sz w:val="16"/>
          <w:szCs w:val="16"/>
          <w:lang w:val="hy-AM"/>
        </w:rPr>
        <w:t xml:space="preserve"> </w:t>
      </w:r>
      <w:r w:rsidRPr="00D43D8F">
        <w:rPr>
          <w:rFonts w:cs="Sylfaen"/>
          <w:sz w:val="16"/>
          <w:szCs w:val="16"/>
          <w:lang w:val="hy-AM"/>
        </w:rPr>
        <w:t>է</w:t>
      </w:r>
      <w:r w:rsidRPr="00D43D8F">
        <w:rPr>
          <w:rFonts w:cs="Arial"/>
          <w:sz w:val="16"/>
          <w:szCs w:val="16"/>
          <w:lang w:val="hy-AM"/>
        </w:rPr>
        <w:t xml:space="preserve"> </w:t>
      </w:r>
      <w:r w:rsidRPr="00D43D8F">
        <w:rPr>
          <w:rFonts w:cs="Sylfaen"/>
          <w:sz w:val="16"/>
          <w:szCs w:val="16"/>
          <w:lang w:val="hy-AM"/>
        </w:rPr>
        <w:t>թվով</w:t>
      </w:r>
      <w:r w:rsidRPr="00D43D8F">
        <w:rPr>
          <w:rFonts w:cs="Arial"/>
          <w:sz w:val="16"/>
          <w:szCs w:val="16"/>
          <w:lang w:val="hy-AM"/>
        </w:rPr>
        <w:t xml:space="preserve"> 7 </w:t>
      </w:r>
      <w:r w:rsidRPr="00D43D8F">
        <w:rPr>
          <w:rFonts w:cs="Sylfaen"/>
          <w:sz w:val="16"/>
          <w:szCs w:val="16"/>
          <w:lang w:val="hy-AM"/>
        </w:rPr>
        <w:t>ընկերությունների</w:t>
      </w:r>
      <w:r w:rsidRPr="00D43D8F">
        <w:rPr>
          <w:rFonts w:cs="Arial"/>
          <w:sz w:val="16"/>
          <w:szCs w:val="16"/>
          <w:lang w:val="hy-AM"/>
        </w:rPr>
        <w:t xml:space="preserve"> </w:t>
      </w:r>
      <w:r w:rsidRPr="00D43D8F">
        <w:rPr>
          <w:rFonts w:cs="Sylfaen"/>
          <w:sz w:val="16"/>
          <w:szCs w:val="16"/>
          <w:lang w:val="hy-AM"/>
        </w:rPr>
        <w:t>ցուցանիշների</w:t>
      </w:r>
      <w:r w:rsidRPr="00D43D8F">
        <w:rPr>
          <w:rFonts w:cs="Arial"/>
          <w:sz w:val="16"/>
          <w:szCs w:val="16"/>
          <w:lang w:val="hy-AM"/>
        </w:rPr>
        <w:t xml:space="preserve"> </w:t>
      </w:r>
      <w:r w:rsidRPr="00D43D8F">
        <w:rPr>
          <w:rFonts w:cs="Sylfaen"/>
          <w:sz w:val="16"/>
          <w:szCs w:val="16"/>
          <w:lang w:val="hy-AM"/>
        </w:rPr>
        <w:t>հիման</w:t>
      </w:r>
      <w:r w:rsidRPr="00D43D8F">
        <w:rPr>
          <w:rFonts w:cs="Arial"/>
          <w:sz w:val="16"/>
          <w:szCs w:val="16"/>
          <w:lang w:val="hy-AM"/>
        </w:rPr>
        <w:t xml:space="preserve"> </w:t>
      </w:r>
      <w:r w:rsidRPr="00D43D8F">
        <w:rPr>
          <w:rFonts w:cs="Sylfaen"/>
          <w:sz w:val="16"/>
          <w:szCs w:val="16"/>
          <w:lang w:val="hy-AM"/>
        </w:rPr>
        <w:t>վրա</w:t>
      </w:r>
      <w:r w:rsidRPr="00D43D8F">
        <w:rPr>
          <w:rFonts w:cs="Arial"/>
          <w:sz w:val="16"/>
          <w:szCs w:val="16"/>
          <w:lang w:val="hy-AM"/>
        </w:rPr>
        <w:t>:</w:t>
      </w:r>
    </w:p>
    <w:p w14:paraId="004B319C" w14:textId="77777777" w:rsidR="00CB6CFF" w:rsidRPr="00D25F01" w:rsidRDefault="00CB6CFF" w:rsidP="004442B5">
      <w:pPr>
        <w:rPr>
          <w:lang w:val="hy-AM"/>
        </w:rPr>
      </w:pPr>
    </w:p>
  </w:footnote>
  <w:footnote w:id="21">
    <w:p w14:paraId="5FBAE1D2" w14:textId="77777777" w:rsidR="00CB6CFF" w:rsidRPr="00D628C0" w:rsidRDefault="00CB6CFF" w:rsidP="004442B5">
      <w:pPr>
        <w:shd w:val="clear" w:color="auto" w:fill="FFFFFF"/>
        <w:spacing w:after="0" w:line="360" w:lineRule="auto"/>
        <w:ind w:right="150" w:firstLine="450"/>
        <w:rPr>
          <w:color w:val="000000"/>
          <w:lang w:val="hy-AM"/>
        </w:rPr>
      </w:pPr>
      <w:r>
        <w:rPr>
          <w:color w:val="000000"/>
          <w:sz w:val="16"/>
          <w:szCs w:val="16"/>
          <w:vertAlign w:val="superscript"/>
          <w:lang w:val="hy-AM"/>
        </w:rPr>
        <w:t>5</w:t>
      </w:r>
      <w:r>
        <w:rPr>
          <w:sz w:val="16"/>
          <w:szCs w:val="16"/>
          <w:lang w:val="hy-AM"/>
        </w:rPr>
        <w:t>Կ</w:t>
      </w:r>
      <w:r w:rsidRPr="003A3567">
        <w:rPr>
          <w:sz w:val="16"/>
          <w:szCs w:val="16"/>
          <w:lang w:val="hy-AM"/>
        </w:rPr>
        <w:t>իրառվել է Ա</w:t>
      </w:r>
      <w:r>
        <w:rPr>
          <w:sz w:val="16"/>
          <w:szCs w:val="16"/>
          <w:lang w:val="hy-AM"/>
        </w:rPr>
        <w:t xml:space="preserve">սիական Զարգացման Բանկի կողմից մշակված </w:t>
      </w:r>
      <w:r w:rsidRPr="003A3567">
        <w:rPr>
          <w:sz w:val="16"/>
          <w:szCs w:val="16"/>
          <w:lang w:val="hy-AM"/>
        </w:rPr>
        <w:t>մեթոդաբա</w:t>
      </w:r>
      <w:r w:rsidRPr="003A3567">
        <w:rPr>
          <w:sz w:val="16"/>
          <w:szCs w:val="16"/>
          <w:lang w:val="hy-AM"/>
        </w:rPr>
        <w:softHyphen/>
        <w:t>նությունը</w:t>
      </w:r>
      <w:r>
        <w:rPr>
          <w:sz w:val="16"/>
          <w:szCs w:val="16"/>
          <w:lang w:val="hy-AM"/>
        </w:rPr>
        <w:t>:</w:t>
      </w:r>
    </w:p>
    <w:p w14:paraId="1F761F51" w14:textId="77777777" w:rsidR="00CB6CFF" w:rsidRPr="00B82399" w:rsidRDefault="00CB6CFF" w:rsidP="004442B5">
      <w:pPr>
        <w:shd w:val="clear" w:color="auto" w:fill="FFFFFF"/>
        <w:spacing w:after="0" w:line="240" w:lineRule="auto"/>
        <w:ind w:right="150" w:firstLine="450"/>
        <w:rPr>
          <w:color w:val="000000"/>
          <w:sz w:val="16"/>
          <w:szCs w:val="16"/>
          <w:lang w:val="hy-AM"/>
        </w:rPr>
      </w:pPr>
      <w:r w:rsidRPr="00B82399">
        <w:rPr>
          <w:rFonts w:ascii="Sylfaen" w:hAnsi="Sylfaen"/>
          <w:color w:val="000000"/>
          <w:sz w:val="16"/>
          <w:szCs w:val="16"/>
          <w:lang w:val="hy-AM"/>
        </w:rPr>
        <w:t> </w:t>
      </w:r>
    </w:p>
    <w:p w14:paraId="119C291D" w14:textId="77777777" w:rsidR="00CB6CFF" w:rsidRPr="00FB2EB1" w:rsidRDefault="00CB6CFF" w:rsidP="004442B5">
      <w:pPr>
        <w:rPr>
          <w:sz w:val="18"/>
          <w:szCs w:val="18"/>
          <w:lang w:val="hy-AM"/>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4" type="#_x0000_t75" style="width:9.75pt;height:9.75pt" o:bullet="t">
        <v:imagedata r:id="rId1" o:title="BD21301_"/>
      </v:shape>
    </w:pict>
  </w:numPicBullet>
  <w:abstractNum w:abstractNumId="0" w15:restartNumberingAfterBreak="0">
    <w:nsid w:val="FFFFFF83"/>
    <w:multiLevelType w:val="singleLevel"/>
    <w:tmpl w:val="9F865784"/>
    <w:lvl w:ilvl="0">
      <w:start w:val="1"/>
      <w:numFmt w:val="bullet"/>
      <w:pStyle w:val="2ndheading"/>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9AC5A72"/>
    <w:lvl w:ilvl="0">
      <w:start w:val="1"/>
      <w:numFmt w:val="decimal"/>
      <w:pStyle w:val="ListNumber"/>
      <w:lvlText w:val="%1."/>
      <w:lvlJc w:val="left"/>
      <w:pPr>
        <w:tabs>
          <w:tab w:val="num" w:pos="360"/>
        </w:tabs>
        <w:ind w:left="360" w:hanging="360"/>
      </w:pPr>
    </w:lvl>
  </w:abstractNum>
  <w:abstractNum w:abstractNumId="2" w15:restartNumberingAfterBreak="0">
    <w:nsid w:val="03F033D1"/>
    <w:multiLevelType w:val="hybridMultilevel"/>
    <w:tmpl w:val="28F0DDFE"/>
    <w:lvl w:ilvl="0" w:tplc="FFFFFFFF">
      <w:start w:val="1"/>
      <w:numFmt w:val="bullet"/>
      <w:pStyle w:val="num0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153C66"/>
    <w:multiLevelType w:val="hybridMultilevel"/>
    <w:tmpl w:val="160E91D2"/>
    <w:lvl w:ilvl="0" w:tplc="0409000F">
      <w:start w:val="1"/>
      <w:numFmt w:val="decimal"/>
      <w:lvlText w:val="%1."/>
      <w:lvlJc w:val="left"/>
      <w:pPr>
        <w:ind w:left="786" w:hanging="360"/>
      </w:p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4" w15:restartNumberingAfterBreak="0">
    <w:nsid w:val="04641FC6"/>
    <w:multiLevelType w:val="hybridMultilevel"/>
    <w:tmpl w:val="995C07C0"/>
    <w:lvl w:ilvl="0" w:tplc="5ED8FEF2">
      <w:start w:val="1"/>
      <w:numFmt w:val="bullet"/>
      <w:lvlText w:val="-"/>
      <w:lvlJc w:val="left"/>
      <w:pPr>
        <w:ind w:left="720" w:hanging="360"/>
      </w:pPr>
      <w:rPr>
        <w:rFonts w:ascii="Times Armenian" w:eastAsia="Times New Roman" w:hAnsi="Times Armeni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751C9F"/>
    <w:multiLevelType w:val="hybridMultilevel"/>
    <w:tmpl w:val="5810D100"/>
    <w:lvl w:ilvl="0" w:tplc="E952B618">
      <w:start w:val="1"/>
      <w:numFmt w:val="decimal"/>
      <w:lvlText w:val="%1."/>
      <w:lvlJc w:val="left"/>
      <w:pPr>
        <w:tabs>
          <w:tab w:val="num" w:pos="870"/>
        </w:tabs>
        <w:ind w:left="870" w:hanging="510"/>
      </w:pPr>
      <w:rPr>
        <w:rFonts w:hint="default"/>
        <w:b/>
      </w:rPr>
    </w:lvl>
    <w:lvl w:ilvl="1" w:tplc="7494E5A6">
      <w:start w:val="1"/>
      <w:numFmt w:val="decimal"/>
      <w:lvlText w:val="%2)"/>
      <w:lvlJc w:val="left"/>
      <w:pPr>
        <w:tabs>
          <w:tab w:val="num" w:pos="1440"/>
        </w:tabs>
        <w:ind w:left="1440" w:hanging="360"/>
      </w:pPr>
      <w:rPr>
        <w:rFonts w:hint="default"/>
        <w:b/>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5292D6A"/>
    <w:multiLevelType w:val="hybridMultilevel"/>
    <w:tmpl w:val="AE0ED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9A7B67"/>
    <w:multiLevelType w:val="hybridMultilevel"/>
    <w:tmpl w:val="C9BC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B45AF4"/>
    <w:multiLevelType w:val="hybridMultilevel"/>
    <w:tmpl w:val="476C7736"/>
    <w:lvl w:ilvl="0" w:tplc="03589ECA">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73C4306"/>
    <w:multiLevelType w:val="hybridMultilevel"/>
    <w:tmpl w:val="E4D42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4C7D3A"/>
    <w:multiLevelType w:val="multilevel"/>
    <w:tmpl w:val="1B94823C"/>
    <w:lvl w:ilvl="0">
      <w:start w:val="1"/>
      <w:numFmt w:val="decimal"/>
      <w:lvlText w:val="%1."/>
      <w:lvlJc w:val="left"/>
      <w:pPr>
        <w:ind w:left="720" w:hanging="360"/>
      </w:pPr>
      <w:rPr>
        <w:rFonts w:cs="Sylfaen"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1" w15:restartNumberingAfterBreak="0">
    <w:nsid w:val="09A402E7"/>
    <w:multiLevelType w:val="hybridMultilevel"/>
    <w:tmpl w:val="FCC0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9533EE"/>
    <w:multiLevelType w:val="hybridMultilevel"/>
    <w:tmpl w:val="43602D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0ABF6984"/>
    <w:multiLevelType w:val="hybridMultilevel"/>
    <w:tmpl w:val="73F88F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0BFB4272"/>
    <w:multiLevelType w:val="hybridMultilevel"/>
    <w:tmpl w:val="80AA57F0"/>
    <w:lvl w:ilvl="0" w:tplc="4FEEEB46">
      <w:start w:val="1"/>
      <w:numFmt w:val="bullet"/>
      <w:lvlText w:val="-"/>
      <w:lvlJc w:val="left"/>
      <w:pPr>
        <w:ind w:left="1282" w:hanging="360"/>
      </w:pPr>
      <w:rPr>
        <w:rFonts w:ascii="MS Reference Sans Serif" w:hAnsi="MS Reference Sans Serif" w:hint="default"/>
      </w:rPr>
    </w:lvl>
    <w:lvl w:ilvl="1" w:tplc="042B0003" w:tentative="1">
      <w:start w:val="1"/>
      <w:numFmt w:val="bullet"/>
      <w:lvlText w:val="o"/>
      <w:lvlJc w:val="left"/>
      <w:pPr>
        <w:ind w:left="2002" w:hanging="360"/>
      </w:pPr>
      <w:rPr>
        <w:rFonts w:ascii="Courier New" w:hAnsi="Courier New" w:cs="Courier New" w:hint="default"/>
      </w:rPr>
    </w:lvl>
    <w:lvl w:ilvl="2" w:tplc="042B0005" w:tentative="1">
      <w:start w:val="1"/>
      <w:numFmt w:val="bullet"/>
      <w:lvlText w:val=""/>
      <w:lvlJc w:val="left"/>
      <w:pPr>
        <w:ind w:left="2722" w:hanging="360"/>
      </w:pPr>
      <w:rPr>
        <w:rFonts w:ascii="Wingdings" w:hAnsi="Wingdings" w:hint="default"/>
      </w:rPr>
    </w:lvl>
    <w:lvl w:ilvl="3" w:tplc="042B0001" w:tentative="1">
      <w:start w:val="1"/>
      <w:numFmt w:val="bullet"/>
      <w:lvlText w:val=""/>
      <w:lvlJc w:val="left"/>
      <w:pPr>
        <w:ind w:left="3442" w:hanging="360"/>
      </w:pPr>
      <w:rPr>
        <w:rFonts w:ascii="Symbol" w:hAnsi="Symbol" w:hint="default"/>
      </w:rPr>
    </w:lvl>
    <w:lvl w:ilvl="4" w:tplc="042B0003" w:tentative="1">
      <w:start w:val="1"/>
      <w:numFmt w:val="bullet"/>
      <w:lvlText w:val="o"/>
      <w:lvlJc w:val="left"/>
      <w:pPr>
        <w:ind w:left="4162" w:hanging="360"/>
      </w:pPr>
      <w:rPr>
        <w:rFonts w:ascii="Courier New" w:hAnsi="Courier New" w:cs="Courier New" w:hint="default"/>
      </w:rPr>
    </w:lvl>
    <w:lvl w:ilvl="5" w:tplc="042B0005" w:tentative="1">
      <w:start w:val="1"/>
      <w:numFmt w:val="bullet"/>
      <w:lvlText w:val=""/>
      <w:lvlJc w:val="left"/>
      <w:pPr>
        <w:ind w:left="4882" w:hanging="360"/>
      </w:pPr>
      <w:rPr>
        <w:rFonts w:ascii="Wingdings" w:hAnsi="Wingdings" w:hint="default"/>
      </w:rPr>
    </w:lvl>
    <w:lvl w:ilvl="6" w:tplc="042B0001" w:tentative="1">
      <w:start w:val="1"/>
      <w:numFmt w:val="bullet"/>
      <w:lvlText w:val=""/>
      <w:lvlJc w:val="left"/>
      <w:pPr>
        <w:ind w:left="5602" w:hanging="360"/>
      </w:pPr>
      <w:rPr>
        <w:rFonts w:ascii="Symbol" w:hAnsi="Symbol" w:hint="default"/>
      </w:rPr>
    </w:lvl>
    <w:lvl w:ilvl="7" w:tplc="042B0003" w:tentative="1">
      <w:start w:val="1"/>
      <w:numFmt w:val="bullet"/>
      <w:lvlText w:val="o"/>
      <w:lvlJc w:val="left"/>
      <w:pPr>
        <w:ind w:left="6322" w:hanging="360"/>
      </w:pPr>
      <w:rPr>
        <w:rFonts w:ascii="Courier New" w:hAnsi="Courier New" w:cs="Courier New" w:hint="default"/>
      </w:rPr>
    </w:lvl>
    <w:lvl w:ilvl="8" w:tplc="042B0005" w:tentative="1">
      <w:start w:val="1"/>
      <w:numFmt w:val="bullet"/>
      <w:lvlText w:val=""/>
      <w:lvlJc w:val="left"/>
      <w:pPr>
        <w:ind w:left="7042" w:hanging="360"/>
      </w:pPr>
      <w:rPr>
        <w:rFonts w:ascii="Wingdings" w:hAnsi="Wingdings" w:hint="default"/>
      </w:rPr>
    </w:lvl>
  </w:abstractNum>
  <w:abstractNum w:abstractNumId="15" w15:restartNumberingAfterBreak="0">
    <w:nsid w:val="0CED22CD"/>
    <w:multiLevelType w:val="multilevel"/>
    <w:tmpl w:val="C77EBEC8"/>
    <w:lvl w:ilvl="0">
      <w:start w:val="1"/>
      <w:numFmt w:val="decimal"/>
      <w:pStyle w:val="Style4"/>
      <w:lvlText w:val="´²ÄÆÜ %1."/>
      <w:lvlJc w:val="left"/>
      <w:pPr>
        <w:tabs>
          <w:tab w:val="num" w:pos="1531"/>
        </w:tabs>
        <w:ind w:left="1531" w:hanging="1531"/>
      </w:pPr>
      <w:rPr>
        <w:rFonts w:hint="default"/>
      </w:rPr>
    </w:lvl>
    <w:lvl w:ilvl="1">
      <w:start w:val="1"/>
      <w:numFmt w:val="decimal"/>
      <w:lvlRestart w:val="0"/>
      <w:pStyle w:val="annexedhead"/>
      <w:lvlText w:val="¶ÈàôÊ %2."/>
      <w:lvlJc w:val="left"/>
      <w:pPr>
        <w:tabs>
          <w:tab w:val="num" w:pos="1440"/>
        </w:tabs>
        <w:ind w:left="737" w:hanging="737"/>
      </w:pPr>
      <w:rPr>
        <w:rFonts w:hint="default"/>
      </w:rPr>
    </w:lvl>
    <w:lvl w:ilvl="2">
      <w:start w:val="1"/>
      <w:numFmt w:val="decimal"/>
      <w:pStyle w:val="StyleHeading3CenteredtextLinespacingsingle"/>
      <w:lvlText w:val="%2.%3."/>
      <w:lvlJc w:val="left"/>
      <w:pPr>
        <w:tabs>
          <w:tab w:val="num" w:pos="737"/>
        </w:tabs>
        <w:ind w:left="737" w:hanging="737"/>
      </w:pPr>
      <w:rPr>
        <w:rFonts w:hint="default"/>
      </w:rPr>
    </w:lvl>
    <w:lvl w:ilvl="3">
      <w:start w:val="1"/>
      <w:numFmt w:val="decimal"/>
      <w:lvlText w:val="%2.%3.%4."/>
      <w:lvlJc w:val="left"/>
      <w:pPr>
        <w:tabs>
          <w:tab w:val="num" w:pos="737"/>
        </w:tabs>
        <w:ind w:left="737" w:hanging="737"/>
      </w:pPr>
      <w:rPr>
        <w:rFonts w:hint="default"/>
      </w:rPr>
    </w:lvl>
    <w:lvl w:ilvl="4">
      <w:start w:val="1"/>
      <w:numFmt w:val="decimal"/>
      <w:lvlText w:val="%2.%3.%4.%5."/>
      <w:lvlJc w:val="left"/>
      <w:pPr>
        <w:tabs>
          <w:tab w:val="num" w:pos="907"/>
        </w:tabs>
        <w:ind w:left="907" w:hanging="907"/>
      </w:pPr>
      <w:rPr>
        <w:rFonts w:hint="default"/>
      </w:rPr>
    </w:lvl>
    <w:lvl w:ilvl="5">
      <w:start w:val="1"/>
      <w:numFmt w:val="decimal"/>
      <w:lvlText w:val="%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59E0AC5"/>
    <w:multiLevelType w:val="hybridMultilevel"/>
    <w:tmpl w:val="AE50D84C"/>
    <w:lvl w:ilvl="0" w:tplc="5AEEDA14">
      <w:start w:val="1"/>
      <w:numFmt w:val="bullet"/>
      <w:lvlText w:val="•"/>
      <w:lvlJc w:val="left"/>
      <w:pPr>
        <w:tabs>
          <w:tab w:val="num" w:pos="720"/>
        </w:tabs>
        <w:ind w:left="720" w:hanging="360"/>
      </w:pPr>
      <w:rPr>
        <w:rFonts w:ascii="Arial" w:hAnsi="Arial" w:hint="default"/>
      </w:rPr>
    </w:lvl>
    <w:lvl w:ilvl="1" w:tplc="F55A32F6" w:tentative="1">
      <w:start w:val="1"/>
      <w:numFmt w:val="bullet"/>
      <w:lvlText w:val="•"/>
      <w:lvlJc w:val="left"/>
      <w:pPr>
        <w:tabs>
          <w:tab w:val="num" w:pos="1440"/>
        </w:tabs>
        <w:ind w:left="1440" w:hanging="360"/>
      </w:pPr>
      <w:rPr>
        <w:rFonts w:ascii="Arial" w:hAnsi="Arial" w:hint="default"/>
      </w:rPr>
    </w:lvl>
    <w:lvl w:ilvl="2" w:tplc="94CAA8D0" w:tentative="1">
      <w:start w:val="1"/>
      <w:numFmt w:val="bullet"/>
      <w:lvlText w:val="•"/>
      <w:lvlJc w:val="left"/>
      <w:pPr>
        <w:tabs>
          <w:tab w:val="num" w:pos="2160"/>
        </w:tabs>
        <w:ind w:left="2160" w:hanging="360"/>
      </w:pPr>
      <w:rPr>
        <w:rFonts w:ascii="Arial" w:hAnsi="Arial" w:hint="default"/>
      </w:rPr>
    </w:lvl>
    <w:lvl w:ilvl="3" w:tplc="B9BCD620" w:tentative="1">
      <w:start w:val="1"/>
      <w:numFmt w:val="bullet"/>
      <w:lvlText w:val="•"/>
      <w:lvlJc w:val="left"/>
      <w:pPr>
        <w:tabs>
          <w:tab w:val="num" w:pos="2880"/>
        </w:tabs>
        <w:ind w:left="2880" w:hanging="360"/>
      </w:pPr>
      <w:rPr>
        <w:rFonts w:ascii="Arial" w:hAnsi="Arial" w:hint="default"/>
      </w:rPr>
    </w:lvl>
    <w:lvl w:ilvl="4" w:tplc="30F0D10A" w:tentative="1">
      <w:start w:val="1"/>
      <w:numFmt w:val="bullet"/>
      <w:lvlText w:val="•"/>
      <w:lvlJc w:val="left"/>
      <w:pPr>
        <w:tabs>
          <w:tab w:val="num" w:pos="3600"/>
        </w:tabs>
        <w:ind w:left="3600" w:hanging="360"/>
      </w:pPr>
      <w:rPr>
        <w:rFonts w:ascii="Arial" w:hAnsi="Arial" w:hint="default"/>
      </w:rPr>
    </w:lvl>
    <w:lvl w:ilvl="5" w:tplc="2CE24AAC" w:tentative="1">
      <w:start w:val="1"/>
      <w:numFmt w:val="bullet"/>
      <w:lvlText w:val="•"/>
      <w:lvlJc w:val="left"/>
      <w:pPr>
        <w:tabs>
          <w:tab w:val="num" w:pos="4320"/>
        </w:tabs>
        <w:ind w:left="4320" w:hanging="360"/>
      </w:pPr>
      <w:rPr>
        <w:rFonts w:ascii="Arial" w:hAnsi="Arial" w:hint="default"/>
      </w:rPr>
    </w:lvl>
    <w:lvl w:ilvl="6" w:tplc="FD10FDFC" w:tentative="1">
      <w:start w:val="1"/>
      <w:numFmt w:val="bullet"/>
      <w:lvlText w:val="•"/>
      <w:lvlJc w:val="left"/>
      <w:pPr>
        <w:tabs>
          <w:tab w:val="num" w:pos="5040"/>
        </w:tabs>
        <w:ind w:left="5040" w:hanging="360"/>
      </w:pPr>
      <w:rPr>
        <w:rFonts w:ascii="Arial" w:hAnsi="Arial" w:hint="default"/>
      </w:rPr>
    </w:lvl>
    <w:lvl w:ilvl="7" w:tplc="4E8CE1FA" w:tentative="1">
      <w:start w:val="1"/>
      <w:numFmt w:val="bullet"/>
      <w:lvlText w:val="•"/>
      <w:lvlJc w:val="left"/>
      <w:pPr>
        <w:tabs>
          <w:tab w:val="num" w:pos="5760"/>
        </w:tabs>
        <w:ind w:left="5760" w:hanging="360"/>
      </w:pPr>
      <w:rPr>
        <w:rFonts w:ascii="Arial" w:hAnsi="Arial" w:hint="default"/>
      </w:rPr>
    </w:lvl>
    <w:lvl w:ilvl="8" w:tplc="BDDEA0B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6100A40"/>
    <w:multiLevelType w:val="hybridMultilevel"/>
    <w:tmpl w:val="F6EA0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7B77B63"/>
    <w:multiLevelType w:val="hybridMultilevel"/>
    <w:tmpl w:val="9212391C"/>
    <w:lvl w:ilvl="0" w:tplc="0D76C0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8DB3944"/>
    <w:multiLevelType w:val="hybridMultilevel"/>
    <w:tmpl w:val="D3CE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9E50E0"/>
    <w:multiLevelType w:val="multilevel"/>
    <w:tmpl w:val="B11AE6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DEB690F"/>
    <w:multiLevelType w:val="hybridMultilevel"/>
    <w:tmpl w:val="2444A1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0120D3E"/>
    <w:multiLevelType w:val="hybridMultilevel"/>
    <w:tmpl w:val="721E700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3" w15:restartNumberingAfterBreak="0">
    <w:nsid w:val="24C13DF6"/>
    <w:multiLevelType w:val="multilevel"/>
    <w:tmpl w:val="91CA8F98"/>
    <w:lvl w:ilvl="0">
      <w:start w:val="1"/>
      <w:numFmt w:val="decimal"/>
      <w:pStyle w:val="Heading2"/>
      <w:lvlText w:val="Գլուխ %1."/>
      <w:lvlJc w:val="left"/>
      <w:pPr>
        <w:ind w:left="8866" w:hanging="360"/>
      </w:pPr>
      <w:rPr>
        <w:rFonts w:ascii="GHEA Grapalat" w:hAnsi="GHEA Grapalat" w:hint="default"/>
        <w:b/>
        <w:i w:val="0"/>
        <w:sz w:val="26"/>
        <w:szCs w:val="26"/>
      </w:rPr>
    </w:lvl>
    <w:lvl w:ilvl="1">
      <w:start w:val="1"/>
      <w:numFmt w:val="decimal"/>
      <w:pStyle w:val="Heading3"/>
      <w:lvlText w:val="%1.%2."/>
      <w:lvlJc w:val="left"/>
      <w:pPr>
        <w:ind w:left="9080" w:hanging="432"/>
      </w:pPr>
      <w:rPr>
        <w:b/>
        <w:bCs w:val="0"/>
      </w:rPr>
    </w:lvl>
    <w:lvl w:ilvl="2">
      <w:start w:val="1"/>
      <w:numFmt w:val="decimal"/>
      <w:pStyle w:val="Heading4"/>
      <w:lvlText w:val="%1.%2.%3."/>
      <w:lvlJc w:val="left"/>
      <w:pPr>
        <w:ind w:left="9162" w:hanging="504"/>
      </w:pPr>
    </w:lvl>
    <w:lvl w:ilvl="3">
      <w:start w:val="1"/>
      <w:numFmt w:val="decimal"/>
      <w:lvlText w:val="%1.%2.%3.%4."/>
      <w:lvlJc w:val="left"/>
      <w:pPr>
        <w:ind w:left="9666" w:hanging="648"/>
      </w:pPr>
    </w:lvl>
    <w:lvl w:ilvl="4">
      <w:start w:val="1"/>
      <w:numFmt w:val="decimal"/>
      <w:lvlText w:val="%1.%2.%3.%4.%5."/>
      <w:lvlJc w:val="left"/>
      <w:pPr>
        <w:ind w:left="10170" w:hanging="792"/>
      </w:pPr>
    </w:lvl>
    <w:lvl w:ilvl="5">
      <w:start w:val="1"/>
      <w:numFmt w:val="decimal"/>
      <w:lvlText w:val="%1.%2.%3.%4.%5.%6."/>
      <w:lvlJc w:val="left"/>
      <w:pPr>
        <w:ind w:left="10674" w:hanging="936"/>
      </w:pPr>
    </w:lvl>
    <w:lvl w:ilvl="6">
      <w:start w:val="1"/>
      <w:numFmt w:val="decimal"/>
      <w:lvlText w:val="%1.%2.%3.%4.%5.%6.%7."/>
      <w:lvlJc w:val="left"/>
      <w:pPr>
        <w:ind w:left="11178" w:hanging="1080"/>
      </w:pPr>
    </w:lvl>
    <w:lvl w:ilvl="7">
      <w:start w:val="1"/>
      <w:numFmt w:val="decimal"/>
      <w:lvlText w:val="%1.%2.%3.%4.%5.%6.%7.%8."/>
      <w:lvlJc w:val="left"/>
      <w:pPr>
        <w:ind w:left="11682" w:hanging="1224"/>
      </w:pPr>
    </w:lvl>
    <w:lvl w:ilvl="8">
      <w:start w:val="1"/>
      <w:numFmt w:val="decimal"/>
      <w:lvlText w:val="%1.%2.%3.%4.%5.%6.%7.%8.%9."/>
      <w:lvlJc w:val="left"/>
      <w:pPr>
        <w:ind w:left="12258" w:hanging="1440"/>
      </w:pPr>
    </w:lvl>
  </w:abstractNum>
  <w:abstractNum w:abstractNumId="24" w15:restartNumberingAfterBreak="0">
    <w:nsid w:val="26E72782"/>
    <w:multiLevelType w:val="hybridMultilevel"/>
    <w:tmpl w:val="E598B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AEA1464"/>
    <w:multiLevelType w:val="hybridMultilevel"/>
    <w:tmpl w:val="1240650C"/>
    <w:lvl w:ilvl="0" w:tplc="4FEEEB46">
      <w:start w:val="1"/>
      <w:numFmt w:val="bullet"/>
      <w:lvlText w:val="-"/>
      <w:lvlJc w:val="left"/>
      <w:pPr>
        <w:ind w:left="1282" w:hanging="360"/>
      </w:pPr>
      <w:rPr>
        <w:rFonts w:ascii="MS Reference Sans Serif" w:hAnsi="MS Reference Sans Serif" w:hint="default"/>
      </w:rPr>
    </w:lvl>
    <w:lvl w:ilvl="1" w:tplc="4FEEEB46">
      <w:start w:val="1"/>
      <w:numFmt w:val="bullet"/>
      <w:lvlText w:val="-"/>
      <w:lvlJc w:val="left"/>
      <w:pPr>
        <w:ind w:left="2002" w:hanging="360"/>
      </w:pPr>
      <w:rPr>
        <w:rFonts w:ascii="MS Reference Sans Serif" w:hAnsi="MS Reference Sans Serif" w:hint="default"/>
      </w:rPr>
    </w:lvl>
    <w:lvl w:ilvl="2" w:tplc="042B0005" w:tentative="1">
      <w:start w:val="1"/>
      <w:numFmt w:val="bullet"/>
      <w:lvlText w:val=""/>
      <w:lvlJc w:val="left"/>
      <w:pPr>
        <w:ind w:left="2722" w:hanging="360"/>
      </w:pPr>
      <w:rPr>
        <w:rFonts w:ascii="Wingdings" w:hAnsi="Wingdings" w:hint="default"/>
      </w:rPr>
    </w:lvl>
    <w:lvl w:ilvl="3" w:tplc="042B0001" w:tentative="1">
      <w:start w:val="1"/>
      <w:numFmt w:val="bullet"/>
      <w:lvlText w:val=""/>
      <w:lvlJc w:val="left"/>
      <w:pPr>
        <w:ind w:left="3442" w:hanging="360"/>
      </w:pPr>
      <w:rPr>
        <w:rFonts w:ascii="Symbol" w:hAnsi="Symbol" w:hint="default"/>
      </w:rPr>
    </w:lvl>
    <w:lvl w:ilvl="4" w:tplc="042B0003" w:tentative="1">
      <w:start w:val="1"/>
      <w:numFmt w:val="bullet"/>
      <w:lvlText w:val="o"/>
      <w:lvlJc w:val="left"/>
      <w:pPr>
        <w:ind w:left="4162" w:hanging="360"/>
      </w:pPr>
      <w:rPr>
        <w:rFonts w:ascii="Courier New" w:hAnsi="Courier New" w:cs="Courier New" w:hint="default"/>
      </w:rPr>
    </w:lvl>
    <w:lvl w:ilvl="5" w:tplc="042B0005" w:tentative="1">
      <w:start w:val="1"/>
      <w:numFmt w:val="bullet"/>
      <w:lvlText w:val=""/>
      <w:lvlJc w:val="left"/>
      <w:pPr>
        <w:ind w:left="4882" w:hanging="360"/>
      </w:pPr>
      <w:rPr>
        <w:rFonts w:ascii="Wingdings" w:hAnsi="Wingdings" w:hint="default"/>
      </w:rPr>
    </w:lvl>
    <w:lvl w:ilvl="6" w:tplc="042B0001" w:tentative="1">
      <w:start w:val="1"/>
      <w:numFmt w:val="bullet"/>
      <w:lvlText w:val=""/>
      <w:lvlJc w:val="left"/>
      <w:pPr>
        <w:ind w:left="5602" w:hanging="360"/>
      </w:pPr>
      <w:rPr>
        <w:rFonts w:ascii="Symbol" w:hAnsi="Symbol" w:hint="default"/>
      </w:rPr>
    </w:lvl>
    <w:lvl w:ilvl="7" w:tplc="042B0003" w:tentative="1">
      <w:start w:val="1"/>
      <w:numFmt w:val="bullet"/>
      <w:lvlText w:val="o"/>
      <w:lvlJc w:val="left"/>
      <w:pPr>
        <w:ind w:left="6322" w:hanging="360"/>
      </w:pPr>
      <w:rPr>
        <w:rFonts w:ascii="Courier New" w:hAnsi="Courier New" w:cs="Courier New" w:hint="default"/>
      </w:rPr>
    </w:lvl>
    <w:lvl w:ilvl="8" w:tplc="042B0005" w:tentative="1">
      <w:start w:val="1"/>
      <w:numFmt w:val="bullet"/>
      <w:lvlText w:val=""/>
      <w:lvlJc w:val="left"/>
      <w:pPr>
        <w:ind w:left="7042" w:hanging="360"/>
      </w:pPr>
      <w:rPr>
        <w:rFonts w:ascii="Wingdings" w:hAnsi="Wingdings" w:hint="default"/>
      </w:rPr>
    </w:lvl>
  </w:abstractNum>
  <w:abstractNum w:abstractNumId="26" w15:restartNumberingAfterBreak="0">
    <w:nsid w:val="2C0D17E8"/>
    <w:multiLevelType w:val="hybridMultilevel"/>
    <w:tmpl w:val="E8280606"/>
    <w:name w:val="WW8Num43"/>
    <w:lvl w:ilvl="0" w:tplc="FFFFFFFF">
      <w:start w:val="110"/>
      <w:numFmt w:val="bullet"/>
      <w:pStyle w:val="ListBullet2"/>
      <w:lvlText w:val="-"/>
      <w:lvlJc w:val="left"/>
      <w:pPr>
        <w:tabs>
          <w:tab w:val="num" w:pos="1575"/>
        </w:tabs>
        <w:ind w:left="1575" w:hanging="975"/>
      </w:pPr>
      <w:rPr>
        <w:rFonts w:ascii="Times Armenian" w:eastAsia="Times New Roman" w:hAnsi="Times Armenian" w:cs="Times New Roman"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27" w15:restartNumberingAfterBreak="0">
    <w:nsid w:val="2D524D23"/>
    <w:multiLevelType w:val="hybridMultilevel"/>
    <w:tmpl w:val="9E48E1D2"/>
    <w:lvl w:ilvl="0" w:tplc="B24A6460">
      <w:start w:val="1"/>
      <w:numFmt w:val="decimal"/>
      <w:lvlText w:val="%1)"/>
      <w:lvlJc w:val="left"/>
      <w:pPr>
        <w:ind w:left="1282" w:hanging="360"/>
      </w:pPr>
      <w:rPr>
        <w:rFonts w:ascii="GHEA Grapalat" w:hAnsi="GHEA Grapalat" w:hint="default"/>
      </w:rPr>
    </w:lvl>
    <w:lvl w:ilvl="1" w:tplc="042B0019" w:tentative="1">
      <w:start w:val="1"/>
      <w:numFmt w:val="lowerLetter"/>
      <w:lvlText w:val="%2."/>
      <w:lvlJc w:val="left"/>
      <w:pPr>
        <w:ind w:left="2002" w:hanging="360"/>
      </w:pPr>
    </w:lvl>
    <w:lvl w:ilvl="2" w:tplc="042B001B" w:tentative="1">
      <w:start w:val="1"/>
      <w:numFmt w:val="lowerRoman"/>
      <w:lvlText w:val="%3."/>
      <w:lvlJc w:val="right"/>
      <w:pPr>
        <w:ind w:left="2722" w:hanging="180"/>
      </w:pPr>
    </w:lvl>
    <w:lvl w:ilvl="3" w:tplc="042B000F" w:tentative="1">
      <w:start w:val="1"/>
      <w:numFmt w:val="decimal"/>
      <w:lvlText w:val="%4."/>
      <w:lvlJc w:val="left"/>
      <w:pPr>
        <w:ind w:left="3442" w:hanging="360"/>
      </w:pPr>
    </w:lvl>
    <w:lvl w:ilvl="4" w:tplc="042B0019" w:tentative="1">
      <w:start w:val="1"/>
      <w:numFmt w:val="lowerLetter"/>
      <w:lvlText w:val="%5."/>
      <w:lvlJc w:val="left"/>
      <w:pPr>
        <w:ind w:left="4162" w:hanging="360"/>
      </w:pPr>
    </w:lvl>
    <w:lvl w:ilvl="5" w:tplc="042B001B" w:tentative="1">
      <w:start w:val="1"/>
      <w:numFmt w:val="lowerRoman"/>
      <w:lvlText w:val="%6."/>
      <w:lvlJc w:val="right"/>
      <w:pPr>
        <w:ind w:left="4882" w:hanging="180"/>
      </w:pPr>
    </w:lvl>
    <w:lvl w:ilvl="6" w:tplc="042B000F" w:tentative="1">
      <w:start w:val="1"/>
      <w:numFmt w:val="decimal"/>
      <w:lvlText w:val="%7."/>
      <w:lvlJc w:val="left"/>
      <w:pPr>
        <w:ind w:left="5602" w:hanging="360"/>
      </w:pPr>
    </w:lvl>
    <w:lvl w:ilvl="7" w:tplc="042B0019" w:tentative="1">
      <w:start w:val="1"/>
      <w:numFmt w:val="lowerLetter"/>
      <w:lvlText w:val="%8."/>
      <w:lvlJc w:val="left"/>
      <w:pPr>
        <w:ind w:left="6322" w:hanging="360"/>
      </w:pPr>
    </w:lvl>
    <w:lvl w:ilvl="8" w:tplc="042B001B" w:tentative="1">
      <w:start w:val="1"/>
      <w:numFmt w:val="lowerRoman"/>
      <w:lvlText w:val="%9."/>
      <w:lvlJc w:val="right"/>
      <w:pPr>
        <w:ind w:left="7042" w:hanging="180"/>
      </w:pPr>
    </w:lvl>
  </w:abstractNum>
  <w:abstractNum w:abstractNumId="28" w15:restartNumberingAfterBreak="0">
    <w:nsid w:val="326F153C"/>
    <w:multiLevelType w:val="hybridMultilevel"/>
    <w:tmpl w:val="C8E0E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B03359"/>
    <w:multiLevelType w:val="hybridMultilevel"/>
    <w:tmpl w:val="10FE44B8"/>
    <w:lvl w:ilvl="0" w:tplc="5EA09BE4">
      <w:start w:val="2021"/>
      <w:numFmt w:val="bullet"/>
      <w:lvlText w:val="-"/>
      <w:lvlJc w:val="left"/>
      <w:pPr>
        <w:ind w:left="922" w:hanging="360"/>
      </w:pPr>
      <w:rPr>
        <w:rFonts w:ascii="GHEA Grapalat" w:eastAsiaTheme="minorEastAsia" w:hAnsi="GHEA Grapalat" w:cstheme="minorBidi"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0" w15:restartNumberingAfterBreak="0">
    <w:nsid w:val="342235AC"/>
    <w:multiLevelType w:val="hybridMultilevel"/>
    <w:tmpl w:val="4F4A4EE6"/>
    <w:lvl w:ilvl="0" w:tplc="04090001">
      <w:start w:val="1"/>
      <w:numFmt w:val="bullet"/>
      <w:lvlText w:val=""/>
      <w:lvlJc w:val="left"/>
      <w:pPr>
        <w:ind w:left="1440" w:hanging="360"/>
      </w:pPr>
      <w:rPr>
        <w:rFonts w:ascii="Symbol" w:hAnsi="Symbol" w:hint="default"/>
      </w:rPr>
    </w:lvl>
    <w:lvl w:ilvl="1" w:tplc="4FEEEB46">
      <w:start w:val="1"/>
      <w:numFmt w:val="bullet"/>
      <w:lvlText w:val="-"/>
      <w:lvlJc w:val="left"/>
      <w:pPr>
        <w:ind w:left="2160" w:hanging="360"/>
      </w:pPr>
      <w:rPr>
        <w:rFonts w:ascii="MS Reference Sans Serif" w:hAnsi="MS Reference Sans Serif"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4735E81"/>
    <w:multiLevelType w:val="hybridMultilevel"/>
    <w:tmpl w:val="A9E0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6067B9"/>
    <w:multiLevelType w:val="hybridMultilevel"/>
    <w:tmpl w:val="BEDC938E"/>
    <w:lvl w:ilvl="0" w:tplc="0409000D">
      <w:start w:val="1"/>
      <w:numFmt w:val="bullet"/>
      <w:lvlText w:val=""/>
      <w:lvlJc w:val="left"/>
      <w:pPr>
        <w:tabs>
          <w:tab w:val="num" w:pos="1080"/>
        </w:tabs>
        <w:ind w:left="1080" w:hanging="360"/>
      </w:pPr>
      <w:rPr>
        <w:rFonts w:ascii="Wingdings" w:hAnsi="Wingdings" w:hint="default"/>
      </w:rPr>
    </w:lvl>
    <w:lvl w:ilvl="1" w:tplc="7DC8E6C6">
      <w:start w:val="1"/>
      <w:numFmt w:val="bullet"/>
      <w:lvlText w:val="•"/>
      <w:lvlJc w:val="left"/>
      <w:pPr>
        <w:tabs>
          <w:tab w:val="num" w:pos="1800"/>
        </w:tabs>
        <w:ind w:left="1800" w:hanging="360"/>
      </w:pPr>
      <w:rPr>
        <w:rFonts w:ascii="Arial" w:hAnsi="Arial" w:hint="default"/>
      </w:rPr>
    </w:lvl>
    <w:lvl w:ilvl="2" w:tplc="B8DEA9A4" w:tentative="1">
      <w:start w:val="1"/>
      <w:numFmt w:val="bullet"/>
      <w:lvlText w:val="•"/>
      <w:lvlJc w:val="left"/>
      <w:pPr>
        <w:tabs>
          <w:tab w:val="num" w:pos="2520"/>
        </w:tabs>
        <w:ind w:left="2520" w:hanging="360"/>
      </w:pPr>
      <w:rPr>
        <w:rFonts w:ascii="Arial" w:hAnsi="Arial" w:hint="default"/>
      </w:rPr>
    </w:lvl>
    <w:lvl w:ilvl="3" w:tplc="8B0CF5AE" w:tentative="1">
      <w:start w:val="1"/>
      <w:numFmt w:val="bullet"/>
      <w:lvlText w:val="•"/>
      <w:lvlJc w:val="left"/>
      <w:pPr>
        <w:tabs>
          <w:tab w:val="num" w:pos="3240"/>
        </w:tabs>
        <w:ind w:left="3240" w:hanging="360"/>
      </w:pPr>
      <w:rPr>
        <w:rFonts w:ascii="Arial" w:hAnsi="Arial" w:hint="default"/>
      </w:rPr>
    </w:lvl>
    <w:lvl w:ilvl="4" w:tplc="CB40DD5A" w:tentative="1">
      <w:start w:val="1"/>
      <w:numFmt w:val="bullet"/>
      <w:lvlText w:val="•"/>
      <w:lvlJc w:val="left"/>
      <w:pPr>
        <w:tabs>
          <w:tab w:val="num" w:pos="3960"/>
        </w:tabs>
        <w:ind w:left="3960" w:hanging="360"/>
      </w:pPr>
      <w:rPr>
        <w:rFonts w:ascii="Arial" w:hAnsi="Arial" w:hint="default"/>
      </w:rPr>
    </w:lvl>
    <w:lvl w:ilvl="5" w:tplc="88DE4802" w:tentative="1">
      <w:start w:val="1"/>
      <w:numFmt w:val="bullet"/>
      <w:lvlText w:val="•"/>
      <w:lvlJc w:val="left"/>
      <w:pPr>
        <w:tabs>
          <w:tab w:val="num" w:pos="4680"/>
        </w:tabs>
        <w:ind w:left="4680" w:hanging="360"/>
      </w:pPr>
      <w:rPr>
        <w:rFonts w:ascii="Arial" w:hAnsi="Arial" w:hint="default"/>
      </w:rPr>
    </w:lvl>
    <w:lvl w:ilvl="6" w:tplc="DDB292CE" w:tentative="1">
      <w:start w:val="1"/>
      <w:numFmt w:val="bullet"/>
      <w:lvlText w:val="•"/>
      <w:lvlJc w:val="left"/>
      <w:pPr>
        <w:tabs>
          <w:tab w:val="num" w:pos="5400"/>
        </w:tabs>
        <w:ind w:left="5400" w:hanging="360"/>
      </w:pPr>
      <w:rPr>
        <w:rFonts w:ascii="Arial" w:hAnsi="Arial" w:hint="default"/>
      </w:rPr>
    </w:lvl>
    <w:lvl w:ilvl="7" w:tplc="8F46015A" w:tentative="1">
      <w:start w:val="1"/>
      <w:numFmt w:val="bullet"/>
      <w:lvlText w:val="•"/>
      <w:lvlJc w:val="left"/>
      <w:pPr>
        <w:tabs>
          <w:tab w:val="num" w:pos="6120"/>
        </w:tabs>
        <w:ind w:left="6120" w:hanging="360"/>
      </w:pPr>
      <w:rPr>
        <w:rFonts w:ascii="Arial" w:hAnsi="Arial" w:hint="default"/>
      </w:rPr>
    </w:lvl>
    <w:lvl w:ilvl="8" w:tplc="21AE8A96" w:tentative="1">
      <w:start w:val="1"/>
      <w:numFmt w:val="bullet"/>
      <w:lvlText w:val="•"/>
      <w:lvlJc w:val="left"/>
      <w:pPr>
        <w:tabs>
          <w:tab w:val="num" w:pos="6840"/>
        </w:tabs>
        <w:ind w:left="6840" w:hanging="360"/>
      </w:pPr>
      <w:rPr>
        <w:rFonts w:ascii="Arial" w:hAnsi="Arial" w:hint="default"/>
      </w:rPr>
    </w:lvl>
  </w:abstractNum>
  <w:abstractNum w:abstractNumId="33" w15:restartNumberingAfterBreak="0">
    <w:nsid w:val="35757B3E"/>
    <w:multiLevelType w:val="hybridMultilevel"/>
    <w:tmpl w:val="F252D434"/>
    <w:lvl w:ilvl="0" w:tplc="A7FC20D2">
      <w:start w:val="1"/>
      <w:numFmt w:val="bullet"/>
      <w:lvlText w:val="•"/>
      <w:lvlJc w:val="left"/>
      <w:pPr>
        <w:tabs>
          <w:tab w:val="num" w:pos="720"/>
        </w:tabs>
        <w:ind w:left="720" w:hanging="360"/>
      </w:pPr>
      <w:rPr>
        <w:rFonts w:ascii="Arial" w:hAnsi="Arial" w:hint="default"/>
      </w:rPr>
    </w:lvl>
    <w:lvl w:ilvl="1" w:tplc="627A60A4">
      <w:start w:val="1"/>
      <w:numFmt w:val="bullet"/>
      <w:lvlText w:val="•"/>
      <w:lvlJc w:val="left"/>
      <w:pPr>
        <w:tabs>
          <w:tab w:val="num" w:pos="1440"/>
        </w:tabs>
        <w:ind w:left="1440" w:hanging="360"/>
      </w:pPr>
      <w:rPr>
        <w:rFonts w:ascii="Arial" w:hAnsi="Arial" w:hint="default"/>
      </w:rPr>
    </w:lvl>
    <w:lvl w:ilvl="2" w:tplc="E94A6B48" w:tentative="1">
      <w:start w:val="1"/>
      <w:numFmt w:val="bullet"/>
      <w:lvlText w:val="•"/>
      <w:lvlJc w:val="left"/>
      <w:pPr>
        <w:tabs>
          <w:tab w:val="num" w:pos="2160"/>
        </w:tabs>
        <w:ind w:left="2160" w:hanging="360"/>
      </w:pPr>
      <w:rPr>
        <w:rFonts w:ascii="Arial" w:hAnsi="Arial" w:hint="default"/>
      </w:rPr>
    </w:lvl>
    <w:lvl w:ilvl="3" w:tplc="288CD880" w:tentative="1">
      <w:start w:val="1"/>
      <w:numFmt w:val="bullet"/>
      <w:lvlText w:val="•"/>
      <w:lvlJc w:val="left"/>
      <w:pPr>
        <w:tabs>
          <w:tab w:val="num" w:pos="2880"/>
        </w:tabs>
        <w:ind w:left="2880" w:hanging="360"/>
      </w:pPr>
      <w:rPr>
        <w:rFonts w:ascii="Arial" w:hAnsi="Arial" w:hint="default"/>
      </w:rPr>
    </w:lvl>
    <w:lvl w:ilvl="4" w:tplc="305203F2" w:tentative="1">
      <w:start w:val="1"/>
      <w:numFmt w:val="bullet"/>
      <w:lvlText w:val="•"/>
      <w:lvlJc w:val="left"/>
      <w:pPr>
        <w:tabs>
          <w:tab w:val="num" w:pos="3600"/>
        </w:tabs>
        <w:ind w:left="3600" w:hanging="360"/>
      </w:pPr>
      <w:rPr>
        <w:rFonts w:ascii="Arial" w:hAnsi="Arial" w:hint="default"/>
      </w:rPr>
    </w:lvl>
    <w:lvl w:ilvl="5" w:tplc="D5C217C6" w:tentative="1">
      <w:start w:val="1"/>
      <w:numFmt w:val="bullet"/>
      <w:lvlText w:val="•"/>
      <w:lvlJc w:val="left"/>
      <w:pPr>
        <w:tabs>
          <w:tab w:val="num" w:pos="4320"/>
        </w:tabs>
        <w:ind w:left="4320" w:hanging="360"/>
      </w:pPr>
      <w:rPr>
        <w:rFonts w:ascii="Arial" w:hAnsi="Arial" w:hint="default"/>
      </w:rPr>
    </w:lvl>
    <w:lvl w:ilvl="6" w:tplc="74BCD5D8" w:tentative="1">
      <w:start w:val="1"/>
      <w:numFmt w:val="bullet"/>
      <w:lvlText w:val="•"/>
      <w:lvlJc w:val="left"/>
      <w:pPr>
        <w:tabs>
          <w:tab w:val="num" w:pos="5040"/>
        </w:tabs>
        <w:ind w:left="5040" w:hanging="360"/>
      </w:pPr>
      <w:rPr>
        <w:rFonts w:ascii="Arial" w:hAnsi="Arial" w:hint="default"/>
      </w:rPr>
    </w:lvl>
    <w:lvl w:ilvl="7" w:tplc="670823B8" w:tentative="1">
      <w:start w:val="1"/>
      <w:numFmt w:val="bullet"/>
      <w:lvlText w:val="•"/>
      <w:lvlJc w:val="left"/>
      <w:pPr>
        <w:tabs>
          <w:tab w:val="num" w:pos="5760"/>
        </w:tabs>
        <w:ind w:left="5760" w:hanging="360"/>
      </w:pPr>
      <w:rPr>
        <w:rFonts w:ascii="Arial" w:hAnsi="Arial" w:hint="default"/>
      </w:rPr>
    </w:lvl>
    <w:lvl w:ilvl="8" w:tplc="C80E3D0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38B70647"/>
    <w:multiLevelType w:val="hybridMultilevel"/>
    <w:tmpl w:val="F044F36C"/>
    <w:lvl w:ilvl="0" w:tplc="79D8E8D2">
      <w:start w:val="1"/>
      <w:numFmt w:val="decimal"/>
      <w:pStyle w:val="StyleGHEAGrapalatJustifiedBefore12pt"/>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D936805"/>
    <w:multiLevelType w:val="hybridMultilevel"/>
    <w:tmpl w:val="93582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0D40F5"/>
    <w:multiLevelType w:val="hybridMultilevel"/>
    <w:tmpl w:val="EBA60766"/>
    <w:lvl w:ilvl="0" w:tplc="04090001">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nsolas" w:hAnsi="Consola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nsolas" w:hAnsi="Consola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nsolas" w:hAnsi="Consola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F793821"/>
    <w:multiLevelType w:val="hybridMultilevel"/>
    <w:tmpl w:val="355C92D4"/>
    <w:lvl w:ilvl="0" w:tplc="8020B75C">
      <w:start w:val="1"/>
      <w:numFmt w:val="bullet"/>
      <w:lvlText w:val=""/>
      <w:lvlJc w:val="left"/>
      <w:pPr>
        <w:tabs>
          <w:tab w:val="num" w:pos="360"/>
        </w:tabs>
        <w:ind w:left="360" w:hanging="360"/>
      </w:pPr>
      <w:rPr>
        <w:rFonts w:ascii="Wingdings" w:hAnsi="Wingdings" w:hint="default"/>
      </w:rPr>
    </w:lvl>
    <w:lvl w:ilvl="1" w:tplc="BC187EEC" w:tentative="1">
      <w:start w:val="1"/>
      <w:numFmt w:val="bullet"/>
      <w:lvlText w:val="o"/>
      <w:lvlJc w:val="left"/>
      <w:pPr>
        <w:tabs>
          <w:tab w:val="num" w:pos="1080"/>
        </w:tabs>
        <w:ind w:left="1080" w:hanging="360"/>
      </w:pPr>
      <w:rPr>
        <w:rFonts w:ascii="Consolas" w:hAnsi="Consolas" w:hint="default"/>
      </w:rPr>
    </w:lvl>
    <w:lvl w:ilvl="2" w:tplc="C00AC344" w:tentative="1">
      <w:start w:val="1"/>
      <w:numFmt w:val="bullet"/>
      <w:lvlText w:val=""/>
      <w:lvlJc w:val="left"/>
      <w:pPr>
        <w:tabs>
          <w:tab w:val="num" w:pos="1800"/>
        </w:tabs>
        <w:ind w:left="1800" w:hanging="360"/>
      </w:pPr>
      <w:rPr>
        <w:rFonts w:ascii="Wingdings" w:hAnsi="Wingdings" w:hint="default"/>
      </w:rPr>
    </w:lvl>
    <w:lvl w:ilvl="3" w:tplc="A90CB7D8" w:tentative="1">
      <w:start w:val="1"/>
      <w:numFmt w:val="bullet"/>
      <w:lvlText w:val=""/>
      <w:lvlJc w:val="left"/>
      <w:pPr>
        <w:tabs>
          <w:tab w:val="num" w:pos="2520"/>
        </w:tabs>
        <w:ind w:left="2520" w:hanging="360"/>
      </w:pPr>
      <w:rPr>
        <w:rFonts w:ascii="Symbol" w:hAnsi="Symbol" w:hint="default"/>
      </w:rPr>
    </w:lvl>
    <w:lvl w:ilvl="4" w:tplc="4E3CC836" w:tentative="1">
      <w:start w:val="1"/>
      <w:numFmt w:val="bullet"/>
      <w:lvlText w:val="o"/>
      <w:lvlJc w:val="left"/>
      <w:pPr>
        <w:tabs>
          <w:tab w:val="num" w:pos="3240"/>
        </w:tabs>
        <w:ind w:left="3240" w:hanging="360"/>
      </w:pPr>
      <w:rPr>
        <w:rFonts w:ascii="Consolas" w:hAnsi="Consolas" w:hint="default"/>
      </w:rPr>
    </w:lvl>
    <w:lvl w:ilvl="5" w:tplc="68FE3CDE" w:tentative="1">
      <w:start w:val="1"/>
      <w:numFmt w:val="bullet"/>
      <w:lvlText w:val=""/>
      <w:lvlJc w:val="left"/>
      <w:pPr>
        <w:tabs>
          <w:tab w:val="num" w:pos="3960"/>
        </w:tabs>
        <w:ind w:left="3960" w:hanging="360"/>
      </w:pPr>
      <w:rPr>
        <w:rFonts w:ascii="Wingdings" w:hAnsi="Wingdings" w:hint="default"/>
      </w:rPr>
    </w:lvl>
    <w:lvl w:ilvl="6" w:tplc="80C0B810" w:tentative="1">
      <w:start w:val="1"/>
      <w:numFmt w:val="bullet"/>
      <w:lvlText w:val=""/>
      <w:lvlJc w:val="left"/>
      <w:pPr>
        <w:tabs>
          <w:tab w:val="num" w:pos="4680"/>
        </w:tabs>
        <w:ind w:left="4680" w:hanging="360"/>
      </w:pPr>
      <w:rPr>
        <w:rFonts w:ascii="Symbol" w:hAnsi="Symbol" w:hint="default"/>
      </w:rPr>
    </w:lvl>
    <w:lvl w:ilvl="7" w:tplc="E49CDA86" w:tentative="1">
      <w:start w:val="1"/>
      <w:numFmt w:val="bullet"/>
      <w:lvlText w:val="o"/>
      <w:lvlJc w:val="left"/>
      <w:pPr>
        <w:tabs>
          <w:tab w:val="num" w:pos="5400"/>
        </w:tabs>
        <w:ind w:left="5400" w:hanging="360"/>
      </w:pPr>
      <w:rPr>
        <w:rFonts w:ascii="Consolas" w:hAnsi="Consolas" w:hint="default"/>
      </w:rPr>
    </w:lvl>
    <w:lvl w:ilvl="8" w:tplc="E59C13EC"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2A329F3"/>
    <w:multiLevelType w:val="hybridMultilevel"/>
    <w:tmpl w:val="789210FC"/>
    <w:lvl w:ilvl="0" w:tplc="7BF03C28">
      <w:start w:val="1"/>
      <w:numFmt w:val="decimal"/>
      <w:pStyle w:val="StyleGHEAGrapalatJustifiedAfter6ptLinespacingMultip"/>
      <w:lvlText w:val="%1)"/>
      <w:lvlJc w:val="left"/>
      <w:pPr>
        <w:ind w:left="1008" w:hanging="360"/>
      </w:pPr>
    </w:lvl>
    <w:lvl w:ilvl="1" w:tplc="EFE234DE">
      <w:start w:val="7"/>
      <w:numFmt w:val="decimal"/>
      <w:lvlText w:val="%2."/>
      <w:lvlJc w:val="left"/>
      <w:pPr>
        <w:tabs>
          <w:tab w:val="num" w:pos="1728"/>
        </w:tabs>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9" w15:restartNumberingAfterBreak="0">
    <w:nsid w:val="44857514"/>
    <w:multiLevelType w:val="hybridMultilevel"/>
    <w:tmpl w:val="CDBC651C"/>
    <w:lvl w:ilvl="0" w:tplc="3998D056">
      <w:start w:val="1"/>
      <w:numFmt w:val="decimal"/>
      <w:lvlText w:val="Գծապատկեր %1."/>
      <w:lvlJc w:val="left"/>
      <w:pPr>
        <w:ind w:left="720" w:hanging="360"/>
      </w:pPr>
      <w:rPr>
        <w:rFonts w:hint="default"/>
        <w:color w:val="auto"/>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28094A"/>
    <w:multiLevelType w:val="hybridMultilevel"/>
    <w:tmpl w:val="2ADCA4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616D40"/>
    <w:multiLevelType w:val="hybridMultilevel"/>
    <w:tmpl w:val="A35A22E0"/>
    <w:lvl w:ilvl="0" w:tplc="4C62B028">
      <w:start w:val="1"/>
      <w:numFmt w:val="lowerRoman"/>
      <w:lvlText w:val="(%1)"/>
      <w:lvlJc w:val="left"/>
      <w:pPr>
        <w:ind w:left="1557" w:hanging="9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4D992FB0"/>
    <w:multiLevelType w:val="hybridMultilevel"/>
    <w:tmpl w:val="6D2A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0440B53"/>
    <w:multiLevelType w:val="hybridMultilevel"/>
    <w:tmpl w:val="0AEE9658"/>
    <w:lvl w:ilvl="0" w:tplc="22465722">
      <w:start w:val="1"/>
      <w:numFmt w:val="bullet"/>
      <w:lvlText w:val="-"/>
      <w:lvlJc w:val="left"/>
      <w:pPr>
        <w:ind w:left="927" w:hanging="360"/>
      </w:pPr>
      <w:rPr>
        <w:rFonts w:ascii="GHEA Grapalat" w:eastAsiaTheme="minorHAnsi" w:hAnsi="GHEA Grapalat" w:cs="Times Armeni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15:restartNumberingAfterBreak="0">
    <w:nsid w:val="52C80698"/>
    <w:multiLevelType w:val="hybridMultilevel"/>
    <w:tmpl w:val="017C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633326"/>
    <w:multiLevelType w:val="multilevel"/>
    <w:tmpl w:val="0A76D3E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53E65301"/>
    <w:multiLevelType w:val="hybridMultilevel"/>
    <w:tmpl w:val="239A4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4173519"/>
    <w:multiLevelType w:val="hybridMultilevel"/>
    <w:tmpl w:val="5D12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723C17"/>
    <w:multiLevelType w:val="hybridMultilevel"/>
    <w:tmpl w:val="548606E4"/>
    <w:lvl w:ilvl="0" w:tplc="85D609B6">
      <w:start w:val="2"/>
      <w:numFmt w:val="bullet"/>
      <w:lvlText w:val="-"/>
      <w:lvlJc w:val="left"/>
      <w:pPr>
        <w:ind w:left="644" w:hanging="360"/>
      </w:pPr>
      <w:rPr>
        <w:rFonts w:ascii="GHEA Grapalat" w:eastAsia="Times New Roman" w:hAnsi="GHEA Grapalat" w:cs="Times New Roman" w:hint="default"/>
      </w:rPr>
    </w:lvl>
    <w:lvl w:ilvl="1" w:tplc="042B0003">
      <w:start w:val="1"/>
      <w:numFmt w:val="bullet"/>
      <w:lvlText w:val="o"/>
      <w:lvlJc w:val="left"/>
      <w:pPr>
        <w:ind w:left="2000" w:hanging="360"/>
      </w:pPr>
      <w:rPr>
        <w:rFonts w:ascii="Courier New" w:hAnsi="Courier New" w:cs="Courier New" w:hint="default"/>
      </w:rPr>
    </w:lvl>
    <w:lvl w:ilvl="2" w:tplc="042B0005">
      <w:start w:val="1"/>
      <w:numFmt w:val="bullet"/>
      <w:lvlText w:val=""/>
      <w:lvlJc w:val="left"/>
      <w:pPr>
        <w:ind w:left="2720" w:hanging="360"/>
      </w:pPr>
      <w:rPr>
        <w:rFonts w:ascii="Wingdings" w:hAnsi="Wingdings" w:hint="default"/>
      </w:rPr>
    </w:lvl>
    <w:lvl w:ilvl="3" w:tplc="042B0001">
      <w:start w:val="1"/>
      <w:numFmt w:val="bullet"/>
      <w:lvlText w:val=""/>
      <w:lvlJc w:val="left"/>
      <w:pPr>
        <w:ind w:left="3440" w:hanging="360"/>
      </w:pPr>
      <w:rPr>
        <w:rFonts w:ascii="Symbol" w:hAnsi="Symbol" w:hint="default"/>
      </w:rPr>
    </w:lvl>
    <w:lvl w:ilvl="4" w:tplc="042B0003">
      <w:start w:val="1"/>
      <w:numFmt w:val="bullet"/>
      <w:lvlText w:val="o"/>
      <w:lvlJc w:val="left"/>
      <w:pPr>
        <w:ind w:left="4160" w:hanging="360"/>
      </w:pPr>
      <w:rPr>
        <w:rFonts w:ascii="Courier New" w:hAnsi="Courier New" w:cs="Courier New" w:hint="default"/>
      </w:rPr>
    </w:lvl>
    <w:lvl w:ilvl="5" w:tplc="042B0005">
      <w:start w:val="1"/>
      <w:numFmt w:val="bullet"/>
      <w:lvlText w:val=""/>
      <w:lvlJc w:val="left"/>
      <w:pPr>
        <w:ind w:left="4880" w:hanging="360"/>
      </w:pPr>
      <w:rPr>
        <w:rFonts w:ascii="Wingdings" w:hAnsi="Wingdings" w:hint="default"/>
      </w:rPr>
    </w:lvl>
    <w:lvl w:ilvl="6" w:tplc="042B0001">
      <w:start w:val="1"/>
      <w:numFmt w:val="bullet"/>
      <w:lvlText w:val=""/>
      <w:lvlJc w:val="left"/>
      <w:pPr>
        <w:ind w:left="5600" w:hanging="360"/>
      </w:pPr>
      <w:rPr>
        <w:rFonts w:ascii="Symbol" w:hAnsi="Symbol" w:hint="default"/>
      </w:rPr>
    </w:lvl>
    <w:lvl w:ilvl="7" w:tplc="042B0003">
      <w:start w:val="1"/>
      <w:numFmt w:val="bullet"/>
      <w:lvlText w:val="o"/>
      <w:lvlJc w:val="left"/>
      <w:pPr>
        <w:ind w:left="6320" w:hanging="360"/>
      </w:pPr>
      <w:rPr>
        <w:rFonts w:ascii="Courier New" w:hAnsi="Courier New" w:cs="Courier New" w:hint="default"/>
      </w:rPr>
    </w:lvl>
    <w:lvl w:ilvl="8" w:tplc="042B0005">
      <w:start w:val="1"/>
      <w:numFmt w:val="bullet"/>
      <w:lvlText w:val=""/>
      <w:lvlJc w:val="left"/>
      <w:pPr>
        <w:ind w:left="7040" w:hanging="360"/>
      </w:pPr>
      <w:rPr>
        <w:rFonts w:ascii="Wingdings" w:hAnsi="Wingdings" w:hint="default"/>
      </w:rPr>
    </w:lvl>
  </w:abstractNum>
  <w:abstractNum w:abstractNumId="49" w15:restartNumberingAfterBreak="0">
    <w:nsid w:val="56247228"/>
    <w:multiLevelType w:val="hybridMultilevel"/>
    <w:tmpl w:val="69C88C5A"/>
    <w:lvl w:ilvl="0" w:tplc="04190001">
      <w:numFmt w:val="bullet"/>
      <w:pStyle w:val="a"/>
      <w:lvlText w:val="-"/>
      <w:lvlJc w:val="left"/>
      <w:pPr>
        <w:tabs>
          <w:tab w:val="num" w:pos="360"/>
        </w:tabs>
        <w:ind w:left="0" w:firstLine="0"/>
      </w:pPr>
      <w:rPr>
        <w:rFonts w:ascii="Times Armenian" w:eastAsia="Times New Roman" w:hAnsi="Times Armeni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7FC3A38"/>
    <w:multiLevelType w:val="hybridMultilevel"/>
    <w:tmpl w:val="5CFE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2A0742"/>
    <w:multiLevelType w:val="hybridMultilevel"/>
    <w:tmpl w:val="5C2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981591"/>
    <w:multiLevelType w:val="hybridMultilevel"/>
    <w:tmpl w:val="09A43E3A"/>
    <w:lvl w:ilvl="0" w:tplc="04190001">
      <w:start w:val="1"/>
      <w:numFmt w:val="bullet"/>
      <w:pStyle w:val="ListDash"/>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AB508DB"/>
    <w:multiLevelType w:val="hybridMultilevel"/>
    <w:tmpl w:val="D5CE020E"/>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54" w15:restartNumberingAfterBreak="0">
    <w:nsid w:val="5B0F2997"/>
    <w:multiLevelType w:val="hybridMultilevel"/>
    <w:tmpl w:val="704E02BE"/>
    <w:lvl w:ilvl="0" w:tplc="8FC4D916">
      <w:start w:val="1"/>
      <w:numFmt w:val="bullet"/>
      <w:pStyle w:val="CM31"/>
      <w:lvlText w:val=""/>
      <w:lvlJc w:val="left"/>
      <w:pPr>
        <w:tabs>
          <w:tab w:val="num" w:pos="1429"/>
        </w:tabs>
        <w:ind w:left="1429" w:hanging="360"/>
      </w:pPr>
      <w:rPr>
        <w:rFonts w:ascii="Symbol" w:hAnsi="Symbol" w:hint="default"/>
      </w:rPr>
    </w:lvl>
    <w:lvl w:ilvl="1" w:tplc="04090019" w:tentative="1">
      <w:start w:val="1"/>
      <w:numFmt w:val="bullet"/>
      <w:lvlText w:val="o"/>
      <w:lvlJc w:val="left"/>
      <w:pPr>
        <w:tabs>
          <w:tab w:val="num" w:pos="2149"/>
        </w:tabs>
        <w:ind w:left="2149" w:hanging="360"/>
      </w:pPr>
      <w:rPr>
        <w:rFonts w:ascii="Courier New" w:hAnsi="Courier New" w:cs="Courier New" w:hint="default"/>
      </w:rPr>
    </w:lvl>
    <w:lvl w:ilvl="2" w:tplc="0409001B" w:tentative="1">
      <w:start w:val="1"/>
      <w:numFmt w:val="bullet"/>
      <w:lvlText w:val=""/>
      <w:lvlJc w:val="left"/>
      <w:pPr>
        <w:tabs>
          <w:tab w:val="num" w:pos="2869"/>
        </w:tabs>
        <w:ind w:left="2869" w:hanging="360"/>
      </w:pPr>
      <w:rPr>
        <w:rFonts w:ascii="Wingdings" w:hAnsi="Wingdings" w:hint="default"/>
      </w:rPr>
    </w:lvl>
    <w:lvl w:ilvl="3" w:tplc="0409000F" w:tentative="1">
      <w:start w:val="1"/>
      <w:numFmt w:val="bullet"/>
      <w:lvlText w:val=""/>
      <w:lvlJc w:val="left"/>
      <w:pPr>
        <w:tabs>
          <w:tab w:val="num" w:pos="3589"/>
        </w:tabs>
        <w:ind w:left="3589" w:hanging="360"/>
      </w:pPr>
      <w:rPr>
        <w:rFonts w:ascii="Symbol" w:hAnsi="Symbol" w:hint="default"/>
      </w:rPr>
    </w:lvl>
    <w:lvl w:ilvl="4" w:tplc="04090019" w:tentative="1">
      <w:start w:val="1"/>
      <w:numFmt w:val="bullet"/>
      <w:lvlText w:val="o"/>
      <w:lvlJc w:val="left"/>
      <w:pPr>
        <w:tabs>
          <w:tab w:val="num" w:pos="4309"/>
        </w:tabs>
        <w:ind w:left="4309" w:hanging="360"/>
      </w:pPr>
      <w:rPr>
        <w:rFonts w:ascii="Courier New" w:hAnsi="Courier New" w:cs="Courier New" w:hint="default"/>
      </w:rPr>
    </w:lvl>
    <w:lvl w:ilvl="5" w:tplc="0409001B" w:tentative="1">
      <w:start w:val="1"/>
      <w:numFmt w:val="bullet"/>
      <w:lvlText w:val=""/>
      <w:lvlJc w:val="left"/>
      <w:pPr>
        <w:tabs>
          <w:tab w:val="num" w:pos="5029"/>
        </w:tabs>
        <w:ind w:left="5029" w:hanging="360"/>
      </w:pPr>
      <w:rPr>
        <w:rFonts w:ascii="Wingdings" w:hAnsi="Wingdings" w:hint="default"/>
      </w:rPr>
    </w:lvl>
    <w:lvl w:ilvl="6" w:tplc="0409000F" w:tentative="1">
      <w:start w:val="1"/>
      <w:numFmt w:val="bullet"/>
      <w:lvlText w:val=""/>
      <w:lvlJc w:val="left"/>
      <w:pPr>
        <w:tabs>
          <w:tab w:val="num" w:pos="5749"/>
        </w:tabs>
        <w:ind w:left="5749" w:hanging="360"/>
      </w:pPr>
      <w:rPr>
        <w:rFonts w:ascii="Symbol" w:hAnsi="Symbol" w:hint="default"/>
      </w:rPr>
    </w:lvl>
    <w:lvl w:ilvl="7" w:tplc="04090019" w:tentative="1">
      <w:start w:val="1"/>
      <w:numFmt w:val="bullet"/>
      <w:lvlText w:val="o"/>
      <w:lvlJc w:val="left"/>
      <w:pPr>
        <w:tabs>
          <w:tab w:val="num" w:pos="6469"/>
        </w:tabs>
        <w:ind w:left="6469" w:hanging="360"/>
      </w:pPr>
      <w:rPr>
        <w:rFonts w:ascii="Courier New" w:hAnsi="Courier New" w:cs="Courier New" w:hint="default"/>
      </w:rPr>
    </w:lvl>
    <w:lvl w:ilvl="8" w:tplc="0409001B" w:tentative="1">
      <w:start w:val="1"/>
      <w:numFmt w:val="bullet"/>
      <w:lvlText w:val=""/>
      <w:lvlJc w:val="left"/>
      <w:pPr>
        <w:tabs>
          <w:tab w:val="num" w:pos="7189"/>
        </w:tabs>
        <w:ind w:left="7189" w:hanging="360"/>
      </w:pPr>
      <w:rPr>
        <w:rFonts w:ascii="Wingdings" w:hAnsi="Wingdings" w:hint="default"/>
      </w:rPr>
    </w:lvl>
  </w:abstractNum>
  <w:abstractNum w:abstractNumId="55" w15:restartNumberingAfterBreak="0">
    <w:nsid w:val="5B4A6EA8"/>
    <w:multiLevelType w:val="multilevel"/>
    <w:tmpl w:val="4BB02B4E"/>
    <w:lvl w:ilvl="0">
      <w:start w:val="1"/>
      <w:numFmt w:val="decimal"/>
      <w:pStyle w:val="Numberedtext"/>
      <w:lvlText w:val="%1."/>
      <w:lvlJc w:val="left"/>
      <w:pPr>
        <w:tabs>
          <w:tab w:val="num" w:pos="1004"/>
        </w:tabs>
        <w:ind w:left="1004" w:hanging="284"/>
      </w:pPr>
      <w:rPr>
        <w:rFonts w:cs="Times New Roman" w:hint="default"/>
      </w:rPr>
    </w:lvl>
    <w:lvl w:ilvl="1">
      <w:start w:val="1"/>
      <w:numFmt w:val="lowerLetter"/>
      <w:lvlText w:val="%2."/>
      <w:lvlJc w:val="left"/>
      <w:pPr>
        <w:tabs>
          <w:tab w:val="num" w:pos="1287"/>
        </w:tabs>
        <w:ind w:left="1287" w:hanging="283"/>
      </w:pPr>
      <w:rPr>
        <w:rFonts w:cs="Times New Roman" w:hint="default"/>
      </w:rPr>
    </w:lvl>
    <w:lvl w:ilvl="2">
      <w:start w:val="1"/>
      <w:numFmt w:val="lowerRoman"/>
      <w:lvlText w:val="%3."/>
      <w:lvlJc w:val="left"/>
      <w:pPr>
        <w:tabs>
          <w:tab w:val="num" w:pos="1571"/>
        </w:tabs>
        <w:ind w:left="1571" w:hanging="284"/>
      </w:pPr>
      <w:rPr>
        <w:rFonts w:cs="Times New Roman" w:hint="default"/>
      </w:rPr>
    </w:lvl>
    <w:lvl w:ilvl="3">
      <w:start w:val="1"/>
      <w:numFmt w:val="none"/>
      <w:lvlText w:val=""/>
      <w:lvlJc w:val="left"/>
      <w:pPr>
        <w:tabs>
          <w:tab w:val="num" w:pos="1571"/>
        </w:tabs>
        <w:ind w:left="1571"/>
      </w:pPr>
      <w:rPr>
        <w:rFonts w:cs="Times New Roman" w:hint="default"/>
      </w:rPr>
    </w:lvl>
    <w:lvl w:ilvl="4">
      <w:start w:val="1"/>
      <w:numFmt w:val="none"/>
      <w:lvlText w:val=""/>
      <w:lvlJc w:val="left"/>
      <w:pPr>
        <w:tabs>
          <w:tab w:val="num" w:pos="1571"/>
        </w:tabs>
        <w:ind w:left="1571"/>
      </w:pPr>
      <w:rPr>
        <w:rFonts w:cs="Times New Roman" w:hint="default"/>
      </w:rPr>
    </w:lvl>
    <w:lvl w:ilvl="5">
      <w:start w:val="1"/>
      <w:numFmt w:val="none"/>
      <w:lvlText w:val=""/>
      <w:lvlJc w:val="left"/>
      <w:pPr>
        <w:tabs>
          <w:tab w:val="num" w:pos="1571"/>
        </w:tabs>
        <w:ind w:left="1571"/>
      </w:pPr>
      <w:rPr>
        <w:rFonts w:cs="Times New Roman" w:hint="default"/>
      </w:rPr>
    </w:lvl>
    <w:lvl w:ilvl="6">
      <w:start w:val="1"/>
      <w:numFmt w:val="none"/>
      <w:lvlText w:val=""/>
      <w:lvlJc w:val="left"/>
      <w:pPr>
        <w:tabs>
          <w:tab w:val="num" w:pos="1571"/>
        </w:tabs>
        <w:ind w:left="1571"/>
      </w:pPr>
      <w:rPr>
        <w:rFonts w:cs="Times New Roman" w:hint="default"/>
      </w:rPr>
    </w:lvl>
    <w:lvl w:ilvl="7">
      <w:start w:val="1"/>
      <w:numFmt w:val="none"/>
      <w:lvlText w:val=""/>
      <w:lvlJc w:val="left"/>
      <w:pPr>
        <w:tabs>
          <w:tab w:val="num" w:pos="1571"/>
        </w:tabs>
        <w:ind w:left="1571"/>
      </w:pPr>
      <w:rPr>
        <w:rFonts w:cs="Times New Roman" w:hint="default"/>
      </w:rPr>
    </w:lvl>
    <w:lvl w:ilvl="8">
      <w:start w:val="1"/>
      <w:numFmt w:val="none"/>
      <w:lvlRestart w:val="0"/>
      <w:lvlText w:val=""/>
      <w:lvlJc w:val="left"/>
      <w:pPr>
        <w:tabs>
          <w:tab w:val="num" w:pos="1571"/>
        </w:tabs>
        <w:ind w:left="1571"/>
      </w:pPr>
      <w:rPr>
        <w:rFonts w:cs="Times New Roman" w:hint="default"/>
      </w:rPr>
    </w:lvl>
  </w:abstractNum>
  <w:abstractNum w:abstractNumId="56" w15:restartNumberingAfterBreak="0">
    <w:nsid w:val="5EF413B2"/>
    <w:multiLevelType w:val="hybridMultilevel"/>
    <w:tmpl w:val="6CFA2BAE"/>
    <w:lvl w:ilvl="0" w:tplc="0409000D">
      <w:start w:val="1"/>
      <w:numFmt w:val="bullet"/>
      <w:lvlText w:val=""/>
      <w:lvlJc w:val="left"/>
      <w:pPr>
        <w:tabs>
          <w:tab w:val="num" w:pos="1080"/>
        </w:tabs>
        <w:ind w:left="1080" w:hanging="360"/>
      </w:pPr>
      <w:rPr>
        <w:rFonts w:ascii="Wingdings" w:hAnsi="Wingdings" w:hint="default"/>
      </w:rPr>
    </w:lvl>
    <w:lvl w:ilvl="1" w:tplc="7DC8E6C6">
      <w:start w:val="1"/>
      <w:numFmt w:val="bullet"/>
      <w:lvlText w:val="•"/>
      <w:lvlJc w:val="left"/>
      <w:pPr>
        <w:tabs>
          <w:tab w:val="num" w:pos="1800"/>
        </w:tabs>
        <w:ind w:left="1800" w:hanging="360"/>
      </w:pPr>
      <w:rPr>
        <w:rFonts w:ascii="Arial" w:hAnsi="Arial" w:hint="default"/>
      </w:rPr>
    </w:lvl>
    <w:lvl w:ilvl="2" w:tplc="B8DEA9A4" w:tentative="1">
      <w:start w:val="1"/>
      <w:numFmt w:val="bullet"/>
      <w:lvlText w:val="•"/>
      <w:lvlJc w:val="left"/>
      <w:pPr>
        <w:tabs>
          <w:tab w:val="num" w:pos="2520"/>
        </w:tabs>
        <w:ind w:left="2520" w:hanging="360"/>
      </w:pPr>
      <w:rPr>
        <w:rFonts w:ascii="Arial" w:hAnsi="Arial" w:hint="default"/>
      </w:rPr>
    </w:lvl>
    <w:lvl w:ilvl="3" w:tplc="8B0CF5AE" w:tentative="1">
      <w:start w:val="1"/>
      <w:numFmt w:val="bullet"/>
      <w:lvlText w:val="•"/>
      <w:lvlJc w:val="left"/>
      <w:pPr>
        <w:tabs>
          <w:tab w:val="num" w:pos="3240"/>
        </w:tabs>
        <w:ind w:left="3240" w:hanging="360"/>
      </w:pPr>
      <w:rPr>
        <w:rFonts w:ascii="Arial" w:hAnsi="Arial" w:hint="default"/>
      </w:rPr>
    </w:lvl>
    <w:lvl w:ilvl="4" w:tplc="CB40DD5A" w:tentative="1">
      <w:start w:val="1"/>
      <w:numFmt w:val="bullet"/>
      <w:lvlText w:val="•"/>
      <w:lvlJc w:val="left"/>
      <w:pPr>
        <w:tabs>
          <w:tab w:val="num" w:pos="3960"/>
        </w:tabs>
        <w:ind w:left="3960" w:hanging="360"/>
      </w:pPr>
      <w:rPr>
        <w:rFonts w:ascii="Arial" w:hAnsi="Arial" w:hint="default"/>
      </w:rPr>
    </w:lvl>
    <w:lvl w:ilvl="5" w:tplc="88DE4802" w:tentative="1">
      <w:start w:val="1"/>
      <w:numFmt w:val="bullet"/>
      <w:lvlText w:val="•"/>
      <w:lvlJc w:val="left"/>
      <w:pPr>
        <w:tabs>
          <w:tab w:val="num" w:pos="4680"/>
        </w:tabs>
        <w:ind w:left="4680" w:hanging="360"/>
      </w:pPr>
      <w:rPr>
        <w:rFonts w:ascii="Arial" w:hAnsi="Arial" w:hint="default"/>
      </w:rPr>
    </w:lvl>
    <w:lvl w:ilvl="6" w:tplc="DDB292CE" w:tentative="1">
      <w:start w:val="1"/>
      <w:numFmt w:val="bullet"/>
      <w:lvlText w:val="•"/>
      <w:lvlJc w:val="left"/>
      <w:pPr>
        <w:tabs>
          <w:tab w:val="num" w:pos="5400"/>
        </w:tabs>
        <w:ind w:left="5400" w:hanging="360"/>
      </w:pPr>
      <w:rPr>
        <w:rFonts w:ascii="Arial" w:hAnsi="Arial" w:hint="default"/>
      </w:rPr>
    </w:lvl>
    <w:lvl w:ilvl="7" w:tplc="8F46015A" w:tentative="1">
      <w:start w:val="1"/>
      <w:numFmt w:val="bullet"/>
      <w:lvlText w:val="•"/>
      <w:lvlJc w:val="left"/>
      <w:pPr>
        <w:tabs>
          <w:tab w:val="num" w:pos="6120"/>
        </w:tabs>
        <w:ind w:left="6120" w:hanging="360"/>
      </w:pPr>
      <w:rPr>
        <w:rFonts w:ascii="Arial" w:hAnsi="Arial" w:hint="default"/>
      </w:rPr>
    </w:lvl>
    <w:lvl w:ilvl="8" w:tplc="21AE8A96" w:tentative="1">
      <w:start w:val="1"/>
      <w:numFmt w:val="bullet"/>
      <w:lvlText w:val="•"/>
      <w:lvlJc w:val="left"/>
      <w:pPr>
        <w:tabs>
          <w:tab w:val="num" w:pos="6840"/>
        </w:tabs>
        <w:ind w:left="6840" w:hanging="360"/>
      </w:pPr>
      <w:rPr>
        <w:rFonts w:ascii="Arial" w:hAnsi="Arial" w:hint="default"/>
      </w:rPr>
    </w:lvl>
  </w:abstractNum>
  <w:abstractNum w:abstractNumId="57" w15:restartNumberingAfterBreak="0">
    <w:nsid w:val="5F6166B2"/>
    <w:multiLevelType w:val="hybridMultilevel"/>
    <w:tmpl w:val="06040E5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15:restartNumberingAfterBreak="0">
    <w:nsid w:val="5F7C6FDB"/>
    <w:multiLevelType w:val="hybridMultilevel"/>
    <w:tmpl w:val="39C6AF84"/>
    <w:lvl w:ilvl="0" w:tplc="04090001">
      <w:start w:val="1"/>
      <w:numFmt w:val="decimal"/>
      <w:pStyle w:val="BodyText1"/>
      <w:lvlText w:val="%1."/>
      <w:lvlJc w:val="left"/>
      <w:pPr>
        <w:tabs>
          <w:tab w:val="num" w:pos="0"/>
        </w:tabs>
        <w:ind w:left="0" w:firstLine="0"/>
      </w:pPr>
      <w:rPr>
        <w:rFonts w:hint="default"/>
      </w:rPr>
    </w:lvl>
    <w:lvl w:ilvl="1" w:tplc="04090003">
      <w:start w:val="1"/>
      <w:numFmt w:val="low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9" w15:restartNumberingAfterBreak="0">
    <w:nsid w:val="67D47274"/>
    <w:multiLevelType w:val="hybridMultilevel"/>
    <w:tmpl w:val="0AB66D5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BB4524"/>
    <w:multiLevelType w:val="hybridMultilevel"/>
    <w:tmpl w:val="831688D4"/>
    <w:lvl w:ilvl="0" w:tplc="04090001">
      <w:start w:val="1"/>
      <w:numFmt w:val="bullet"/>
      <w:pStyle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1" w15:restartNumberingAfterBreak="0">
    <w:nsid w:val="6AF87388"/>
    <w:multiLevelType w:val="hybridMultilevel"/>
    <w:tmpl w:val="F88E0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1B42EC"/>
    <w:multiLevelType w:val="hybridMultilevel"/>
    <w:tmpl w:val="43C08EC0"/>
    <w:lvl w:ilvl="0" w:tplc="04090001">
      <w:start w:val="1"/>
      <w:numFmt w:val="bullet"/>
      <w:lvlText w:val=""/>
      <w:lvlJc w:val="left"/>
      <w:pPr>
        <w:ind w:left="1495" w:hanging="360"/>
      </w:pPr>
      <w:rPr>
        <w:rFonts w:ascii="Symbol" w:hAnsi="Symbol" w:hint="default"/>
      </w:rPr>
    </w:lvl>
    <w:lvl w:ilvl="1" w:tplc="042B0003">
      <w:start w:val="1"/>
      <w:numFmt w:val="bullet"/>
      <w:lvlText w:val="o"/>
      <w:lvlJc w:val="left"/>
      <w:pPr>
        <w:ind w:left="1500" w:hanging="360"/>
      </w:pPr>
      <w:rPr>
        <w:rFonts w:ascii="Courier New" w:hAnsi="Courier New" w:cs="Courier New" w:hint="default"/>
      </w:rPr>
    </w:lvl>
    <w:lvl w:ilvl="2" w:tplc="042B0005">
      <w:start w:val="1"/>
      <w:numFmt w:val="bullet"/>
      <w:lvlText w:val=""/>
      <w:lvlJc w:val="left"/>
      <w:pPr>
        <w:ind w:left="2220" w:hanging="360"/>
      </w:pPr>
      <w:rPr>
        <w:rFonts w:ascii="Wingdings" w:hAnsi="Wingdings" w:hint="default"/>
      </w:rPr>
    </w:lvl>
    <w:lvl w:ilvl="3" w:tplc="042B0001">
      <w:start w:val="1"/>
      <w:numFmt w:val="bullet"/>
      <w:lvlText w:val=""/>
      <w:lvlJc w:val="left"/>
      <w:pPr>
        <w:ind w:left="2940" w:hanging="360"/>
      </w:pPr>
      <w:rPr>
        <w:rFonts w:ascii="Symbol" w:hAnsi="Symbol" w:hint="default"/>
      </w:rPr>
    </w:lvl>
    <w:lvl w:ilvl="4" w:tplc="042B0003">
      <w:start w:val="1"/>
      <w:numFmt w:val="bullet"/>
      <w:lvlText w:val="o"/>
      <w:lvlJc w:val="left"/>
      <w:pPr>
        <w:ind w:left="3660" w:hanging="360"/>
      </w:pPr>
      <w:rPr>
        <w:rFonts w:ascii="Courier New" w:hAnsi="Courier New" w:cs="Courier New" w:hint="default"/>
      </w:rPr>
    </w:lvl>
    <w:lvl w:ilvl="5" w:tplc="042B0005">
      <w:start w:val="1"/>
      <w:numFmt w:val="bullet"/>
      <w:lvlText w:val=""/>
      <w:lvlJc w:val="left"/>
      <w:pPr>
        <w:ind w:left="4380" w:hanging="360"/>
      </w:pPr>
      <w:rPr>
        <w:rFonts w:ascii="Wingdings" w:hAnsi="Wingdings" w:hint="default"/>
      </w:rPr>
    </w:lvl>
    <w:lvl w:ilvl="6" w:tplc="042B0001">
      <w:start w:val="1"/>
      <w:numFmt w:val="bullet"/>
      <w:lvlText w:val=""/>
      <w:lvlJc w:val="left"/>
      <w:pPr>
        <w:ind w:left="5100" w:hanging="360"/>
      </w:pPr>
      <w:rPr>
        <w:rFonts w:ascii="Symbol" w:hAnsi="Symbol" w:hint="default"/>
      </w:rPr>
    </w:lvl>
    <w:lvl w:ilvl="7" w:tplc="042B0003">
      <w:start w:val="1"/>
      <w:numFmt w:val="bullet"/>
      <w:lvlText w:val="o"/>
      <w:lvlJc w:val="left"/>
      <w:pPr>
        <w:ind w:left="5820" w:hanging="360"/>
      </w:pPr>
      <w:rPr>
        <w:rFonts w:ascii="Courier New" w:hAnsi="Courier New" w:cs="Courier New" w:hint="default"/>
      </w:rPr>
    </w:lvl>
    <w:lvl w:ilvl="8" w:tplc="042B0005">
      <w:start w:val="1"/>
      <w:numFmt w:val="bullet"/>
      <w:lvlText w:val=""/>
      <w:lvlJc w:val="left"/>
      <w:pPr>
        <w:ind w:left="6540" w:hanging="360"/>
      </w:pPr>
      <w:rPr>
        <w:rFonts w:ascii="Wingdings" w:hAnsi="Wingdings" w:hint="default"/>
      </w:rPr>
    </w:lvl>
  </w:abstractNum>
  <w:abstractNum w:abstractNumId="63" w15:restartNumberingAfterBreak="0">
    <w:nsid w:val="74291BBA"/>
    <w:multiLevelType w:val="multilevel"/>
    <w:tmpl w:val="BC78F376"/>
    <w:lvl w:ilvl="0">
      <w:start w:val="1"/>
      <w:numFmt w:val="decimal"/>
      <w:lvlText w:val="%1."/>
      <w:lvlJc w:val="left"/>
      <w:pPr>
        <w:ind w:left="360" w:hanging="360"/>
      </w:pPr>
    </w:lvl>
    <w:lvl w:ilvl="1">
      <w:start w:val="1"/>
      <w:numFmt w:val="decimal"/>
      <w:lvlText w:val="%1.%2."/>
      <w:lvlJc w:val="left"/>
      <w:pPr>
        <w:ind w:left="792"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4BA5140"/>
    <w:multiLevelType w:val="hybridMultilevel"/>
    <w:tmpl w:val="A71ED3F0"/>
    <w:lvl w:ilvl="0" w:tplc="4FEEEB46">
      <w:start w:val="1"/>
      <w:numFmt w:val="bullet"/>
      <w:lvlText w:val="-"/>
      <w:lvlJc w:val="left"/>
      <w:pPr>
        <w:ind w:left="1080" w:hanging="360"/>
      </w:pPr>
      <w:rPr>
        <w:rFonts w:ascii="MS Reference Sans Serif" w:hAnsi="MS Reference Sans Serif"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5A752B0"/>
    <w:multiLevelType w:val="hybridMultilevel"/>
    <w:tmpl w:val="E9201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5E17E94"/>
    <w:multiLevelType w:val="hybridMultilevel"/>
    <w:tmpl w:val="9DD2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E16ED4"/>
    <w:multiLevelType w:val="hybridMultilevel"/>
    <w:tmpl w:val="FBDE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47583E"/>
    <w:multiLevelType w:val="hybridMultilevel"/>
    <w:tmpl w:val="02B41A44"/>
    <w:lvl w:ilvl="0" w:tplc="04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9" w15:restartNumberingAfterBreak="0">
    <w:nsid w:val="7B7F7A7A"/>
    <w:multiLevelType w:val="multilevel"/>
    <w:tmpl w:val="BC78F376"/>
    <w:lvl w:ilvl="0">
      <w:start w:val="1"/>
      <w:numFmt w:val="decimal"/>
      <w:lvlText w:val="%1."/>
      <w:lvlJc w:val="left"/>
      <w:pPr>
        <w:ind w:left="360" w:hanging="360"/>
      </w:pPr>
    </w:lvl>
    <w:lvl w:ilvl="1">
      <w:start w:val="1"/>
      <w:numFmt w:val="decimal"/>
      <w:lvlText w:val="%1.%2."/>
      <w:lvlJc w:val="left"/>
      <w:pPr>
        <w:ind w:left="792"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C3305BC"/>
    <w:multiLevelType w:val="hybridMultilevel"/>
    <w:tmpl w:val="DBAC192C"/>
    <w:lvl w:ilvl="0" w:tplc="13C263BA">
      <w:start w:val="1"/>
      <w:numFmt w:val="decimal"/>
      <w:lvlText w:val="Գլուխ %1."/>
      <w:lvlJc w:val="left"/>
      <w:pPr>
        <w:ind w:left="720" w:hanging="360"/>
      </w:pPr>
      <w:rPr>
        <w:rFonts w:hint="default"/>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0"/>
  </w:num>
  <w:num w:numId="2">
    <w:abstractNumId w:val="15"/>
  </w:num>
  <w:num w:numId="3">
    <w:abstractNumId w:val="58"/>
  </w:num>
  <w:num w:numId="4">
    <w:abstractNumId w:val="54"/>
  </w:num>
  <w:num w:numId="5">
    <w:abstractNumId w:val="52"/>
  </w:num>
  <w:num w:numId="6">
    <w:abstractNumId w:val="26"/>
  </w:num>
  <w:num w:numId="7">
    <w:abstractNumId w:val="49"/>
  </w:num>
  <w:num w:numId="8">
    <w:abstractNumId w:val="0"/>
  </w:num>
  <w:num w:numId="9">
    <w:abstractNumId w:val="2"/>
  </w:num>
  <w:num w:numId="10">
    <w:abstractNumId w:val="37"/>
  </w:num>
  <w:num w:numId="11">
    <w:abstractNumId w:val="36"/>
  </w:num>
  <w:num w:numId="12">
    <w:abstractNumId w:val="21"/>
  </w:num>
  <w:num w:numId="13">
    <w:abstractNumId w:val="1"/>
  </w:num>
  <w:num w:numId="14">
    <w:abstractNumId w:val="55"/>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12"/>
  </w:num>
  <w:num w:numId="18">
    <w:abstractNumId w:val="4"/>
  </w:num>
  <w:num w:numId="19">
    <w:abstractNumId w:val="62"/>
  </w:num>
  <w:num w:numId="20">
    <w:abstractNumId w:val="4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num>
  <w:num w:numId="23">
    <w:abstractNumId w:val="8"/>
  </w:num>
  <w:num w:numId="24">
    <w:abstractNumId w:val="17"/>
  </w:num>
  <w:num w:numId="25">
    <w:abstractNumId w:val="18"/>
  </w:num>
  <w:num w:numId="26">
    <w:abstractNumId w:val="33"/>
  </w:num>
  <w:num w:numId="27">
    <w:abstractNumId w:val="46"/>
  </w:num>
  <w:num w:numId="28">
    <w:abstractNumId w:val="56"/>
  </w:num>
  <w:num w:numId="29">
    <w:abstractNumId w:val="32"/>
  </w:num>
  <w:num w:numId="30">
    <w:abstractNumId w:val="22"/>
  </w:num>
  <w:num w:numId="31">
    <w:abstractNumId w:val="65"/>
  </w:num>
  <w:num w:numId="32">
    <w:abstractNumId w:val="10"/>
  </w:num>
  <w:num w:numId="33">
    <w:abstractNumId w:val="11"/>
  </w:num>
  <w:num w:numId="34">
    <w:abstractNumId w:val="7"/>
  </w:num>
  <w:num w:numId="35">
    <w:abstractNumId w:val="50"/>
  </w:num>
  <w:num w:numId="36">
    <w:abstractNumId w:val="28"/>
  </w:num>
  <w:num w:numId="37">
    <w:abstractNumId w:val="66"/>
  </w:num>
  <w:num w:numId="38">
    <w:abstractNumId w:val="9"/>
  </w:num>
  <w:num w:numId="39">
    <w:abstractNumId w:val="30"/>
  </w:num>
  <w:num w:numId="40">
    <w:abstractNumId w:val="51"/>
  </w:num>
  <w:num w:numId="41">
    <w:abstractNumId w:val="35"/>
  </w:num>
  <w:num w:numId="42">
    <w:abstractNumId w:val="5"/>
  </w:num>
  <w:num w:numId="43">
    <w:abstractNumId w:val="59"/>
  </w:num>
  <w:num w:numId="44">
    <w:abstractNumId w:val="3"/>
  </w:num>
  <w:num w:numId="45">
    <w:abstractNumId w:val="57"/>
  </w:num>
  <w:num w:numId="46">
    <w:abstractNumId w:val="41"/>
  </w:num>
  <w:num w:numId="47">
    <w:abstractNumId w:val="70"/>
  </w:num>
  <w:num w:numId="48">
    <w:abstractNumId w:val="69"/>
  </w:num>
  <w:num w:numId="49">
    <w:abstractNumId w:val="45"/>
  </w:num>
  <w:num w:numId="50">
    <w:abstractNumId w:val="69"/>
  </w:num>
  <w:num w:numId="51">
    <w:abstractNumId w:val="64"/>
  </w:num>
  <w:num w:numId="52">
    <w:abstractNumId w:val="63"/>
  </w:num>
  <w:num w:numId="53">
    <w:abstractNumId w:val="20"/>
  </w:num>
  <w:num w:numId="54">
    <w:abstractNumId w:val="23"/>
  </w:num>
  <w:num w:numId="55">
    <w:abstractNumId w:val="23"/>
  </w:num>
  <w:num w:numId="56">
    <w:abstractNumId w:val="40"/>
  </w:num>
  <w:num w:numId="57">
    <w:abstractNumId w:val="68"/>
  </w:num>
  <w:num w:numId="58">
    <w:abstractNumId w:val="34"/>
  </w:num>
  <w:num w:numId="59">
    <w:abstractNumId w:val="39"/>
  </w:num>
  <w:num w:numId="60">
    <w:abstractNumId w:val="62"/>
  </w:num>
  <w:num w:numId="61">
    <w:abstractNumId w:val="48"/>
  </w:num>
  <w:num w:numId="62">
    <w:abstractNumId w:val="6"/>
  </w:num>
  <w:num w:numId="63">
    <w:abstractNumId w:val="16"/>
  </w:num>
  <w:num w:numId="64">
    <w:abstractNumId w:val="43"/>
  </w:num>
  <w:num w:numId="65">
    <w:abstractNumId w:val="53"/>
  </w:num>
  <w:num w:numId="66">
    <w:abstractNumId w:val="31"/>
  </w:num>
  <w:num w:numId="67">
    <w:abstractNumId w:val="19"/>
  </w:num>
  <w:num w:numId="68">
    <w:abstractNumId w:val="67"/>
  </w:num>
  <w:num w:numId="69">
    <w:abstractNumId w:val="47"/>
  </w:num>
  <w:num w:numId="70">
    <w:abstractNumId w:val="24"/>
  </w:num>
  <w:num w:numId="71">
    <w:abstractNumId w:val="13"/>
  </w:num>
  <w:num w:numId="72">
    <w:abstractNumId w:val="61"/>
  </w:num>
  <w:num w:numId="73">
    <w:abstractNumId w:val="23"/>
  </w:num>
  <w:num w:numId="74">
    <w:abstractNumId w:val="42"/>
  </w:num>
  <w:num w:numId="75">
    <w:abstractNumId w:val="23"/>
  </w:num>
  <w:num w:numId="76">
    <w:abstractNumId w:val="23"/>
  </w:num>
  <w:num w:numId="77">
    <w:abstractNumId w:val="23"/>
  </w:num>
  <w:num w:numId="78">
    <w:abstractNumId w:val="23"/>
  </w:num>
  <w:num w:numId="79">
    <w:abstractNumId w:val="23"/>
  </w:num>
  <w:num w:numId="80">
    <w:abstractNumId w:val="23"/>
  </w:num>
  <w:num w:numId="81">
    <w:abstractNumId w:val="23"/>
  </w:num>
  <w:num w:numId="82">
    <w:abstractNumId w:val="23"/>
  </w:num>
  <w:num w:numId="83">
    <w:abstractNumId w:val="23"/>
  </w:num>
  <w:num w:numId="84">
    <w:abstractNumId w:val="23"/>
  </w:num>
  <w:num w:numId="85">
    <w:abstractNumId w:val="23"/>
  </w:num>
  <w:num w:numId="86">
    <w:abstractNumId w:val="23"/>
  </w:num>
  <w:num w:numId="87">
    <w:abstractNumId w:val="23"/>
  </w:num>
  <w:num w:numId="88">
    <w:abstractNumId w:val="23"/>
  </w:num>
  <w:num w:numId="89">
    <w:abstractNumId w:val="23"/>
  </w:num>
  <w:num w:numId="90">
    <w:abstractNumId w:val="23"/>
  </w:num>
  <w:num w:numId="91">
    <w:abstractNumId w:val="23"/>
  </w:num>
  <w:num w:numId="92">
    <w:abstractNumId w:val="23"/>
  </w:num>
  <w:num w:numId="93">
    <w:abstractNumId w:val="23"/>
  </w:num>
  <w:num w:numId="94">
    <w:abstractNumId w:val="23"/>
  </w:num>
  <w:num w:numId="95">
    <w:abstractNumId w:val="23"/>
  </w:num>
  <w:num w:numId="96">
    <w:abstractNumId w:val="23"/>
  </w:num>
  <w:num w:numId="97">
    <w:abstractNumId w:val="23"/>
  </w:num>
  <w:num w:numId="98">
    <w:abstractNumId w:val="23"/>
  </w:num>
  <w:num w:numId="99">
    <w:abstractNumId w:val="23"/>
  </w:num>
  <w:num w:numId="100">
    <w:abstractNumId w:val="23"/>
  </w:num>
  <w:num w:numId="101">
    <w:abstractNumId w:val="23"/>
  </w:num>
  <w:num w:numId="102">
    <w:abstractNumId w:val="23"/>
  </w:num>
  <w:num w:numId="103">
    <w:abstractNumId w:val="23"/>
  </w:num>
  <w:num w:numId="104">
    <w:abstractNumId w:val="23"/>
  </w:num>
  <w:num w:numId="105">
    <w:abstractNumId w:val="23"/>
  </w:num>
  <w:num w:numId="106">
    <w:abstractNumId w:val="23"/>
  </w:num>
  <w:num w:numId="107">
    <w:abstractNumId w:val="23"/>
  </w:num>
  <w:num w:numId="108">
    <w:abstractNumId w:val="23"/>
  </w:num>
  <w:num w:numId="109">
    <w:abstractNumId w:val="23"/>
  </w:num>
  <w:num w:numId="110">
    <w:abstractNumId w:val="23"/>
  </w:num>
  <w:num w:numId="111">
    <w:abstractNumId w:val="23"/>
  </w:num>
  <w:num w:numId="112">
    <w:abstractNumId w:val="23"/>
  </w:num>
  <w:num w:numId="113">
    <w:abstractNumId w:val="23"/>
  </w:num>
  <w:num w:numId="114">
    <w:abstractNumId w:val="23"/>
  </w:num>
  <w:num w:numId="115">
    <w:abstractNumId w:val="23"/>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23"/>
  </w:num>
  <w:num w:numId="125">
    <w:abstractNumId w:val="23"/>
  </w:num>
  <w:num w:numId="126">
    <w:abstractNumId w:val="23"/>
  </w:num>
  <w:num w:numId="127">
    <w:abstractNumId w:val="23"/>
  </w:num>
  <w:num w:numId="128">
    <w:abstractNumId w:val="23"/>
  </w:num>
  <w:num w:numId="129">
    <w:abstractNumId w:val="23"/>
  </w:num>
  <w:num w:numId="130">
    <w:abstractNumId w:val="23"/>
  </w:num>
  <w:num w:numId="131">
    <w:abstractNumId w:val="23"/>
  </w:num>
  <w:num w:numId="132">
    <w:abstractNumId w:val="23"/>
  </w:num>
  <w:num w:numId="133">
    <w:abstractNumId w:val="23"/>
  </w:num>
  <w:num w:numId="134">
    <w:abstractNumId w:val="23"/>
  </w:num>
  <w:num w:numId="135">
    <w:abstractNumId w:val="29"/>
  </w:num>
  <w:num w:numId="136">
    <w:abstractNumId w:val="23"/>
  </w:num>
  <w:num w:numId="137">
    <w:abstractNumId w:val="27"/>
  </w:num>
  <w:num w:numId="138">
    <w:abstractNumId w:val="25"/>
  </w:num>
  <w:num w:numId="139">
    <w:abstractNumId w:val="14"/>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27"/>
  <w:hyphenationZone w:val="141"/>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D88"/>
    <w:rsid w:val="000005FE"/>
    <w:rsid w:val="000008C3"/>
    <w:rsid w:val="00000BD5"/>
    <w:rsid w:val="00001434"/>
    <w:rsid w:val="000024FA"/>
    <w:rsid w:val="00002C52"/>
    <w:rsid w:val="00002DCC"/>
    <w:rsid w:val="0000313E"/>
    <w:rsid w:val="000035F3"/>
    <w:rsid w:val="00003621"/>
    <w:rsid w:val="00003865"/>
    <w:rsid w:val="00003F59"/>
    <w:rsid w:val="00004370"/>
    <w:rsid w:val="000044C4"/>
    <w:rsid w:val="00004A96"/>
    <w:rsid w:val="000052BD"/>
    <w:rsid w:val="000055DF"/>
    <w:rsid w:val="0000644E"/>
    <w:rsid w:val="00006489"/>
    <w:rsid w:val="000064D0"/>
    <w:rsid w:val="00006CBF"/>
    <w:rsid w:val="00006FCA"/>
    <w:rsid w:val="000072EB"/>
    <w:rsid w:val="00007732"/>
    <w:rsid w:val="00007867"/>
    <w:rsid w:val="00007B16"/>
    <w:rsid w:val="00007B72"/>
    <w:rsid w:val="00007C68"/>
    <w:rsid w:val="00007DB5"/>
    <w:rsid w:val="00007F82"/>
    <w:rsid w:val="0001003F"/>
    <w:rsid w:val="00011594"/>
    <w:rsid w:val="0001159F"/>
    <w:rsid w:val="000117CE"/>
    <w:rsid w:val="00011929"/>
    <w:rsid w:val="00011E91"/>
    <w:rsid w:val="00011E94"/>
    <w:rsid w:val="000120C5"/>
    <w:rsid w:val="0001230D"/>
    <w:rsid w:val="00012DCA"/>
    <w:rsid w:val="000134EE"/>
    <w:rsid w:val="00013556"/>
    <w:rsid w:val="00013860"/>
    <w:rsid w:val="00013CB6"/>
    <w:rsid w:val="0001465C"/>
    <w:rsid w:val="00014BC2"/>
    <w:rsid w:val="0001518B"/>
    <w:rsid w:val="00016106"/>
    <w:rsid w:val="00016DF1"/>
    <w:rsid w:val="0001764B"/>
    <w:rsid w:val="00017776"/>
    <w:rsid w:val="0001789E"/>
    <w:rsid w:val="00017C97"/>
    <w:rsid w:val="000207D8"/>
    <w:rsid w:val="00021193"/>
    <w:rsid w:val="000211FE"/>
    <w:rsid w:val="00021385"/>
    <w:rsid w:val="0002175F"/>
    <w:rsid w:val="00021865"/>
    <w:rsid w:val="00021890"/>
    <w:rsid w:val="000218DB"/>
    <w:rsid w:val="00021A3F"/>
    <w:rsid w:val="00021CE8"/>
    <w:rsid w:val="00021EDA"/>
    <w:rsid w:val="00022087"/>
    <w:rsid w:val="000220F0"/>
    <w:rsid w:val="00022681"/>
    <w:rsid w:val="00023502"/>
    <w:rsid w:val="0002352D"/>
    <w:rsid w:val="00023CEE"/>
    <w:rsid w:val="000240E8"/>
    <w:rsid w:val="00024613"/>
    <w:rsid w:val="0002480D"/>
    <w:rsid w:val="0002485B"/>
    <w:rsid w:val="000259FD"/>
    <w:rsid w:val="00025E2D"/>
    <w:rsid w:val="000265BB"/>
    <w:rsid w:val="00026778"/>
    <w:rsid w:val="0002687E"/>
    <w:rsid w:val="00026CAE"/>
    <w:rsid w:val="00027014"/>
    <w:rsid w:val="00027348"/>
    <w:rsid w:val="0002739E"/>
    <w:rsid w:val="00027410"/>
    <w:rsid w:val="00027621"/>
    <w:rsid w:val="00027752"/>
    <w:rsid w:val="000278B1"/>
    <w:rsid w:val="00027E37"/>
    <w:rsid w:val="00031AED"/>
    <w:rsid w:val="00031E0D"/>
    <w:rsid w:val="00032117"/>
    <w:rsid w:val="00032478"/>
    <w:rsid w:val="000326B7"/>
    <w:rsid w:val="000327D5"/>
    <w:rsid w:val="00032D62"/>
    <w:rsid w:val="00032DE2"/>
    <w:rsid w:val="00032E20"/>
    <w:rsid w:val="0003365B"/>
    <w:rsid w:val="00033AB2"/>
    <w:rsid w:val="00033C41"/>
    <w:rsid w:val="000348C0"/>
    <w:rsid w:val="0003498C"/>
    <w:rsid w:val="000349F1"/>
    <w:rsid w:val="000351CF"/>
    <w:rsid w:val="0003569C"/>
    <w:rsid w:val="000356B2"/>
    <w:rsid w:val="0003671D"/>
    <w:rsid w:val="00036D08"/>
    <w:rsid w:val="00036DEF"/>
    <w:rsid w:val="0003753C"/>
    <w:rsid w:val="00037649"/>
    <w:rsid w:val="00037B0E"/>
    <w:rsid w:val="000402B9"/>
    <w:rsid w:val="0004081B"/>
    <w:rsid w:val="000408C8"/>
    <w:rsid w:val="00040B73"/>
    <w:rsid w:val="00041070"/>
    <w:rsid w:val="000415EC"/>
    <w:rsid w:val="0004168F"/>
    <w:rsid w:val="00041C62"/>
    <w:rsid w:val="00041E53"/>
    <w:rsid w:val="000420B9"/>
    <w:rsid w:val="00042F8A"/>
    <w:rsid w:val="00043BEA"/>
    <w:rsid w:val="000440EC"/>
    <w:rsid w:val="00044DDB"/>
    <w:rsid w:val="000453D7"/>
    <w:rsid w:val="00045882"/>
    <w:rsid w:val="00045A2F"/>
    <w:rsid w:val="00045AD9"/>
    <w:rsid w:val="00045D88"/>
    <w:rsid w:val="00045F29"/>
    <w:rsid w:val="000461CA"/>
    <w:rsid w:val="00046215"/>
    <w:rsid w:val="000462A1"/>
    <w:rsid w:val="000468EF"/>
    <w:rsid w:val="00046F0D"/>
    <w:rsid w:val="00047138"/>
    <w:rsid w:val="0004719F"/>
    <w:rsid w:val="00047B1D"/>
    <w:rsid w:val="00050379"/>
    <w:rsid w:val="00050680"/>
    <w:rsid w:val="00050ACB"/>
    <w:rsid w:val="00051149"/>
    <w:rsid w:val="00051D7F"/>
    <w:rsid w:val="00051FBD"/>
    <w:rsid w:val="00052321"/>
    <w:rsid w:val="000524F8"/>
    <w:rsid w:val="000527DE"/>
    <w:rsid w:val="00052CA4"/>
    <w:rsid w:val="00053B43"/>
    <w:rsid w:val="00053C5A"/>
    <w:rsid w:val="0005403B"/>
    <w:rsid w:val="000546CD"/>
    <w:rsid w:val="000546EA"/>
    <w:rsid w:val="00054B4E"/>
    <w:rsid w:val="000553FB"/>
    <w:rsid w:val="00055E86"/>
    <w:rsid w:val="000564D6"/>
    <w:rsid w:val="00056745"/>
    <w:rsid w:val="00056F9E"/>
    <w:rsid w:val="0005710D"/>
    <w:rsid w:val="000577AC"/>
    <w:rsid w:val="00057C3D"/>
    <w:rsid w:val="00057E05"/>
    <w:rsid w:val="000600C9"/>
    <w:rsid w:val="00060808"/>
    <w:rsid w:val="00060A13"/>
    <w:rsid w:val="00060A6E"/>
    <w:rsid w:val="00060F9E"/>
    <w:rsid w:val="00061181"/>
    <w:rsid w:val="0006187C"/>
    <w:rsid w:val="00061B0E"/>
    <w:rsid w:val="00061DB0"/>
    <w:rsid w:val="00061F03"/>
    <w:rsid w:val="0006210F"/>
    <w:rsid w:val="00062173"/>
    <w:rsid w:val="00062286"/>
    <w:rsid w:val="00062642"/>
    <w:rsid w:val="0006297A"/>
    <w:rsid w:val="000629E1"/>
    <w:rsid w:val="000631F3"/>
    <w:rsid w:val="00063238"/>
    <w:rsid w:val="00063B02"/>
    <w:rsid w:val="000643F9"/>
    <w:rsid w:val="000649E3"/>
    <w:rsid w:val="00064C59"/>
    <w:rsid w:val="00064CBE"/>
    <w:rsid w:val="00064ED0"/>
    <w:rsid w:val="0006508A"/>
    <w:rsid w:val="00065D00"/>
    <w:rsid w:val="00065F27"/>
    <w:rsid w:val="00066B3C"/>
    <w:rsid w:val="000678BC"/>
    <w:rsid w:val="00067E28"/>
    <w:rsid w:val="000706A7"/>
    <w:rsid w:val="00070A9D"/>
    <w:rsid w:val="00070EF0"/>
    <w:rsid w:val="00071184"/>
    <w:rsid w:val="0007141A"/>
    <w:rsid w:val="000714BE"/>
    <w:rsid w:val="00071818"/>
    <w:rsid w:val="00072207"/>
    <w:rsid w:val="000723A0"/>
    <w:rsid w:val="00072496"/>
    <w:rsid w:val="0007268E"/>
    <w:rsid w:val="00072EAD"/>
    <w:rsid w:val="00072FA7"/>
    <w:rsid w:val="00073298"/>
    <w:rsid w:val="00073861"/>
    <w:rsid w:val="00073B6E"/>
    <w:rsid w:val="00074E12"/>
    <w:rsid w:val="00074FD2"/>
    <w:rsid w:val="00075B95"/>
    <w:rsid w:val="00076105"/>
    <w:rsid w:val="00076112"/>
    <w:rsid w:val="0007613A"/>
    <w:rsid w:val="00076497"/>
    <w:rsid w:val="00076562"/>
    <w:rsid w:val="0007671B"/>
    <w:rsid w:val="00077B04"/>
    <w:rsid w:val="00080A63"/>
    <w:rsid w:val="00080D96"/>
    <w:rsid w:val="00080EF2"/>
    <w:rsid w:val="000812D1"/>
    <w:rsid w:val="00081C12"/>
    <w:rsid w:val="00081DE7"/>
    <w:rsid w:val="00082001"/>
    <w:rsid w:val="00082325"/>
    <w:rsid w:val="0008236C"/>
    <w:rsid w:val="000824E0"/>
    <w:rsid w:val="00082A34"/>
    <w:rsid w:val="00082AC2"/>
    <w:rsid w:val="00082B19"/>
    <w:rsid w:val="0008305A"/>
    <w:rsid w:val="0008337F"/>
    <w:rsid w:val="00083803"/>
    <w:rsid w:val="00083B66"/>
    <w:rsid w:val="0008464C"/>
    <w:rsid w:val="0008572F"/>
    <w:rsid w:val="00085771"/>
    <w:rsid w:val="00085DF5"/>
    <w:rsid w:val="00085E91"/>
    <w:rsid w:val="00086338"/>
    <w:rsid w:val="000873CF"/>
    <w:rsid w:val="00087427"/>
    <w:rsid w:val="000875F4"/>
    <w:rsid w:val="00087831"/>
    <w:rsid w:val="00087FA2"/>
    <w:rsid w:val="00090A40"/>
    <w:rsid w:val="00090A7A"/>
    <w:rsid w:val="00090B4A"/>
    <w:rsid w:val="00090F10"/>
    <w:rsid w:val="000914F1"/>
    <w:rsid w:val="0009159D"/>
    <w:rsid w:val="000915C8"/>
    <w:rsid w:val="00091E21"/>
    <w:rsid w:val="0009275C"/>
    <w:rsid w:val="00092B01"/>
    <w:rsid w:val="00092E94"/>
    <w:rsid w:val="00093084"/>
    <w:rsid w:val="000930F2"/>
    <w:rsid w:val="0009351A"/>
    <w:rsid w:val="00093CAD"/>
    <w:rsid w:val="00093CE8"/>
    <w:rsid w:val="00094365"/>
    <w:rsid w:val="0009439C"/>
    <w:rsid w:val="00094C48"/>
    <w:rsid w:val="000952AF"/>
    <w:rsid w:val="000954FC"/>
    <w:rsid w:val="00095ACA"/>
    <w:rsid w:val="000961E7"/>
    <w:rsid w:val="00096964"/>
    <w:rsid w:val="00096A0B"/>
    <w:rsid w:val="00096B18"/>
    <w:rsid w:val="00096BF2"/>
    <w:rsid w:val="00097247"/>
    <w:rsid w:val="000974A2"/>
    <w:rsid w:val="00097B73"/>
    <w:rsid w:val="000A001F"/>
    <w:rsid w:val="000A00E3"/>
    <w:rsid w:val="000A0253"/>
    <w:rsid w:val="000A036D"/>
    <w:rsid w:val="000A072B"/>
    <w:rsid w:val="000A0885"/>
    <w:rsid w:val="000A13D1"/>
    <w:rsid w:val="000A1498"/>
    <w:rsid w:val="000A28D7"/>
    <w:rsid w:val="000A2BEC"/>
    <w:rsid w:val="000A2E66"/>
    <w:rsid w:val="000A39B3"/>
    <w:rsid w:val="000A482A"/>
    <w:rsid w:val="000A4D9F"/>
    <w:rsid w:val="000A50AD"/>
    <w:rsid w:val="000A5B81"/>
    <w:rsid w:val="000A5D60"/>
    <w:rsid w:val="000A5F91"/>
    <w:rsid w:val="000A645E"/>
    <w:rsid w:val="000A64B6"/>
    <w:rsid w:val="000A6767"/>
    <w:rsid w:val="000A7C38"/>
    <w:rsid w:val="000B00C3"/>
    <w:rsid w:val="000B0A94"/>
    <w:rsid w:val="000B0D87"/>
    <w:rsid w:val="000B1087"/>
    <w:rsid w:val="000B1E12"/>
    <w:rsid w:val="000B2212"/>
    <w:rsid w:val="000B2742"/>
    <w:rsid w:val="000B3017"/>
    <w:rsid w:val="000B33AF"/>
    <w:rsid w:val="000B3914"/>
    <w:rsid w:val="000B3B29"/>
    <w:rsid w:val="000B3FB8"/>
    <w:rsid w:val="000B4186"/>
    <w:rsid w:val="000B4469"/>
    <w:rsid w:val="000B44D9"/>
    <w:rsid w:val="000B4BB4"/>
    <w:rsid w:val="000B5329"/>
    <w:rsid w:val="000B5416"/>
    <w:rsid w:val="000B575A"/>
    <w:rsid w:val="000B5824"/>
    <w:rsid w:val="000B5D7E"/>
    <w:rsid w:val="000B6417"/>
    <w:rsid w:val="000B70DE"/>
    <w:rsid w:val="000B71B3"/>
    <w:rsid w:val="000B7388"/>
    <w:rsid w:val="000B776A"/>
    <w:rsid w:val="000C0254"/>
    <w:rsid w:val="000C0A42"/>
    <w:rsid w:val="000C0B83"/>
    <w:rsid w:val="000C140D"/>
    <w:rsid w:val="000C167F"/>
    <w:rsid w:val="000C17F0"/>
    <w:rsid w:val="000C18CA"/>
    <w:rsid w:val="000C1A6D"/>
    <w:rsid w:val="000C1A7C"/>
    <w:rsid w:val="000C1C7D"/>
    <w:rsid w:val="000C1CB3"/>
    <w:rsid w:val="000C1D38"/>
    <w:rsid w:val="000C2344"/>
    <w:rsid w:val="000C26A1"/>
    <w:rsid w:val="000C26D6"/>
    <w:rsid w:val="000C2840"/>
    <w:rsid w:val="000C2953"/>
    <w:rsid w:val="000C3354"/>
    <w:rsid w:val="000C4060"/>
    <w:rsid w:val="000C452C"/>
    <w:rsid w:val="000C458F"/>
    <w:rsid w:val="000C4710"/>
    <w:rsid w:val="000C4CD2"/>
    <w:rsid w:val="000C50BA"/>
    <w:rsid w:val="000C514C"/>
    <w:rsid w:val="000C531F"/>
    <w:rsid w:val="000C5407"/>
    <w:rsid w:val="000C6173"/>
    <w:rsid w:val="000C61DF"/>
    <w:rsid w:val="000C6B74"/>
    <w:rsid w:val="000C7250"/>
    <w:rsid w:val="000C77CB"/>
    <w:rsid w:val="000C78A2"/>
    <w:rsid w:val="000C7BC1"/>
    <w:rsid w:val="000D02E1"/>
    <w:rsid w:val="000D0369"/>
    <w:rsid w:val="000D0675"/>
    <w:rsid w:val="000D0C1A"/>
    <w:rsid w:val="000D0D77"/>
    <w:rsid w:val="000D1518"/>
    <w:rsid w:val="000D179A"/>
    <w:rsid w:val="000D1A88"/>
    <w:rsid w:val="000D1E6C"/>
    <w:rsid w:val="000D2265"/>
    <w:rsid w:val="000D2DBD"/>
    <w:rsid w:val="000D2FDE"/>
    <w:rsid w:val="000D30F6"/>
    <w:rsid w:val="000D34FC"/>
    <w:rsid w:val="000D368E"/>
    <w:rsid w:val="000D3D8C"/>
    <w:rsid w:val="000D3E50"/>
    <w:rsid w:val="000D3EB7"/>
    <w:rsid w:val="000D3EE7"/>
    <w:rsid w:val="000D42B5"/>
    <w:rsid w:val="000D5910"/>
    <w:rsid w:val="000D5EE1"/>
    <w:rsid w:val="000D6104"/>
    <w:rsid w:val="000D6179"/>
    <w:rsid w:val="000D68C6"/>
    <w:rsid w:val="000D6AF1"/>
    <w:rsid w:val="000D7621"/>
    <w:rsid w:val="000E1348"/>
    <w:rsid w:val="000E14AD"/>
    <w:rsid w:val="000E1E11"/>
    <w:rsid w:val="000E1FE9"/>
    <w:rsid w:val="000E2224"/>
    <w:rsid w:val="000E2832"/>
    <w:rsid w:val="000E288D"/>
    <w:rsid w:val="000E2909"/>
    <w:rsid w:val="000E38DE"/>
    <w:rsid w:val="000E3DDC"/>
    <w:rsid w:val="000E5432"/>
    <w:rsid w:val="000E5745"/>
    <w:rsid w:val="000E60F9"/>
    <w:rsid w:val="000E6222"/>
    <w:rsid w:val="000E696B"/>
    <w:rsid w:val="000E715A"/>
    <w:rsid w:val="000E782E"/>
    <w:rsid w:val="000F0242"/>
    <w:rsid w:val="000F052B"/>
    <w:rsid w:val="000F0810"/>
    <w:rsid w:val="000F08E8"/>
    <w:rsid w:val="000F0B28"/>
    <w:rsid w:val="000F0B9C"/>
    <w:rsid w:val="000F0EE0"/>
    <w:rsid w:val="000F165C"/>
    <w:rsid w:val="000F18CC"/>
    <w:rsid w:val="000F1B4F"/>
    <w:rsid w:val="000F20F7"/>
    <w:rsid w:val="000F2396"/>
    <w:rsid w:val="000F2663"/>
    <w:rsid w:val="000F2A73"/>
    <w:rsid w:val="000F2D42"/>
    <w:rsid w:val="000F3318"/>
    <w:rsid w:val="000F37C6"/>
    <w:rsid w:val="000F39F6"/>
    <w:rsid w:val="000F4784"/>
    <w:rsid w:val="000F4C26"/>
    <w:rsid w:val="000F4CC2"/>
    <w:rsid w:val="000F5552"/>
    <w:rsid w:val="000F5619"/>
    <w:rsid w:val="000F6011"/>
    <w:rsid w:val="000F648D"/>
    <w:rsid w:val="000F71DF"/>
    <w:rsid w:val="000F724A"/>
    <w:rsid w:val="000F77B8"/>
    <w:rsid w:val="00100A88"/>
    <w:rsid w:val="001014AD"/>
    <w:rsid w:val="001015B9"/>
    <w:rsid w:val="0010162A"/>
    <w:rsid w:val="0010162B"/>
    <w:rsid w:val="00101F94"/>
    <w:rsid w:val="00102779"/>
    <w:rsid w:val="00102CF9"/>
    <w:rsid w:val="001031A7"/>
    <w:rsid w:val="001038CC"/>
    <w:rsid w:val="001039A1"/>
    <w:rsid w:val="00103A1E"/>
    <w:rsid w:val="00103F16"/>
    <w:rsid w:val="001049EE"/>
    <w:rsid w:val="00104A56"/>
    <w:rsid w:val="00104FD4"/>
    <w:rsid w:val="0010543C"/>
    <w:rsid w:val="00105849"/>
    <w:rsid w:val="00105C05"/>
    <w:rsid w:val="00105D83"/>
    <w:rsid w:val="0010624B"/>
    <w:rsid w:val="00106BF7"/>
    <w:rsid w:val="00106DFC"/>
    <w:rsid w:val="00107064"/>
    <w:rsid w:val="00107322"/>
    <w:rsid w:val="00107425"/>
    <w:rsid w:val="0010765C"/>
    <w:rsid w:val="001076F3"/>
    <w:rsid w:val="00107C4E"/>
    <w:rsid w:val="00110ABA"/>
    <w:rsid w:val="00110ED4"/>
    <w:rsid w:val="00111755"/>
    <w:rsid w:val="0011181A"/>
    <w:rsid w:val="00111853"/>
    <w:rsid w:val="00111C4F"/>
    <w:rsid w:val="00111CDD"/>
    <w:rsid w:val="00113025"/>
    <w:rsid w:val="001134DC"/>
    <w:rsid w:val="001135F1"/>
    <w:rsid w:val="00113656"/>
    <w:rsid w:val="001137FF"/>
    <w:rsid w:val="001139A7"/>
    <w:rsid w:val="00113E83"/>
    <w:rsid w:val="00113E91"/>
    <w:rsid w:val="00114446"/>
    <w:rsid w:val="00114744"/>
    <w:rsid w:val="001147F4"/>
    <w:rsid w:val="00114C47"/>
    <w:rsid w:val="0011564D"/>
    <w:rsid w:val="001159A3"/>
    <w:rsid w:val="00115A2F"/>
    <w:rsid w:val="00115B50"/>
    <w:rsid w:val="00115E50"/>
    <w:rsid w:val="00115EAD"/>
    <w:rsid w:val="0011738A"/>
    <w:rsid w:val="001174E9"/>
    <w:rsid w:val="001179F9"/>
    <w:rsid w:val="00117A7F"/>
    <w:rsid w:val="0012003A"/>
    <w:rsid w:val="00120183"/>
    <w:rsid w:val="0012048A"/>
    <w:rsid w:val="00120918"/>
    <w:rsid w:val="001209A9"/>
    <w:rsid w:val="00120BBF"/>
    <w:rsid w:val="00121153"/>
    <w:rsid w:val="0012137E"/>
    <w:rsid w:val="0012190B"/>
    <w:rsid w:val="00122AF7"/>
    <w:rsid w:val="00122C6D"/>
    <w:rsid w:val="00122C8F"/>
    <w:rsid w:val="00122D37"/>
    <w:rsid w:val="00122E57"/>
    <w:rsid w:val="00122F73"/>
    <w:rsid w:val="0012361D"/>
    <w:rsid w:val="00123B92"/>
    <w:rsid w:val="00124229"/>
    <w:rsid w:val="00124552"/>
    <w:rsid w:val="00124594"/>
    <w:rsid w:val="00124B37"/>
    <w:rsid w:val="00125570"/>
    <w:rsid w:val="001257D1"/>
    <w:rsid w:val="001266FC"/>
    <w:rsid w:val="00126860"/>
    <w:rsid w:val="0012744D"/>
    <w:rsid w:val="001277A7"/>
    <w:rsid w:val="00127D54"/>
    <w:rsid w:val="00127D74"/>
    <w:rsid w:val="00127F86"/>
    <w:rsid w:val="00130EA4"/>
    <w:rsid w:val="001310CD"/>
    <w:rsid w:val="001310D3"/>
    <w:rsid w:val="00131827"/>
    <w:rsid w:val="0013192E"/>
    <w:rsid w:val="0013204A"/>
    <w:rsid w:val="001322C2"/>
    <w:rsid w:val="00132426"/>
    <w:rsid w:val="0013252A"/>
    <w:rsid w:val="001326E3"/>
    <w:rsid w:val="001328FB"/>
    <w:rsid w:val="00132C3B"/>
    <w:rsid w:val="001334AE"/>
    <w:rsid w:val="00133699"/>
    <w:rsid w:val="0013393C"/>
    <w:rsid w:val="0013405A"/>
    <w:rsid w:val="00134914"/>
    <w:rsid w:val="00134CAA"/>
    <w:rsid w:val="00134F7E"/>
    <w:rsid w:val="001353C8"/>
    <w:rsid w:val="00135A94"/>
    <w:rsid w:val="0013704B"/>
    <w:rsid w:val="001377A2"/>
    <w:rsid w:val="001402F9"/>
    <w:rsid w:val="001407E0"/>
    <w:rsid w:val="00140878"/>
    <w:rsid w:val="00140CFC"/>
    <w:rsid w:val="00140EDF"/>
    <w:rsid w:val="00141223"/>
    <w:rsid w:val="00141283"/>
    <w:rsid w:val="00141835"/>
    <w:rsid w:val="001419DA"/>
    <w:rsid w:val="00141A4D"/>
    <w:rsid w:val="00142702"/>
    <w:rsid w:val="00142969"/>
    <w:rsid w:val="001429CD"/>
    <w:rsid w:val="00142BA0"/>
    <w:rsid w:val="00142C23"/>
    <w:rsid w:val="00142FCD"/>
    <w:rsid w:val="001430CB"/>
    <w:rsid w:val="0014330A"/>
    <w:rsid w:val="00143552"/>
    <w:rsid w:val="001435AC"/>
    <w:rsid w:val="00143A4B"/>
    <w:rsid w:val="00143A88"/>
    <w:rsid w:val="00143E2A"/>
    <w:rsid w:val="00143EAC"/>
    <w:rsid w:val="001440CA"/>
    <w:rsid w:val="001450AD"/>
    <w:rsid w:val="00145A62"/>
    <w:rsid w:val="00145B3E"/>
    <w:rsid w:val="00145E8F"/>
    <w:rsid w:val="0014617A"/>
    <w:rsid w:val="0014624E"/>
    <w:rsid w:val="00146D97"/>
    <w:rsid w:val="0014795A"/>
    <w:rsid w:val="0014799E"/>
    <w:rsid w:val="00147A6F"/>
    <w:rsid w:val="00147D36"/>
    <w:rsid w:val="0015024D"/>
    <w:rsid w:val="001502AA"/>
    <w:rsid w:val="001505CB"/>
    <w:rsid w:val="00150CC6"/>
    <w:rsid w:val="00151153"/>
    <w:rsid w:val="001512AC"/>
    <w:rsid w:val="0015146A"/>
    <w:rsid w:val="001516A7"/>
    <w:rsid w:val="001516BE"/>
    <w:rsid w:val="00151DF4"/>
    <w:rsid w:val="001521E1"/>
    <w:rsid w:val="00152D14"/>
    <w:rsid w:val="00152FCA"/>
    <w:rsid w:val="00153163"/>
    <w:rsid w:val="0015329E"/>
    <w:rsid w:val="00153818"/>
    <w:rsid w:val="00153B37"/>
    <w:rsid w:val="001540E6"/>
    <w:rsid w:val="00155376"/>
    <w:rsid w:val="001554F4"/>
    <w:rsid w:val="00155508"/>
    <w:rsid w:val="00155D71"/>
    <w:rsid w:val="00155D97"/>
    <w:rsid w:val="00156104"/>
    <w:rsid w:val="001567B6"/>
    <w:rsid w:val="00156B22"/>
    <w:rsid w:val="00156D75"/>
    <w:rsid w:val="00156E92"/>
    <w:rsid w:val="00157347"/>
    <w:rsid w:val="0015778E"/>
    <w:rsid w:val="00157B13"/>
    <w:rsid w:val="001602BE"/>
    <w:rsid w:val="001605EC"/>
    <w:rsid w:val="00160749"/>
    <w:rsid w:val="001609FC"/>
    <w:rsid w:val="00160B2B"/>
    <w:rsid w:val="00160EB7"/>
    <w:rsid w:val="00160F5F"/>
    <w:rsid w:val="001616E4"/>
    <w:rsid w:val="001617CE"/>
    <w:rsid w:val="00161801"/>
    <w:rsid w:val="001620E4"/>
    <w:rsid w:val="001624AB"/>
    <w:rsid w:val="00162924"/>
    <w:rsid w:val="00162AD0"/>
    <w:rsid w:val="0016395D"/>
    <w:rsid w:val="00163A3C"/>
    <w:rsid w:val="0016487B"/>
    <w:rsid w:val="001649D0"/>
    <w:rsid w:val="00164B77"/>
    <w:rsid w:val="00165310"/>
    <w:rsid w:val="001654A8"/>
    <w:rsid w:val="00165632"/>
    <w:rsid w:val="00165FCB"/>
    <w:rsid w:val="001660D6"/>
    <w:rsid w:val="001665A5"/>
    <w:rsid w:val="0016680F"/>
    <w:rsid w:val="00166ACC"/>
    <w:rsid w:val="00167269"/>
    <w:rsid w:val="00167830"/>
    <w:rsid w:val="00167E7D"/>
    <w:rsid w:val="0017063A"/>
    <w:rsid w:val="001706D4"/>
    <w:rsid w:val="0017082A"/>
    <w:rsid w:val="00170E4C"/>
    <w:rsid w:val="001716C4"/>
    <w:rsid w:val="00171B20"/>
    <w:rsid w:val="00171BF5"/>
    <w:rsid w:val="00171FF9"/>
    <w:rsid w:val="00172016"/>
    <w:rsid w:val="00172560"/>
    <w:rsid w:val="00172C94"/>
    <w:rsid w:val="00172CC5"/>
    <w:rsid w:val="00173296"/>
    <w:rsid w:val="00173586"/>
    <w:rsid w:val="00173FEB"/>
    <w:rsid w:val="001743BD"/>
    <w:rsid w:val="00174A30"/>
    <w:rsid w:val="00174B20"/>
    <w:rsid w:val="00174DD9"/>
    <w:rsid w:val="0017547F"/>
    <w:rsid w:val="0017581E"/>
    <w:rsid w:val="00175EA8"/>
    <w:rsid w:val="001760AB"/>
    <w:rsid w:val="00176304"/>
    <w:rsid w:val="00176EE6"/>
    <w:rsid w:val="001776A8"/>
    <w:rsid w:val="00180A3A"/>
    <w:rsid w:val="00180DA0"/>
    <w:rsid w:val="00181042"/>
    <w:rsid w:val="00181208"/>
    <w:rsid w:val="00182452"/>
    <w:rsid w:val="00182A3E"/>
    <w:rsid w:val="00182B09"/>
    <w:rsid w:val="00182E0D"/>
    <w:rsid w:val="00183659"/>
    <w:rsid w:val="00183AEA"/>
    <w:rsid w:val="00184036"/>
    <w:rsid w:val="00184299"/>
    <w:rsid w:val="00184521"/>
    <w:rsid w:val="001846EF"/>
    <w:rsid w:val="001848C0"/>
    <w:rsid w:val="001849C6"/>
    <w:rsid w:val="00184BC0"/>
    <w:rsid w:val="00184E89"/>
    <w:rsid w:val="00184F02"/>
    <w:rsid w:val="0018507D"/>
    <w:rsid w:val="00185752"/>
    <w:rsid w:val="00185FE1"/>
    <w:rsid w:val="00186BB6"/>
    <w:rsid w:val="00186BCC"/>
    <w:rsid w:val="00187206"/>
    <w:rsid w:val="00187492"/>
    <w:rsid w:val="0018761B"/>
    <w:rsid w:val="001877FE"/>
    <w:rsid w:val="0018789D"/>
    <w:rsid w:val="00187AA6"/>
    <w:rsid w:val="00190000"/>
    <w:rsid w:val="001902BB"/>
    <w:rsid w:val="00190B36"/>
    <w:rsid w:val="001911DA"/>
    <w:rsid w:val="001918A2"/>
    <w:rsid w:val="00192498"/>
    <w:rsid w:val="001926FE"/>
    <w:rsid w:val="00192843"/>
    <w:rsid w:val="00192AF5"/>
    <w:rsid w:val="00192B0B"/>
    <w:rsid w:val="00192FFE"/>
    <w:rsid w:val="001937BF"/>
    <w:rsid w:val="00193B7F"/>
    <w:rsid w:val="0019437A"/>
    <w:rsid w:val="001953EF"/>
    <w:rsid w:val="00195ACC"/>
    <w:rsid w:val="00196700"/>
    <w:rsid w:val="00196739"/>
    <w:rsid w:val="00196826"/>
    <w:rsid w:val="001968E0"/>
    <w:rsid w:val="0019725A"/>
    <w:rsid w:val="001972A8"/>
    <w:rsid w:val="001974D9"/>
    <w:rsid w:val="001977DD"/>
    <w:rsid w:val="0019782E"/>
    <w:rsid w:val="0019788F"/>
    <w:rsid w:val="00197E64"/>
    <w:rsid w:val="001A0085"/>
    <w:rsid w:val="001A0093"/>
    <w:rsid w:val="001A0CD8"/>
    <w:rsid w:val="001A1369"/>
    <w:rsid w:val="001A1914"/>
    <w:rsid w:val="001A1B96"/>
    <w:rsid w:val="001A1FEC"/>
    <w:rsid w:val="001A263D"/>
    <w:rsid w:val="001A2B7B"/>
    <w:rsid w:val="001A2C62"/>
    <w:rsid w:val="001A2D4A"/>
    <w:rsid w:val="001A3444"/>
    <w:rsid w:val="001A37F1"/>
    <w:rsid w:val="001A3977"/>
    <w:rsid w:val="001A3AFF"/>
    <w:rsid w:val="001A3B7D"/>
    <w:rsid w:val="001A3E52"/>
    <w:rsid w:val="001A3FF3"/>
    <w:rsid w:val="001A41AA"/>
    <w:rsid w:val="001A459D"/>
    <w:rsid w:val="001A4C14"/>
    <w:rsid w:val="001A51B6"/>
    <w:rsid w:val="001A560E"/>
    <w:rsid w:val="001A59B7"/>
    <w:rsid w:val="001A6CBD"/>
    <w:rsid w:val="001A6DC5"/>
    <w:rsid w:val="001A744C"/>
    <w:rsid w:val="001A7525"/>
    <w:rsid w:val="001A7914"/>
    <w:rsid w:val="001B00E2"/>
    <w:rsid w:val="001B04BA"/>
    <w:rsid w:val="001B0518"/>
    <w:rsid w:val="001B0709"/>
    <w:rsid w:val="001B097C"/>
    <w:rsid w:val="001B0A43"/>
    <w:rsid w:val="001B10F0"/>
    <w:rsid w:val="001B1109"/>
    <w:rsid w:val="001B1143"/>
    <w:rsid w:val="001B1486"/>
    <w:rsid w:val="001B1A9B"/>
    <w:rsid w:val="001B1C29"/>
    <w:rsid w:val="001B1F61"/>
    <w:rsid w:val="001B21D0"/>
    <w:rsid w:val="001B2312"/>
    <w:rsid w:val="001B2343"/>
    <w:rsid w:val="001B2434"/>
    <w:rsid w:val="001B2491"/>
    <w:rsid w:val="001B24EB"/>
    <w:rsid w:val="001B26BF"/>
    <w:rsid w:val="001B2B31"/>
    <w:rsid w:val="001B2E8D"/>
    <w:rsid w:val="001B2ED8"/>
    <w:rsid w:val="001B3270"/>
    <w:rsid w:val="001B34FC"/>
    <w:rsid w:val="001B4143"/>
    <w:rsid w:val="001B41C6"/>
    <w:rsid w:val="001B4704"/>
    <w:rsid w:val="001B4B71"/>
    <w:rsid w:val="001B4E79"/>
    <w:rsid w:val="001B57F3"/>
    <w:rsid w:val="001B5E85"/>
    <w:rsid w:val="001B628F"/>
    <w:rsid w:val="001B65FF"/>
    <w:rsid w:val="001B6A6C"/>
    <w:rsid w:val="001B6E97"/>
    <w:rsid w:val="001B6EF3"/>
    <w:rsid w:val="001B7DC7"/>
    <w:rsid w:val="001C0435"/>
    <w:rsid w:val="001C0630"/>
    <w:rsid w:val="001C0804"/>
    <w:rsid w:val="001C08A3"/>
    <w:rsid w:val="001C0CFC"/>
    <w:rsid w:val="001C0EC8"/>
    <w:rsid w:val="001C0F12"/>
    <w:rsid w:val="001C12CF"/>
    <w:rsid w:val="001C1BB8"/>
    <w:rsid w:val="001C20F2"/>
    <w:rsid w:val="001C25F6"/>
    <w:rsid w:val="001C2743"/>
    <w:rsid w:val="001C27FF"/>
    <w:rsid w:val="001C3097"/>
    <w:rsid w:val="001C3206"/>
    <w:rsid w:val="001C3917"/>
    <w:rsid w:val="001C391F"/>
    <w:rsid w:val="001C3C86"/>
    <w:rsid w:val="001C40E5"/>
    <w:rsid w:val="001C4147"/>
    <w:rsid w:val="001C4223"/>
    <w:rsid w:val="001C491F"/>
    <w:rsid w:val="001C4ABD"/>
    <w:rsid w:val="001C52AD"/>
    <w:rsid w:val="001C57FF"/>
    <w:rsid w:val="001C584E"/>
    <w:rsid w:val="001C5A29"/>
    <w:rsid w:val="001C602A"/>
    <w:rsid w:val="001C61F1"/>
    <w:rsid w:val="001C62F8"/>
    <w:rsid w:val="001C6FA0"/>
    <w:rsid w:val="001C7DB1"/>
    <w:rsid w:val="001D0413"/>
    <w:rsid w:val="001D07E3"/>
    <w:rsid w:val="001D09CC"/>
    <w:rsid w:val="001D14AB"/>
    <w:rsid w:val="001D15A7"/>
    <w:rsid w:val="001D1A1E"/>
    <w:rsid w:val="001D1ED7"/>
    <w:rsid w:val="001D1EF3"/>
    <w:rsid w:val="001D2150"/>
    <w:rsid w:val="001D2E19"/>
    <w:rsid w:val="001D2ED4"/>
    <w:rsid w:val="001D317E"/>
    <w:rsid w:val="001D3687"/>
    <w:rsid w:val="001D388A"/>
    <w:rsid w:val="001D38BE"/>
    <w:rsid w:val="001D3A8F"/>
    <w:rsid w:val="001D3B5C"/>
    <w:rsid w:val="001D437C"/>
    <w:rsid w:val="001D454C"/>
    <w:rsid w:val="001D4C83"/>
    <w:rsid w:val="001D5292"/>
    <w:rsid w:val="001D5966"/>
    <w:rsid w:val="001D5988"/>
    <w:rsid w:val="001D6296"/>
    <w:rsid w:val="001D679E"/>
    <w:rsid w:val="001D6ACE"/>
    <w:rsid w:val="001D6AD0"/>
    <w:rsid w:val="001D6E18"/>
    <w:rsid w:val="001D763C"/>
    <w:rsid w:val="001D7B4D"/>
    <w:rsid w:val="001D7B9E"/>
    <w:rsid w:val="001E0F39"/>
    <w:rsid w:val="001E1BBB"/>
    <w:rsid w:val="001E1D83"/>
    <w:rsid w:val="001E20AB"/>
    <w:rsid w:val="001E21C7"/>
    <w:rsid w:val="001E2C3B"/>
    <w:rsid w:val="001E3096"/>
    <w:rsid w:val="001E322D"/>
    <w:rsid w:val="001E33BC"/>
    <w:rsid w:val="001E3D85"/>
    <w:rsid w:val="001E3DF5"/>
    <w:rsid w:val="001E3EC3"/>
    <w:rsid w:val="001E44F0"/>
    <w:rsid w:val="001E4698"/>
    <w:rsid w:val="001E4858"/>
    <w:rsid w:val="001E4A63"/>
    <w:rsid w:val="001E512F"/>
    <w:rsid w:val="001E51C9"/>
    <w:rsid w:val="001E52AC"/>
    <w:rsid w:val="001E53A7"/>
    <w:rsid w:val="001E607A"/>
    <w:rsid w:val="001E61DC"/>
    <w:rsid w:val="001E6772"/>
    <w:rsid w:val="001E6ECF"/>
    <w:rsid w:val="001E7093"/>
    <w:rsid w:val="001E70AA"/>
    <w:rsid w:val="001E744B"/>
    <w:rsid w:val="001E79B8"/>
    <w:rsid w:val="001E7A72"/>
    <w:rsid w:val="001E7BC8"/>
    <w:rsid w:val="001E7C14"/>
    <w:rsid w:val="001E7EBB"/>
    <w:rsid w:val="001F0627"/>
    <w:rsid w:val="001F0817"/>
    <w:rsid w:val="001F0B51"/>
    <w:rsid w:val="001F11DC"/>
    <w:rsid w:val="001F1992"/>
    <w:rsid w:val="001F19F6"/>
    <w:rsid w:val="001F24A7"/>
    <w:rsid w:val="001F28C1"/>
    <w:rsid w:val="001F2AA6"/>
    <w:rsid w:val="001F2AB8"/>
    <w:rsid w:val="001F2D46"/>
    <w:rsid w:val="001F2FF8"/>
    <w:rsid w:val="001F321B"/>
    <w:rsid w:val="001F3BA2"/>
    <w:rsid w:val="001F3D8F"/>
    <w:rsid w:val="001F3EEC"/>
    <w:rsid w:val="001F4521"/>
    <w:rsid w:val="001F4AAA"/>
    <w:rsid w:val="001F4B29"/>
    <w:rsid w:val="001F4D35"/>
    <w:rsid w:val="001F4E17"/>
    <w:rsid w:val="001F5412"/>
    <w:rsid w:val="001F5CD8"/>
    <w:rsid w:val="001F65C5"/>
    <w:rsid w:val="001F6CF1"/>
    <w:rsid w:val="001F72EE"/>
    <w:rsid w:val="001F743C"/>
    <w:rsid w:val="001F7C07"/>
    <w:rsid w:val="00200056"/>
    <w:rsid w:val="002000D9"/>
    <w:rsid w:val="002001B3"/>
    <w:rsid w:val="002004F8"/>
    <w:rsid w:val="002005E3"/>
    <w:rsid w:val="00200648"/>
    <w:rsid w:val="002007A4"/>
    <w:rsid w:val="00200CB9"/>
    <w:rsid w:val="00200E09"/>
    <w:rsid w:val="00201348"/>
    <w:rsid w:val="00201868"/>
    <w:rsid w:val="00201DEA"/>
    <w:rsid w:val="00201F23"/>
    <w:rsid w:val="00201F72"/>
    <w:rsid w:val="00201FBC"/>
    <w:rsid w:val="00202405"/>
    <w:rsid w:val="0020267B"/>
    <w:rsid w:val="00202CE6"/>
    <w:rsid w:val="00202ED6"/>
    <w:rsid w:val="00203081"/>
    <w:rsid w:val="00203660"/>
    <w:rsid w:val="00203AC1"/>
    <w:rsid w:val="00203EBA"/>
    <w:rsid w:val="00204311"/>
    <w:rsid w:val="00204C41"/>
    <w:rsid w:val="00204E30"/>
    <w:rsid w:val="00205F59"/>
    <w:rsid w:val="00206834"/>
    <w:rsid w:val="00206B26"/>
    <w:rsid w:val="00206C71"/>
    <w:rsid w:val="00206D91"/>
    <w:rsid w:val="00207043"/>
    <w:rsid w:val="00207157"/>
    <w:rsid w:val="0020762E"/>
    <w:rsid w:val="002077A5"/>
    <w:rsid w:val="00207932"/>
    <w:rsid w:val="00207F4A"/>
    <w:rsid w:val="00210347"/>
    <w:rsid w:val="002103B9"/>
    <w:rsid w:val="0021078E"/>
    <w:rsid w:val="002107F6"/>
    <w:rsid w:val="00210CE3"/>
    <w:rsid w:val="002112B1"/>
    <w:rsid w:val="0021135B"/>
    <w:rsid w:val="00211872"/>
    <w:rsid w:val="002122CA"/>
    <w:rsid w:val="002128D4"/>
    <w:rsid w:val="00213300"/>
    <w:rsid w:val="00213402"/>
    <w:rsid w:val="0021342D"/>
    <w:rsid w:val="00213A83"/>
    <w:rsid w:val="00213C8E"/>
    <w:rsid w:val="00213F53"/>
    <w:rsid w:val="00213FE6"/>
    <w:rsid w:val="002145A1"/>
    <w:rsid w:val="002147E0"/>
    <w:rsid w:val="00215754"/>
    <w:rsid w:val="002159DB"/>
    <w:rsid w:val="00215B39"/>
    <w:rsid w:val="002165F9"/>
    <w:rsid w:val="002166B7"/>
    <w:rsid w:val="00216A81"/>
    <w:rsid w:val="00216B36"/>
    <w:rsid w:val="00216EFC"/>
    <w:rsid w:val="00216FA8"/>
    <w:rsid w:val="00217137"/>
    <w:rsid w:val="0021756F"/>
    <w:rsid w:val="00217700"/>
    <w:rsid w:val="002179E8"/>
    <w:rsid w:val="00217F9D"/>
    <w:rsid w:val="0022015E"/>
    <w:rsid w:val="0022027D"/>
    <w:rsid w:val="00220358"/>
    <w:rsid w:val="002208A9"/>
    <w:rsid w:val="00220D0D"/>
    <w:rsid w:val="0022134B"/>
    <w:rsid w:val="002214C0"/>
    <w:rsid w:val="002219C5"/>
    <w:rsid w:val="00221D56"/>
    <w:rsid w:val="00221DB4"/>
    <w:rsid w:val="00221ECC"/>
    <w:rsid w:val="00222155"/>
    <w:rsid w:val="002221D8"/>
    <w:rsid w:val="0022260F"/>
    <w:rsid w:val="002230A4"/>
    <w:rsid w:val="002235EF"/>
    <w:rsid w:val="00223DC9"/>
    <w:rsid w:val="00224117"/>
    <w:rsid w:val="00225357"/>
    <w:rsid w:val="002255B3"/>
    <w:rsid w:val="0022581D"/>
    <w:rsid w:val="002259B0"/>
    <w:rsid w:val="00225D51"/>
    <w:rsid w:val="00226006"/>
    <w:rsid w:val="00226082"/>
    <w:rsid w:val="002261D2"/>
    <w:rsid w:val="00226330"/>
    <w:rsid w:val="00226593"/>
    <w:rsid w:val="00226605"/>
    <w:rsid w:val="0022687C"/>
    <w:rsid w:val="0022706B"/>
    <w:rsid w:val="00227258"/>
    <w:rsid w:val="00227588"/>
    <w:rsid w:val="002276CB"/>
    <w:rsid w:val="002278A3"/>
    <w:rsid w:val="00227A35"/>
    <w:rsid w:val="00230E20"/>
    <w:rsid w:val="00230FF8"/>
    <w:rsid w:val="00231073"/>
    <w:rsid w:val="00231539"/>
    <w:rsid w:val="00231696"/>
    <w:rsid w:val="002316B2"/>
    <w:rsid w:val="0023226D"/>
    <w:rsid w:val="00232B0B"/>
    <w:rsid w:val="00233DC5"/>
    <w:rsid w:val="00233FFB"/>
    <w:rsid w:val="00234078"/>
    <w:rsid w:val="002344BE"/>
    <w:rsid w:val="00234514"/>
    <w:rsid w:val="00234D6A"/>
    <w:rsid w:val="00235158"/>
    <w:rsid w:val="0023677A"/>
    <w:rsid w:val="00237123"/>
    <w:rsid w:val="0023727D"/>
    <w:rsid w:val="00237364"/>
    <w:rsid w:val="00237DDF"/>
    <w:rsid w:val="00237EB0"/>
    <w:rsid w:val="0024111E"/>
    <w:rsid w:val="00241974"/>
    <w:rsid w:val="002420C8"/>
    <w:rsid w:val="00242273"/>
    <w:rsid w:val="00242464"/>
    <w:rsid w:val="002425F3"/>
    <w:rsid w:val="00242607"/>
    <w:rsid w:val="0024292C"/>
    <w:rsid w:val="002431EA"/>
    <w:rsid w:val="00243768"/>
    <w:rsid w:val="00243B34"/>
    <w:rsid w:val="002448A5"/>
    <w:rsid w:val="00245125"/>
    <w:rsid w:val="00245753"/>
    <w:rsid w:val="00245D43"/>
    <w:rsid w:val="00246188"/>
    <w:rsid w:val="00246196"/>
    <w:rsid w:val="002461C5"/>
    <w:rsid w:val="002464BB"/>
    <w:rsid w:val="00246704"/>
    <w:rsid w:val="00246983"/>
    <w:rsid w:val="00246BB6"/>
    <w:rsid w:val="0024766C"/>
    <w:rsid w:val="002479B8"/>
    <w:rsid w:val="002479BF"/>
    <w:rsid w:val="00247B9E"/>
    <w:rsid w:val="00247D80"/>
    <w:rsid w:val="00247ED6"/>
    <w:rsid w:val="00251139"/>
    <w:rsid w:val="002514AD"/>
    <w:rsid w:val="00251668"/>
    <w:rsid w:val="00251C6E"/>
    <w:rsid w:val="002520B3"/>
    <w:rsid w:val="002528D7"/>
    <w:rsid w:val="00252DE3"/>
    <w:rsid w:val="00253133"/>
    <w:rsid w:val="0025408A"/>
    <w:rsid w:val="00254150"/>
    <w:rsid w:val="00254712"/>
    <w:rsid w:val="00254B09"/>
    <w:rsid w:val="00254CBA"/>
    <w:rsid w:val="00254F1C"/>
    <w:rsid w:val="0025531B"/>
    <w:rsid w:val="00255E9A"/>
    <w:rsid w:val="002562AB"/>
    <w:rsid w:val="002565D5"/>
    <w:rsid w:val="00256654"/>
    <w:rsid w:val="00256D0D"/>
    <w:rsid w:val="00256F6E"/>
    <w:rsid w:val="00257655"/>
    <w:rsid w:val="00257ABE"/>
    <w:rsid w:val="00257BCE"/>
    <w:rsid w:val="00257E12"/>
    <w:rsid w:val="00257ED7"/>
    <w:rsid w:val="002606C7"/>
    <w:rsid w:val="002606F5"/>
    <w:rsid w:val="00260BB3"/>
    <w:rsid w:val="002611A6"/>
    <w:rsid w:val="00261288"/>
    <w:rsid w:val="002619C3"/>
    <w:rsid w:val="002620E2"/>
    <w:rsid w:val="00262169"/>
    <w:rsid w:val="00262425"/>
    <w:rsid w:val="002624EC"/>
    <w:rsid w:val="0026292E"/>
    <w:rsid w:val="00262FF8"/>
    <w:rsid w:val="00263928"/>
    <w:rsid w:val="002645D9"/>
    <w:rsid w:val="002647A0"/>
    <w:rsid w:val="00264BF4"/>
    <w:rsid w:val="0026520C"/>
    <w:rsid w:val="0026557C"/>
    <w:rsid w:val="002655F0"/>
    <w:rsid w:val="002659D0"/>
    <w:rsid w:val="00265BAB"/>
    <w:rsid w:val="00265CED"/>
    <w:rsid w:val="00265E16"/>
    <w:rsid w:val="00265F9B"/>
    <w:rsid w:val="0026641C"/>
    <w:rsid w:val="0026693E"/>
    <w:rsid w:val="00266B75"/>
    <w:rsid w:val="002670FA"/>
    <w:rsid w:val="00267363"/>
    <w:rsid w:val="002678B8"/>
    <w:rsid w:val="00267FB9"/>
    <w:rsid w:val="00271549"/>
    <w:rsid w:val="0027207A"/>
    <w:rsid w:val="00272290"/>
    <w:rsid w:val="00272EF5"/>
    <w:rsid w:val="00272FC3"/>
    <w:rsid w:val="00273C94"/>
    <w:rsid w:val="002742AA"/>
    <w:rsid w:val="00274D75"/>
    <w:rsid w:val="00275036"/>
    <w:rsid w:val="002756F8"/>
    <w:rsid w:val="00276122"/>
    <w:rsid w:val="00276BBA"/>
    <w:rsid w:val="00276EA4"/>
    <w:rsid w:val="002778DE"/>
    <w:rsid w:val="002779CC"/>
    <w:rsid w:val="00280A02"/>
    <w:rsid w:val="00281277"/>
    <w:rsid w:val="00281431"/>
    <w:rsid w:val="00281826"/>
    <w:rsid w:val="00281999"/>
    <w:rsid w:val="00281EB0"/>
    <w:rsid w:val="00282029"/>
    <w:rsid w:val="00282BD7"/>
    <w:rsid w:val="00282C56"/>
    <w:rsid w:val="00282C62"/>
    <w:rsid w:val="002830FF"/>
    <w:rsid w:val="00283E13"/>
    <w:rsid w:val="00283F84"/>
    <w:rsid w:val="002840DD"/>
    <w:rsid w:val="002843E3"/>
    <w:rsid w:val="0028460B"/>
    <w:rsid w:val="0028470F"/>
    <w:rsid w:val="002847CB"/>
    <w:rsid w:val="00284996"/>
    <w:rsid w:val="0028499F"/>
    <w:rsid w:val="00285429"/>
    <w:rsid w:val="00286390"/>
    <w:rsid w:val="002864F1"/>
    <w:rsid w:val="00286876"/>
    <w:rsid w:val="00286AF0"/>
    <w:rsid w:val="0028728D"/>
    <w:rsid w:val="00287402"/>
    <w:rsid w:val="002902A0"/>
    <w:rsid w:val="002905E1"/>
    <w:rsid w:val="00290B1B"/>
    <w:rsid w:val="00290EAB"/>
    <w:rsid w:val="00290ED7"/>
    <w:rsid w:val="00291042"/>
    <w:rsid w:val="002911BC"/>
    <w:rsid w:val="002917FD"/>
    <w:rsid w:val="00291F2C"/>
    <w:rsid w:val="00292077"/>
    <w:rsid w:val="002920E8"/>
    <w:rsid w:val="00292227"/>
    <w:rsid w:val="0029274A"/>
    <w:rsid w:val="00292802"/>
    <w:rsid w:val="00292830"/>
    <w:rsid w:val="00292896"/>
    <w:rsid w:val="002929F9"/>
    <w:rsid w:val="00292AC7"/>
    <w:rsid w:val="00292CF1"/>
    <w:rsid w:val="002936E7"/>
    <w:rsid w:val="00293769"/>
    <w:rsid w:val="0029382F"/>
    <w:rsid w:val="00293C61"/>
    <w:rsid w:val="00294289"/>
    <w:rsid w:val="00294798"/>
    <w:rsid w:val="00296581"/>
    <w:rsid w:val="0029690D"/>
    <w:rsid w:val="00297487"/>
    <w:rsid w:val="00297C90"/>
    <w:rsid w:val="002A0244"/>
    <w:rsid w:val="002A0A8B"/>
    <w:rsid w:val="002A17CE"/>
    <w:rsid w:val="002A209C"/>
    <w:rsid w:val="002A2609"/>
    <w:rsid w:val="002A28EA"/>
    <w:rsid w:val="002A3A3D"/>
    <w:rsid w:val="002A3A57"/>
    <w:rsid w:val="002A3EDA"/>
    <w:rsid w:val="002A3FFB"/>
    <w:rsid w:val="002A4075"/>
    <w:rsid w:val="002A445E"/>
    <w:rsid w:val="002A4886"/>
    <w:rsid w:val="002A4D1F"/>
    <w:rsid w:val="002A4F6A"/>
    <w:rsid w:val="002A504D"/>
    <w:rsid w:val="002A51B1"/>
    <w:rsid w:val="002A5329"/>
    <w:rsid w:val="002A5DFD"/>
    <w:rsid w:val="002A6746"/>
    <w:rsid w:val="002A693C"/>
    <w:rsid w:val="002A6B99"/>
    <w:rsid w:val="002A7072"/>
    <w:rsid w:val="002A766B"/>
    <w:rsid w:val="002A7CF1"/>
    <w:rsid w:val="002A7FAE"/>
    <w:rsid w:val="002B005F"/>
    <w:rsid w:val="002B03FD"/>
    <w:rsid w:val="002B0B4A"/>
    <w:rsid w:val="002B0D77"/>
    <w:rsid w:val="002B0E16"/>
    <w:rsid w:val="002B0F12"/>
    <w:rsid w:val="002B1326"/>
    <w:rsid w:val="002B1566"/>
    <w:rsid w:val="002B17BA"/>
    <w:rsid w:val="002B1933"/>
    <w:rsid w:val="002B19C5"/>
    <w:rsid w:val="002B1A16"/>
    <w:rsid w:val="002B1E1B"/>
    <w:rsid w:val="002B1EBA"/>
    <w:rsid w:val="002B1FE2"/>
    <w:rsid w:val="002B2211"/>
    <w:rsid w:val="002B224A"/>
    <w:rsid w:val="002B2EA4"/>
    <w:rsid w:val="002B30CA"/>
    <w:rsid w:val="002B346E"/>
    <w:rsid w:val="002B3666"/>
    <w:rsid w:val="002B463E"/>
    <w:rsid w:val="002B555E"/>
    <w:rsid w:val="002B5A4F"/>
    <w:rsid w:val="002B63A3"/>
    <w:rsid w:val="002B6A33"/>
    <w:rsid w:val="002B7E24"/>
    <w:rsid w:val="002B7FAE"/>
    <w:rsid w:val="002C10D5"/>
    <w:rsid w:val="002C12E1"/>
    <w:rsid w:val="002C2546"/>
    <w:rsid w:val="002C2BE4"/>
    <w:rsid w:val="002C2FF5"/>
    <w:rsid w:val="002C3076"/>
    <w:rsid w:val="002C30A4"/>
    <w:rsid w:val="002C32CD"/>
    <w:rsid w:val="002C3C62"/>
    <w:rsid w:val="002C3C73"/>
    <w:rsid w:val="002C410A"/>
    <w:rsid w:val="002C435E"/>
    <w:rsid w:val="002C46EC"/>
    <w:rsid w:val="002C4AEC"/>
    <w:rsid w:val="002C4CEB"/>
    <w:rsid w:val="002C4CEE"/>
    <w:rsid w:val="002C4E70"/>
    <w:rsid w:val="002C527F"/>
    <w:rsid w:val="002C5387"/>
    <w:rsid w:val="002C54A9"/>
    <w:rsid w:val="002C54E4"/>
    <w:rsid w:val="002C5DCC"/>
    <w:rsid w:val="002C5E92"/>
    <w:rsid w:val="002C5EE6"/>
    <w:rsid w:val="002C61DD"/>
    <w:rsid w:val="002C62E4"/>
    <w:rsid w:val="002C6318"/>
    <w:rsid w:val="002C6710"/>
    <w:rsid w:val="002C734A"/>
    <w:rsid w:val="002C74DB"/>
    <w:rsid w:val="002C771B"/>
    <w:rsid w:val="002C7D1C"/>
    <w:rsid w:val="002C7EE3"/>
    <w:rsid w:val="002D0386"/>
    <w:rsid w:val="002D03AA"/>
    <w:rsid w:val="002D058A"/>
    <w:rsid w:val="002D0678"/>
    <w:rsid w:val="002D083D"/>
    <w:rsid w:val="002D101A"/>
    <w:rsid w:val="002D13CA"/>
    <w:rsid w:val="002D1E67"/>
    <w:rsid w:val="002D2C99"/>
    <w:rsid w:val="002D2ED7"/>
    <w:rsid w:val="002D3568"/>
    <w:rsid w:val="002D38B6"/>
    <w:rsid w:val="002D433D"/>
    <w:rsid w:val="002D44D4"/>
    <w:rsid w:val="002D478B"/>
    <w:rsid w:val="002D47CA"/>
    <w:rsid w:val="002D48E7"/>
    <w:rsid w:val="002D4979"/>
    <w:rsid w:val="002D5DC0"/>
    <w:rsid w:val="002D5EA9"/>
    <w:rsid w:val="002D6432"/>
    <w:rsid w:val="002D651B"/>
    <w:rsid w:val="002D6A0A"/>
    <w:rsid w:val="002D6C5B"/>
    <w:rsid w:val="002D70E4"/>
    <w:rsid w:val="002E0135"/>
    <w:rsid w:val="002E07A2"/>
    <w:rsid w:val="002E096D"/>
    <w:rsid w:val="002E0ECD"/>
    <w:rsid w:val="002E1979"/>
    <w:rsid w:val="002E1E6A"/>
    <w:rsid w:val="002E1E83"/>
    <w:rsid w:val="002E28CF"/>
    <w:rsid w:val="002E33FE"/>
    <w:rsid w:val="002E3493"/>
    <w:rsid w:val="002E3937"/>
    <w:rsid w:val="002E3C89"/>
    <w:rsid w:val="002E3EA0"/>
    <w:rsid w:val="002E3F50"/>
    <w:rsid w:val="002E41A0"/>
    <w:rsid w:val="002E4283"/>
    <w:rsid w:val="002E42BA"/>
    <w:rsid w:val="002E4468"/>
    <w:rsid w:val="002E4517"/>
    <w:rsid w:val="002E4632"/>
    <w:rsid w:val="002E4681"/>
    <w:rsid w:val="002E51B2"/>
    <w:rsid w:val="002E544E"/>
    <w:rsid w:val="002E5B73"/>
    <w:rsid w:val="002E697D"/>
    <w:rsid w:val="002E6C5C"/>
    <w:rsid w:val="002E6FB8"/>
    <w:rsid w:val="002E7051"/>
    <w:rsid w:val="002E7DDA"/>
    <w:rsid w:val="002E7FB5"/>
    <w:rsid w:val="002F14BC"/>
    <w:rsid w:val="002F1722"/>
    <w:rsid w:val="002F198C"/>
    <w:rsid w:val="002F199B"/>
    <w:rsid w:val="002F1DEF"/>
    <w:rsid w:val="002F2053"/>
    <w:rsid w:val="002F21F7"/>
    <w:rsid w:val="002F28FF"/>
    <w:rsid w:val="002F2980"/>
    <w:rsid w:val="002F2C37"/>
    <w:rsid w:val="002F314A"/>
    <w:rsid w:val="002F3158"/>
    <w:rsid w:val="002F333E"/>
    <w:rsid w:val="002F3594"/>
    <w:rsid w:val="002F3606"/>
    <w:rsid w:val="002F36B8"/>
    <w:rsid w:val="002F384F"/>
    <w:rsid w:val="002F3E89"/>
    <w:rsid w:val="002F446D"/>
    <w:rsid w:val="002F4B7A"/>
    <w:rsid w:val="002F4CC8"/>
    <w:rsid w:val="002F507B"/>
    <w:rsid w:val="002F5432"/>
    <w:rsid w:val="002F5D73"/>
    <w:rsid w:val="002F6336"/>
    <w:rsid w:val="002F7980"/>
    <w:rsid w:val="00300383"/>
    <w:rsid w:val="00300B3A"/>
    <w:rsid w:val="00300D4B"/>
    <w:rsid w:val="00300E5A"/>
    <w:rsid w:val="00301443"/>
    <w:rsid w:val="003015D7"/>
    <w:rsid w:val="00301716"/>
    <w:rsid w:val="00301878"/>
    <w:rsid w:val="00301E90"/>
    <w:rsid w:val="00302D0C"/>
    <w:rsid w:val="00302D0E"/>
    <w:rsid w:val="00302EBC"/>
    <w:rsid w:val="00303169"/>
    <w:rsid w:val="00303922"/>
    <w:rsid w:val="003041BC"/>
    <w:rsid w:val="00305148"/>
    <w:rsid w:val="0030545B"/>
    <w:rsid w:val="00305BB2"/>
    <w:rsid w:val="00306375"/>
    <w:rsid w:val="003063A6"/>
    <w:rsid w:val="00306617"/>
    <w:rsid w:val="003067AF"/>
    <w:rsid w:val="00306E99"/>
    <w:rsid w:val="00306EF2"/>
    <w:rsid w:val="00307D30"/>
    <w:rsid w:val="0031090F"/>
    <w:rsid w:val="00310DA0"/>
    <w:rsid w:val="003111B3"/>
    <w:rsid w:val="00311A69"/>
    <w:rsid w:val="00311C40"/>
    <w:rsid w:val="00312648"/>
    <w:rsid w:val="00312953"/>
    <w:rsid w:val="00313C48"/>
    <w:rsid w:val="003149E0"/>
    <w:rsid w:val="00314D85"/>
    <w:rsid w:val="0031508A"/>
    <w:rsid w:val="00316498"/>
    <w:rsid w:val="00316801"/>
    <w:rsid w:val="00316B7D"/>
    <w:rsid w:val="003173B8"/>
    <w:rsid w:val="00317BE2"/>
    <w:rsid w:val="00317C5F"/>
    <w:rsid w:val="00317E60"/>
    <w:rsid w:val="00317FC3"/>
    <w:rsid w:val="003202E6"/>
    <w:rsid w:val="00320628"/>
    <w:rsid w:val="0032117D"/>
    <w:rsid w:val="003217BB"/>
    <w:rsid w:val="00321DD0"/>
    <w:rsid w:val="00321EE1"/>
    <w:rsid w:val="00322457"/>
    <w:rsid w:val="00322473"/>
    <w:rsid w:val="00322B5A"/>
    <w:rsid w:val="00322F58"/>
    <w:rsid w:val="00323193"/>
    <w:rsid w:val="003234F5"/>
    <w:rsid w:val="003236AB"/>
    <w:rsid w:val="00323912"/>
    <w:rsid w:val="00323979"/>
    <w:rsid w:val="00323A11"/>
    <w:rsid w:val="00323A3E"/>
    <w:rsid w:val="003241E1"/>
    <w:rsid w:val="00325362"/>
    <w:rsid w:val="00326B88"/>
    <w:rsid w:val="00326F57"/>
    <w:rsid w:val="0032710C"/>
    <w:rsid w:val="00330645"/>
    <w:rsid w:val="00330901"/>
    <w:rsid w:val="003313E9"/>
    <w:rsid w:val="0033140E"/>
    <w:rsid w:val="0033173F"/>
    <w:rsid w:val="00331BC5"/>
    <w:rsid w:val="00331F6E"/>
    <w:rsid w:val="00332120"/>
    <w:rsid w:val="003322CA"/>
    <w:rsid w:val="00332689"/>
    <w:rsid w:val="00332DB9"/>
    <w:rsid w:val="00332F86"/>
    <w:rsid w:val="00333C04"/>
    <w:rsid w:val="003345D2"/>
    <w:rsid w:val="00334CF8"/>
    <w:rsid w:val="00334D20"/>
    <w:rsid w:val="00334EFE"/>
    <w:rsid w:val="00335159"/>
    <w:rsid w:val="00335719"/>
    <w:rsid w:val="00335C4A"/>
    <w:rsid w:val="0033652C"/>
    <w:rsid w:val="0033666B"/>
    <w:rsid w:val="00336A4D"/>
    <w:rsid w:val="00337023"/>
    <w:rsid w:val="00337865"/>
    <w:rsid w:val="00340306"/>
    <w:rsid w:val="00340471"/>
    <w:rsid w:val="003408CF"/>
    <w:rsid w:val="00340CB9"/>
    <w:rsid w:val="00340F36"/>
    <w:rsid w:val="0034104C"/>
    <w:rsid w:val="00341185"/>
    <w:rsid w:val="00341B57"/>
    <w:rsid w:val="003420DA"/>
    <w:rsid w:val="0034243E"/>
    <w:rsid w:val="003425E3"/>
    <w:rsid w:val="003427CF"/>
    <w:rsid w:val="00343290"/>
    <w:rsid w:val="00343314"/>
    <w:rsid w:val="0034338E"/>
    <w:rsid w:val="003435E7"/>
    <w:rsid w:val="00343B2B"/>
    <w:rsid w:val="00343B6F"/>
    <w:rsid w:val="00343C12"/>
    <w:rsid w:val="00344540"/>
    <w:rsid w:val="00344F44"/>
    <w:rsid w:val="00344FB7"/>
    <w:rsid w:val="00345889"/>
    <w:rsid w:val="00345C9E"/>
    <w:rsid w:val="00345CA4"/>
    <w:rsid w:val="00346179"/>
    <w:rsid w:val="00346F95"/>
    <w:rsid w:val="0034727F"/>
    <w:rsid w:val="0035033F"/>
    <w:rsid w:val="003505A5"/>
    <w:rsid w:val="00350908"/>
    <w:rsid w:val="0035094D"/>
    <w:rsid w:val="003509B7"/>
    <w:rsid w:val="00350C59"/>
    <w:rsid w:val="00350C69"/>
    <w:rsid w:val="00350D3A"/>
    <w:rsid w:val="00351C08"/>
    <w:rsid w:val="00351CA4"/>
    <w:rsid w:val="00351CBD"/>
    <w:rsid w:val="00352123"/>
    <w:rsid w:val="0035239C"/>
    <w:rsid w:val="003529C1"/>
    <w:rsid w:val="00352BDD"/>
    <w:rsid w:val="00352DC3"/>
    <w:rsid w:val="0035397B"/>
    <w:rsid w:val="0035491A"/>
    <w:rsid w:val="00354AEC"/>
    <w:rsid w:val="00354BA6"/>
    <w:rsid w:val="00354D5B"/>
    <w:rsid w:val="003555BF"/>
    <w:rsid w:val="003555F1"/>
    <w:rsid w:val="00355B18"/>
    <w:rsid w:val="003561C9"/>
    <w:rsid w:val="00356214"/>
    <w:rsid w:val="00356237"/>
    <w:rsid w:val="003562E3"/>
    <w:rsid w:val="003564FF"/>
    <w:rsid w:val="0035650B"/>
    <w:rsid w:val="00356611"/>
    <w:rsid w:val="00356EC5"/>
    <w:rsid w:val="00357088"/>
    <w:rsid w:val="0035792C"/>
    <w:rsid w:val="0035798D"/>
    <w:rsid w:val="003605CD"/>
    <w:rsid w:val="003606CE"/>
    <w:rsid w:val="00361C14"/>
    <w:rsid w:val="00361DFA"/>
    <w:rsid w:val="00362316"/>
    <w:rsid w:val="003623D3"/>
    <w:rsid w:val="003626C1"/>
    <w:rsid w:val="003634AA"/>
    <w:rsid w:val="0036357E"/>
    <w:rsid w:val="003638B2"/>
    <w:rsid w:val="00363E3A"/>
    <w:rsid w:val="00363E4C"/>
    <w:rsid w:val="003642AD"/>
    <w:rsid w:val="003646A9"/>
    <w:rsid w:val="003648AF"/>
    <w:rsid w:val="00364CCB"/>
    <w:rsid w:val="00365BAE"/>
    <w:rsid w:val="00365C51"/>
    <w:rsid w:val="00366049"/>
    <w:rsid w:val="003660A4"/>
    <w:rsid w:val="003660C1"/>
    <w:rsid w:val="003662FB"/>
    <w:rsid w:val="003663CC"/>
    <w:rsid w:val="00366703"/>
    <w:rsid w:val="003668B7"/>
    <w:rsid w:val="00366923"/>
    <w:rsid w:val="00366E98"/>
    <w:rsid w:val="00367AC5"/>
    <w:rsid w:val="00370941"/>
    <w:rsid w:val="00370B4B"/>
    <w:rsid w:val="00370D42"/>
    <w:rsid w:val="00370EBD"/>
    <w:rsid w:val="00370EFE"/>
    <w:rsid w:val="003714CE"/>
    <w:rsid w:val="0037186C"/>
    <w:rsid w:val="00371C18"/>
    <w:rsid w:val="00372C15"/>
    <w:rsid w:val="00372CB0"/>
    <w:rsid w:val="00373C04"/>
    <w:rsid w:val="00373EED"/>
    <w:rsid w:val="003746C6"/>
    <w:rsid w:val="0037481F"/>
    <w:rsid w:val="003752D1"/>
    <w:rsid w:val="00375842"/>
    <w:rsid w:val="003758BC"/>
    <w:rsid w:val="00375B50"/>
    <w:rsid w:val="00375FF5"/>
    <w:rsid w:val="00376D1C"/>
    <w:rsid w:val="00377356"/>
    <w:rsid w:val="00380750"/>
    <w:rsid w:val="00380974"/>
    <w:rsid w:val="00380B81"/>
    <w:rsid w:val="00380CE4"/>
    <w:rsid w:val="00380D41"/>
    <w:rsid w:val="00380EB6"/>
    <w:rsid w:val="00381518"/>
    <w:rsid w:val="00381918"/>
    <w:rsid w:val="00381A3E"/>
    <w:rsid w:val="00381C5E"/>
    <w:rsid w:val="00381D44"/>
    <w:rsid w:val="00381E13"/>
    <w:rsid w:val="00381F72"/>
    <w:rsid w:val="00382CF0"/>
    <w:rsid w:val="00383300"/>
    <w:rsid w:val="00383377"/>
    <w:rsid w:val="00383968"/>
    <w:rsid w:val="003842F0"/>
    <w:rsid w:val="00384867"/>
    <w:rsid w:val="003852C5"/>
    <w:rsid w:val="003853C0"/>
    <w:rsid w:val="00385AAA"/>
    <w:rsid w:val="00385BFD"/>
    <w:rsid w:val="00385DAC"/>
    <w:rsid w:val="003866FA"/>
    <w:rsid w:val="00386C44"/>
    <w:rsid w:val="003870C4"/>
    <w:rsid w:val="003870FD"/>
    <w:rsid w:val="00387529"/>
    <w:rsid w:val="00387576"/>
    <w:rsid w:val="003879BD"/>
    <w:rsid w:val="00387BA2"/>
    <w:rsid w:val="00387D17"/>
    <w:rsid w:val="00387FDE"/>
    <w:rsid w:val="0039013E"/>
    <w:rsid w:val="00390E25"/>
    <w:rsid w:val="00391160"/>
    <w:rsid w:val="003913BD"/>
    <w:rsid w:val="003915B9"/>
    <w:rsid w:val="00391BD7"/>
    <w:rsid w:val="00391CF5"/>
    <w:rsid w:val="00391D73"/>
    <w:rsid w:val="00392705"/>
    <w:rsid w:val="00392C98"/>
    <w:rsid w:val="00392F81"/>
    <w:rsid w:val="003939BE"/>
    <w:rsid w:val="00393A40"/>
    <w:rsid w:val="00394133"/>
    <w:rsid w:val="00394F50"/>
    <w:rsid w:val="00395271"/>
    <w:rsid w:val="00395492"/>
    <w:rsid w:val="00395541"/>
    <w:rsid w:val="003956FC"/>
    <w:rsid w:val="00395D43"/>
    <w:rsid w:val="00395DC8"/>
    <w:rsid w:val="00396B97"/>
    <w:rsid w:val="0039701E"/>
    <w:rsid w:val="00397469"/>
    <w:rsid w:val="00397A9C"/>
    <w:rsid w:val="00397C1F"/>
    <w:rsid w:val="003A0137"/>
    <w:rsid w:val="003A01FB"/>
    <w:rsid w:val="003A0272"/>
    <w:rsid w:val="003A0944"/>
    <w:rsid w:val="003A09F3"/>
    <w:rsid w:val="003A0BBB"/>
    <w:rsid w:val="003A10DA"/>
    <w:rsid w:val="003A10ED"/>
    <w:rsid w:val="003A10EF"/>
    <w:rsid w:val="003A1D9F"/>
    <w:rsid w:val="003A22EE"/>
    <w:rsid w:val="003A2392"/>
    <w:rsid w:val="003A2609"/>
    <w:rsid w:val="003A287B"/>
    <w:rsid w:val="003A359C"/>
    <w:rsid w:val="003A3641"/>
    <w:rsid w:val="003A3699"/>
    <w:rsid w:val="003A3970"/>
    <w:rsid w:val="003A3BF5"/>
    <w:rsid w:val="003A3F1F"/>
    <w:rsid w:val="003A40FF"/>
    <w:rsid w:val="003A425C"/>
    <w:rsid w:val="003A42B3"/>
    <w:rsid w:val="003A47C1"/>
    <w:rsid w:val="003A4BB7"/>
    <w:rsid w:val="003A4C51"/>
    <w:rsid w:val="003A4D88"/>
    <w:rsid w:val="003A4E20"/>
    <w:rsid w:val="003A4FF6"/>
    <w:rsid w:val="003A6E77"/>
    <w:rsid w:val="003A6FEF"/>
    <w:rsid w:val="003A7086"/>
    <w:rsid w:val="003A7241"/>
    <w:rsid w:val="003A739C"/>
    <w:rsid w:val="003A7950"/>
    <w:rsid w:val="003B0474"/>
    <w:rsid w:val="003B0565"/>
    <w:rsid w:val="003B05BD"/>
    <w:rsid w:val="003B07E6"/>
    <w:rsid w:val="003B0900"/>
    <w:rsid w:val="003B09B0"/>
    <w:rsid w:val="003B0B2E"/>
    <w:rsid w:val="003B1501"/>
    <w:rsid w:val="003B16E0"/>
    <w:rsid w:val="003B1819"/>
    <w:rsid w:val="003B1F5F"/>
    <w:rsid w:val="003B3657"/>
    <w:rsid w:val="003B3F1B"/>
    <w:rsid w:val="003B409D"/>
    <w:rsid w:val="003B4113"/>
    <w:rsid w:val="003B441E"/>
    <w:rsid w:val="003B4501"/>
    <w:rsid w:val="003B497A"/>
    <w:rsid w:val="003B4CD4"/>
    <w:rsid w:val="003B5032"/>
    <w:rsid w:val="003B5523"/>
    <w:rsid w:val="003B57EA"/>
    <w:rsid w:val="003B5B28"/>
    <w:rsid w:val="003B6474"/>
    <w:rsid w:val="003B65C0"/>
    <w:rsid w:val="003B6770"/>
    <w:rsid w:val="003B722F"/>
    <w:rsid w:val="003B743F"/>
    <w:rsid w:val="003B78FE"/>
    <w:rsid w:val="003B7F58"/>
    <w:rsid w:val="003B7FDE"/>
    <w:rsid w:val="003C064B"/>
    <w:rsid w:val="003C119F"/>
    <w:rsid w:val="003C1BB8"/>
    <w:rsid w:val="003C1E86"/>
    <w:rsid w:val="003C1EA9"/>
    <w:rsid w:val="003C1F6F"/>
    <w:rsid w:val="003C241B"/>
    <w:rsid w:val="003C2A0F"/>
    <w:rsid w:val="003C2B64"/>
    <w:rsid w:val="003C2D90"/>
    <w:rsid w:val="003C2DE3"/>
    <w:rsid w:val="003C38A8"/>
    <w:rsid w:val="003C3B8F"/>
    <w:rsid w:val="003C4585"/>
    <w:rsid w:val="003C4692"/>
    <w:rsid w:val="003C4AE8"/>
    <w:rsid w:val="003C4D48"/>
    <w:rsid w:val="003C4F35"/>
    <w:rsid w:val="003C5E9C"/>
    <w:rsid w:val="003C664D"/>
    <w:rsid w:val="003C6AB2"/>
    <w:rsid w:val="003C6E3B"/>
    <w:rsid w:val="003C6F77"/>
    <w:rsid w:val="003C716D"/>
    <w:rsid w:val="003C7556"/>
    <w:rsid w:val="003D000D"/>
    <w:rsid w:val="003D0199"/>
    <w:rsid w:val="003D0352"/>
    <w:rsid w:val="003D03A1"/>
    <w:rsid w:val="003D1051"/>
    <w:rsid w:val="003D10D2"/>
    <w:rsid w:val="003D118C"/>
    <w:rsid w:val="003D178B"/>
    <w:rsid w:val="003D2015"/>
    <w:rsid w:val="003D20C0"/>
    <w:rsid w:val="003D20CD"/>
    <w:rsid w:val="003D2AC7"/>
    <w:rsid w:val="003D2D87"/>
    <w:rsid w:val="003D2E86"/>
    <w:rsid w:val="003D350E"/>
    <w:rsid w:val="003D35CC"/>
    <w:rsid w:val="003D3BC2"/>
    <w:rsid w:val="003D3E07"/>
    <w:rsid w:val="003D408A"/>
    <w:rsid w:val="003D497A"/>
    <w:rsid w:val="003D4BA6"/>
    <w:rsid w:val="003D5AEB"/>
    <w:rsid w:val="003D5B92"/>
    <w:rsid w:val="003D6A1A"/>
    <w:rsid w:val="003D6B45"/>
    <w:rsid w:val="003D6B5F"/>
    <w:rsid w:val="003D70C7"/>
    <w:rsid w:val="003D70ED"/>
    <w:rsid w:val="003D790C"/>
    <w:rsid w:val="003D7C2B"/>
    <w:rsid w:val="003D7F61"/>
    <w:rsid w:val="003E067C"/>
    <w:rsid w:val="003E0BBB"/>
    <w:rsid w:val="003E11FF"/>
    <w:rsid w:val="003E158C"/>
    <w:rsid w:val="003E199E"/>
    <w:rsid w:val="003E1A71"/>
    <w:rsid w:val="003E1B35"/>
    <w:rsid w:val="003E1F18"/>
    <w:rsid w:val="003E220E"/>
    <w:rsid w:val="003E266C"/>
    <w:rsid w:val="003E27C2"/>
    <w:rsid w:val="003E2B29"/>
    <w:rsid w:val="003E2B49"/>
    <w:rsid w:val="003E2EF0"/>
    <w:rsid w:val="003E3623"/>
    <w:rsid w:val="003E38E4"/>
    <w:rsid w:val="003E3CD3"/>
    <w:rsid w:val="003E3DD8"/>
    <w:rsid w:val="003E41B2"/>
    <w:rsid w:val="003E433E"/>
    <w:rsid w:val="003E4726"/>
    <w:rsid w:val="003E4B30"/>
    <w:rsid w:val="003E4EB4"/>
    <w:rsid w:val="003E5DC1"/>
    <w:rsid w:val="003E5F3D"/>
    <w:rsid w:val="003E6188"/>
    <w:rsid w:val="003E63D8"/>
    <w:rsid w:val="003E66EE"/>
    <w:rsid w:val="003E6C81"/>
    <w:rsid w:val="003E7391"/>
    <w:rsid w:val="003E7550"/>
    <w:rsid w:val="003E7647"/>
    <w:rsid w:val="003F09B1"/>
    <w:rsid w:val="003F0B5A"/>
    <w:rsid w:val="003F0E2F"/>
    <w:rsid w:val="003F0E67"/>
    <w:rsid w:val="003F17BC"/>
    <w:rsid w:val="003F2080"/>
    <w:rsid w:val="003F2134"/>
    <w:rsid w:val="003F2298"/>
    <w:rsid w:val="003F2B04"/>
    <w:rsid w:val="003F2E3B"/>
    <w:rsid w:val="003F2F20"/>
    <w:rsid w:val="003F2F51"/>
    <w:rsid w:val="003F325C"/>
    <w:rsid w:val="003F376C"/>
    <w:rsid w:val="003F39B5"/>
    <w:rsid w:val="003F3F19"/>
    <w:rsid w:val="003F46CD"/>
    <w:rsid w:val="003F48D5"/>
    <w:rsid w:val="003F4AB7"/>
    <w:rsid w:val="003F4E1D"/>
    <w:rsid w:val="003F4F55"/>
    <w:rsid w:val="003F50B2"/>
    <w:rsid w:val="003F57CB"/>
    <w:rsid w:val="003F5886"/>
    <w:rsid w:val="003F5BDE"/>
    <w:rsid w:val="003F5C7C"/>
    <w:rsid w:val="003F6225"/>
    <w:rsid w:val="003F6568"/>
    <w:rsid w:val="003F69E5"/>
    <w:rsid w:val="003F6A07"/>
    <w:rsid w:val="003F6C7E"/>
    <w:rsid w:val="003F7235"/>
    <w:rsid w:val="003F7546"/>
    <w:rsid w:val="003F7608"/>
    <w:rsid w:val="003F7CC7"/>
    <w:rsid w:val="003F7EAB"/>
    <w:rsid w:val="004002C9"/>
    <w:rsid w:val="0040090F"/>
    <w:rsid w:val="00400BC0"/>
    <w:rsid w:val="00402971"/>
    <w:rsid w:val="00402D4B"/>
    <w:rsid w:val="00402DA2"/>
    <w:rsid w:val="00403424"/>
    <w:rsid w:val="00403C0B"/>
    <w:rsid w:val="0040413B"/>
    <w:rsid w:val="00404331"/>
    <w:rsid w:val="00405232"/>
    <w:rsid w:val="004056C4"/>
    <w:rsid w:val="004058B6"/>
    <w:rsid w:val="004062B3"/>
    <w:rsid w:val="004063D3"/>
    <w:rsid w:val="00406640"/>
    <w:rsid w:val="00406FD9"/>
    <w:rsid w:val="00406FF3"/>
    <w:rsid w:val="00407298"/>
    <w:rsid w:val="00407763"/>
    <w:rsid w:val="00407932"/>
    <w:rsid w:val="00407E0B"/>
    <w:rsid w:val="00410120"/>
    <w:rsid w:val="00410347"/>
    <w:rsid w:val="00410BA8"/>
    <w:rsid w:val="00410E1C"/>
    <w:rsid w:val="00410FD0"/>
    <w:rsid w:val="00411220"/>
    <w:rsid w:val="00411509"/>
    <w:rsid w:val="004118F7"/>
    <w:rsid w:val="0041190F"/>
    <w:rsid w:val="004126B2"/>
    <w:rsid w:val="004127CB"/>
    <w:rsid w:val="004129F4"/>
    <w:rsid w:val="00412FEC"/>
    <w:rsid w:val="004139D0"/>
    <w:rsid w:val="004139FF"/>
    <w:rsid w:val="00413A65"/>
    <w:rsid w:val="00413E2B"/>
    <w:rsid w:val="00414E4B"/>
    <w:rsid w:val="00415499"/>
    <w:rsid w:val="004154D0"/>
    <w:rsid w:val="0041582B"/>
    <w:rsid w:val="00415B90"/>
    <w:rsid w:val="00415C9A"/>
    <w:rsid w:val="00416473"/>
    <w:rsid w:val="00416533"/>
    <w:rsid w:val="0041684D"/>
    <w:rsid w:val="00417329"/>
    <w:rsid w:val="00417525"/>
    <w:rsid w:val="00420801"/>
    <w:rsid w:val="0042084F"/>
    <w:rsid w:val="00420A05"/>
    <w:rsid w:val="004213FE"/>
    <w:rsid w:val="004217B1"/>
    <w:rsid w:val="00421AD4"/>
    <w:rsid w:val="00421E26"/>
    <w:rsid w:val="00422987"/>
    <w:rsid w:val="00422E77"/>
    <w:rsid w:val="00423F99"/>
    <w:rsid w:val="004240FE"/>
    <w:rsid w:val="004242AA"/>
    <w:rsid w:val="004246ED"/>
    <w:rsid w:val="0042491B"/>
    <w:rsid w:val="00424DA3"/>
    <w:rsid w:val="00424E13"/>
    <w:rsid w:val="00424F33"/>
    <w:rsid w:val="004253B8"/>
    <w:rsid w:val="004254F5"/>
    <w:rsid w:val="004254F6"/>
    <w:rsid w:val="0042567B"/>
    <w:rsid w:val="00425D1C"/>
    <w:rsid w:val="00425E56"/>
    <w:rsid w:val="00426028"/>
    <w:rsid w:val="004262EF"/>
    <w:rsid w:val="00427575"/>
    <w:rsid w:val="00427DBB"/>
    <w:rsid w:val="0043002B"/>
    <w:rsid w:val="004300D5"/>
    <w:rsid w:val="004307CC"/>
    <w:rsid w:val="00430B69"/>
    <w:rsid w:val="00431FE9"/>
    <w:rsid w:val="004333C0"/>
    <w:rsid w:val="0043362B"/>
    <w:rsid w:val="004336B6"/>
    <w:rsid w:val="00433AA8"/>
    <w:rsid w:val="00433B9C"/>
    <w:rsid w:val="00433F56"/>
    <w:rsid w:val="00434461"/>
    <w:rsid w:val="00434BD3"/>
    <w:rsid w:val="004357C7"/>
    <w:rsid w:val="004358C3"/>
    <w:rsid w:val="00435AE6"/>
    <w:rsid w:val="00435D28"/>
    <w:rsid w:val="0043601A"/>
    <w:rsid w:val="00436664"/>
    <w:rsid w:val="00436996"/>
    <w:rsid w:val="00437AAC"/>
    <w:rsid w:val="00437C12"/>
    <w:rsid w:val="00437D7B"/>
    <w:rsid w:val="0044051E"/>
    <w:rsid w:val="00440E57"/>
    <w:rsid w:val="00440F81"/>
    <w:rsid w:val="00441224"/>
    <w:rsid w:val="004413AA"/>
    <w:rsid w:val="00441D7B"/>
    <w:rsid w:val="004421B9"/>
    <w:rsid w:val="0044250F"/>
    <w:rsid w:val="004427EB"/>
    <w:rsid w:val="00442C86"/>
    <w:rsid w:val="00442E59"/>
    <w:rsid w:val="0044360C"/>
    <w:rsid w:val="0044392F"/>
    <w:rsid w:val="00443E36"/>
    <w:rsid w:val="0044415D"/>
    <w:rsid w:val="004442B5"/>
    <w:rsid w:val="00444FFF"/>
    <w:rsid w:val="00445268"/>
    <w:rsid w:val="0044549C"/>
    <w:rsid w:val="00445603"/>
    <w:rsid w:val="00445C29"/>
    <w:rsid w:val="00445C8E"/>
    <w:rsid w:val="004462F3"/>
    <w:rsid w:val="00446880"/>
    <w:rsid w:val="00446F75"/>
    <w:rsid w:val="00447419"/>
    <w:rsid w:val="0044742E"/>
    <w:rsid w:val="004478AD"/>
    <w:rsid w:val="00447C87"/>
    <w:rsid w:val="004506E3"/>
    <w:rsid w:val="00450B2A"/>
    <w:rsid w:val="00450DD1"/>
    <w:rsid w:val="00450F26"/>
    <w:rsid w:val="00450FE2"/>
    <w:rsid w:val="00451043"/>
    <w:rsid w:val="00451365"/>
    <w:rsid w:val="004515DC"/>
    <w:rsid w:val="00451A2F"/>
    <w:rsid w:val="00452164"/>
    <w:rsid w:val="004529B3"/>
    <w:rsid w:val="004529F6"/>
    <w:rsid w:val="00452C00"/>
    <w:rsid w:val="00452F6B"/>
    <w:rsid w:val="00453131"/>
    <w:rsid w:val="0045375F"/>
    <w:rsid w:val="00453E63"/>
    <w:rsid w:val="0045410F"/>
    <w:rsid w:val="00454203"/>
    <w:rsid w:val="004545BF"/>
    <w:rsid w:val="00454767"/>
    <w:rsid w:val="00454CF9"/>
    <w:rsid w:val="004556BF"/>
    <w:rsid w:val="004556FD"/>
    <w:rsid w:val="004558A6"/>
    <w:rsid w:val="00455B6D"/>
    <w:rsid w:val="00455E62"/>
    <w:rsid w:val="0045615A"/>
    <w:rsid w:val="004561BC"/>
    <w:rsid w:val="004577B5"/>
    <w:rsid w:val="00457C1A"/>
    <w:rsid w:val="00457CDE"/>
    <w:rsid w:val="00457D03"/>
    <w:rsid w:val="0046030D"/>
    <w:rsid w:val="0046055C"/>
    <w:rsid w:val="004605E8"/>
    <w:rsid w:val="00460A54"/>
    <w:rsid w:val="00461675"/>
    <w:rsid w:val="00461F51"/>
    <w:rsid w:val="004622A1"/>
    <w:rsid w:val="0046288F"/>
    <w:rsid w:val="00462F0F"/>
    <w:rsid w:val="004631D3"/>
    <w:rsid w:val="0046387D"/>
    <w:rsid w:val="004641B7"/>
    <w:rsid w:val="00464DC0"/>
    <w:rsid w:val="00465232"/>
    <w:rsid w:val="004655E4"/>
    <w:rsid w:val="00465934"/>
    <w:rsid w:val="004659BC"/>
    <w:rsid w:val="00465EF7"/>
    <w:rsid w:val="004664A3"/>
    <w:rsid w:val="004667BF"/>
    <w:rsid w:val="00466D35"/>
    <w:rsid w:val="0046719D"/>
    <w:rsid w:val="0046789F"/>
    <w:rsid w:val="00467954"/>
    <w:rsid w:val="00467EB5"/>
    <w:rsid w:val="004701B6"/>
    <w:rsid w:val="004702BC"/>
    <w:rsid w:val="00470612"/>
    <w:rsid w:val="00470A1F"/>
    <w:rsid w:val="0047109D"/>
    <w:rsid w:val="0047115F"/>
    <w:rsid w:val="00471777"/>
    <w:rsid w:val="00472365"/>
    <w:rsid w:val="0047239E"/>
    <w:rsid w:val="004723FF"/>
    <w:rsid w:val="00472498"/>
    <w:rsid w:val="00472B31"/>
    <w:rsid w:val="00472D78"/>
    <w:rsid w:val="00473D9C"/>
    <w:rsid w:val="00474A81"/>
    <w:rsid w:val="00474AB6"/>
    <w:rsid w:val="00474C95"/>
    <w:rsid w:val="00474F17"/>
    <w:rsid w:val="00475293"/>
    <w:rsid w:val="00475AC1"/>
    <w:rsid w:val="00475D3E"/>
    <w:rsid w:val="00476B56"/>
    <w:rsid w:val="00476E8F"/>
    <w:rsid w:val="00477072"/>
    <w:rsid w:val="00477428"/>
    <w:rsid w:val="00477EB0"/>
    <w:rsid w:val="00480CA4"/>
    <w:rsid w:val="00480E9E"/>
    <w:rsid w:val="00481852"/>
    <w:rsid w:val="00481A77"/>
    <w:rsid w:val="00481CAA"/>
    <w:rsid w:val="00482208"/>
    <w:rsid w:val="0048248D"/>
    <w:rsid w:val="00482B94"/>
    <w:rsid w:val="00482EF0"/>
    <w:rsid w:val="00483005"/>
    <w:rsid w:val="004836A0"/>
    <w:rsid w:val="00483B7C"/>
    <w:rsid w:val="004846AE"/>
    <w:rsid w:val="0048487D"/>
    <w:rsid w:val="00485005"/>
    <w:rsid w:val="0048533F"/>
    <w:rsid w:val="00485351"/>
    <w:rsid w:val="004853EA"/>
    <w:rsid w:val="004859B8"/>
    <w:rsid w:val="00485BB5"/>
    <w:rsid w:val="00485ECE"/>
    <w:rsid w:val="00485FD0"/>
    <w:rsid w:val="00486146"/>
    <w:rsid w:val="00486148"/>
    <w:rsid w:val="00486595"/>
    <w:rsid w:val="00486FEF"/>
    <w:rsid w:val="00487276"/>
    <w:rsid w:val="0048729A"/>
    <w:rsid w:val="004872AA"/>
    <w:rsid w:val="004872CA"/>
    <w:rsid w:val="004872D9"/>
    <w:rsid w:val="004873B5"/>
    <w:rsid w:val="00487474"/>
    <w:rsid w:val="004879B6"/>
    <w:rsid w:val="00487B70"/>
    <w:rsid w:val="00487F1A"/>
    <w:rsid w:val="00490168"/>
    <w:rsid w:val="00490244"/>
    <w:rsid w:val="004902A8"/>
    <w:rsid w:val="004907C8"/>
    <w:rsid w:val="00490876"/>
    <w:rsid w:val="00490BFB"/>
    <w:rsid w:val="00490CFE"/>
    <w:rsid w:val="00490D5F"/>
    <w:rsid w:val="00490E23"/>
    <w:rsid w:val="00491368"/>
    <w:rsid w:val="00491649"/>
    <w:rsid w:val="00491736"/>
    <w:rsid w:val="00491A96"/>
    <w:rsid w:val="00492627"/>
    <w:rsid w:val="0049334C"/>
    <w:rsid w:val="00493401"/>
    <w:rsid w:val="00493E5E"/>
    <w:rsid w:val="0049416D"/>
    <w:rsid w:val="00494311"/>
    <w:rsid w:val="004943F3"/>
    <w:rsid w:val="00494654"/>
    <w:rsid w:val="00494703"/>
    <w:rsid w:val="0049492E"/>
    <w:rsid w:val="004950DA"/>
    <w:rsid w:val="00495263"/>
    <w:rsid w:val="00495D28"/>
    <w:rsid w:val="00495D77"/>
    <w:rsid w:val="00496339"/>
    <w:rsid w:val="00496C04"/>
    <w:rsid w:val="00496E5C"/>
    <w:rsid w:val="00497625"/>
    <w:rsid w:val="0049769F"/>
    <w:rsid w:val="0049778D"/>
    <w:rsid w:val="00497ACC"/>
    <w:rsid w:val="00497BD7"/>
    <w:rsid w:val="004A0F5C"/>
    <w:rsid w:val="004A126B"/>
    <w:rsid w:val="004A17DC"/>
    <w:rsid w:val="004A19C3"/>
    <w:rsid w:val="004A1F22"/>
    <w:rsid w:val="004A2051"/>
    <w:rsid w:val="004A290C"/>
    <w:rsid w:val="004A2C69"/>
    <w:rsid w:val="004A31E3"/>
    <w:rsid w:val="004A340E"/>
    <w:rsid w:val="004A3518"/>
    <w:rsid w:val="004A3725"/>
    <w:rsid w:val="004A4108"/>
    <w:rsid w:val="004A4168"/>
    <w:rsid w:val="004A4C00"/>
    <w:rsid w:val="004A4D9D"/>
    <w:rsid w:val="004A4DDC"/>
    <w:rsid w:val="004A51BD"/>
    <w:rsid w:val="004A5821"/>
    <w:rsid w:val="004A6134"/>
    <w:rsid w:val="004A63DA"/>
    <w:rsid w:val="004A65FD"/>
    <w:rsid w:val="004A664C"/>
    <w:rsid w:val="004A6874"/>
    <w:rsid w:val="004A687B"/>
    <w:rsid w:val="004A6E4A"/>
    <w:rsid w:val="004A6F39"/>
    <w:rsid w:val="004A76A4"/>
    <w:rsid w:val="004A76FF"/>
    <w:rsid w:val="004A7A98"/>
    <w:rsid w:val="004A7B38"/>
    <w:rsid w:val="004A7EEE"/>
    <w:rsid w:val="004B00B5"/>
    <w:rsid w:val="004B13C4"/>
    <w:rsid w:val="004B1AF4"/>
    <w:rsid w:val="004B2023"/>
    <w:rsid w:val="004B2080"/>
    <w:rsid w:val="004B2294"/>
    <w:rsid w:val="004B26E8"/>
    <w:rsid w:val="004B29A9"/>
    <w:rsid w:val="004B2B98"/>
    <w:rsid w:val="004B3086"/>
    <w:rsid w:val="004B3193"/>
    <w:rsid w:val="004B332A"/>
    <w:rsid w:val="004B3764"/>
    <w:rsid w:val="004B3DC1"/>
    <w:rsid w:val="004B4191"/>
    <w:rsid w:val="004B42F0"/>
    <w:rsid w:val="004B4DE3"/>
    <w:rsid w:val="004B52CF"/>
    <w:rsid w:val="004B5A91"/>
    <w:rsid w:val="004B5FF5"/>
    <w:rsid w:val="004B61FB"/>
    <w:rsid w:val="004B6657"/>
    <w:rsid w:val="004B6B0F"/>
    <w:rsid w:val="004B71A1"/>
    <w:rsid w:val="004B7414"/>
    <w:rsid w:val="004B7EB5"/>
    <w:rsid w:val="004C02ED"/>
    <w:rsid w:val="004C11D1"/>
    <w:rsid w:val="004C12B4"/>
    <w:rsid w:val="004C1A10"/>
    <w:rsid w:val="004C3212"/>
    <w:rsid w:val="004C35FB"/>
    <w:rsid w:val="004C38CD"/>
    <w:rsid w:val="004C392F"/>
    <w:rsid w:val="004C3CDB"/>
    <w:rsid w:val="004C4266"/>
    <w:rsid w:val="004C4662"/>
    <w:rsid w:val="004C4890"/>
    <w:rsid w:val="004C4D8B"/>
    <w:rsid w:val="004C51F6"/>
    <w:rsid w:val="004C5397"/>
    <w:rsid w:val="004C5D42"/>
    <w:rsid w:val="004C5E39"/>
    <w:rsid w:val="004C6552"/>
    <w:rsid w:val="004C667A"/>
    <w:rsid w:val="004C6E53"/>
    <w:rsid w:val="004C719C"/>
    <w:rsid w:val="004C7893"/>
    <w:rsid w:val="004D110F"/>
    <w:rsid w:val="004D11CA"/>
    <w:rsid w:val="004D1300"/>
    <w:rsid w:val="004D158C"/>
    <w:rsid w:val="004D1B07"/>
    <w:rsid w:val="004D29FF"/>
    <w:rsid w:val="004D2AE9"/>
    <w:rsid w:val="004D2DA8"/>
    <w:rsid w:val="004D2E88"/>
    <w:rsid w:val="004D30A8"/>
    <w:rsid w:val="004D3777"/>
    <w:rsid w:val="004D3BE6"/>
    <w:rsid w:val="004D43A1"/>
    <w:rsid w:val="004D50AB"/>
    <w:rsid w:val="004D55A0"/>
    <w:rsid w:val="004D58E3"/>
    <w:rsid w:val="004D5DCE"/>
    <w:rsid w:val="004D5EDF"/>
    <w:rsid w:val="004D62FE"/>
    <w:rsid w:val="004D6551"/>
    <w:rsid w:val="004D7084"/>
    <w:rsid w:val="004D7256"/>
    <w:rsid w:val="004D73E4"/>
    <w:rsid w:val="004D78E6"/>
    <w:rsid w:val="004E0042"/>
    <w:rsid w:val="004E0A71"/>
    <w:rsid w:val="004E0D45"/>
    <w:rsid w:val="004E16C6"/>
    <w:rsid w:val="004E174F"/>
    <w:rsid w:val="004E1E1B"/>
    <w:rsid w:val="004E277D"/>
    <w:rsid w:val="004E2F88"/>
    <w:rsid w:val="004E3004"/>
    <w:rsid w:val="004E325F"/>
    <w:rsid w:val="004E345E"/>
    <w:rsid w:val="004E3498"/>
    <w:rsid w:val="004E36B9"/>
    <w:rsid w:val="004E3AE6"/>
    <w:rsid w:val="004E3CFA"/>
    <w:rsid w:val="004E453B"/>
    <w:rsid w:val="004E4949"/>
    <w:rsid w:val="004E4BF7"/>
    <w:rsid w:val="004E4C94"/>
    <w:rsid w:val="004E53FF"/>
    <w:rsid w:val="004E5544"/>
    <w:rsid w:val="004E5864"/>
    <w:rsid w:val="004E5A78"/>
    <w:rsid w:val="004E6DBB"/>
    <w:rsid w:val="004E70E4"/>
    <w:rsid w:val="004E79AE"/>
    <w:rsid w:val="004E7AB5"/>
    <w:rsid w:val="004E7FC3"/>
    <w:rsid w:val="004F046F"/>
    <w:rsid w:val="004F061F"/>
    <w:rsid w:val="004F07D6"/>
    <w:rsid w:val="004F0A98"/>
    <w:rsid w:val="004F0C6E"/>
    <w:rsid w:val="004F0CBD"/>
    <w:rsid w:val="004F0F66"/>
    <w:rsid w:val="004F1465"/>
    <w:rsid w:val="004F2081"/>
    <w:rsid w:val="004F2540"/>
    <w:rsid w:val="004F30CD"/>
    <w:rsid w:val="004F38B9"/>
    <w:rsid w:val="004F3ACA"/>
    <w:rsid w:val="004F3D5C"/>
    <w:rsid w:val="004F3E10"/>
    <w:rsid w:val="004F43EC"/>
    <w:rsid w:val="004F4491"/>
    <w:rsid w:val="004F46D9"/>
    <w:rsid w:val="004F5017"/>
    <w:rsid w:val="004F5144"/>
    <w:rsid w:val="004F6D7B"/>
    <w:rsid w:val="004F7042"/>
    <w:rsid w:val="004F765B"/>
    <w:rsid w:val="004F7B58"/>
    <w:rsid w:val="00500446"/>
    <w:rsid w:val="0050072F"/>
    <w:rsid w:val="005008F1"/>
    <w:rsid w:val="00500DE2"/>
    <w:rsid w:val="00500F16"/>
    <w:rsid w:val="005010BC"/>
    <w:rsid w:val="0050146F"/>
    <w:rsid w:val="005016D2"/>
    <w:rsid w:val="00501EFE"/>
    <w:rsid w:val="0050283B"/>
    <w:rsid w:val="00502D94"/>
    <w:rsid w:val="005030A0"/>
    <w:rsid w:val="00503429"/>
    <w:rsid w:val="00503693"/>
    <w:rsid w:val="00503895"/>
    <w:rsid w:val="00503D89"/>
    <w:rsid w:val="00503E85"/>
    <w:rsid w:val="00503FD1"/>
    <w:rsid w:val="00504159"/>
    <w:rsid w:val="00504278"/>
    <w:rsid w:val="00504866"/>
    <w:rsid w:val="00505410"/>
    <w:rsid w:val="00505665"/>
    <w:rsid w:val="005067B3"/>
    <w:rsid w:val="005068B4"/>
    <w:rsid w:val="0050694D"/>
    <w:rsid w:val="005069B1"/>
    <w:rsid w:val="00507003"/>
    <w:rsid w:val="00507072"/>
    <w:rsid w:val="005073FE"/>
    <w:rsid w:val="005078D7"/>
    <w:rsid w:val="00510288"/>
    <w:rsid w:val="00510CFD"/>
    <w:rsid w:val="005111BE"/>
    <w:rsid w:val="005112C7"/>
    <w:rsid w:val="00511567"/>
    <w:rsid w:val="00511C56"/>
    <w:rsid w:val="00511FD1"/>
    <w:rsid w:val="0051218C"/>
    <w:rsid w:val="00512431"/>
    <w:rsid w:val="005126BD"/>
    <w:rsid w:val="00512A52"/>
    <w:rsid w:val="00512EB7"/>
    <w:rsid w:val="0051327A"/>
    <w:rsid w:val="0051340C"/>
    <w:rsid w:val="00513C0D"/>
    <w:rsid w:val="00513C20"/>
    <w:rsid w:val="00513EAE"/>
    <w:rsid w:val="0051435F"/>
    <w:rsid w:val="0051503D"/>
    <w:rsid w:val="00515CBF"/>
    <w:rsid w:val="00516179"/>
    <w:rsid w:val="0051653E"/>
    <w:rsid w:val="005166E2"/>
    <w:rsid w:val="005167F1"/>
    <w:rsid w:val="00516AF8"/>
    <w:rsid w:val="00516B9F"/>
    <w:rsid w:val="005179F1"/>
    <w:rsid w:val="00517B2E"/>
    <w:rsid w:val="00517BAD"/>
    <w:rsid w:val="00520401"/>
    <w:rsid w:val="005208D2"/>
    <w:rsid w:val="00520A67"/>
    <w:rsid w:val="00520F12"/>
    <w:rsid w:val="00521343"/>
    <w:rsid w:val="00521357"/>
    <w:rsid w:val="00521B37"/>
    <w:rsid w:val="0052209E"/>
    <w:rsid w:val="00522B9A"/>
    <w:rsid w:val="00522F76"/>
    <w:rsid w:val="005234EC"/>
    <w:rsid w:val="005239D8"/>
    <w:rsid w:val="00523A55"/>
    <w:rsid w:val="00523DC6"/>
    <w:rsid w:val="00524127"/>
    <w:rsid w:val="00524FAB"/>
    <w:rsid w:val="0052503A"/>
    <w:rsid w:val="005254B4"/>
    <w:rsid w:val="00525CC6"/>
    <w:rsid w:val="00525E42"/>
    <w:rsid w:val="005261CC"/>
    <w:rsid w:val="0052629F"/>
    <w:rsid w:val="00526538"/>
    <w:rsid w:val="00526551"/>
    <w:rsid w:val="005270AE"/>
    <w:rsid w:val="00527216"/>
    <w:rsid w:val="005276B9"/>
    <w:rsid w:val="00527B23"/>
    <w:rsid w:val="00530347"/>
    <w:rsid w:val="005305FA"/>
    <w:rsid w:val="00530768"/>
    <w:rsid w:val="00530F4E"/>
    <w:rsid w:val="00531054"/>
    <w:rsid w:val="0053117C"/>
    <w:rsid w:val="00531AA0"/>
    <w:rsid w:val="00532273"/>
    <w:rsid w:val="005324BB"/>
    <w:rsid w:val="00532602"/>
    <w:rsid w:val="00532A3B"/>
    <w:rsid w:val="00532E8C"/>
    <w:rsid w:val="00533E1B"/>
    <w:rsid w:val="00534284"/>
    <w:rsid w:val="00534952"/>
    <w:rsid w:val="005349BA"/>
    <w:rsid w:val="0053502B"/>
    <w:rsid w:val="005356DC"/>
    <w:rsid w:val="00536112"/>
    <w:rsid w:val="00536120"/>
    <w:rsid w:val="00536C00"/>
    <w:rsid w:val="00536DD2"/>
    <w:rsid w:val="00536FBA"/>
    <w:rsid w:val="00537EF0"/>
    <w:rsid w:val="0054010F"/>
    <w:rsid w:val="00540258"/>
    <w:rsid w:val="00541575"/>
    <w:rsid w:val="005415AD"/>
    <w:rsid w:val="005415C7"/>
    <w:rsid w:val="005418EE"/>
    <w:rsid w:val="005420CF"/>
    <w:rsid w:val="0054213F"/>
    <w:rsid w:val="005425FA"/>
    <w:rsid w:val="00542B9C"/>
    <w:rsid w:val="00542D62"/>
    <w:rsid w:val="00542EAF"/>
    <w:rsid w:val="005430B1"/>
    <w:rsid w:val="0054354C"/>
    <w:rsid w:val="00544AF1"/>
    <w:rsid w:val="00545594"/>
    <w:rsid w:val="005461B7"/>
    <w:rsid w:val="00546379"/>
    <w:rsid w:val="00546EA2"/>
    <w:rsid w:val="00547022"/>
    <w:rsid w:val="005471F2"/>
    <w:rsid w:val="00547551"/>
    <w:rsid w:val="00547678"/>
    <w:rsid w:val="005500EA"/>
    <w:rsid w:val="0055016E"/>
    <w:rsid w:val="00550816"/>
    <w:rsid w:val="005508BD"/>
    <w:rsid w:val="00550CE2"/>
    <w:rsid w:val="00550D32"/>
    <w:rsid w:val="00550E1E"/>
    <w:rsid w:val="005510F2"/>
    <w:rsid w:val="00551122"/>
    <w:rsid w:val="005514AA"/>
    <w:rsid w:val="00552369"/>
    <w:rsid w:val="0055295E"/>
    <w:rsid w:val="0055299B"/>
    <w:rsid w:val="00552A94"/>
    <w:rsid w:val="00552B4D"/>
    <w:rsid w:val="00552DFE"/>
    <w:rsid w:val="00552EE7"/>
    <w:rsid w:val="00552F9F"/>
    <w:rsid w:val="005531A9"/>
    <w:rsid w:val="00553206"/>
    <w:rsid w:val="005533AC"/>
    <w:rsid w:val="0055419D"/>
    <w:rsid w:val="005546E3"/>
    <w:rsid w:val="00554D44"/>
    <w:rsid w:val="00554D89"/>
    <w:rsid w:val="00554E65"/>
    <w:rsid w:val="00555147"/>
    <w:rsid w:val="00555580"/>
    <w:rsid w:val="005557C2"/>
    <w:rsid w:val="005559F6"/>
    <w:rsid w:val="00555A7D"/>
    <w:rsid w:val="00555AB6"/>
    <w:rsid w:val="00555DB7"/>
    <w:rsid w:val="005560CA"/>
    <w:rsid w:val="005561FF"/>
    <w:rsid w:val="0055686B"/>
    <w:rsid w:val="0055691D"/>
    <w:rsid w:val="0055692C"/>
    <w:rsid w:val="00556A0B"/>
    <w:rsid w:val="00556A45"/>
    <w:rsid w:val="00556B84"/>
    <w:rsid w:val="00556D6C"/>
    <w:rsid w:val="00556F82"/>
    <w:rsid w:val="005571E3"/>
    <w:rsid w:val="005572CD"/>
    <w:rsid w:val="00557906"/>
    <w:rsid w:val="005579D3"/>
    <w:rsid w:val="0056044D"/>
    <w:rsid w:val="00560AD9"/>
    <w:rsid w:val="00561989"/>
    <w:rsid w:val="00561B2C"/>
    <w:rsid w:val="00561E33"/>
    <w:rsid w:val="00562068"/>
    <w:rsid w:val="00562172"/>
    <w:rsid w:val="005624C1"/>
    <w:rsid w:val="00562CFA"/>
    <w:rsid w:val="00562D56"/>
    <w:rsid w:val="005634BD"/>
    <w:rsid w:val="0056377B"/>
    <w:rsid w:val="00563805"/>
    <w:rsid w:val="00563B54"/>
    <w:rsid w:val="00563D11"/>
    <w:rsid w:val="00563E43"/>
    <w:rsid w:val="0056507C"/>
    <w:rsid w:val="0056512A"/>
    <w:rsid w:val="0056557D"/>
    <w:rsid w:val="00565BC3"/>
    <w:rsid w:val="0056606F"/>
    <w:rsid w:val="005660E5"/>
    <w:rsid w:val="00566463"/>
    <w:rsid w:val="00566942"/>
    <w:rsid w:val="00566B79"/>
    <w:rsid w:val="00566D6F"/>
    <w:rsid w:val="00566E5C"/>
    <w:rsid w:val="00567076"/>
    <w:rsid w:val="005670E4"/>
    <w:rsid w:val="00567A51"/>
    <w:rsid w:val="005711FE"/>
    <w:rsid w:val="00571894"/>
    <w:rsid w:val="00571D0B"/>
    <w:rsid w:val="00572242"/>
    <w:rsid w:val="005726F4"/>
    <w:rsid w:val="00572B38"/>
    <w:rsid w:val="00572D08"/>
    <w:rsid w:val="00573B68"/>
    <w:rsid w:val="00573C1C"/>
    <w:rsid w:val="00573D0E"/>
    <w:rsid w:val="00573DD2"/>
    <w:rsid w:val="00574023"/>
    <w:rsid w:val="00574160"/>
    <w:rsid w:val="005750B1"/>
    <w:rsid w:val="00575744"/>
    <w:rsid w:val="00575C5C"/>
    <w:rsid w:val="005763B8"/>
    <w:rsid w:val="00576AA0"/>
    <w:rsid w:val="00576C31"/>
    <w:rsid w:val="0057795C"/>
    <w:rsid w:val="00577BB2"/>
    <w:rsid w:val="00580135"/>
    <w:rsid w:val="005809C5"/>
    <w:rsid w:val="00580A3A"/>
    <w:rsid w:val="005812FC"/>
    <w:rsid w:val="0058135C"/>
    <w:rsid w:val="00581B13"/>
    <w:rsid w:val="00582716"/>
    <w:rsid w:val="00583735"/>
    <w:rsid w:val="005842DE"/>
    <w:rsid w:val="00584AA9"/>
    <w:rsid w:val="00584F79"/>
    <w:rsid w:val="005851DB"/>
    <w:rsid w:val="005854AB"/>
    <w:rsid w:val="00585755"/>
    <w:rsid w:val="00585839"/>
    <w:rsid w:val="00585B96"/>
    <w:rsid w:val="00585D81"/>
    <w:rsid w:val="00586356"/>
    <w:rsid w:val="0058688C"/>
    <w:rsid w:val="005868BF"/>
    <w:rsid w:val="005870B6"/>
    <w:rsid w:val="005870DA"/>
    <w:rsid w:val="005875DB"/>
    <w:rsid w:val="00587792"/>
    <w:rsid w:val="0058782B"/>
    <w:rsid w:val="005878A4"/>
    <w:rsid w:val="00587E63"/>
    <w:rsid w:val="00590298"/>
    <w:rsid w:val="00590596"/>
    <w:rsid w:val="00590ADA"/>
    <w:rsid w:val="00590E75"/>
    <w:rsid w:val="005917D1"/>
    <w:rsid w:val="00591E82"/>
    <w:rsid w:val="00591F52"/>
    <w:rsid w:val="00591FD2"/>
    <w:rsid w:val="00592353"/>
    <w:rsid w:val="0059256A"/>
    <w:rsid w:val="005926ED"/>
    <w:rsid w:val="0059298B"/>
    <w:rsid w:val="00592C89"/>
    <w:rsid w:val="00592F01"/>
    <w:rsid w:val="0059419E"/>
    <w:rsid w:val="005941D5"/>
    <w:rsid w:val="005946DE"/>
    <w:rsid w:val="00594846"/>
    <w:rsid w:val="005948B8"/>
    <w:rsid w:val="00594914"/>
    <w:rsid w:val="00594CA7"/>
    <w:rsid w:val="00594E59"/>
    <w:rsid w:val="00595A2D"/>
    <w:rsid w:val="005964FB"/>
    <w:rsid w:val="005976C3"/>
    <w:rsid w:val="00597824"/>
    <w:rsid w:val="00597E9F"/>
    <w:rsid w:val="005A052D"/>
    <w:rsid w:val="005A12CE"/>
    <w:rsid w:val="005A140D"/>
    <w:rsid w:val="005A1A93"/>
    <w:rsid w:val="005A25FC"/>
    <w:rsid w:val="005A2E2C"/>
    <w:rsid w:val="005A34FA"/>
    <w:rsid w:val="005A390D"/>
    <w:rsid w:val="005A3B74"/>
    <w:rsid w:val="005A3B8C"/>
    <w:rsid w:val="005A3C3E"/>
    <w:rsid w:val="005A3E62"/>
    <w:rsid w:val="005A434C"/>
    <w:rsid w:val="005A4A1F"/>
    <w:rsid w:val="005A57C2"/>
    <w:rsid w:val="005A5A08"/>
    <w:rsid w:val="005A5F55"/>
    <w:rsid w:val="005A6335"/>
    <w:rsid w:val="005A67C0"/>
    <w:rsid w:val="005A6BEC"/>
    <w:rsid w:val="005A7720"/>
    <w:rsid w:val="005A7C33"/>
    <w:rsid w:val="005A7FD6"/>
    <w:rsid w:val="005B01E6"/>
    <w:rsid w:val="005B0488"/>
    <w:rsid w:val="005B0865"/>
    <w:rsid w:val="005B08FB"/>
    <w:rsid w:val="005B0B4D"/>
    <w:rsid w:val="005B0FB7"/>
    <w:rsid w:val="005B0FD8"/>
    <w:rsid w:val="005B10BB"/>
    <w:rsid w:val="005B1984"/>
    <w:rsid w:val="005B208F"/>
    <w:rsid w:val="005B231B"/>
    <w:rsid w:val="005B25CF"/>
    <w:rsid w:val="005B2A93"/>
    <w:rsid w:val="005B3695"/>
    <w:rsid w:val="005B375A"/>
    <w:rsid w:val="005B382F"/>
    <w:rsid w:val="005B3CA4"/>
    <w:rsid w:val="005B40B9"/>
    <w:rsid w:val="005B4E7F"/>
    <w:rsid w:val="005B557D"/>
    <w:rsid w:val="005B68F4"/>
    <w:rsid w:val="005B6B6B"/>
    <w:rsid w:val="005B6BC2"/>
    <w:rsid w:val="005B74EE"/>
    <w:rsid w:val="005B78DA"/>
    <w:rsid w:val="005C0727"/>
    <w:rsid w:val="005C0BB4"/>
    <w:rsid w:val="005C0D44"/>
    <w:rsid w:val="005C1301"/>
    <w:rsid w:val="005C140D"/>
    <w:rsid w:val="005C15EB"/>
    <w:rsid w:val="005C168A"/>
    <w:rsid w:val="005C17A2"/>
    <w:rsid w:val="005C1AD4"/>
    <w:rsid w:val="005C207E"/>
    <w:rsid w:val="005C2B6C"/>
    <w:rsid w:val="005C30E1"/>
    <w:rsid w:val="005C381E"/>
    <w:rsid w:val="005C3ADC"/>
    <w:rsid w:val="005C45B3"/>
    <w:rsid w:val="005C533E"/>
    <w:rsid w:val="005C549A"/>
    <w:rsid w:val="005C5882"/>
    <w:rsid w:val="005C5D63"/>
    <w:rsid w:val="005C5E1A"/>
    <w:rsid w:val="005C665E"/>
    <w:rsid w:val="005C6835"/>
    <w:rsid w:val="005C7320"/>
    <w:rsid w:val="005C7501"/>
    <w:rsid w:val="005C77AC"/>
    <w:rsid w:val="005C7CFF"/>
    <w:rsid w:val="005C7DDA"/>
    <w:rsid w:val="005C7EBC"/>
    <w:rsid w:val="005D00A9"/>
    <w:rsid w:val="005D0186"/>
    <w:rsid w:val="005D0630"/>
    <w:rsid w:val="005D0640"/>
    <w:rsid w:val="005D0686"/>
    <w:rsid w:val="005D093D"/>
    <w:rsid w:val="005D0C85"/>
    <w:rsid w:val="005D18BE"/>
    <w:rsid w:val="005D196D"/>
    <w:rsid w:val="005D19EF"/>
    <w:rsid w:val="005D1A31"/>
    <w:rsid w:val="005D1B7F"/>
    <w:rsid w:val="005D3748"/>
    <w:rsid w:val="005D3A34"/>
    <w:rsid w:val="005D3E2D"/>
    <w:rsid w:val="005D4CE9"/>
    <w:rsid w:val="005D5335"/>
    <w:rsid w:val="005D5629"/>
    <w:rsid w:val="005D5B0F"/>
    <w:rsid w:val="005D62AD"/>
    <w:rsid w:val="005D6521"/>
    <w:rsid w:val="005D66F0"/>
    <w:rsid w:val="005D6749"/>
    <w:rsid w:val="005D67C3"/>
    <w:rsid w:val="005D6C3A"/>
    <w:rsid w:val="005D6CDA"/>
    <w:rsid w:val="005D71F6"/>
    <w:rsid w:val="005D7DAD"/>
    <w:rsid w:val="005D7DAF"/>
    <w:rsid w:val="005E04D4"/>
    <w:rsid w:val="005E0750"/>
    <w:rsid w:val="005E09A5"/>
    <w:rsid w:val="005E0D5A"/>
    <w:rsid w:val="005E0D9A"/>
    <w:rsid w:val="005E14EA"/>
    <w:rsid w:val="005E1A6A"/>
    <w:rsid w:val="005E2146"/>
    <w:rsid w:val="005E230A"/>
    <w:rsid w:val="005E350E"/>
    <w:rsid w:val="005E39D2"/>
    <w:rsid w:val="005E3DD2"/>
    <w:rsid w:val="005E4169"/>
    <w:rsid w:val="005E43F0"/>
    <w:rsid w:val="005E495B"/>
    <w:rsid w:val="005E4A07"/>
    <w:rsid w:val="005E4EBD"/>
    <w:rsid w:val="005E5166"/>
    <w:rsid w:val="005E5A6E"/>
    <w:rsid w:val="005E618C"/>
    <w:rsid w:val="005E6711"/>
    <w:rsid w:val="005E780E"/>
    <w:rsid w:val="005E79D7"/>
    <w:rsid w:val="005E7B60"/>
    <w:rsid w:val="005E7E6E"/>
    <w:rsid w:val="005F071C"/>
    <w:rsid w:val="005F077F"/>
    <w:rsid w:val="005F0851"/>
    <w:rsid w:val="005F09BB"/>
    <w:rsid w:val="005F0CF6"/>
    <w:rsid w:val="005F17B5"/>
    <w:rsid w:val="005F1D17"/>
    <w:rsid w:val="005F1EA1"/>
    <w:rsid w:val="005F1F44"/>
    <w:rsid w:val="005F2095"/>
    <w:rsid w:val="005F249B"/>
    <w:rsid w:val="005F2C3C"/>
    <w:rsid w:val="005F2C53"/>
    <w:rsid w:val="005F2D0E"/>
    <w:rsid w:val="005F2F13"/>
    <w:rsid w:val="005F37AE"/>
    <w:rsid w:val="005F4065"/>
    <w:rsid w:val="005F48ED"/>
    <w:rsid w:val="005F4B28"/>
    <w:rsid w:val="005F51CB"/>
    <w:rsid w:val="005F5951"/>
    <w:rsid w:val="005F5A78"/>
    <w:rsid w:val="005F5DED"/>
    <w:rsid w:val="005F6676"/>
    <w:rsid w:val="005F6CB4"/>
    <w:rsid w:val="005F74E5"/>
    <w:rsid w:val="005F7E19"/>
    <w:rsid w:val="00600144"/>
    <w:rsid w:val="006003A2"/>
    <w:rsid w:val="00600B58"/>
    <w:rsid w:val="00600C10"/>
    <w:rsid w:val="00601241"/>
    <w:rsid w:val="00601987"/>
    <w:rsid w:val="00602471"/>
    <w:rsid w:val="00602A6B"/>
    <w:rsid w:val="00602AD7"/>
    <w:rsid w:val="00602C17"/>
    <w:rsid w:val="00602C73"/>
    <w:rsid w:val="00602CDB"/>
    <w:rsid w:val="00602ECA"/>
    <w:rsid w:val="0060381C"/>
    <w:rsid w:val="00604C17"/>
    <w:rsid w:val="006057CA"/>
    <w:rsid w:val="00606663"/>
    <w:rsid w:val="00606914"/>
    <w:rsid w:val="00606C1F"/>
    <w:rsid w:val="0060739A"/>
    <w:rsid w:val="00607BEA"/>
    <w:rsid w:val="0061005A"/>
    <w:rsid w:val="006100DA"/>
    <w:rsid w:val="0061026C"/>
    <w:rsid w:val="00610A8D"/>
    <w:rsid w:val="00611634"/>
    <w:rsid w:val="006119B5"/>
    <w:rsid w:val="0061338A"/>
    <w:rsid w:val="0061363A"/>
    <w:rsid w:val="00613F8B"/>
    <w:rsid w:val="0061409F"/>
    <w:rsid w:val="006140A2"/>
    <w:rsid w:val="00614461"/>
    <w:rsid w:val="00614CAC"/>
    <w:rsid w:val="00614F46"/>
    <w:rsid w:val="00614F5A"/>
    <w:rsid w:val="006163DA"/>
    <w:rsid w:val="006166EA"/>
    <w:rsid w:val="00616A5F"/>
    <w:rsid w:val="00616A8B"/>
    <w:rsid w:val="00616FF3"/>
    <w:rsid w:val="006175D7"/>
    <w:rsid w:val="006176F4"/>
    <w:rsid w:val="00617E87"/>
    <w:rsid w:val="006207BC"/>
    <w:rsid w:val="006207D8"/>
    <w:rsid w:val="00620CD4"/>
    <w:rsid w:val="00620CF4"/>
    <w:rsid w:val="006211F2"/>
    <w:rsid w:val="0062127E"/>
    <w:rsid w:val="006217E4"/>
    <w:rsid w:val="00621B8B"/>
    <w:rsid w:val="00622B3B"/>
    <w:rsid w:val="006230CA"/>
    <w:rsid w:val="00623291"/>
    <w:rsid w:val="0062332B"/>
    <w:rsid w:val="006233E8"/>
    <w:rsid w:val="0062474E"/>
    <w:rsid w:val="00624D8B"/>
    <w:rsid w:val="00624E28"/>
    <w:rsid w:val="006251CA"/>
    <w:rsid w:val="00625281"/>
    <w:rsid w:val="0062595E"/>
    <w:rsid w:val="00625AFD"/>
    <w:rsid w:val="0062610C"/>
    <w:rsid w:val="00626366"/>
    <w:rsid w:val="00626646"/>
    <w:rsid w:val="00626927"/>
    <w:rsid w:val="00626937"/>
    <w:rsid w:val="00626989"/>
    <w:rsid w:val="00626D34"/>
    <w:rsid w:val="00626D56"/>
    <w:rsid w:val="006272E3"/>
    <w:rsid w:val="006275AB"/>
    <w:rsid w:val="006277DA"/>
    <w:rsid w:val="00627B32"/>
    <w:rsid w:val="00630058"/>
    <w:rsid w:val="00630542"/>
    <w:rsid w:val="0063062E"/>
    <w:rsid w:val="00630A92"/>
    <w:rsid w:val="006311CB"/>
    <w:rsid w:val="00631271"/>
    <w:rsid w:val="00631AC3"/>
    <w:rsid w:val="00631CC3"/>
    <w:rsid w:val="00632102"/>
    <w:rsid w:val="006325A2"/>
    <w:rsid w:val="00632D7D"/>
    <w:rsid w:val="00633AFB"/>
    <w:rsid w:val="00633E75"/>
    <w:rsid w:val="00635DCD"/>
    <w:rsid w:val="00635EEF"/>
    <w:rsid w:val="006364E6"/>
    <w:rsid w:val="006366C8"/>
    <w:rsid w:val="00636CD0"/>
    <w:rsid w:val="006375E3"/>
    <w:rsid w:val="006379A5"/>
    <w:rsid w:val="00637EBE"/>
    <w:rsid w:val="0064030D"/>
    <w:rsid w:val="006405A7"/>
    <w:rsid w:val="006408BD"/>
    <w:rsid w:val="006409BB"/>
    <w:rsid w:val="00640B94"/>
    <w:rsid w:val="0064141D"/>
    <w:rsid w:val="00641447"/>
    <w:rsid w:val="006414A3"/>
    <w:rsid w:val="0064154E"/>
    <w:rsid w:val="006416CF"/>
    <w:rsid w:val="00641B28"/>
    <w:rsid w:val="0064244A"/>
    <w:rsid w:val="006431FC"/>
    <w:rsid w:val="006443EE"/>
    <w:rsid w:val="006447B1"/>
    <w:rsid w:val="0064496F"/>
    <w:rsid w:val="00644C0A"/>
    <w:rsid w:val="00644ED9"/>
    <w:rsid w:val="006451C0"/>
    <w:rsid w:val="00645310"/>
    <w:rsid w:val="0064615D"/>
    <w:rsid w:val="00646971"/>
    <w:rsid w:val="006473EF"/>
    <w:rsid w:val="006479A8"/>
    <w:rsid w:val="00647A65"/>
    <w:rsid w:val="006502EC"/>
    <w:rsid w:val="00650CC6"/>
    <w:rsid w:val="00650EEB"/>
    <w:rsid w:val="00650EFB"/>
    <w:rsid w:val="00651744"/>
    <w:rsid w:val="006519F8"/>
    <w:rsid w:val="00651F23"/>
    <w:rsid w:val="00652422"/>
    <w:rsid w:val="00652800"/>
    <w:rsid w:val="00652DA3"/>
    <w:rsid w:val="00652E26"/>
    <w:rsid w:val="00653B8A"/>
    <w:rsid w:val="00653C87"/>
    <w:rsid w:val="00653CB2"/>
    <w:rsid w:val="00653DEC"/>
    <w:rsid w:val="006543A3"/>
    <w:rsid w:val="00654894"/>
    <w:rsid w:val="00654F98"/>
    <w:rsid w:val="00654F9F"/>
    <w:rsid w:val="00655285"/>
    <w:rsid w:val="00655E1D"/>
    <w:rsid w:val="006561A5"/>
    <w:rsid w:val="006568A1"/>
    <w:rsid w:val="00656A10"/>
    <w:rsid w:val="00656AC3"/>
    <w:rsid w:val="00656FB3"/>
    <w:rsid w:val="006579FF"/>
    <w:rsid w:val="00657A02"/>
    <w:rsid w:val="0066046F"/>
    <w:rsid w:val="006606B6"/>
    <w:rsid w:val="006608FC"/>
    <w:rsid w:val="00660C35"/>
    <w:rsid w:val="00660CB9"/>
    <w:rsid w:val="00661676"/>
    <w:rsid w:val="00661713"/>
    <w:rsid w:val="006618DC"/>
    <w:rsid w:val="006619D3"/>
    <w:rsid w:val="00661C60"/>
    <w:rsid w:val="00662128"/>
    <w:rsid w:val="00662523"/>
    <w:rsid w:val="0066271E"/>
    <w:rsid w:val="00662832"/>
    <w:rsid w:val="00662F36"/>
    <w:rsid w:val="00662F80"/>
    <w:rsid w:val="00663969"/>
    <w:rsid w:val="00663B4C"/>
    <w:rsid w:val="00663DB2"/>
    <w:rsid w:val="00664348"/>
    <w:rsid w:val="00664AB0"/>
    <w:rsid w:val="00664B2E"/>
    <w:rsid w:val="00665A74"/>
    <w:rsid w:val="00665F12"/>
    <w:rsid w:val="006668EE"/>
    <w:rsid w:val="006670C3"/>
    <w:rsid w:val="00667506"/>
    <w:rsid w:val="006679FC"/>
    <w:rsid w:val="00670547"/>
    <w:rsid w:val="006711B5"/>
    <w:rsid w:val="00671492"/>
    <w:rsid w:val="0067159C"/>
    <w:rsid w:val="006715C7"/>
    <w:rsid w:val="00671A59"/>
    <w:rsid w:val="00671DEF"/>
    <w:rsid w:val="00671FA8"/>
    <w:rsid w:val="00672541"/>
    <w:rsid w:val="006729DC"/>
    <w:rsid w:val="006732F2"/>
    <w:rsid w:val="006733B8"/>
    <w:rsid w:val="006735EA"/>
    <w:rsid w:val="006736A7"/>
    <w:rsid w:val="006737D0"/>
    <w:rsid w:val="00673B20"/>
    <w:rsid w:val="00673F36"/>
    <w:rsid w:val="0067448E"/>
    <w:rsid w:val="00674BA4"/>
    <w:rsid w:val="00674BC0"/>
    <w:rsid w:val="00674C9E"/>
    <w:rsid w:val="00674EA4"/>
    <w:rsid w:val="006755C5"/>
    <w:rsid w:val="00675F43"/>
    <w:rsid w:val="006767AB"/>
    <w:rsid w:val="00676DF1"/>
    <w:rsid w:val="006770F0"/>
    <w:rsid w:val="00677537"/>
    <w:rsid w:val="00677965"/>
    <w:rsid w:val="00677DC0"/>
    <w:rsid w:val="006802DC"/>
    <w:rsid w:val="00680773"/>
    <w:rsid w:val="00680B4B"/>
    <w:rsid w:val="00680D03"/>
    <w:rsid w:val="0068111C"/>
    <w:rsid w:val="00681179"/>
    <w:rsid w:val="0068145E"/>
    <w:rsid w:val="006814FC"/>
    <w:rsid w:val="00682886"/>
    <w:rsid w:val="006828B2"/>
    <w:rsid w:val="0068318C"/>
    <w:rsid w:val="00683392"/>
    <w:rsid w:val="00683A2F"/>
    <w:rsid w:val="00683C10"/>
    <w:rsid w:val="00684227"/>
    <w:rsid w:val="006842D6"/>
    <w:rsid w:val="006843B2"/>
    <w:rsid w:val="00684692"/>
    <w:rsid w:val="006848B0"/>
    <w:rsid w:val="006856DA"/>
    <w:rsid w:val="006859EC"/>
    <w:rsid w:val="00685C13"/>
    <w:rsid w:val="00685DCC"/>
    <w:rsid w:val="006865F2"/>
    <w:rsid w:val="00686F6C"/>
    <w:rsid w:val="006870A8"/>
    <w:rsid w:val="006878E6"/>
    <w:rsid w:val="00687EB2"/>
    <w:rsid w:val="00690112"/>
    <w:rsid w:val="006902EE"/>
    <w:rsid w:val="006927DF"/>
    <w:rsid w:val="006929C7"/>
    <w:rsid w:val="006929F9"/>
    <w:rsid w:val="00692C13"/>
    <w:rsid w:val="00692D16"/>
    <w:rsid w:val="0069389B"/>
    <w:rsid w:val="006940D2"/>
    <w:rsid w:val="00694969"/>
    <w:rsid w:val="00694B70"/>
    <w:rsid w:val="00694D2B"/>
    <w:rsid w:val="006952F6"/>
    <w:rsid w:val="0069532E"/>
    <w:rsid w:val="006953BC"/>
    <w:rsid w:val="00695409"/>
    <w:rsid w:val="006955DC"/>
    <w:rsid w:val="00695A5C"/>
    <w:rsid w:val="00695D4A"/>
    <w:rsid w:val="00695DA2"/>
    <w:rsid w:val="00695E25"/>
    <w:rsid w:val="00695FD3"/>
    <w:rsid w:val="00696088"/>
    <w:rsid w:val="00696483"/>
    <w:rsid w:val="00696706"/>
    <w:rsid w:val="006968A2"/>
    <w:rsid w:val="00696A2E"/>
    <w:rsid w:val="00697394"/>
    <w:rsid w:val="006975AB"/>
    <w:rsid w:val="00697FF2"/>
    <w:rsid w:val="006A059D"/>
    <w:rsid w:val="006A0635"/>
    <w:rsid w:val="006A0732"/>
    <w:rsid w:val="006A0D12"/>
    <w:rsid w:val="006A1134"/>
    <w:rsid w:val="006A12EC"/>
    <w:rsid w:val="006A1C1F"/>
    <w:rsid w:val="006A1DB6"/>
    <w:rsid w:val="006A1EAF"/>
    <w:rsid w:val="006A254C"/>
    <w:rsid w:val="006A2652"/>
    <w:rsid w:val="006A2854"/>
    <w:rsid w:val="006A337C"/>
    <w:rsid w:val="006A3C76"/>
    <w:rsid w:val="006A3EC7"/>
    <w:rsid w:val="006A424F"/>
    <w:rsid w:val="006A4D25"/>
    <w:rsid w:val="006A4DA4"/>
    <w:rsid w:val="006A5079"/>
    <w:rsid w:val="006A5B75"/>
    <w:rsid w:val="006A5F43"/>
    <w:rsid w:val="006A6061"/>
    <w:rsid w:val="006A60F7"/>
    <w:rsid w:val="006A6B52"/>
    <w:rsid w:val="006A6BFB"/>
    <w:rsid w:val="006A6D3F"/>
    <w:rsid w:val="006A6DBA"/>
    <w:rsid w:val="006A71D0"/>
    <w:rsid w:val="006A7517"/>
    <w:rsid w:val="006A76FB"/>
    <w:rsid w:val="006A78B7"/>
    <w:rsid w:val="006A7ACC"/>
    <w:rsid w:val="006A7B78"/>
    <w:rsid w:val="006A7BB3"/>
    <w:rsid w:val="006B0144"/>
    <w:rsid w:val="006B01FF"/>
    <w:rsid w:val="006B068F"/>
    <w:rsid w:val="006B07B6"/>
    <w:rsid w:val="006B1B4A"/>
    <w:rsid w:val="006B1B7C"/>
    <w:rsid w:val="006B2C4E"/>
    <w:rsid w:val="006B2EED"/>
    <w:rsid w:val="006B4755"/>
    <w:rsid w:val="006B4912"/>
    <w:rsid w:val="006B4A7A"/>
    <w:rsid w:val="006B4B2F"/>
    <w:rsid w:val="006B4BE2"/>
    <w:rsid w:val="006B5844"/>
    <w:rsid w:val="006B58AD"/>
    <w:rsid w:val="006B5B7A"/>
    <w:rsid w:val="006B5BB2"/>
    <w:rsid w:val="006B6ABB"/>
    <w:rsid w:val="006B759D"/>
    <w:rsid w:val="006B78A9"/>
    <w:rsid w:val="006B7B90"/>
    <w:rsid w:val="006B7F6E"/>
    <w:rsid w:val="006C046A"/>
    <w:rsid w:val="006C050F"/>
    <w:rsid w:val="006C088C"/>
    <w:rsid w:val="006C08D3"/>
    <w:rsid w:val="006C0D34"/>
    <w:rsid w:val="006C145C"/>
    <w:rsid w:val="006C286E"/>
    <w:rsid w:val="006C2D41"/>
    <w:rsid w:val="006C3016"/>
    <w:rsid w:val="006C3239"/>
    <w:rsid w:val="006C387F"/>
    <w:rsid w:val="006C3BCF"/>
    <w:rsid w:val="006C3BE6"/>
    <w:rsid w:val="006C3F48"/>
    <w:rsid w:val="006C49B8"/>
    <w:rsid w:val="006C4C32"/>
    <w:rsid w:val="006C542D"/>
    <w:rsid w:val="006C5628"/>
    <w:rsid w:val="006C5F7E"/>
    <w:rsid w:val="006C6912"/>
    <w:rsid w:val="006C6BFE"/>
    <w:rsid w:val="006C6E25"/>
    <w:rsid w:val="006C6EF7"/>
    <w:rsid w:val="006C6F75"/>
    <w:rsid w:val="006C70D3"/>
    <w:rsid w:val="006C76E6"/>
    <w:rsid w:val="006C7AFC"/>
    <w:rsid w:val="006C7E2B"/>
    <w:rsid w:val="006C7E7A"/>
    <w:rsid w:val="006C7E81"/>
    <w:rsid w:val="006D01DB"/>
    <w:rsid w:val="006D04AB"/>
    <w:rsid w:val="006D0D61"/>
    <w:rsid w:val="006D0E21"/>
    <w:rsid w:val="006D2146"/>
    <w:rsid w:val="006D2165"/>
    <w:rsid w:val="006D2612"/>
    <w:rsid w:val="006D2C91"/>
    <w:rsid w:val="006D2F29"/>
    <w:rsid w:val="006D3491"/>
    <w:rsid w:val="006D4D4C"/>
    <w:rsid w:val="006D4F07"/>
    <w:rsid w:val="006D505C"/>
    <w:rsid w:val="006D5674"/>
    <w:rsid w:val="006D5AA4"/>
    <w:rsid w:val="006D5C4B"/>
    <w:rsid w:val="006D7056"/>
    <w:rsid w:val="006D70E2"/>
    <w:rsid w:val="006D7E26"/>
    <w:rsid w:val="006E0482"/>
    <w:rsid w:val="006E07CF"/>
    <w:rsid w:val="006E0D0C"/>
    <w:rsid w:val="006E14A9"/>
    <w:rsid w:val="006E1B90"/>
    <w:rsid w:val="006E1C1A"/>
    <w:rsid w:val="006E1E4F"/>
    <w:rsid w:val="006E220E"/>
    <w:rsid w:val="006E25CB"/>
    <w:rsid w:val="006E2DBB"/>
    <w:rsid w:val="006E30B3"/>
    <w:rsid w:val="006E33E9"/>
    <w:rsid w:val="006E39E4"/>
    <w:rsid w:val="006E3A84"/>
    <w:rsid w:val="006E3E81"/>
    <w:rsid w:val="006E3F37"/>
    <w:rsid w:val="006E43C5"/>
    <w:rsid w:val="006E44E7"/>
    <w:rsid w:val="006E47FB"/>
    <w:rsid w:val="006E4F89"/>
    <w:rsid w:val="006E5152"/>
    <w:rsid w:val="006E51C7"/>
    <w:rsid w:val="006E53CE"/>
    <w:rsid w:val="006E5798"/>
    <w:rsid w:val="006E5FA2"/>
    <w:rsid w:val="006E6055"/>
    <w:rsid w:val="006E6768"/>
    <w:rsid w:val="006E699F"/>
    <w:rsid w:val="006E6B40"/>
    <w:rsid w:val="006E6E89"/>
    <w:rsid w:val="006E770B"/>
    <w:rsid w:val="006E7CB6"/>
    <w:rsid w:val="006F00B7"/>
    <w:rsid w:val="006F01AE"/>
    <w:rsid w:val="006F084D"/>
    <w:rsid w:val="006F0B7A"/>
    <w:rsid w:val="006F0F6D"/>
    <w:rsid w:val="006F15AC"/>
    <w:rsid w:val="006F174D"/>
    <w:rsid w:val="006F19C6"/>
    <w:rsid w:val="006F1BED"/>
    <w:rsid w:val="006F242A"/>
    <w:rsid w:val="006F2581"/>
    <w:rsid w:val="006F27D0"/>
    <w:rsid w:val="006F298A"/>
    <w:rsid w:val="006F2E45"/>
    <w:rsid w:val="006F2F63"/>
    <w:rsid w:val="006F34F6"/>
    <w:rsid w:val="006F4485"/>
    <w:rsid w:val="006F47DF"/>
    <w:rsid w:val="006F537D"/>
    <w:rsid w:val="006F5437"/>
    <w:rsid w:val="006F59B4"/>
    <w:rsid w:val="006F5B04"/>
    <w:rsid w:val="006F63DA"/>
    <w:rsid w:val="006F6498"/>
    <w:rsid w:val="006F69E4"/>
    <w:rsid w:val="006F6AB8"/>
    <w:rsid w:val="006F6C9A"/>
    <w:rsid w:val="006F6E3B"/>
    <w:rsid w:val="006F6F3C"/>
    <w:rsid w:val="006F7018"/>
    <w:rsid w:val="006F7059"/>
    <w:rsid w:val="006F72A8"/>
    <w:rsid w:val="006F73C8"/>
    <w:rsid w:val="006F7981"/>
    <w:rsid w:val="006F7D6E"/>
    <w:rsid w:val="006F7DCA"/>
    <w:rsid w:val="007000CD"/>
    <w:rsid w:val="00700140"/>
    <w:rsid w:val="0070019F"/>
    <w:rsid w:val="007006DA"/>
    <w:rsid w:val="007007F3"/>
    <w:rsid w:val="0070098A"/>
    <w:rsid w:val="00700D2F"/>
    <w:rsid w:val="00700ED3"/>
    <w:rsid w:val="0070105F"/>
    <w:rsid w:val="0070126D"/>
    <w:rsid w:val="0070186F"/>
    <w:rsid w:val="007018B1"/>
    <w:rsid w:val="007018EA"/>
    <w:rsid w:val="00702104"/>
    <w:rsid w:val="007022D4"/>
    <w:rsid w:val="00702338"/>
    <w:rsid w:val="007027B1"/>
    <w:rsid w:val="00702E40"/>
    <w:rsid w:val="007033CE"/>
    <w:rsid w:val="00703663"/>
    <w:rsid w:val="00703873"/>
    <w:rsid w:val="0070387A"/>
    <w:rsid w:val="007039AB"/>
    <w:rsid w:val="007043A5"/>
    <w:rsid w:val="00704B07"/>
    <w:rsid w:val="00704D36"/>
    <w:rsid w:val="00704F62"/>
    <w:rsid w:val="00705829"/>
    <w:rsid w:val="0070584A"/>
    <w:rsid w:val="0070594B"/>
    <w:rsid w:val="00705D41"/>
    <w:rsid w:val="00705DC7"/>
    <w:rsid w:val="00706218"/>
    <w:rsid w:val="00706638"/>
    <w:rsid w:val="007066C7"/>
    <w:rsid w:val="00706AF3"/>
    <w:rsid w:val="00707443"/>
    <w:rsid w:val="00710026"/>
    <w:rsid w:val="0071014D"/>
    <w:rsid w:val="00710A84"/>
    <w:rsid w:val="00710A8A"/>
    <w:rsid w:val="007113C6"/>
    <w:rsid w:val="007114F2"/>
    <w:rsid w:val="00711775"/>
    <w:rsid w:val="00711EED"/>
    <w:rsid w:val="0071237D"/>
    <w:rsid w:val="0071249C"/>
    <w:rsid w:val="00712C00"/>
    <w:rsid w:val="007131CD"/>
    <w:rsid w:val="007138DA"/>
    <w:rsid w:val="007142A8"/>
    <w:rsid w:val="00715694"/>
    <w:rsid w:val="00715695"/>
    <w:rsid w:val="00715F8E"/>
    <w:rsid w:val="0071657E"/>
    <w:rsid w:val="00716AEF"/>
    <w:rsid w:val="00716C4E"/>
    <w:rsid w:val="007172B0"/>
    <w:rsid w:val="0071760D"/>
    <w:rsid w:val="007176D5"/>
    <w:rsid w:val="007176F2"/>
    <w:rsid w:val="007177DA"/>
    <w:rsid w:val="00717EFD"/>
    <w:rsid w:val="00720116"/>
    <w:rsid w:val="0072014A"/>
    <w:rsid w:val="0072026D"/>
    <w:rsid w:val="007205A6"/>
    <w:rsid w:val="007205DA"/>
    <w:rsid w:val="00720FFD"/>
    <w:rsid w:val="007218C9"/>
    <w:rsid w:val="00722902"/>
    <w:rsid w:val="007229EA"/>
    <w:rsid w:val="00722A78"/>
    <w:rsid w:val="00722B44"/>
    <w:rsid w:val="00722E81"/>
    <w:rsid w:val="00722ED3"/>
    <w:rsid w:val="00723682"/>
    <w:rsid w:val="007236FB"/>
    <w:rsid w:val="00723BF7"/>
    <w:rsid w:val="00723FA0"/>
    <w:rsid w:val="007240EB"/>
    <w:rsid w:val="00724895"/>
    <w:rsid w:val="00724949"/>
    <w:rsid w:val="00724ACE"/>
    <w:rsid w:val="00724DBC"/>
    <w:rsid w:val="007258EF"/>
    <w:rsid w:val="00725E55"/>
    <w:rsid w:val="00726229"/>
    <w:rsid w:val="007269B2"/>
    <w:rsid w:val="00726A0C"/>
    <w:rsid w:val="00727564"/>
    <w:rsid w:val="00727A16"/>
    <w:rsid w:val="00727D55"/>
    <w:rsid w:val="007305FE"/>
    <w:rsid w:val="00731FFE"/>
    <w:rsid w:val="00732055"/>
    <w:rsid w:val="007323D0"/>
    <w:rsid w:val="00733B91"/>
    <w:rsid w:val="00733C29"/>
    <w:rsid w:val="00733F70"/>
    <w:rsid w:val="007340EC"/>
    <w:rsid w:val="00734874"/>
    <w:rsid w:val="00734B99"/>
    <w:rsid w:val="00734D64"/>
    <w:rsid w:val="007350AC"/>
    <w:rsid w:val="00735CAC"/>
    <w:rsid w:val="00735E87"/>
    <w:rsid w:val="00736296"/>
    <w:rsid w:val="007369DD"/>
    <w:rsid w:val="00736FF1"/>
    <w:rsid w:val="00737172"/>
    <w:rsid w:val="00737314"/>
    <w:rsid w:val="00737467"/>
    <w:rsid w:val="007374F3"/>
    <w:rsid w:val="00737505"/>
    <w:rsid w:val="00737A89"/>
    <w:rsid w:val="00737B7B"/>
    <w:rsid w:val="007400D7"/>
    <w:rsid w:val="007402E0"/>
    <w:rsid w:val="00740FD4"/>
    <w:rsid w:val="007411D6"/>
    <w:rsid w:val="00741736"/>
    <w:rsid w:val="00741F94"/>
    <w:rsid w:val="0074261C"/>
    <w:rsid w:val="00742A53"/>
    <w:rsid w:val="00742D86"/>
    <w:rsid w:val="00743374"/>
    <w:rsid w:val="007438FB"/>
    <w:rsid w:val="00743916"/>
    <w:rsid w:val="00743CB2"/>
    <w:rsid w:val="0074458A"/>
    <w:rsid w:val="00744FCF"/>
    <w:rsid w:val="00745079"/>
    <w:rsid w:val="00745267"/>
    <w:rsid w:val="007459E9"/>
    <w:rsid w:val="00745C22"/>
    <w:rsid w:val="00745CB0"/>
    <w:rsid w:val="00746092"/>
    <w:rsid w:val="0074656E"/>
    <w:rsid w:val="0074680E"/>
    <w:rsid w:val="00746BD7"/>
    <w:rsid w:val="00746EC3"/>
    <w:rsid w:val="00746FCE"/>
    <w:rsid w:val="00747799"/>
    <w:rsid w:val="007477E8"/>
    <w:rsid w:val="00747A95"/>
    <w:rsid w:val="007502B1"/>
    <w:rsid w:val="00750357"/>
    <w:rsid w:val="0075046D"/>
    <w:rsid w:val="007509F8"/>
    <w:rsid w:val="00750AF7"/>
    <w:rsid w:val="0075171B"/>
    <w:rsid w:val="00751B6A"/>
    <w:rsid w:val="00752457"/>
    <w:rsid w:val="00752836"/>
    <w:rsid w:val="007528F0"/>
    <w:rsid w:val="00752922"/>
    <w:rsid w:val="0075298F"/>
    <w:rsid w:val="00752B47"/>
    <w:rsid w:val="0075392D"/>
    <w:rsid w:val="00753BF0"/>
    <w:rsid w:val="007540BD"/>
    <w:rsid w:val="007548DF"/>
    <w:rsid w:val="00754C96"/>
    <w:rsid w:val="00754E8F"/>
    <w:rsid w:val="0075500D"/>
    <w:rsid w:val="007556E1"/>
    <w:rsid w:val="0075598F"/>
    <w:rsid w:val="00755B7A"/>
    <w:rsid w:val="00755CA8"/>
    <w:rsid w:val="00756193"/>
    <w:rsid w:val="007561F6"/>
    <w:rsid w:val="0075624F"/>
    <w:rsid w:val="00756686"/>
    <w:rsid w:val="0075692D"/>
    <w:rsid w:val="00756C20"/>
    <w:rsid w:val="00756D08"/>
    <w:rsid w:val="00756EA4"/>
    <w:rsid w:val="00757031"/>
    <w:rsid w:val="00757151"/>
    <w:rsid w:val="007575B5"/>
    <w:rsid w:val="00757AF0"/>
    <w:rsid w:val="00757C78"/>
    <w:rsid w:val="00757DB5"/>
    <w:rsid w:val="007604DA"/>
    <w:rsid w:val="00760D81"/>
    <w:rsid w:val="007614CA"/>
    <w:rsid w:val="007618B0"/>
    <w:rsid w:val="007618E0"/>
    <w:rsid w:val="00761D70"/>
    <w:rsid w:val="00761DBE"/>
    <w:rsid w:val="00762370"/>
    <w:rsid w:val="00762C52"/>
    <w:rsid w:val="00762C62"/>
    <w:rsid w:val="00762E14"/>
    <w:rsid w:val="00762FE5"/>
    <w:rsid w:val="007639C7"/>
    <w:rsid w:val="007639F5"/>
    <w:rsid w:val="00763A57"/>
    <w:rsid w:val="00763C8A"/>
    <w:rsid w:val="00763F90"/>
    <w:rsid w:val="00764436"/>
    <w:rsid w:val="00764FB0"/>
    <w:rsid w:val="00765510"/>
    <w:rsid w:val="007658B2"/>
    <w:rsid w:val="00765901"/>
    <w:rsid w:val="00765E7D"/>
    <w:rsid w:val="00767383"/>
    <w:rsid w:val="0076762D"/>
    <w:rsid w:val="00767900"/>
    <w:rsid w:val="00767D74"/>
    <w:rsid w:val="00770F8C"/>
    <w:rsid w:val="007712D0"/>
    <w:rsid w:val="007714EF"/>
    <w:rsid w:val="0077153C"/>
    <w:rsid w:val="0077169A"/>
    <w:rsid w:val="007716A6"/>
    <w:rsid w:val="00771DAB"/>
    <w:rsid w:val="00771E52"/>
    <w:rsid w:val="00771F80"/>
    <w:rsid w:val="007720E2"/>
    <w:rsid w:val="00772498"/>
    <w:rsid w:val="007724F4"/>
    <w:rsid w:val="007728D2"/>
    <w:rsid w:val="007730D9"/>
    <w:rsid w:val="0077339C"/>
    <w:rsid w:val="007738E6"/>
    <w:rsid w:val="0077392A"/>
    <w:rsid w:val="00773B46"/>
    <w:rsid w:val="007741E2"/>
    <w:rsid w:val="00774202"/>
    <w:rsid w:val="00774212"/>
    <w:rsid w:val="00774AB4"/>
    <w:rsid w:val="00774AC5"/>
    <w:rsid w:val="00775A32"/>
    <w:rsid w:val="00775C7A"/>
    <w:rsid w:val="00775E16"/>
    <w:rsid w:val="00776181"/>
    <w:rsid w:val="0077661A"/>
    <w:rsid w:val="0077696D"/>
    <w:rsid w:val="00776991"/>
    <w:rsid w:val="00776B72"/>
    <w:rsid w:val="00776C92"/>
    <w:rsid w:val="007778EA"/>
    <w:rsid w:val="00777B92"/>
    <w:rsid w:val="00780818"/>
    <w:rsid w:val="00781014"/>
    <w:rsid w:val="007819EB"/>
    <w:rsid w:val="00781BB6"/>
    <w:rsid w:val="00781D04"/>
    <w:rsid w:val="00782136"/>
    <w:rsid w:val="00782BFF"/>
    <w:rsid w:val="00782CAA"/>
    <w:rsid w:val="007832CF"/>
    <w:rsid w:val="007836C7"/>
    <w:rsid w:val="00783AC7"/>
    <w:rsid w:val="00783F57"/>
    <w:rsid w:val="0078401C"/>
    <w:rsid w:val="00784110"/>
    <w:rsid w:val="00784736"/>
    <w:rsid w:val="007847DA"/>
    <w:rsid w:val="00784A8C"/>
    <w:rsid w:val="00784C28"/>
    <w:rsid w:val="00784FC7"/>
    <w:rsid w:val="00785BD5"/>
    <w:rsid w:val="00786060"/>
    <w:rsid w:val="0078611B"/>
    <w:rsid w:val="0078629A"/>
    <w:rsid w:val="007865BF"/>
    <w:rsid w:val="00786986"/>
    <w:rsid w:val="007869CC"/>
    <w:rsid w:val="00786C0C"/>
    <w:rsid w:val="00786DC4"/>
    <w:rsid w:val="0078781B"/>
    <w:rsid w:val="00787C04"/>
    <w:rsid w:val="00790A04"/>
    <w:rsid w:val="00790A4E"/>
    <w:rsid w:val="00790DAF"/>
    <w:rsid w:val="007912A2"/>
    <w:rsid w:val="007912A9"/>
    <w:rsid w:val="00791A05"/>
    <w:rsid w:val="00791D6B"/>
    <w:rsid w:val="00791D74"/>
    <w:rsid w:val="00791F6D"/>
    <w:rsid w:val="007924CE"/>
    <w:rsid w:val="007934BD"/>
    <w:rsid w:val="00793C65"/>
    <w:rsid w:val="00793E7D"/>
    <w:rsid w:val="00794E72"/>
    <w:rsid w:val="007951A4"/>
    <w:rsid w:val="007951CC"/>
    <w:rsid w:val="0079526F"/>
    <w:rsid w:val="00795321"/>
    <w:rsid w:val="007957D8"/>
    <w:rsid w:val="00795B5B"/>
    <w:rsid w:val="007961B6"/>
    <w:rsid w:val="00796267"/>
    <w:rsid w:val="007966DA"/>
    <w:rsid w:val="00796755"/>
    <w:rsid w:val="0079695B"/>
    <w:rsid w:val="00796A63"/>
    <w:rsid w:val="00796B65"/>
    <w:rsid w:val="00796DAC"/>
    <w:rsid w:val="00797112"/>
    <w:rsid w:val="00797195"/>
    <w:rsid w:val="007972C9"/>
    <w:rsid w:val="00797D46"/>
    <w:rsid w:val="007A02E4"/>
    <w:rsid w:val="007A0965"/>
    <w:rsid w:val="007A10EA"/>
    <w:rsid w:val="007A1404"/>
    <w:rsid w:val="007A1DB3"/>
    <w:rsid w:val="007A24A1"/>
    <w:rsid w:val="007A257D"/>
    <w:rsid w:val="007A2AA8"/>
    <w:rsid w:val="007A2C82"/>
    <w:rsid w:val="007A2DC5"/>
    <w:rsid w:val="007A3308"/>
    <w:rsid w:val="007A33BF"/>
    <w:rsid w:val="007A34C3"/>
    <w:rsid w:val="007A3698"/>
    <w:rsid w:val="007A3AB0"/>
    <w:rsid w:val="007A3C8C"/>
    <w:rsid w:val="007A3DFB"/>
    <w:rsid w:val="007A410C"/>
    <w:rsid w:val="007A45C6"/>
    <w:rsid w:val="007A4C29"/>
    <w:rsid w:val="007A4E3E"/>
    <w:rsid w:val="007A551B"/>
    <w:rsid w:val="007A59F7"/>
    <w:rsid w:val="007A5D1B"/>
    <w:rsid w:val="007A5D8A"/>
    <w:rsid w:val="007A607F"/>
    <w:rsid w:val="007A61D7"/>
    <w:rsid w:val="007A7A4B"/>
    <w:rsid w:val="007B05B7"/>
    <w:rsid w:val="007B096C"/>
    <w:rsid w:val="007B0E96"/>
    <w:rsid w:val="007B1136"/>
    <w:rsid w:val="007B1195"/>
    <w:rsid w:val="007B147E"/>
    <w:rsid w:val="007B1CFA"/>
    <w:rsid w:val="007B1F2E"/>
    <w:rsid w:val="007B2048"/>
    <w:rsid w:val="007B3018"/>
    <w:rsid w:val="007B328A"/>
    <w:rsid w:val="007B3521"/>
    <w:rsid w:val="007B3E87"/>
    <w:rsid w:val="007B3FC1"/>
    <w:rsid w:val="007B4305"/>
    <w:rsid w:val="007B4497"/>
    <w:rsid w:val="007B46B4"/>
    <w:rsid w:val="007B4703"/>
    <w:rsid w:val="007B4E6F"/>
    <w:rsid w:val="007B505E"/>
    <w:rsid w:val="007B50AD"/>
    <w:rsid w:val="007B5113"/>
    <w:rsid w:val="007B5195"/>
    <w:rsid w:val="007B545C"/>
    <w:rsid w:val="007B59B2"/>
    <w:rsid w:val="007B5FA2"/>
    <w:rsid w:val="007B69AD"/>
    <w:rsid w:val="007B6FCC"/>
    <w:rsid w:val="007B7FF2"/>
    <w:rsid w:val="007C008F"/>
    <w:rsid w:val="007C0169"/>
    <w:rsid w:val="007C02D2"/>
    <w:rsid w:val="007C06CE"/>
    <w:rsid w:val="007C09F2"/>
    <w:rsid w:val="007C182C"/>
    <w:rsid w:val="007C2303"/>
    <w:rsid w:val="007C257C"/>
    <w:rsid w:val="007C277F"/>
    <w:rsid w:val="007C2D2F"/>
    <w:rsid w:val="007C2E86"/>
    <w:rsid w:val="007C378F"/>
    <w:rsid w:val="007C46BF"/>
    <w:rsid w:val="007C4C94"/>
    <w:rsid w:val="007C52F0"/>
    <w:rsid w:val="007C57B2"/>
    <w:rsid w:val="007C58FE"/>
    <w:rsid w:val="007C64C0"/>
    <w:rsid w:val="007C655A"/>
    <w:rsid w:val="007C65AF"/>
    <w:rsid w:val="007C677F"/>
    <w:rsid w:val="007C69D4"/>
    <w:rsid w:val="007C7329"/>
    <w:rsid w:val="007C77F7"/>
    <w:rsid w:val="007D0299"/>
    <w:rsid w:val="007D084B"/>
    <w:rsid w:val="007D0965"/>
    <w:rsid w:val="007D0976"/>
    <w:rsid w:val="007D0A6E"/>
    <w:rsid w:val="007D1452"/>
    <w:rsid w:val="007D18FD"/>
    <w:rsid w:val="007D1947"/>
    <w:rsid w:val="007D3113"/>
    <w:rsid w:val="007D3429"/>
    <w:rsid w:val="007D3987"/>
    <w:rsid w:val="007D3D80"/>
    <w:rsid w:val="007D4044"/>
    <w:rsid w:val="007D4CE7"/>
    <w:rsid w:val="007D5417"/>
    <w:rsid w:val="007D5A68"/>
    <w:rsid w:val="007D69A5"/>
    <w:rsid w:val="007D745C"/>
    <w:rsid w:val="007D74A2"/>
    <w:rsid w:val="007D7814"/>
    <w:rsid w:val="007D7866"/>
    <w:rsid w:val="007D796E"/>
    <w:rsid w:val="007D7A02"/>
    <w:rsid w:val="007D7DDF"/>
    <w:rsid w:val="007E00A4"/>
    <w:rsid w:val="007E058D"/>
    <w:rsid w:val="007E07CC"/>
    <w:rsid w:val="007E0BB9"/>
    <w:rsid w:val="007E0E15"/>
    <w:rsid w:val="007E109D"/>
    <w:rsid w:val="007E1979"/>
    <w:rsid w:val="007E23D7"/>
    <w:rsid w:val="007E2A19"/>
    <w:rsid w:val="007E328C"/>
    <w:rsid w:val="007E3465"/>
    <w:rsid w:val="007E3974"/>
    <w:rsid w:val="007E3ADA"/>
    <w:rsid w:val="007E4406"/>
    <w:rsid w:val="007E49F5"/>
    <w:rsid w:val="007E4CB7"/>
    <w:rsid w:val="007E4E65"/>
    <w:rsid w:val="007E4F72"/>
    <w:rsid w:val="007E556F"/>
    <w:rsid w:val="007E5C38"/>
    <w:rsid w:val="007E6158"/>
    <w:rsid w:val="007E625E"/>
    <w:rsid w:val="007E6332"/>
    <w:rsid w:val="007E64E8"/>
    <w:rsid w:val="007E67C4"/>
    <w:rsid w:val="007E6833"/>
    <w:rsid w:val="007E6B1F"/>
    <w:rsid w:val="007E70EE"/>
    <w:rsid w:val="007E7CB7"/>
    <w:rsid w:val="007F0376"/>
    <w:rsid w:val="007F0D12"/>
    <w:rsid w:val="007F1503"/>
    <w:rsid w:val="007F1579"/>
    <w:rsid w:val="007F1886"/>
    <w:rsid w:val="007F209A"/>
    <w:rsid w:val="007F217B"/>
    <w:rsid w:val="007F2308"/>
    <w:rsid w:val="007F2A80"/>
    <w:rsid w:val="007F2AA9"/>
    <w:rsid w:val="007F2C82"/>
    <w:rsid w:val="007F3CD2"/>
    <w:rsid w:val="007F43D6"/>
    <w:rsid w:val="007F4556"/>
    <w:rsid w:val="007F4A20"/>
    <w:rsid w:val="007F4D95"/>
    <w:rsid w:val="007F4E65"/>
    <w:rsid w:val="007F5932"/>
    <w:rsid w:val="007F5E8E"/>
    <w:rsid w:val="007F62F3"/>
    <w:rsid w:val="007F71EE"/>
    <w:rsid w:val="007F7CE4"/>
    <w:rsid w:val="00800072"/>
    <w:rsid w:val="008009B9"/>
    <w:rsid w:val="00800A5D"/>
    <w:rsid w:val="00800B2B"/>
    <w:rsid w:val="00800B4C"/>
    <w:rsid w:val="00800CBF"/>
    <w:rsid w:val="0080125C"/>
    <w:rsid w:val="0080192C"/>
    <w:rsid w:val="00801DC9"/>
    <w:rsid w:val="00801E33"/>
    <w:rsid w:val="00802E81"/>
    <w:rsid w:val="008030DA"/>
    <w:rsid w:val="0080359C"/>
    <w:rsid w:val="00803656"/>
    <w:rsid w:val="0080382A"/>
    <w:rsid w:val="00803CED"/>
    <w:rsid w:val="0080464D"/>
    <w:rsid w:val="00804A26"/>
    <w:rsid w:val="00804D46"/>
    <w:rsid w:val="00805A03"/>
    <w:rsid w:val="0080657F"/>
    <w:rsid w:val="00806831"/>
    <w:rsid w:val="00806DDB"/>
    <w:rsid w:val="00806FD7"/>
    <w:rsid w:val="0080735B"/>
    <w:rsid w:val="008073BC"/>
    <w:rsid w:val="0080775B"/>
    <w:rsid w:val="00807B1F"/>
    <w:rsid w:val="00811233"/>
    <w:rsid w:val="00811469"/>
    <w:rsid w:val="008115C4"/>
    <w:rsid w:val="00811DF4"/>
    <w:rsid w:val="008129B2"/>
    <w:rsid w:val="00812DEF"/>
    <w:rsid w:val="00813092"/>
    <w:rsid w:val="008130F9"/>
    <w:rsid w:val="0081313B"/>
    <w:rsid w:val="00813400"/>
    <w:rsid w:val="00813610"/>
    <w:rsid w:val="00813AB5"/>
    <w:rsid w:val="00813D99"/>
    <w:rsid w:val="00813E8F"/>
    <w:rsid w:val="00813F83"/>
    <w:rsid w:val="00814DBD"/>
    <w:rsid w:val="00815096"/>
    <w:rsid w:val="00815517"/>
    <w:rsid w:val="008159C7"/>
    <w:rsid w:val="008159EE"/>
    <w:rsid w:val="00815D6A"/>
    <w:rsid w:val="00815E18"/>
    <w:rsid w:val="00816A59"/>
    <w:rsid w:val="00816F55"/>
    <w:rsid w:val="00816F9A"/>
    <w:rsid w:val="0081734C"/>
    <w:rsid w:val="00817BAC"/>
    <w:rsid w:val="0082073F"/>
    <w:rsid w:val="00820915"/>
    <w:rsid w:val="008213BF"/>
    <w:rsid w:val="00821453"/>
    <w:rsid w:val="008216CB"/>
    <w:rsid w:val="00822CB7"/>
    <w:rsid w:val="00823D39"/>
    <w:rsid w:val="00823E7A"/>
    <w:rsid w:val="008243BC"/>
    <w:rsid w:val="008243CD"/>
    <w:rsid w:val="00824E2D"/>
    <w:rsid w:val="00824F14"/>
    <w:rsid w:val="00825483"/>
    <w:rsid w:val="00825769"/>
    <w:rsid w:val="008260FA"/>
    <w:rsid w:val="00826862"/>
    <w:rsid w:val="008269EE"/>
    <w:rsid w:val="00826C40"/>
    <w:rsid w:val="00827483"/>
    <w:rsid w:val="008276CE"/>
    <w:rsid w:val="00827716"/>
    <w:rsid w:val="00827EF9"/>
    <w:rsid w:val="008307A5"/>
    <w:rsid w:val="00831BF7"/>
    <w:rsid w:val="00831C21"/>
    <w:rsid w:val="00831CC3"/>
    <w:rsid w:val="0083222A"/>
    <w:rsid w:val="0083286C"/>
    <w:rsid w:val="00832D3F"/>
    <w:rsid w:val="00833015"/>
    <w:rsid w:val="00833366"/>
    <w:rsid w:val="008334DC"/>
    <w:rsid w:val="00833B50"/>
    <w:rsid w:val="008341E7"/>
    <w:rsid w:val="0083454C"/>
    <w:rsid w:val="00834A87"/>
    <w:rsid w:val="00834C10"/>
    <w:rsid w:val="00834D8D"/>
    <w:rsid w:val="00834E5A"/>
    <w:rsid w:val="00835022"/>
    <w:rsid w:val="00835111"/>
    <w:rsid w:val="008353BF"/>
    <w:rsid w:val="00835A64"/>
    <w:rsid w:val="00835D17"/>
    <w:rsid w:val="00835D69"/>
    <w:rsid w:val="008361DC"/>
    <w:rsid w:val="0083641B"/>
    <w:rsid w:val="008365EA"/>
    <w:rsid w:val="008366EE"/>
    <w:rsid w:val="008367F2"/>
    <w:rsid w:val="008368B5"/>
    <w:rsid w:val="00836AEB"/>
    <w:rsid w:val="0083707A"/>
    <w:rsid w:val="00837A56"/>
    <w:rsid w:val="00837D50"/>
    <w:rsid w:val="00837EC0"/>
    <w:rsid w:val="00840199"/>
    <w:rsid w:val="0084044C"/>
    <w:rsid w:val="00840F1A"/>
    <w:rsid w:val="00841108"/>
    <w:rsid w:val="008418E0"/>
    <w:rsid w:val="00842418"/>
    <w:rsid w:val="0084252B"/>
    <w:rsid w:val="0084258D"/>
    <w:rsid w:val="00842F9F"/>
    <w:rsid w:val="00843358"/>
    <w:rsid w:val="0084373A"/>
    <w:rsid w:val="008437D7"/>
    <w:rsid w:val="00843C79"/>
    <w:rsid w:val="008445C8"/>
    <w:rsid w:val="00844EF7"/>
    <w:rsid w:val="00845484"/>
    <w:rsid w:val="008454FC"/>
    <w:rsid w:val="00845726"/>
    <w:rsid w:val="00845864"/>
    <w:rsid w:val="0084593D"/>
    <w:rsid w:val="00845A1D"/>
    <w:rsid w:val="00845B8D"/>
    <w:rsid w:val="00845EED"/>
    <w:rsid w:val="008464BE"/>
    <w:rsid w:val="00846895"/>
    <w:rsid w:val="00846932"/>
    <w:rsid w:val="00846E69"/>
    <w:rsid w:val="0084740A"/>
    <w:rsid w:val="00847451"/>
    <w:rsid w:val="00850088"/>
    <w:rsid w:val="008504B5"/>
    <w:rsid w:val="008504F9"/>
    <w:rsid w:val="00850B5D"/>
    <w:rsid w:val="00850B7C"/>
    <w:rsid w:val="00850E51"/>
    <w:rsid w:val="008511AF"/>
    <w:rsid w:val="00851653"/>
    <w:rsid w:val="00851896"/>
    <w:rsid w:val="00851BB3"/>
    <w:rsid w:val="00851EA9"/>
    <w:rsid w:val="0085206E"/>
    <w:rsid w:val="008521BD"/>
    <w:rsid w:val="00852241"/>
    <w:rsid w:val="00852B5A"/>
    <w:rsid w:val="00852BD9"/>
    <w:rsid w:val="00852C88"/>
    <w:rsid w:val="00852FAB"/>
    <w:rsid w:val="00853058"/>
    <w:rsid w:val="008532FA"/>
    <w:rsid w:val="00853B2F"/>
    <w:rsid w:val="00853D67"/>
    <w:rsid w:val="00854D1A"/>
    <w:rsid w:val="00855205"/>
    <w:rsid w:val="008553FD"/>
    <w:rsid w:val="0085549D"/>
    <w:rsid w:val="00855954"/>
    <w:rsid w:val="00856104"/>
    <w:rsid w:val="0085651D"/>
    <w:rsid w:val="008565E8"/>
    <w:rsid w:val="00856662"/>
    <w:rsid w:val="008568FE"/>
    <w:rsid w:val="00856C44"/>
    <w:rsid w:val="00856F4D"/>
    <w:rsid w:val="0085705B"/>
    <w:rsid w:val="008570C4"/>
    <w:rsid w:val="0085781B"/>
    <w:rsid w:val="008578F8"/>
    <w:rsid w:val="00857EA4"/>
    <w:rsid w:val="00860486"/>
    <w:rsid w:val="008614D9"/>
    <w:rsid w:val="00861C85"/>
    <w:rsid w:val="00861EE4"/>
    <w:rsid w:val="00861FB6"/>
    <w:rsid w:val="00862178"/>
    <w:rsid w:val="008621AC"/>
    <w:rsid w:val="0086232F"/>
    <w:rsid w:val="00862410"/>
    <w:rsid w:val="00862970"/>
    <w:rsid w:val="00862B46"/>
    <w:rsid w:val="008632B5"/>
    <w:rsid w:val="0086341F"/>
    <w:rsid w:val="00863DEB"/>
    <w:rsid w:val="008640A6"/>
    <w:rsid w:val="00864458"/>
    <w:rsid w:val="008644F7"/>
    <w:rsid w:val="00865442"/>
    <w:rsid w:val="0086566C"/>
    <w:rsid w:val="008656BD"/>
    <w:rsid w:val="00865EF3"/>
    <w:rsid w:val="00865F19"/>
    <w:rsid w:val="00866057"/>
    <w:rsid w:val="008660C1"/>
    <w:rsid w:val="00866335"/>
    <w:rsid w:val="00866858"/>
    <w:rsid w:val="008677D6"/>
    <w:rsid w:val="00867BAD"/>
    <w:rsid w:val="0087034C"/>
    <w:rsid w:val="00870568"/>
    <w:rsid w:val="0087098E"/>
    <w:rsid w:val="00871F49"/>
    <w:rsid w:val="00871FFF"/>
    <w:rsid w:val="008723C6"/>
    <w:rsid w:val="00872B4E"/>
    <w:rsid w:val="00872BE2"/>
    <w:rsid w:val="00872D80"/>
    <w:rsid w:val="00873311"/>
    <w:rsid w:val="008733D5"/>
    <w:rsid w:val="0087373E"/>
    <w:rsid w:val="00873B9C"/>
    <w:rsid w:val="00873BEF"/>
    <w:rsid w:val="00873F05"/>
    <w:rsid w:val="008755FC"/>
    <w:rsid w:val="00875710"/>
    <w:rsid w:val="008765E3"/>
    <w:rsid w:val="00876D4A"/>
    <w:rsid w:val="00876DE7"/>
    <w:rsid w:val="008773DC"/>
    <w:rsid w:val="0088001C"/>
    <w:rsid w:val="008804F1"/>
    <w:rsid w:val="00881302"/>
    <w:rsid w:val="0088166A"/>
    <w:rsid w:val="00881AA6"/>
    <w:rsid w:val="008823CD"/>
    <w:rsid w:val="00882403"/>
    <w:rsid w:val="0088251E"/>
    <w:rsid w:val="00882748"/>
    <w:rsid w:val="00882B66"/>
    <w:rsid w:val="00882C90"/>
    <w:rsid w:val="00882E8A"/>
    <w:rsid w:val="00882F80"/>
    <w:rsid w:val="0088346A"/>
    <w:rsid w:val="008835F8"/>
    <w:rsid w:val="00883B2D"/>
    <w:rsid w:val="00884794"/>
    <w:rsid w:val="00884CBE"/>
    <w:rsid w:val="00884F3A"/>
    <w:rsid w:val="00884F41"/>
    <w:rsid w:val="00884FC6"/>
    <w:rsid w:val="008855F4"/>
    <w:rsid w:val="00885F7C"/>
    <w:rsid w:val="00886121"/>
    <w:rsid w:val="00886482"/>
    <w:rsid w:val="0088718C"/>
    <w:rsid w:val="008871AB"/>
    <w:rsid w:val="00887D4B"/>
    <w:rsid w:val="0089030E"/>
    <w:rsid w:val="0089068D"/>
    <w:rsid w:val="00890851"/>
    <w:rsid w:val="00890B29"/>
    <w:rsid w:val="008912F5"/>
    <w:rsid w:val="00892307"/>
    <w:rsid w:val="00892316"/>
    <w:rsid w:val="00892635"/>
    <w:rsid w:val="008926E3"/>
    <w:rsid w:val="008928AC"/>
    <w:rsid w:val="00892DCA"/>
    <w:rsid w:val="00892E8B"/>
    <w:rsid w:val="00893024"/>
    <w:rsid w:val="00893626"/>
    <w:rsid w:val="0089375B"/>
    <w:rsid w:val="00893A69"/>
    <w:rsid w:val="00893CA5"/>
    <w:rsid w:val="00894170"/>
    <w:rsid w:val="0089448D"/>
    <w:rsid w:val="008955B4"/>
    <w:rsid w:val="00895687"/>
    <w:rsid w:val="008963B5"/>
    <w:rsid w:val="008973E3"/>
    <w:rsid w:val="00897777"/>
    <w:rsid w:val="00897912"/>
    <w:rsid w:val="008979D8"/>
    <w:rsid w:val="00897CE4"/>
    <w:rsid w:val="00897DA8"/>
    <w:rsid w:val="00897FA2"/>
    <w:rsid w:val="008A037F"/>
    <w:rsid w:val="008A0419"/>
    <w:rsid w:val="008A0F55"/>
    <w:rsid w:val="008A0FDD"/>
    <w:rsid w:val="008A121A"/>
    <w:rsid w:val="008A1B5C"/>
    <w:rsid w:val="008A1F65"/>
    <w:rsid w:val="008A1FF5"/>
    <w:rsid w:val="008A2327"/>
    <w:rsid w:val="008A259F"/>
    <w:rsid w:val="008A25AF"/>
    <w:rsid w:val="008A2E91"/>
    <w:rsid w:val="008A33D0"/>
    <w:rsid w:val="008A356E"/>
    <w:rsid w:val="008A37BB"/>
    <w:rsid w:val="008A37D1"/>
    <w:rsid w:val="008A3869"/>
    <w:rsid w:val="008A4328"/>
    <w:rsid w:val="008A4855"/>
    <w:rsid w:val="008A4EC2"/>
    <w:rsid w:val="008A5A9A"/>
    <w:rsid w:val="008A5ABE"/>
    <w:rsid w:val="008A5EA6"/>
    <w:rsid w:val="008A6C50"/>
    <w:rsid w:val="008A6CA9"/>
    <w:rsid w:val="008A73EF"/>
    <w:rsid w:val="008A74C5"/>
    <w:rsid w:val="008A79CD"/>
    <w:rsid w:val="008A79D6"/>
    <w:rsid w:val="008B0250"/>
    <w:rsid w:val="008B03AA"/>
    <w:rsid w:val="008B05B3"/>
    <w:rsid w:val="008B0EC0"/>
    <w:rsid w:val="008B0FC5"/>
    <w:rsid w:val="008B1331"/>
    <w:rsid w:val="008B141E"/>
    <w:rsid w:val="008B15FD"/>
    <w:rsid w:val="008B2280"/>
    <w:rsid w:val="008B298B"/>
    <w:rsid w:val="008B29B5"/>
    <w:rsid w:val="008B3063"/>
    <w:rsid w:val="008B30CF"/>
    <w:rsid w:val="008B48E6"/>
    <w:rsid w:val="008B4EFA"/>
    <w:rsid w:val="008B5285"/>
    <w:rsid w:val="008B57C4"/>
    <w:rsid w:val="008B58C0"/>
    <w:rsid w:val="008B59B4"/>
    <w:rsid w:val="008B638B"/>
    <w:rsid w:val="008B6594"/>
    <w:rsid w:val="008B65A4"/>
    <w:rsid w:val="008B67F3"/>
    <w:rsid w:val="008B69A0"/>
    <w:rsid w:val="008B6C56"/>
    <w:rsid w:val="008B6ED2"/>
    <w:rsid w:val="008B7068"/>
    <w:rsid w:val="008B7BFF"/>
    <w:rsid w:val="008C05D6"/>
    <w:rsid w:val="008C088C"/>
    <w:rsid w:val="008C094E"/>
    <w:rsid w:val="008C10E2"/>
    <w:rsid w:val="008C135E"/>
    <w:rsid w:val="008C15AE"/>
    <w:rsid w:val="008C1714"/>
    <w:rsid w:val="008C19B5"/>
    <w:rsid w:val="008C1EDC"/>
    <w:rsid w:val="008C210A"/>
    <w:rsid w:val="008C23A8"/>
    <w:rsid w:val="008C23C8"/>
    <w:rsid w:val="008C29B6"/>
    <w:rsid w:val="008C2ADE"/>
    <w:rsid w:val="008C31B3"/>
    <w:rsid w:val="008C3349"/>
    <w:rsid w:val="008C3428"/>
    <w:rsid w:val="008C3750"/>
    <w:rsid w:val="008C3998"/>
    <w:rsid w:val="008C3C2C"/>
    <w:rsid w:val="008C422C"/>
    <w:rsid w:val="008C4E6F"/>
    <w:rsid w:val="008C5477"/>
    <w:rsid w:val="008C59FD"/>
    <w:rsid w:val="008C5A6D"/>
    <w:rsid w:val="008C5C07"/>
    <w:rsid w:val="008C5E09"/>
    <w:rsid w:val="008C5F95"/>
    <w:rsid w:val="008C6325"/>
    <w:rsid w:val="008C672F"/>
    <w:rsid w:val="008C67A2"/>
    <w:rsid w:val="008C6ED1"/>
    <w:rsid w:val="008C6FA2"/>
    <w:rsid w:val="008C73A5"/>
    <w:rsid w:val="008C7972"/>
    <w:rsid w:val="008D00CF"/>
    <w:rsid w:val="008D01F7"/>
    <w:rsid w:val="008D0309"/>
    <w:rsid w:val="008D054D"/>
    <w:rsid w:val="008D07CF"/>
    <w:rsid w:val="008D09CB"/>
    <w:rsid w:val="008D1CD4"/>
    <w:rsid w:val="008D1CDC"/>
    <w:rsid w:val="008D1D05"/>
    <w:rsid w:val="008D20B6"/>
    <w:rsid w:val="008D21EF"/>
    <w:rsid w:val="008D2820"/>
    <w:rsid w:val="008D287E"/>
    <w:rsid w:val="008D290D"/>
    <w:rsid w:val="008D33F2"/>
    <w:rsid w:val="008D3AC5"/>
    <w:rsid w:val="008D40CB"/>
    <w:rsid w:val="008D482B"/>
    <w:rsid w:val="008D4D2D"/>
    <w:rsid w:val="008D4D71"/>
    <w:rsid w:val="008D5154"/>
    <w:rsid w:val="008D5194"/>
    <w:rsid w:val="008D58D3"/>
    <w:rsid w:val="008D59A5"/>
    <w:rsid w:val="008D5EDB"/>
    <w:rsid w:val="008D62B0"/>
    <w:rsid w:val="008D6737"/>
    <w:rsid w:val="008D69C8"/>
    <w:rsid w:val="008D6AF9"/>
    <w:rsid w:val="008D72AA"/>
    <w:rsid w:val="008D756C"/>
    <w:rsid w:val="008D7E34"/>
    <w:rsid w:val="008E0C21"/>
    <w:rsid w:val="008E0F91"/>
    <w:rsid w:val="008E15FB"/>
    <w:rsid w:val="008E1953"/>
    <w:rsid w:val="008E1E63"/>
    <w:rsid w:val="008E2150"/>
    <w:rsid w:val="008E2769"/>
    <w:rsid w:val="008E2793"/>
    <w:rsid w:val="008E3927"/>
    <w:rsid w:val="008E3DB0"/>
    <w:rsid w:val="008E4458"/>
    <w:rsid w:val="008E4B78"/>
    <w:rsid w:val="008E4C00"/>
    <w:rsid w:val="008E4C9D"/>
    <w:rsid w:val="008E4D64"/>
    <w:rsid w:val="008E4EA0"/>
    <w:rsid w:val="008E527E"/>
    <w:rsid w:val="008E52F5"/>
    <w:rsid w:val="008E5490"/>
    <w:rsid w:val="008E55EF"/>
    <w:rsid w:val="008E5EE0"/>
    <w:rsid w:val="008E638F"/>
    <w:rsid w:val="008E660E"/>
    <w:rsid w:val="008E69FD"/>
    <w:rsid w:val="008E7724"/>
    <w:rsid w:val="008E7ABD"/>
    <w:rsid w:val="008F051A"/>
    <w:rsid w:val="008F0ACF"/>
    <w:rsid w:val="008F0CAB"/>
    <w:rsid w:val="008F0EE2"/>
    <w:rsid w:val="008F165D"/>
    <w:rsid w:val="008F197D"/>
    <w:rsid w:val="008F1A8C"/>
    <w:rsid w:val="008F27B2"/>
    <w:rsid w:val="008F2B2A"/>
    <w:rsid w:val="008F2E2C"/>
    <w:rsid w:val="008F311D"/>
    <w:rsid w:val="008F32B1"/>
    <w:rsid w:val="008F3741"/>
    <w:rsid w:val="008F37E5"/>
    <w:rsid w:val="008F3843"/>
    <w:rsid w:val="008F3CE3"/>
    <w:rsid w:val="008F49EA"/>
    <w:rsid w:val="008F5087"/>
    <w:rsid w:val="008F5113"/>
    <w:rsid w:val="008F524E"/>
    <w:rsid w:val="008F525B"/>
    <w:rsid w:val="008F540D"/>
    <w:rsid w:val="008F5E1E"/>
    <w:rsid w:val="008F6382"/>
    <w:rsid w:val="008F63D7"/>
    <w:rsid w:val="008F6D4F"/>
    <w:rsid w:val="008F6EAD"/>
    <w:rsid w:val="008F6F6E"/>
    <w:rsid w:val="008F710B"/>
    <w:rsid w:val="008F77EB"/>
    <w:rsid w:val="008F7F91"/>
    <w:rsid w:val="00900043"/>
    <w:rsid w:val="00900E3C"/>
    <w:rsid w:val="009012C5"/>
    <w:rsid w:val="0090157A"/>
    <w:rsid w:val="00901B2D"/>
    <w:rsid w:val="00901BF3"/>
    <w:rsid w:val="00901C3C"/>
    <w:rsid w:val="009020EE"/>
    <w:rsid w:val="00902185"/>
    <w:rsid w:val="009021E2"/>
    <w:rsid w:val="00902363"/>
    <w:rsid w:val="0090258B"/>
    <w:rsid w:val="00902672"/>
    <w:rsid w:val="009027BC"/>
    <w:rsid w:val="009027D1"/>
    <w:rsid w:val="00902892"/>
    <w:rsid w:val="00902A04"/>
    <w:rsid w:val="00902D01"/>
    <w:rsid w:val="00903328"/>
    <w:rsid w:val="00903B79"/>
    <w:rsid w:val="00903E87"/>
    <w:rsid w:val="0090441B"/>
    <w:rsid w:val="009045BD"/>
    <w:rsid w:val="009046CF"/>
    <w:rsid w:val="00904B0C"/>
    <w:rsid w:val="00904C46"/>
    <w:rsid w:val="00905116"/>
    <w:rsid w:val="00905405"/>
    <w:rsid w:val="0090554F"/>
    <w:rsid w:val="00905C61"/>
    <w:rsid w:val="00905F94"/>
    <w:rsid w:val="00906333"/>
    <w:rsid w:val="009069FB"/>
    <w:rsid w:val="009073B6"/>
    <w:rsid w:val="0090745C"/>
    <w:rsid w:val="00907558"/>
    <w:rsid w:val="0090784F"/>
    <w:rsid w:val="00907E1C"/>
    <w:rsid w:val="00907E1F"/>
    <w:rsid w:val="00910DBD"/>
    <w:rsid w:val="00910E1B"/>
    <w:rsid w:val="0091145D"/>
    <w:rsid w:val="0091151A"/>
    <w:rsid w:val="00911C8A"/>
    <w:rsid w:val="00912008"/>
    <w:rsid w:val="00912847"/>
    <w:rsid w:val="00912E2B"/>
    <w:rsid w:val="00913246"/>
    <w:rsid w:val="0091387E"/>
    <w:rsid w:val="0091414C"/>
    <w:rsid w:val="00914639"/>
    <w:rsid w:val="00915118"/>
    <w:rsid w:val="0091527C"/>
    <w:rsid w:val="00915472"/>
    <w:rsid w:val="00916173"/>
    <w:rsid w:val="00916BD8"/>
    <w:rsid w:val="00920840"/>
    <w:rsid w:val="00920A01"/>
    <w:rsid w:val="00920DDD"/>
    <w:rsid w:val="00920EED"/>
    <w:rsid w:val="00921C63"/>
    <w:rsid w:val="00922335"/>
    <w:rsid w:val="00922BD3"/>
    <w:rsid w:val="00922CD3"/>
    <w:rsid w:val="00922E5C"/>
    <w:rsid w:val="0092334C"/>
    <w:rsid w:val="009236B0"/>
    <w:rsid w:val="00923D0B"/>
    <w:rsid w:val="00924052"/>
    <w:rsid w:val="0092420F"/>
    <w:rsid w:val="0092470B"/>
    <w:rsid w:val="00924D57"/>
    <w:rsid w:val="00924DD9"/>
    <w:rsid w:val="00924DE2"/>
    <w:rsid w:val="00924EC1"/>
    <w:rsid w:val="00925003"/>
    <w:rsid w:val="00925487"/>
    <w:rsid w:val="0092635E"/>
    <w:rsid w:val="00926A08"/>
    <w:rsid w:val="00926BD7"/>
    <w:rsid w:val="00926D64"/>
    <w:rsid w:val="00927088"/>
    <w:rsid w:val="009276F9"/>
    <w:rsid w:val="009277C7"/>
    <w:rsid w:val="00930671"/>
    <w:rsid w:val="00930C97"/>
    <w:rsid w:val="00930D04"/>
    <w:rsid w:val="00931579"/>
    <w:rsid w:val="00931A6E"/>
    <w:rsid w:val="00931A76"/>
    <w:rsid w:val="00933675"/>
    <w:rsid w:val="00933C39"/>
    <w:rsid w:val="00933DE1"/>
    <w:rsid w:val="00933E5F"/>
    <w:rsid w:val="0093413C"/>
    <w:rsid w:val="0093434A"/>
    <w:rsid w:val="00934CA4"/>
    <w:rsid w:val="00935317"/>
    <w:rsid w:val="00936211"/>
    <w:rsid w:val="0093683B"/>
    <w:rsid w:val="00936C9D"/>
    <w:rsid w:val="009372A7"/>
    <w:rsid w:val="0093780A"/>
    <w:rsid w:val="0094086B"/>
    <w:rsid w:val="00940A33"/>
    <w:rsid w:val="00941534"/>
    <w:rsid w:val="00941E44"/>
    <w:rsid w:val="00941F38"/>
    <w:rsid w:val="0094264B"/>
    <w:rsid w:val="00942AB6"/>
    <w:rsid w:val="00942F20"/>
    <w:rsid w:val="00943381"/>
    <w:rsid w:val="00943F62"/>
    <w:rsid w:val="009441CA"/>
    <w:rsid w:val="00944D3D"/>
    <w:rsid w:val="00945101"/>
    <w:rsid w:val="00945DFE"/>
    <w:rsid w:val="00945FBD"/>
    <w:rsid w:val="00946886"/>
    <w:rsid w:val="009468C4"/>
    <w:rsid w:val="009470EA"/>
    <w:rsid w:val="0094712B"/>
    <w:rsid w:val="00947B2E"/>
    <w:rsid w:val="00947B5A"/>
    <w:rsid w:val="00947CB6"/>
    <w:rsid w:val="00947CD7"/>
    <w:rsid w:val="0095117F"/>
    <w:rsid w:val="009514FC"/>
    <w:rsid w:val="00951558"/>
    <w:rsid w:val="009515E4"/>
    <w:rsid w:val="00951DA2"/>
    <w:rsid w:val="009523F2"/>
    <w:rsid w:val="00952BC6"/>
    <w:rsid w:val="00953A6C"/>
    <w:rsid w:val="00954400"/>
    <w:rsid w:val="009549B2"/>
    <w:rsid w:val="00954C91"/>
    <w:rsid w:val="00954D53"/>
    <w:rsid w:val="00955255"/>
    <w:rsid w:val="009559D8"/>
    <w:rsid w:val="00955CCF"/>
    <w:rsid w:val="009562F5"/>
    <w:rsid w:val="0095680B"/>
    <w:rsid w:val="009570EC"/>
    <w:rsid w:val="009570F9"/>
    <w:rsid w:val="0095731C"/>
    <w:rsid w:val="00957992"/>
    <w:rsid w:val="00957CFF"/>
    <w:rsid w:val="00957E4C"/>
    <w:rsid w:val="00960A4C"/>
    <w:rsid w:val="00960AE8"/>
    <w:rsid w:val="00960D4D"/>
    <w:rsid w:val="0096127A"/>
    <w:rsid w:val="009613A9"/>
    <w:rsid w:val="009614B8"/>
    <w:rsid w:val="00961586"/>
    <w:rsid w:val="009620CA"/>
    <w:rsid w:val="0096276D"/>
    <w:rsid w:val="00962C1C"/>
    <w:rsid w:val="00962FA9"/>
    <w:rsid w:val="00963111"/>
    <w:rsid w:val="00963EDF"/>
    <w:rsid w:val="00963F6D"/>
    <w:rsid w:val="00964288"/>
    <w:rsid w:val="0096479A"/>
    <w:rsid w:val="00964DC3"/>
    <w:rsid w:val="00964F02"/>
    <w:rsid w:val="00965947"/>
    <w:rsid w:val="009659CA"/>
    <w:rsid w:val="00965B84"/>
    <w:rsid w:val="00965C99"/>
    <w:rsid w:val="00966232"/>
    <w:rsid w:val="009665EE"/>
    <w:rsid w:val="0096662F"/>
    <w:rsid w:val="009667E2"/>
    <w:rsid w:val="00966BEF"/>
    <w:rsid w:val="00966D24"/>
    <w:rsid w:val="009673D8"/>
    <w:rsid w:val="00967966"/>
    <w:rsid w:val="00967A88"/>
    <w:rsid w:val="00967BD9"/>
    <w:rsid w:val="00967CDA"/>
    <w:rsid w:val="00967D26"/>
    <w:rsid w:val="00967FD2"/>
    <w:rsid w:val="0097039C"/>
    <w:rsid w:val="0097055B"/>
    <w:rsid w:val="009705E7"/>
    <w:rsid w:val="00970669"/>
    <w:rsid w:val="00970AE6"/>
    <w:rsid w:val="00970F7D"/>
    <w:rsid w:val="00971202"/>
    <w:rsid w:val="00971522"/>
    <w:rsid w:val="009716AA"/>
    <w:rsid w:val="009716AD"/>
    <w:rsid w:val="00971E14"/>
    <w:rsid w:val="00972945"/>
    <w:rsid w:val="00972F41"/>
    <w:rsid w:val="00973AC1"/>
    <w:rsid w:val="0097471E"/>
    <w:rsid w:val="00974AF3"/>
    <w:rsid w:val="00974E42"/>
    <w:rsid w:val="00975247"/>
    <w:rsid w:val="00975BEC"/>
    <w:rsid w:val="009768DF"/>
    <w:rsid w:val="00976B1B"/>
    <w:rsid w:val="00976CF7"/>
    <w:rsid w:val="0097722E"/>
    <w:rsid w:val="009772CD"/>
    <w:rsid w:val="00977A4F"/>
    <w:rsid w:val="00977FB0"/>
    <w:rsid w:val="00980497"/>
    <w:rsid w:val="0098060F"/>
    <w:rsid w:val="009807D1"/>
    <w:rsid w:val="00981BC8"/>
    <w:rsid w:val="00981DED"/>
    <w:rsid w:val="00982412"/>
    <w:rsid w:val="00982841"/>
    <w:rsid w:val="00983D17"/>
    <w:rsid w:val="00983F5F"/>
    <w:rsid w:val="00984123"/>
    <w:rsid w:val="009843CC"/>
    <w:rsid w:val="00984D94"/>
    <w:rsid w:val="00984E35"/>
    <w:rsid w:val="0098542E"/>
    <w:rsid w:val="009858E4"/>
    <w:rsid w:val="0098591E"/>
    <w:rsid w:val="00985A63"/>
    <w:rsid w:val="009865DD"/>
    <w:rsid w:val="0098695C"/>
    <w:rsid w:val="00986E8C"/>
    <w:rsid w:val="009870CA"/>
    <w:rsid w:val="00987543"/>
    <w:rsid w:val="00987587"/>
    <w:rsid w:val="00987871"/>
    <w:rsid w:val="00987F15"/>
    <w:rsid w:val="00990CB6"/>
    <w:rsid w:val="00991047"/>
    <w:rsid w:val="009910E3"/>
    <w:rsid w:val="00991546"/>
    <w:rsid w:val="00991CEB"/>
    <w:rsid w:val="00991D24"/>
    <w:rsid w:val="009922C7"/>
    <w:rsid w:val="00992363"/>
    <w:rsid w:val="009927C5"/>
    <w:rsid w:val="00992B73"/>
    <w:rsid w:val="00992DFF"/>
    <w:rsid w:val="00993357"/>
    <w:rsid w:val="009938FB"/>
    <w:rsid w:val="00993CAB"/>
    <w:rsid w:val="00993F10"/>
    <w:rsid w:val="009954AD"/>
    <w:rsid w:val="00995986"/>
    <w:rsid w:val="00995B93"/>
    <w:rsid w:val="00995BD0"/>
    <w:rsid w:val="00995C3B"/>
    <w:rsid w:val="009968CB"/>
    <w:rsid w:val="00996B1B"/>
    <w:rsid w:val="00996D85"/>
    <w:rsid w:val="009972AE"/>
    <w:rsid w:val="00997586"/>
    <w:rsid w:val="00997646"/>
    <w:rsid w:val="009A02E1"/>
    <w:rsid w:val="009A03AC"/>
    <w:rsid w:val="009A064E"/>
    <w:rsid w:val="009A092F"/>
    <w:rsid w:val="009A0AFF"/>
    <w:rsid w:val="009A0FE8"/>
    <w:rsid w:val="009A0FED"/>
    <w:rsid w:val="009A0FF6"/>
    <w:rsid w:val="009A1121"/>
    <w:rsid w:val="009A164C"/>
    <w:rsid w:val="009A1E74"/>
    <w:rsid w:val="009A1EF4"/>
    <w:rsid w:val="009A2254"/>
    <w:rsid w:val="009A26EF"/>
    <w:rsid w:val="009A2940"/>
    <w:rsid w:val="009A2A46"/>
    <w:rsid w:val="009A3130"/>
    <w:rsid w:val="009A3472"/>
    <w:rsid w:val="009A377B"/>
    <w:rsid w:val="009A3C48"/>
    <w:rsid w:val="009A41BD"/>
    <w:rsid w:val="009A4AC0"/>
    <w:rsid w:val="009A4CDF"/>
    <w:rsid w:val="009A5523"/>
    <w:rsid w:val="009A56C0"/>
    <w:rsid w:val="009A6393"/>
    <w:rsid w:val="009A665E"/>
    <w:rsid w:val="009A6B5C"/>
    <w:rsid w:val="009A6D14"/>
    <w:rsid w:val="009A72DB"/>
    <w:rsid w:val="009A7415"/>
    <w:rsid w:val="009A7541"/>
    <w:rsid w:val="009A7677"/>
    <w:rsid w:val="009A78DB"/>
    <w:rsid w:val="009A7904"/>
    <w:rsid w:val="009A7B5D"/>
    <w:rsid w:val="009A7C12"/>
    <w:rsid w:val="009A7C8C"/>
    <w:rsid w:val="009B0703"/>
    <w:rsid w:val="009B07BA"/>
    <w:rsid w:val="009B090B"/>
    <w:rsid w:val="009B0A21"/>
    <w:rsid w:val="009B0B42"/>
    <w:rsid w:val="009B0F4A"/>
    <w:rsid w:val="009B152B"/>
    <w:rsid w:val="009B2442"/>
    <w:rsid w:val="009B269A"/>
    <w:rsid w:val="009B2809"/>
    <w:rsid w:val="009B3B13"/>
    <w:rsid w:val="009B3BDF"/>
    <w:rsid w:val="009B410F"/>
    <w:rsid w:val="009B41CA"/>
    <w:rsid w:val="009B4284"/>
    <w:rsid w:val="009B4985"/>
    <w:rsid w:val="009B4E6E"/>
    <w:rsid w:val="009B510C"/>
    <w:rsid w:val="009B5369"/>
    <w:rsid w:val="009B56CE"/>
    <w:rsid w:val="009B59BC"/>
    <w:rsid w:val="009B5B75"/>
    <w:rsid w:val="009B6073"/>
    <w:rsid w:val="009B6904"/>
    <w:rsid w:val="009B696D"/>
    <w:rsid w:val="009B700C"/>
    <w:rsid w:val="009B7104"/>
    <w:rsid w:val="009B7BC6"/>
    <w:rsid w:val="009C0123"/>
    <w:rsid w:val="009C0A74"/>
    <w:rsid w:val="009C0A95"/>
    <w:rsid w:val="009C0C9A"/>
    <w:rsid w:val="009C0D05"/>
    <w:rsid w:val="009C101B"/>
    <w:rsid w:val="009C1B8D"/>
    <w:rsid w:val="009C1C21"/>
    <w:rsid w:val="009C2D21"/>
    <w:rsid w:val="009C348E"/>
    <w:rsid w:val="009C363B"/>
    <w:rsid w:val="009C3C62"/>
    <w:rsid w:val="009C46CD"/>
    <w:rsid w:val="009C4E65"/>
    <w:rsid w:val="009C52E2"/>
    <w:rsid w:val="009C560D"/>
    <w:rsid w:val="009C5DA7"/>
    <w:rsid w:val="009C62A9"/>
    <w:rsid w:val="009C69CF"/>
    <w:rsid w:val="009C69EA"/>
    <w:rsid w:val="009C6D9C"/>
    <w:rsid w:val="009C6F9F"/>
    <w:rsid w:val="009C7036"/>
    <w:rsid w:val="009C7166"/>
    <w:rsid w:val="009C73DC"/>
    <w:rsid w:val="009C773F"/>
    <w:rsid w:val="009C77E2"/>
    <w:rsid w:val="009D12AE"/>
    <w:rsid w:val="009D13FA"/>
    <w:rsid w:val="009D1761"/>
    <w:rsid w:val="009D17C0"/>
    <w:rsid w:val="009D1C81"/>
    <w:rsid w:val="009D2677"/>
    <w:rsid w:val="009D2825"/>
    <w:rsid w:val="009D344F"/>
    <w:rsid w:val="009D3F6F"/>
    <w:rsid w:val="009D402B"/>
    <w:rsid w:val="009D461C"/>
    <w:rsid w:val="009D4678"/>
    <w:rsid w:val="009D4959"/>
    <w:rsid w:val="009D520F"/>
    <w:rsid w:val="009D5235"/>
    <w:rsid w:val="009D59B8"/>
    <w:rsid w:val="009D5AA8"/>
    <w:rsid w:val="009D5DE8"/>
    <w:rsid w:val="009D5EF1"/>
    <w:rsid w:val="009D6289"/>
    <w:rsid w:val="009D66F0"/>
    <w:rsid w:val="009D77C7"/>
    <w:rsid w:val="009D7800"/>
    <w:rsid w:val="009D784F"/>
    <w:rsid w:val="009D78AA"/>
    <w:rsid w:val="009D7A50"/>
    <w:rsid w:val="009D7B6E"/>
    <w:rsid w:val="009E0A87"/>
    <w:rsid w:val="009E0B10"/>
    <w:rsid w:val="009E0C65"/>
    <w:rsid w:val="009E0E25"/>
    <w:rsid w:val="009E11FF"/>
    <w:rsid w:val="009E1455"/>
    <w:rsid w:val="009E1493"/>
    <w:rsid w:val="009E17C5"/>
    <w:rsid w:val="009E1AFD"/>
    <w:rsid w:val="009E2548"/>
    <w:rsid w:val="009E276C"/>
    <w:rsid w:val="009E2799"/>
    <w:rsid w:val="009E2BF1"/>
    <w:rsid w:val="009E2D7E"/>
    <w:rsid w:val="009E3193"/>
    <w:rsid w:val="009E34DB"/>
    <w:rsid w:val="009E3945"/>
    <w:rsid w:val="009E39D9"/>
    <w:rsid w:val="009E4340"/>
    <w:rsid w:val="009E464D"/>
    <w:rsid w:val="009E4EB2"/>
    <w:rsid w:val="009E4FE1"/>
    <w:rsid w:val="009E5024"/>
    <w:rsid w:val="009E53F4"/>
    <w:rsid w:val="009E559A"/>
    <w:rsid w:val="009E565A"/>
    <w:rsid w:val="009E571E"/>
    <w:rsid w:val="009E578E"/>
    <w:rsid w:val="009E5A0E"/>
    <w:rsid w:val="009E5A59"/>
    <w:rsid w:val="009E5FD1"/>
    <w:rsid w:val="009E6184"/>
    <w:rsid w:val="009E6628"/>
    <w:rsid w:val="009E6B23"/>
    <w:rsid w:val="009E6C48"/>
    <w:rsid w:val="009E6C7F"/>
    <w:rsid w:val="009E6E6A"/>
    <w:rsid w:val="009E7DAA"/>
    <w:rsid w:val="009F045D"/>
    <w:rsid w:val="009F0602"/>
    <w:rsid w:val="009F0F2D"/>
    <w:rsid w:val="009F10E8"/>
    <w:rsid w:val="009F1188"/>
    <w:rsid w:val="009F11AF"/>
    <w:rsid w:val="009F163F"/>
    <w:rsid w:val="009F1770"/>
    <w:rsid w:val="009F208B"/>
    <w:rsid w:val="009F21D3"/>
    <w:rsid w:val="009F2643"/>
    <w:rsid w:val="009F2C3D"/>
    <w:rsid w:val="009F2C95"/>
    <w:rsid w:val="009F3549"/>
    <w:rsid w:val="009F3B2A"/>
    <w:rsid w:val="009F4174"/>
    <w:rsid w:val="009F4179"/>
    <w:rsid w:val="009F4268"/>
    <w:rsid w:val="009F4B21"/>
    <w:rsid w:val="009F4C88"/>
    <w:rsid w:val="009F4ED0"/>
    <w:rsid w:val="009F540B"/>
    <w:rsid w:val="009F57EA"/>
    <w:rsid w:val="009F69CD"/>
    <w:rsid w:val="009F6C14"/>
    <w:rsid w:val="009F6F60"/>
    <w:rsid w:val="009F7022"/>
    <w:rsid w:val="009F7352"/>
    <w:rsid w:val="00A00317"/>
    <w:rsid w:val="00A0051B"/>
    <w:rsid w:val="00A00701"/>
    <w:rsid w:val="00A00EE1"/>
    <w:rsid w:val="00A00F0D"/>
    <w:rsid w:val="00A01283"/>
    <w:rsid w:val="00A01416"/>
    <w:rsid w:val="00A017E9"/>
    <w:rsid w:val="00A01C22"/>
    <w:rsid w:val="00A01D4D"/>
    <w:rsid w:val="00A02502"/>
    <w:rsid w:val="00A0257E"/>
    <w:rsid w:val="00A0298D"/>
    <w:rsid w:val="00A031DB"/>
    <w:rsid w:val="00A0342B"/>
    <w:rsid w:val="00A038FA"/>
    <w:rsid w:val="00A03968"/>
    <w:rsid w:val="00A03AF2"/>
    <w:rsid w:val="00A03C42"/>
    <w:rsid w:val="00A03C5A"/>
    <w:rsid w:val="00A03D15"/>
    <w:rsid w:val="00A040DE"/>
    <w:rsid w:val="00A047D1"/>
    <w:rsid w:val="00A04851"/>
    <w:rsid w:val="00A04F1F"/>
    <w:rsid w:val="00A0501C"/>
    <w:rsid w:val="00A05204"/>
    <w:rsid w:val="00A052B0"/>
    <w:rsid w:val="00A05A70"/>
    <w:rsid w:val="00A0625B"/>
    <w:rsid w:val="00A062E3"/>
    <w:rsid w:val="00A0656F"/>
    <w:rsid w:val="00A06832"/>
    <w:rsid w:val="00A06CD0"/>
    <w:rsid w:val="00A06D6E"/>
    <w:rsid w:val="00A06DB2"/>
    <w:rsid w:val="00A0700D"/>
    <w:rsid w:val="00A0704D"/>
    <w:rsid w:val="00A075A2"/>
    <w:rsid w:val="00A07AD1"/>
    <w:rsid w:val="00A105A8"/>
    <w:rsid w:val="00A10E44"/>
    <w:rsid w:val="00A10F6F"/>
    <w:rsid w:val="00A10FD1"/>
    <w:rsid w:val="00A1102C"/>
    <w:rsid w:val="00A1105F"/>
    <w:rsid w:val="00A1129D"/>
    <w:rsid w:val="00A119E2"/>
    <w:rsid w:val="00A11AE8"/>
    <w:rsid w:val="00A1217B"/>
    <w:rsid w:val="00A12AA2"/>
    <w:rsid w:val="00A12D6A"/>
    <w:rsid w:val="00A12F67"/>
    <w:rsid w:val="00A13760"/>
    <w:rsid w:val="00A145DD"/>
    <w:rsid w:val="00A14B13"/>
    <w:rsid w:val="00A14FE3"/>
    <w:rsid w:val="00A1501C"/>
    <w:rsid w:val="00A161C7"/>
    <w:rsid w:val="00A16398"/>
    <w:rsid w:val="00A1640F"/>
    <w:rsid w:val="00A16680"/>
    <w:rsid w:val="00A1768D"/>
    <w:rsid w:val="00A176F8"/>
    <w:rsid w:val="00A17968"/>
    <w:rsid w:val="00A17F63"/>
    <w:rsid w:val="00A20EA2"/>
    <w:rsid w:val="00A21206"/>
    <w:rsid w:val="00A21310"/>
    <w:rsid w:val="00A21B7F"/>
    <w:rsid w:val="00A22017"/>
    <w:rsid w:val="00A22406"/>
    <w:rsid w:val="00A226D4"/>
    <w:rsid w:val="00A22FFC"/>
    <w:rsid w:val="00A23434"/>
    <w:rsid w:val="00A236B7"/>
    <w:rsid w:val="00A2499F"/>
    <w:rsid w:val="00A24A3C"/>
    <w:rsid w:val="00A24DB8"/>
    <w:rsid w:val="00A25112"/>
    <w:rsid w:val="00A2597F"/>
    <w:rsid w:val="00A25A17"/>
    <w:rsid w:val="00A25D40"/>
    <w:rsid w:val="00A25E1A"/>
    <w:rsid w:val="00A25E55"/>
    <w:rsid w:val="00A25FD3"/>
    <w:rsid w:val="00A26303"/>
    <w:rsid w:val="00A26CAF"/>
    <w:rsid w:val="00A27550"/>
    <w:rsid w:val="00A27933"/>
    <w:rsid w:val="00A279AA"/>
    <w:rsid w:val="00A300CB"/>
    <w:rsid w:val="00A3109A"/>
    <w:rsid w:val="00A31292"/>
    <w:rsid w:val="00A312A8"/>
    <w:rsid w:val="00A313B0"/>
    <w:rsid w:val="00A31827"/>
    <w:rsid w:val="00A319A9"/>
    <w:rsid w:val="00A32361"/>
    <w:rsid w:val="00A32866"/>
    <w:rsid w:val="00A328D2"/>
    <w:rsid w:val="00A32B36"/>
    <w:rsid w:val="00A32D60"/>
    <w:rsid w:val="00A32E7B"/>
    <w:rsid w:val="00A330AB"/>
    <w:rsid w:val="00A345D4"/>
    <w:rsid w:val="00A3476A"/>
    <w:rsid w:val="00A3492B"/>
    <w:rsid w:val="00A3551A"/>
    <w:rsid w:val="00A35B58"/>
    <w:rsid w:val="00A35D73"/>
    <w:rsid w:val="00A360D6"/>
    <w:rsid w:val="00A36609"/>
    <w:rsid w:val="00A36BFB"/>
    <w:rsid w:val="00A37784"/>
    <w:rsid w:val="00A3791E"/>
    <w:rsid w:val="00A37C20"/>
    <w:rsid w:val="00A37E88"/>
    <w:rsid w:val="00A40683"/>
    <w:rsid w:val="00A407D8"/>
    <w:rsid w:val="00A413E9"/>
    <w:rsid w:val="00A417E8"/>
    <w:rsid w:val="00A4190F"/>
    <w:rsid w:val="00A41A18"/>
    <w:rsid w:val="00A41AA5"/>
    <w:rsid w:val="00A41FC4"/>
    <w:rsid w:val="00A42438"/>
    <w:rsid w:val="00A424BD"/>
    <w:rsid w:val="00A42529"/>
    <w:rsid w:val="00A42DE4"/>
    <w:rsid w:val="00A43EDB"/>
    <w:rsid w:val="00A43F3E"/>
    <w:rsid w:val="00A442EF"/>
    <w:rsid w:val="00A4448B"/>
    <w:rsid w:val="00A44F45"/>
    <w:rsid w:val="00A452A2"/>
    <w:rsid w:val="00A4539E"/>
    <w:rsid w:val="00A45A93"/>
    <w:rsid w:val="00A45C4C"/>
    <w:rsid w:val="00A460A6"/>
    <w:rsid w:val="00A4630E"/>
    <w:rsid w:val="00A46491"/>
    <w:rsid w:val="00A469F8"/>
    <w:rsid w:val="00A46A60"/>
    <w:rsid w:val="00A46D7C"/>
    <w:rsid w:val="00A46EF3"/>
    <w:rsid w:val="00A47163"/>
    <w:rsid w:val="00A4716A"/>
    <w:rsid w:val="00A47326"/>
    <w:rsid w:val="00A47D23"/>
    <w:rsid w:val="00A47DA0"/>
    <w:rsid w:val="00A501D9"/>
    <w:rsid w:val="00A502C7"/>
    <w:rsid w:val="00A50773"/>
    <w:rsid w:val="00A50C5B"/>
    <w:rsid w:val="00A50D93"/>
    <w:rsid w:val="00A50E7F"/>
    <w:rsid w:val="00A5112B"/>
    <w:rsid w:val="00A518D5"/>
    <w:rsid w:val="00A51ED3"/>
    <w:rsid w:val="00A521BE"/>
    <w:rsid w:val="00A5221A"/>
    <w:rsid w:val="00A52AD1"/>
    <w:rsid w:val="00A52C6A"/>
    <w:rsid w:val="00A53259"/>
    <w:rsid w:val="00A534CB"/>
    <w:rsid w:val="00A53965"/>
    <w:rsid w:val="00A53D85"/>
    <w:rsid w:val="00A5436E"/>
    <w:rsid w:val="00A54685"/>
    <w:rsid w:val="00A548A7"/>
    <w:rsid w:val="00A549A3"/>
    <w:rsid w:val="00A54B5F"/>
    <w:rsid w:val="00A54F29"/>
    <w:rsid w:val="00A55275"/>
    <w:rsid w:val="00A5536F"/>
    <w:rsid w:val="00A55D6A"/>
    <w:rsid w:val="00A55EB1"/>
    <w:rsid w:val="00A563AE"/>
    <w:rsid w:val="00A56A32"/>
    <w:rsid w:val="00A57431"/>
    <w:rsid w:val="00A574D8"/>
    <w:rsid w:val="00A57A4A"/>
    <w:rsid w:val="00A57B01"/>
    <w:rsid w:val="00A57DA1"/>
    <w:rsid w:val="00A603AF"/>
    <w:rsid w:val="00A60785"/>
    <w:rsid w:val="00A60B0B"/>
    <w:rsid w:val="00A61317"/>
    <w:rsid w:val="00A61EE9"/>
    <w:rsid w:val="00A6212B"/>
    <w:rsid w:val="00A624D3"/>
    <w:rsid w:val="00A626F2"/>
    <w:rsid w:val="00A62AC5"/>
    <w:rsid w:val="00A62BBE"/>
    <w:rsid w:val="00A63045"/>
    <w:rsid w:val="00A6384B"/>
    <w:rsid w:val="00A63A9E"/>
    <w:rsid w:val="00A63C95"/>
    <w:rsid w:val="00A63E72"/>
    <w:rsid w:val="00A64A88"/>
    <w:rsid w:val="00A653A0"/>
    <w:rsid w:val="00A655EE"/>
    <w:rsid w:val="00A6580D"/>
    <w:rsid w:val="00A659B8"/>
    <w:rsid w:val="00A65F23"/>
    <w:rsid w:val="00A65FC0"/>
    <w:rsid w:val="00A661A4"/>
    <w:rsid w:val="00A6653E"/>
    <w:rsid w:val="00A66663"/>
    <w:rsid w:val="00A66A57"/>
    <w:rsid w:val="00A671A1"/>
    <w:rsid w:val="00A6758D"/>
    <w:rsid w:val="00A706F4"/>
    <w:rsid w:val="00A71B8A"/>
    <w:rsid w:val="00A71BB5"/>
    <w:rsid w:val="00A72109"/>
    <w:rsid w:val="00A732B0"/>
    <w:rsid w:val="00A737A1"/>
    <w:rsid w:val="00A73DB8"/>
    <w:rsid w:val="00A73FA8"/>
    <w:rsid w:val="00A7415C"/>
    <w:rsid w:val="00A74196"/>
    <w:rsid w:val="00A74340"/>
    <w:rsid w:val="00A7435B"/>
    <w:rsid w:val="00A7645E"/>
    <w:rsid w:val="00A77020"/>
    <w:rsid w:val="00A7720F"/>
    <w:rsid w:val="00A77722"/>
    <w:rsid w:val="00A778EA"/>
    <w:rsid w:val="00A77B93"/>
    <w:rsid w:val="00A80B3E"/>
    <w:rsid w:val="00A80DBE"/>
    <w:rsid w:val="00A80EBE"/>
    <w:rsid w:val="00A8109F"/>
    <w:rsid w:val="00A8141A"/>
    <w:rsid w:val="00A81A0D"/>
    <w:rsid w:val="00A81BC6"/>
    <w:rsid w:val="00A81D4F"/>
    <w:rsid w:val="00A827B4"/>
    <w:rsid w:val="00A828DE"/>
    <w:rsid w:val="00A82CB8"/>
    <w:rsid w:val="00A82EC6"/>
    <w:rsid w:val="00A83697"/>
    <w:rsid w:val="00A83E8B"/>
    <w:rsid w:val="00A844DE"/>
    <w:rsid w:val="00A847EE"/>
    <w:rsid w:val="00A852AD"/>
    <w:rsid w:val="00A8538D"/>
    <w:rsid w:val="00A8645C"/>
    <w:rsid w:val="00A86489"/>
    <w:rsid w:val="00A86596"/>
    <w:rsid w:val="00A87021"/>
    <w:rsid w:val="00A87323"/>
    <w:rsid w:val="00A87D0E"/>
    <w:rsid w:val="00A87DE2"/>
    <w:rsid w:val="00A90292"/>
    <w:rsid w:val="00A90353"/>
    <w:rsid w:val="00A904D7"/>
    <w:rsid w:val="00A9107F"/>
    <w:rsid w:val="00A91492"/>
    <w:rsid w:val="00A91997"/>
    <w:rsid w:val="00A92449"/>
    <w:rsid w:val="00A9270A"/>
    <w:rsid w:val="00A9344D"/>
    <w:rsid w:val="00A935C1"/>
    <w:rsid w:val="00A93608"/>
    <w:rsid w:val="00A93955"/>
    <w:rsid w:val="00A93DFF"/>
    <w:rsid w:val="00A943E3"/>
    <w:rsid w:val="00A948D9"/>
    <w:rsid w:val="00A94C99"/>
    <w:rsid w:val="00A94F1A"/>
    <w:rsid w:val="00A95069"/>
    <w:rsid w:val="00A950F3"/>
    <w:rsid w:val="00A95A39"/>
    <w:rsid w:val="00A95CA3"/>
    <w:rsid w:val="00A9623E"/>
    <w:rsid w:val="00A967E1"/>
    <w:rsid w:val="00A96ACC"/>
    <w:rsid w:val="00A96DAE"/>
    <w:rsid w:val="00A96FB3"/>
    <w:rsid w:val="00A9777F"/>
    <w:rsid w:val="00A97D9B"/>
    <w:rsid w:val="00A97F72"/>
    <w:rsid w:val="00A97FEE"/>
    <w:rsid w:val="00AA01D3"/>
    <w:rsid w:val="00AA0B7C"/>
    <w:rsid w:val="00AA145B"/>
    <w:rsid w:val="00AA17F2"/>
    <w:rsid w:val="00AA1DD6"/>
    <w:rsid w:val="00AA1E14"/>
    <w:rsid w:val="00AA214C"/>
    <w:rsid w:val="00AA21AB"/>
    <w:rsid w:val="00AA2307"/>
    <w:rsid w:val="00AA27CC"/>
    <w:rsid w:val="00AA32ED"/>
    <w:rsid w:val="00AA3B49"/>
    <w:rsid w:val="00AA3F63"/>
    <w:rsid w:val="00AA4DDD"/>
    <w:rsid w:val="00AA5014"/>
    <w:rsid w:val="00AA51B2"/>
    <w:rsid w:val="00AA5602"/>
    <w:rsid w:val="00AA5987"/>
    <w:rsid w:val="00AA5EAC"/>
    <w:rsid w:val="00AA6026"/>
    <w:rsid w:val="00AA75F5"/>
    <w:rsid w:val="00AA7AF0"/>
    <w:rsid w:val="00AA7B92"/>
    <w:rsid w:val="00AA7F10"/>
    <w:rsid w:val="00AB035C"/>
    <w:rsid w:val="00AB0AE7"/>
    <w:rsid w:val="00AB0DDD"/>
    <w:rsid w:val="00AB17FA"/>
    <w:rsid w:val="00AB1E78"/>
    <w:rsid w:val="00AB1E7E"/>
    <w:rsid w:val="00AB1FA8"/>
    <w:rsid w:val="00AB2561"/>
    <w:rsid w:val="00AB2586"/>
    <w:rsid w:val="00AB2A5A"/>
    <w:rsid w:val="00AB30B8"/>
    <w:rsid w:val="00AB33A5"/>
    <w:rsid w:val="00AB36FD"/>
    <w:rsid w:val="00AB3DAE"/>
    <w:rsid w:val="00AB48AC"/>
    <w:rsid w:val="00AB48D2"/>
    <w:rsid w:val="00AB493F"/>
    <w:rsid w:val="00AB4C95"/>
    <w:rsid w:val="00AB4E79"/>
    <w:rsid w:val="00AB4EAE"/>
    <w:rsid w:val="00AB4FF7"/>
    <w:rsid w:val="00AB5186"/>
    <w:rsid w:val="00AB5302"/>
    <w:rsid w:val="00AB59B7"/>
    <w:rsid w:val="00AB5C4C"/>
    <w:rsid w:val="00AB603A"/>
    <w:rsid w:val="00AB641E"/>
    <w:rsid w:val="00AB662F"/>
    <w:rsid w:val="00AB699A"/>
    <w:rsid w:val="00AB6AF9"/>
    <w:rsid w:val="00AB70A9"/>
    <w:rsid w:val="00AB7242"/>
    <w:rsid w:val="00AB74AD"/>
    <w:rsid w:val="00AB79FB"/>
    <w:rsid w:val="00AB7B9B"/>
    <w:rsid w:val="00AB7CBF"/>
    <w:rsid w:val="00AC2328"/>
    <w:rsid w:val="00AC23B2"/>
    <w:rsid w:val="00AC2F53"/>
    <w:rsid w:val="00AC3B27"/>
    <w:rsid w:val="00AC3CB7"/>
    <w:rsid w:val="00AC3FF0"/>
    <w:rsid w:val="00AC4730"/>
    <w:rsid w:val="00AC47AB"/>
    <w:rsid w:val="00AC4C75"/>
    <w:rsid w:val="00AC5729"/>
    <w:rsid w:val="00AC5AE0"/>
    <w:rsid w:val="00AC5DE3"/>
    <w:rsid w:val="00AC62BD"/>
    <w:rsid w:val="00AC7060"/>
    <w:rsid w:val="00AC7ECC"/>
    <w:rsid w:val="00AD0131"/>
    <w:rsid w:val="00AD01CF"/>
    <w:rsid w:val="00AD02C3"/>
    <w:rsid w:val="00AD0DA5"/>
    <w:rsid w:val="00AD1E72"/>
    <w:rsid w:val="00AD1FB1"/>
    <w:rsid w:val="00AD26B7"/>
    <w:rsid w:val="00AD2830"/>
    <w:rsid w:val="00AD348E"/>
    <w:rsid w:val="00AD3823"/>
    <w:rsid w:val="00AD3AC2"/>
    <w:rsid w:val="00AD3C7A"/>
    <w:rsid w:val="00AD401D"/>
    <w:rsid w:val="00AD4173"/>
    <w:rsid w:val="00AD427B"/>
    <w:rsid w:val="00AD4300"/>
    <w:rsid w:val="00AD43DB"/>
    <w:rsid w:val="00AD4486"/>
    <w:rsid w:val="00AD45B3"/>
    <w:rsid w:val="00AD47AB"/>
    <w:rsid w:val="00AD4874"/>
    <w:rsid w:val="00AD4F18"/>
    <w:rsid w:val="00AD51CF"/>
    <w:rsid w:val="00AD5A84"/>
    <w:rsid w:val="00AD5B81"/>
    <w:rsid w:val="00AD5F2C"/>
    <w:rsid w:val="00AD61BB"/>
    <w:rsid w:val="00AD6417"/>
    <w:rsid w:val="00AD6621"/>
    <w:rsid w:val="00AD6C48"/>
    <w:rsid w:val="00AD709D"/>
    <w:rsid w:val="00AD73D9"/>
    <w:rsid w:val="00AD77D6"/>
    <w:rsid w:val="00AD7B3D"/>
    <w:rsid w:val="00AE08C7"/>
    <w:rsid w:val="00AE08C8"/>
    <w:rsid w:val="00AE0AE0"/>
    <w:rsid w:val="00AE0B30"/>
    <w:rsid w:val="00AE1229"/>
    <w:rsid w:val="00AE14C1"/>
    <w:rsid w:val="00AE1E67"/>
    <w:rsid w:val="00AE1FFE"/>
    <w:rsid w:val="00AE2021"/>
    <w:rsid w:val="00AE219F"/>
    <w:rsid w:val="00AE268A"/>
    <w:rsid w:val="00AE294B"/>
    <w:rsid w:val="00AE2DDB"/>
    <w:rsid w:val="00AE2ED5"/>
    <w:rsid w:val="00AE332E"/>
    <w:rsid w:val="00AE33BA"/>
    <w:rsid w:val="00AE3887"/>
    <w:rsid w:val="00AE38CD"/>
    <w:rsid w:val="00AE450C"/>
    <w:rsid w:val="00AE4633"/>
    <w:rsid w:val="00AE4D6A"/>
    <w:rsid w:val="00AE5630"/>
    <w:rsid w:val="00AE58A1"/>
    <w:rsid w:val="00AE5FD1"/>
    <w:rsid w:val="00AE64DF"/>
    <w:rsid w:val="00AE7D71"/>
    <w:rsid w:val="00AE7DC2"/>
    <w:rsid w:val="00AF0450"/>
    <w:rsid w:val="00AF112C"/>
    <w:rsid w:val="00AF1188"/>
    <w:rsid w:val="00AF11FA"/>
    <w:rsid w:val="00AF22D3"/>
    <w:rsid w:val="00AF29AA"/>
    <w:rsid w:val="00AF2F5D"/>
    <w:rsid w:val="00AF350A"/>
    <w:rsid w:val="00AF38A1"/>
    <w:rsid w:val="00AF444D"/>
    <w:rsid w:val="00AF4568"/>
    <w:rsid w:val="00AF45EB"/>
    <w:rsid w:val="00AF46C9"/>
    <w:rsid w:val="00AF4917"/>
    <w:rsid w:val="00AF4A85"/>
    <w:rsid w:val="00AF4AEE"/>
    <w:rsid w:val="00AF4B8D"/>
    <w:rsid w:val="00AF5441"/>
    <w:rsid w:val="00AF5786"/>
    <w:rsid w:val="00AF60C3"/>
    <w:rsid w:val="00AF63AE"/>
    <w:rsid w:val="00AF6AD6"/>
    <w:rsid w:val="00AF7182"/>
    <w:rsid w:val="00B00638"/>
    <w:rsid w:val="00B007B1"/>
    <w:rsid w:val="00B01686"/>
    <w:rsid w:val="00B01CE6"/>
    <w:rsid w:val="00B01D28"/>
    <w:rsid w:val="00B01F68"/>
    <w:rsid w:val="00B0239E"/>
    <w:rsid w:val="00B02502"/>
    <w:rsid w:val="00B02F92"/>
    <w:rsid w:val="00B03194"/>
    <w:rsid w:val="00B031FE"/>
    <w:rsid w:val="00B03ADB"/>
    <w:rsid w:val="00B03E6B"/>
    <w:rsid w:val="00B04424"/>
    <w:rsid w:val="00B04433"/>
    <w:rsid w:val="00B0510B"/>
    <w:rsid w:val="00B054C2"/>
    <w:rsid w:val="00B05646"/>
    <w:rsid w:val="00B056B6"/>
    <w:rsid w:val="00B059F3"/>
    <w:rsid w:val="00B05A2F"/>
    <w:rsid w:val="00B0603D"/>
    <w:rsid w:val="00B06218"/>
    <w:rsid w:val="00B06CF8"/>
    <w:rsid w:val="00B0707B"/>
    <w:rsid w:val="00B07128"/>
    <w:rsid w:val="00B1034C"/>
    <w:rsid w:val="00B10E34"/>
    <w:rsid w:val="00B10F06"/>
    <w:rsid w:val="00B10F0E"/>
    <w:rsid w:val="00B10F51"/>
    <w:rsid w:val="00B10FCB"/>
    <w:rsid w:val="00B11534"/>
    <w:rsid w:val="00B11A5D"/>
    <w:rsid w:val="00B11F72"/>
    <w:rsid w:val="00B121C0"/>
    <w:rsid w:val="00B12632"/>
    <w:rsid w:val="00B12A5B"/>
    <w:rsid w:val="00B1308C"/>
    <w:rsid w:val="00B13511"/>
    <w:rsid w:val="00B13AD8"/>
    <w:rsid w:val="00B13C00"/>
    <w:rsid w:val="00B1420E"/>
    <w:rsid w:val="00B142B8"/>
    <w:rsid w:val="00B16015"/>
    <w:rsid w:val="00B16152"/>
    <w:rsid w:val="00B1689C"/>
    <w:rsid w:val="00B1706C"/>
    <w:rsid w:val="00B1712B"/>
    <w:rsid w:val="00B17689"/>
    <w:rsid w:val="00B17715"/>
    <w:rsid w:val="00B17875"/>
    <w:rsid w:val="00B17BA6"/>
    <w:rsid w:val="00B17BCC"/>
    <w:rsid w:val="00B17F26"/>
    <w:rsid w:val="00B201EF"/>
    <w:rsid w:val="00B202E1"/>
    <w:rsid w:val="00B203BB"/>
    <w:rsid w:val="00B20AB8"/>
    <w:rsid w:val="00B20B95"/>
    <w:rsid w:val="00B20C8F"/>
    <w:rsid w:val="00B20D26"/>
    <w:rsid w:val="00B20DFC"/>
    <w:rsid w:val="00B21006"/>
    <w:rsid w:val="00B211FD"/>
    <w:rsid w:val="00B212B4"/>
    <w:rsid w:val="00B21306"/>
    <w:rsid w:val="00B21484"/>
    <w:rsid w:val="00B21603"/>
    <w:rsid w:val="00B21A24"/>
    <w:rsid w:val="00B21B87"/>
    <w:rsid w:val="00B21E9E"/>
    <w:rsid w:val="00B22264"/>
    <w:rsid w:val="00B22786"/>
    <w:rsid w:val="00B227A9"/>
    <w:rsid w:val="00B237AB"/>
    <w:rsid w:val="00B2381E"/>
    <w:rsid w:val="00B23F5A"/>
    <w:rsid w:val="00B24057"/>
    <w:rsid w:val="00B243C7"/>
    <w:rsid w:val="00B2453B"/>
    <w:rsid w:val="00B24926"/>
    <w:rsid w:val="00B24AEE"/>
    <w:rsid w:val="00B24AFC"/>
    <w:rsid w:val="00B251F0"/>
    <w:rsid w:val="00B25939"/>
    <w:rsid w:val="00B25BB0"/>
    <w:rsid w:val="00B26227"/>
    <w:rsid w:val="00B26330"/>
    <w:rsid w:val="00B264B7"/>
    <w:rsid w:val="00B26A9C"/>
    <w:rsid w:val="00B26D31"/>
    <w:rsid w:val="00B2740E"/>
    <w:rsid w:val="00B27463"/>
    <w:rsid w:val="00B3031A"/>
    <w:rsid w:val="00B30608"/>
    <w:rsid w:val="00B3060F"/>
    <w:rsid w:val="00B30978"/>
    <w:rsid w:val="00B309D8"/>
    <w:rsid w:val="00B30A5D"/>
    <w:rsid w:val="00B30D44"/>
    <w:rsid w:val="00B30EC4"/>
    <w:rsid w:val="00B312DF"/>
    <w:rsid w:val="00B31916"/>
    <w:rsid w:val="00B31C82"/>
    <w:rsid w:val="00B31DB8"/>
    <w:rsid w:val="00B31F87"/>
    <w:rsid w:val="00B321A6"/>
    <w:rsid w:val="00B32585"/>
    <w:rsid w:val="00B3318C"/>
    <w:rsid w:val="00B33403"/>
    <w:rsid w:val="00B336CA"/>
    <w:rsid w:val="00B3460D"/>
    <w:rsid w:val="00B34A4E"/>
    <w:rsid w:val="00B34B66"/>
    <w:rsid w:val="00B34B73"/>
    <w:rsid w:val="00B34ECA"/>
    <w:rsid w:val="00B34EEB"/>
    <w:rsid w:val="00B34F1F"/>
    <w:rsid w:val="00B35509"/>
    <w:rsid w:val="00B35BC7"/>
    <w:rsid w:val="00B35BF9"/>
    <w:rsid w:val="00B35CA4"/>
    <w:rsid w:val="00B36535"/>
    <w:rsid w:val="00B36686"/>
    <w:rsid w:val="00B37407"/>
    <w:rsid w:val="00B37711"/>
    <w:rsid w:val="00B4038F"/>
    <w:rsid w:val="00B40949"/>
    <w:rsid w:val="00B40F4E"/>
    <w:rsid w:val="00B417B4"/>
    <w:rsid w:val="00B418E8"/>
    <w:rsid w:val="00B41A8E"/>
    <w:rsid w:val="00B41AF4"/>
    <w:rsid w:val="00B4280E"/>
    <w:rsid w:val="00B4319F"/>
    <w:rsid w:val="00B437AA"/>
    <w:rsid w:val="00B43EFE"/>
    <w:rsid w:val="00B447F8"/>
    <w:rsid w:val="00B44822"/>
    <w:rsid w:val="00B44ED8"/>
    <w:rsid w:val="00B44F0F"/>
    <w:rsid w:val="00B4542B"/>
    <w:rsid w:val="00B454CD"/>
    <w:rsid w:val="00B45A4C"/>
    <w:rsid w:val="00B45ADF"/>
    <w:rsid w:val="00B45BB3"/>
    <w:rsid w:val="00B45D8B"/>
    <w:rsid w:val="00B47004"/>
    <w:rsid w:val="00B47425"/>
    <w:rsid w:val="00B47500"/>
    <w:rsid w:val="00B50194"/>
    <w:rsid w:val="00B502E5"/>
    <w:rsid w:val="00B50495"/>
    <w:rsid w:val="00B5060E"/>
    <w:rsid w:val="00B50711"/>
    <w:rsid w:val="00B5075A"/>
    <w:rsid w:val="00B507DA"/>
    <w:rsid w:val="00B508A0"/>
    <w:rsid w:val="00B50989"/>
    <w:rsid w:val="00B50B8C"/>
    <w:rsid w:val="00B515AA"/>
    <w:rsid w:val="00B51A6B"/>
    <w:rsid w:val="00B51F85"/>
    <w:rsid w:val="00B528FC"/>
    <w:rsid w:val="00B52933"/>
    <w:rsid w:val="00B52D1B"/>
    <w:rsid w:val="00B53363"/>
    <w:rsid w:val="00B53698"/>
    <w:rsid w:val="00B53902"/>
    <w:rsid w:val="00B539C8"/>
    <w:rsid w:val="00B53A2C"/>
    <w:rsid w:val="00B53AA9"/>
    <w:rsid w:val="00B53B0D"/>
    <w:rsid w:val="00B53CEC"/>
    <w:rsid w:val="00B53F30"/>
    <w:rsid w:val="00B5450E"/>
    <w:rsid w:val="00B54B03"/>
    <w:rsid w:val="00B54B1D"/>
    <w:rsid w:val="00B54C88"/>
    <w:rsid w:val="00B54DCF"/>
    <w:rsid w:val="00B55E1A"/>
    <w:rsid w:val="00B55F5C"/>
    <w:rsid w:val="00B562E1"/>
    <w:rsid w:val="00B56935"/>
    <w:rsid w:val="00B56CC2"/>
    <w:rsid w:val="00B57206"/>
    <w:rsid w:val="00B57350"/>
    <w:rsid w:val="00B57B4C"/>
    <w:rsid w:val="00B57D72"/>
    <w:rsid w:val="00B606F1"/>
    <w:rsid w:val="00B60731"/>
    <w:rsid w:val="00B60943"/>
    <w:rsid w:val="00B60952"/>
    <w:rsid w:val="00B60AC9"/>
    <w:rsid w:val="00B614AA"/>
    <w:rsid w:val="00B6192F"/>
    <w:rsid w:val="00B62218"/>
    <w:rsid w:val="00B622D0"/>
    <w:rsid w:val="00B62713"/>
    <w:rsid w:val="00B6273A"/>
    <w:rsid w:val="00B62E0B"/>
    <w:rsid w:val="00B632EE"/>
    <w:rsid w:val="00B63613"/>
    <w:rsid w:val="00B63C6D"/>
    <w:rsid w:val="00B6442C"/>
    <w:rsid w:val="00B64444"/>
    <w:rsid w:val="00B645BC"/>
    <w:rsid w:val="00B64CDF"/>
    <w:rsid w:val="00B65A1C"/>
    <w:rsid w:val="00B65B4B"/>
    <w:rsid w:val="00B66485"/>
    <w:rsid w:val="00B66A3F"/>
    <w:rsid w:val="00B66B7B"/>
    <w:rsid w:val="00B66FF3"/>
    <w:rsid w:val="00B67005"/>
    <w:rsid w:val="00B671C5"/>
    <w:rsid w:val="00B67529"/>
    <w:rsid w:val="00B678A7"/>
    <w:rsid w:val="00B67E28"/>
    <w:rsid w:val="00B70068"/>
    <w:rsid w:val="00B704A9"/>
    <w:rsid w:val="00B70D64"/>
    <w:rsid w:val="00B710D7"/>
    <w:rsid w:val="00B711D6"/>
    <w:rsid w:val="00B71D77"/>
    <w:rsid w:val="00B71D97"/>
    <w:rsid w:val="00B72048"/>
    <w:rsid w:val="00B7257F"/>
    <w:rsid w:val="00B729C1"/>
    <w:rsid w:val="00B7367E"/>
    <w:rsid w:val="00B73D54"/>
    <w:rsid w:val="00B73FF0"/>
    <w:rsid w:val="00B74040"/>
    <w:rsid w:val="00B740E1"/>
    <w:rsid w:val="00B74A6F"/>
    <w:rsid w:val="00B74B46"/>
    <w:rsid w:val="00B74EA7"/>
    <w:rsid w:val="00B75DBC"/>
    <w:rsid w:val="00B75E96"/>
    <w:rsid w:val="00B7608A"/>
    <w:rsid w:val="00B767FD"/>
    <w:rsid w:val="00B76861"/>
    <w:rsid w:val="00B76C03"/>
    <w:rsid w:val="00B77118"/>
    <w:rsid w:val="00B772A9"/>
    <w:rsid w:val="00B772B4"/>
    <w:rsid w:val="00B7730F"/>
    <w:rsid w:val="00B774B5"/>
    <w:rsid w:val="00B7778F"/>
    <w:rsid w:val="00B777C1"/>
    <w:rsid w:val="00B77ED5"/>
    <w:rsid w:val="00B80401"/>
    <w:rsid w:val="00B804C0"/>
    <w:rsid w:val="00B80600"/>
    <w:rsid w:val="00B80700"/>
    <w:rsid w:val="00B80A74"/>
    <w:rsid w:val="00B80CDE"/>
    <w:rsid w:val="00B80D28"/>
    <w:rsid w:val="00B81523"/>
    <w:rsid w:val="00B81727"/>
    <w:rsid w:val="00B81C74"/>
    <w:rsid w:val="00B81F74"/>
    <w:rsid w:val="00B824C8"/>
    <w:rsid w:val="00B824FC"/>
    <w:rsid w:val="00B82690"/>
    <w:rsid w:val="00B827CA"/>
    <w:rsid w:val="00B828C0"/>
    <w:rsid w:val="00B82AFE"/>
    <w:rsid w:val="00B82B41"/>
    <w:rsid w:val="00B83779"/>
    <w:rsid w:val="00B83B04"/>
    <w:rsid w:val="00B84D0E"/>
    <w:rsid w:val="00B84DBA"/>
    <w:rsid w:val="00B868B6"/>
    <w:rsid w:val="00B86A09"/>
    <w:rsid w:val="00B87BAA"/>
    <w:rsid w:val="00B87C4E"/>
    <w:rsid w:val="00B87DBE"/>
    <w:rsid w:val="00B901F9"/>
    <w:rsid w:val="00B90597"/>
    <w:rsid w:val="00B9076F"/>
    <w:rsid w:val="00B909E0"/>
    <w:rsid w:val="00B90A0C"/>
    <w:rsid w:val="00B90C27"/>
    <w:rsid w:val="00B911A3"/>
    <w:rsid w:val="00B9180D"/>
    <w:rsid w:val="00B91F70"/>
    <w:rsid w:val="00B92E68"/>
    <w:rsid w:val="00B93162"/>
    <w:rsid w:val="00B934D6"/>
    <w:rsid w:val="00B940ED"/>
    <w:rsid w:val="00B946D1"/>
    <w:rsid w:val="00B94F0B"/>
    <w:rsid w:val="00B95243"/>
    <w:rsid w:val="00B954AC"/>
    <w:rsid w:val="00B956F1"/>
    <w:rsid w:val="00B958D8"/>
    <w:rsid w:val="00B958FD"/>
    <w:rsid w:val="00B95955"/>
    <w:rsid w:val="00B95C5E"/>
    <w:rsid w:val="00B95E2C"/>
    <w:rsid w:val="00B9623F"/>
    <w:rsid w:val="00B963A9"/>
    <w:rsid w:val="00B9657F"/>
    <w:rsid w:val="00B96D50"/>
    <w:rsid w:val="00B979E1"/>
    <w:rsid w:val="00BA03EA"/>
    <w:rsid w:val="00BA0459"/>
    <w:rsid w:val="00BA0571"/>
    <w:rsid w:val="00BA07C5"/>
    <w:rsid w:val="00BA088E"/>
    <w:rsid w:val="00BA094A"/>
    <w:rsid w:val="00BA1187"/>
    <w:rsid w:val="00BA14B1"/>
    <w:rsid w:val="00BA15FE"/>
    <w:rsid w:val="00BA1838"/>
    <w:rsid w:val="00BA1C13"/>
    <w:rsid w:val="00BA253B"/>
    <w:rsid w:val="00BA2540"/>
    <w:rsid w:val="00BA2588"/>
    <w:rsid w:val="00BA282F"/>
    <w:rsid w:val="00BA2F46"/>
    <w:rsid w:val="00BA3276"/>
    <w:rsid w:val="00BA32F2"/>
    <w:rsid w:val="00BA39A0"/>
    <w:rsid w:val="00BA3B48"/>
    <w:rsid w:val="00BA4695"/>
    <w:rsid w:val="00BA4C8E"/>
    <w:rsid w:val="00BA530D"/>
    <w:rsid w:val="00BA56DE"/>
    <w:rsid w:val="00BA57AC"/>
    <w:rsid w:val="00BA598D"/>
    <w:rsid w:val="00BA5F55"/>
    <w:rsid w:val="00BA60CF"/>
    <w:rsid w:val="00BA64A8"/>
    <w:rsid w:val="00BA69FE"/>
    <w:rsid w:val="00BA6DC6"/>
    <w:rsid w:val="00BA7572"/>
    <w:rsid w:val="00BB05FD"/>
    <w:rsid w:val="00BB0698"/>
    <w:rsid w:val="00BB06AA"/>
    <w:rsid w:val="00BB0A64"/>
    <w:rsid w:val="00BB1087"/>
    <w:rsid w:val="00BB1606"/>
    <w:rsid w:val="00BB1E7F"/>
    <w:rsid w:val="00BB1E96"/>
    <w:rsid w:val="00BB20D4"/>
    <w:rsid w:val="00BB22C9"/>
    <w:rsid w:val="00BB25F4"/>
    <w:rsid w:val="00BB28A3"/>
    <w:rsid w:val="00BB28B8"/>
    <w:rsid w:val="00BB290A"/>
    <w:rsid w:val="00BB2DB7"/>
    <w:rsid w:val="00BB4684"/>
    <w:rsid w:val="00BB550E"/>
    <w:rsid w:val="00BB56AF"/>
    <w:rsid w:val="00BB5BB1"/>
    <w:rsid w:val="00BB63FF"/>
    <w:rsid w:val="00BB6711"/>
    <w:rsid w:val="00BB6A1A"/>
    <w:rsid w:val="00BB6B89"/>
    <w:rsid w:val="00BB725F"/>
    <w:rsid w:val="00BB733E"/>
    <w:rsid w:val="00BB737E"/>
    <w:rsid w:val="00BB74ED"/>
    <w:rsid w:val="00BB7E1B"/>
    <w:rsid w:val="00BC0029"/>
    <w:rsid w:val="00BC01AE"/>
    <w:rsid w:val="00BC09DA"/>
    <w:rsid w:val="00BC0B26"/>
    <w:rsid w:val="00BC0BA2"/>
    <w:rsid w:val="00BC0D0D"/>
    <w:rsid w:val="00BC14BE"/>
    <w:rsid w:val="00BC16EB"/>
    <w:rsid w:val="00BC1BA4"/>
    <w:rsid w:val="00BC22F4"/>
    <w:rsid w:val="00BC2621"/>
    <w:rsid w:val="00BC30BE"/>
    <w:rsid w:val="00BC3D7A"/>
    <w:rsid w:val="00BC3F47"/>
    <w:rsid w:val="00BC4108"/>
    <w:rsid w:val="00BC4BA7"/>
    <w:rsid w:val="00BC4F0C"/>
    <w:rsid w:val="00BC5727"/>
    <w:rsid w:val="00BC6207"/>
    <w:rsid w:val="00BC633A"/>
    <w:rsid w:val="00BC6681"/>
    <w:rsid w:val="00BC68AD"/>
    <w:rsid w:val="00BC6C0B"/>
    <w:rsid w:val="00BC6DC0"/>
    <w:rsid w:val="00BC6F90"/>
    <w:rsid w:val="00BC7035"/>
    <w:rsid w:val="00BC7113"/>
    <w:rsid w:val="00BD0C00"/>
    <w:rsid w:val="00BD0C8D"/>
    <w:rsid w:val="00BD1643"/>
    <w:rsid w:val="00BD1CE3"/>
    <w:rsid w:val="00BD210E"/>
    <w:rsid w:val="00BD22E1"/>
    <w:rsid w:val="00BD2A8B"/>
    <w:rsid w:val="00BD2F99"/>
    <w:rsid w:val="00BD32DA"/>
    <w:rsid w:val="00BD3420"/>
    <w:rsid w:val="00BD3F9B"/>
    <w:rsid w:val="00BD4752"/>
    <w:rsid w:val="00BD481A"/>
    <w:rsid w:val="00BD4A9B"/>
    <w:rsid w:val="00BD4AA3"/>
    <w:rsid w:val="00BD4D6C"/>
    <w:rsid w:val="00BD5AFF"/>
    <w:rsid w:val="00BD5D13"/>
    <w:rsid w:val="00BD6063"/>
    <w:rsid w:val="00BD60B8"/>
    <w:rsid w:val="00BD661B"/>
    <w:rsid w:val="00BD6750"/>
    <w:rsid w:val="00BD69EA"/>
    <w:rsid w:val="00BD6C16"/>
    <w:rsid w:val="00BD6E9F"/>
    <w:rsid w:val="00BD70B1"/>
    <w:rsid w:val="00BD7242"/>
    <w:rsid w:val="00BD7467"/>
    <w:rsid w:val="00BD7B6E"/>
    <w:rsid w:val="00BE060C"/>
    <w:rsid w:val="00BE0610"/>
    <w:rsid w:val="00BE0C62"/>
    <w:rsid w:val="00BE0E79"/>
    <w:rsid w:val="00BE17F4"/>
    <w:rsid w:val="00BE2137"/>
    <w:rsid w:val="00BE2652"/>
    <w:rsid w:val="00BE2B0D"/>
    <w:rsid w:val="00BE2E4C"/>
    <w:rsid w:val="00BE3212"/>
    <w:rsid w:val="00BE35A6"/>
    <w:rsid w:val="00BE3A68"/>
    <w:rsid w:val="00BE43DC"/>
    <w:rsid w:val="00BE43E5"/>
    <w:rsid w:val="00BE4A41"/>
    <w:rsid w:val="00BE5386"/>
    <w:rsid w:val="00BE53A7"/>
    <w:rsid w:val="00BE563E"/>
    <w:rsid w:val="00BE5AE2"/>
    <w:rsid w:val="00BE5CE1"/>
    <w:rsid w:val="00BE6952"/>
    <w:rsid w:val="00BE6FD6"/>
    <w:rsid w:val="00BE71BA"/>
    <w:rsid w:val="00BE78DC"/>
    <w:rsid w:val="00BE7969"/>
    <w:rsid w:val="00BE7F97"/>
    <w:rsid w:val="00BE7F99"/>
    <w:rsid w:val="00BF08EF"/>
    <w:rsid w:val="00BF0B4A"/>
    <w:rsid w:val="00BF0C3E"/>
    <w:rsid w:val="00BF1153"/>
    <w:rsid w:val="00BF13A2"/>
    <w:rsid w:val="00BF13D8"/>
    <w:rsid w:val="00BF214F"/>
    <w:rsid w:val="00BF2164"/>
    <w:rsid w:val="00BF2531"/>
    <w:rsid w:val="00BF2763"/>
    <w:rsid w:val="00BF296D"/>
    <w:rsid w:val="00BF2D18"/>
    <w:rsid w:val="00BF2DB7"/>
    <w:rsid w:val="00BF2DE9"/>
    <w:rsid w:val="00BF2FAB"/>
    <w:rsid w:val="00BF32C5"/>
    <w:rsid w:val="00BF3BBA"/>
    <w:rsid w:val="00BF3FEB"/>
    <w:rsid w:val="00BF4487"/>
    <w:rsid w:val="00BF4C30"/>
    <w:rsid w:val="00BF5158"/>
    <w:rsid w:val="00BF51CB"/>
    <w:rsid w:val="00BF5246"/>
    <w:rsid w:val="00BF5338"/>
    <w:rsid w:val="00BF583F"/>
    <w:rsid w:val="00BF5C53"/>
    <w:rsid w:val="00BF61DE"/>
    <w:rsid w:val="00BF6812"/>
    <w:rsid w:val="00BF6930"/>
    <w:rsid w:val="00BF6DA6"/>
    <w:rsid w:val="00BF74FD"/>
    <w:rsid w:val="00BF7783"/>
    <w:rsid w:val="00BF7F3E"/>
    <w:rsid w:val="00C003E7"/>
    <w:rsid w:val="00C004FB"/>
    <w:rsid w:val="00C00672"/>
    <w:rsid w:val="00C0088D"/>
    <w:rsid w:val="00C00B6C"/>
    <w:rsid w:val="00C00C7A"/>
    <w:rsid w:val="00C0174E"/>
    <w:rsid w:val="00C01B54"/>
    <w:rsid w:val="00C01CD4"/>
    <w:rsid w:val="00C01E79"/>
    <w:rsid w:val="00C01F46"/>
    <w:rsid w:val="00C02871"/>
    <w:rsid w:val="00C0360B"/>
    <w:rsid w:val="00C036E9"/>
    <w:rsid w:val="00C037E1"/>
    <w:rsid w:val="00C03A11"/>
    <w:rsid w:val="00C03F09"/>
    <w:rsid w:val="00C046A5"/>
    <w:rsid w:val="00C04882"/>
    <w:rsid w:val="00C04A16"/>
    <w:rsid w:val="00C04DB3"/>
    <w:rsid w:val="00C04F00"/>
    <w:rsid w:val="00C05DD5"/>
    <w:rsid w:val="00C05F2A"/>
    <w:rsid w:val="00C062C8"/>
    <w:rsid w:val="00C06775"/>
    <w:rsid w:val="00C067C1"/>
    <w:rsid w:val="00C06939"/>
    <w:rsid w:val="00C06A5C"/>
    <w:rsid w:val="00C0704B"/>
    <w:rsid w:val="00C07CDC"/>
    <w:rsid w:val="00C07D13"/>
    <w:rsid w:val="00C10AD4"/>
    <w:rsid w:val="00C10DEF"/>
    <w:rsid w:val="00C11414"/>
    <w:rsid w:val="00C1175D"/>
    <w:rsid w:val="00C1178E"/>
    <w:rsid w:val="00C117E5"/>
    <w:rsid w:val="00C11D57"/>
    <w:rsid w:val="00C11DCC"/>
    <w:rsid w:val="00C122A2"/>
    <w:rsid w:val="00C130F9"/>
    <w:rsid w:val="00C131C8"/>
    <w:rsid w:val="00C144BB"/>
    <w:rsid w:val="00C15151"/>
    <w:rsid w:val="00C1557A"/>
    <w:rsid w:val="00C15665"/>
    <w:rsid w:val="00C15CE1"/>
    <w:rsid w:val="00C1643A"/>
    <w:rsid w:val="00C168E7"/>
    <w:rsid w:val="00C16913"/>
    <w:rsid w:val="00C169F9"/>
    <w:rsid w:val="00C17484"/>
    <w:rsid w:val="00C1756E"/>
    <w:rsid w:val="00C1766D"/>
    <w:rsid w:val="00C1781E"/>
    <w:rsid w:val="00C17978"/>
    <w:rsid w:val="00C17AB2"/>
    <w:rsid w:val="00C17AEA"/>
    <w:rsid w:val="00C17BC6"/>
    <w:rsid w:val="00C17BD1"/>
    <w:rsid w:val="00C17E74"/>
    <w:rsid w:val="00C205D8"/>
    <w:rsid w:val="00C2090F"/>
    <w:rsid w:val="00C20DF6"/>
    <w:rsid w:val="00C21280"/>
    <w:rsid w:val="00C21322"/>
    <w:rsid w:val="00C21466"/>
    <w:rsid w:val="00C218DB"/>
    <w:rsid w:val="00C22166"/>
    <w:rsid w:val="00C22397"/>
    <w:rsid w:val="00C227FA"/>
    <w:rsid w:val="00C22CD5"/>
    <w:rsid w:val="00C23133"/>
    <w:rsid w:val="00C2345A"/>
    <w:rsid w:val="00C2348A"/>
    <w:rsid w:val="00C235FB"/>
    <w:rsid w:val="00C2389E"/>
    <w:rsid w:val="00C2391B"/>
    <w:rsid w:val="00C246CD"/>
    <w:rsid w:val="00C24EB6"/>
    <w:rsid w:val="00C25064"/>
    <w:rsid w:val="00C258B5"/>
    <w:rsid w:val="00C26319"/>
    <w:rsid w:val="00C26564"/>
    <w:rsid w:val="00C26B32"/>
    <w:rsid w:val="00C26CF6"/>
    <w:rsid w:val="00C26E82"/>
    <w:rsid w:val="00C27988"/>
    <w:rsid w:val="00C27992"/>
    <w:rsid w:val="00C27ADA"/>
    <w:rsid w:val="00C27D20"/>
    <w:rsid w:val="00C302FE"/>
    <w:rsid w:val="00C30E18"/>
    <w:rsid w:val="00C318E7"/>
    <w:rsid w:val="00C3263D"/>
    <w:rsid w:val="00C3283C"/>
    <w:rsid w:val="00C32A33"/>
    <w:rsid w:val="00C32F85"/>
    <w:rsid w:val="00C33152"/>
    <w:rsid w:val="00C3321E"/>
    <w:rsid w:val="00C33656"/>
    <w:rsid w:val="00C3367C"/>
    <w:rsid w:val="00C3384B"/>
    <w:rsid w:val="00C342B8"/>
    <w:rsid w:val="00C34477"/>
    <w:rsid w:val="00C348D5"/>
    <w:rsid w:val="00C34FC7"/>
    <w:rsid w:val="00C35731"/>
    <w:rsid w:val="00C3576E"/>
    <w:rsid w:val="00C35CA6"/>
    <w:rsid w:val="00C35D22"/>
    <w:rsid w:val="00C35FD6"/>
    <w:rsid w:val="00C36285"/>
    <w:rsid w:val="00C36624"/>
    <w:rsid w:val="00C36CC3"/>
    <w:rsid w:val="00C37088"/>
    <w:rsid w:val="00C371E1"/>
    <w:rsid w:val="00C373F9"/>
    <w:rsid w:val="00C375E5"/>
    <w:rsid w:val="00C40618"/>
    <w:rsid w:val="00C406AC"/>
    <w:rsid w:val="00C40751"/>
    <w:rsid w:val="00C4087C"/>
    <w:rsid w:val="00C410E8"/>
    <w:rsid w:val="00C414C4"/>
    <w:rsid w:val="00C41CD4"/>
    <w:rsid w:val="00C426E8"/>
    <w:rsid w:val="00C42955"/>
    <w:rsid w:val="00C42AFA"/>
    <w:rsid w:val="00C42BA0"/>
    <w:rsid w:val="00C42D35"/>
    <w:rsid w:val="00C4336A"/>
    <w:rsid w:val="00C4337C"/>
    <w:rsid w:val="00C435FD"/>
    <w:rsid w:val="00C43AA1"/>
    <w:rsid w:val="00C43BDD"/>
    <w:rsid w:val="00C43D5E"/>
    <w:rsid w:val="00C44930"/>
    <w:rsid w:val="00C44D05"/>
    <w:rsid w:val="00C44E71"/>
    <w:rsid w:val="00C453D9"/>
    <w:rsid w:val="00C454F3"/>
    <w:rsid w:val="00C45B69"/>
    <w:rsid w:val="00C45B99"/>
    <w:rsid w:val="00C461D1"/>
    <w:rsid w:val="00C461DE"/>
    <w:rsid w:val="00C46746"/>
    <w:rsid w:val="00C469D1"/>
    <w:rsid w:val="00C46B42"/>
    <w:rsid w:val="00C47649"/>
    <w:rsid w:val="00C47D84"/>
    <w:rsid w:val="00C47ECA"/>
    <w:rsid w:val="00C5010A"/>
    <w:rsid w:val="00C50283"/>
    <w:rsid w:val="00C5029F"/>
    <w:rsid w:val="00C512E5"/>
    <w:rsid w:val="00C5149D"/>
    <w:rsid w:val="00C51C8D"/>
    <w:rsid w:val="00C521E5"/>
    <w:rsid w:val="00C524BD"/>
    <w:rsid w:val="00C526EF"/>
    <w:rsid w:val="00C52A88"/>
    <w:rsid w:val="00C531EE"/>
    <w:rsid w:val="00C540A3"/>
    <w:rsid w:val="00C540AE"/>
    <w:rsid w:val="00C54113"/>
    <w:rsid w:val="00C5426D"/>
    <w:rsid w:val="00C5431A"/>
    <w:rsid w:val="00C5452A"/>
    <w:rsid w:val="00C54DDE"/>
    <w:rsid w:val="00C56017"/>
    <w:rsid w:val="00C56718"/>
    <w:rsid w:val="00C56820"/>
    <w:rsid w:val="00C56988"/>
    <w:rsid w:val="00C575D7"/>
    <w:rsid w:val="00C5765F"/>
    <w:rsid w:val="00C57A39"/>
    <w:rsid w:val="00C57C86"/>
    <w:rsid w:val="00C605FE"/>
    <w:rsid w:val="00C60908"/>
    <w:rsid w:val="00C60BD2"/>
    <w:rsid w:val="00C61273"/>
    <w:rsid w:val="00C61834"/>
    <w:rsid w:val="00C61997"/>
    <w:rsid w:val="00C61D29"/>
    <w:rsid w:val="00C62B7A"/>
    <w:rsid w:val="00C62F2F"/>
    <w:rsid w:val="00C654F5"/>
    <w:rsid w:val="00C6581C"/>
    <w:rsid w:val="00C6584E"/>
    <w:rsid w:val="00C65C6E"/>
    <w:rsid w:val="00C666C7"/>
    <w:rsid w:val="00C669D1"/>
    <w:rsid w:val="00C66A27"/>
    <w:rsid w:val="00C66DC1"/>
    <w:rsid w:val="00C6712C"/>
    <w:rsid w:val="00C672B2"/>
    <w:rsid w:val="00C67310"/>
    <w:rsid w:val="00C67366"/>
    <w:rsid w:val="00C6749D"/>
    <w:rsid w:val="00C678A0"/>
    <w:rsid w:val="00C678AB"/>
    <w:rsid w:val="00C67D7D"/>
    <w:rsid w:val="00C70463"/>
    <w:rsid w:val="00C70E72"/>
    <w:rsid w:val="00C72392"/>
    <w:rsid w:val="00C73131"/>
    <w:rsid w:val="00C734D6"/>
    <w:rsid w:val="00C73B97"/>
    <w:rsid w:val="00C74056"/>
    <w:rsid w:val="00C7421D"/>
    <w:rsid w:val="00C743BF"/>
    <w:rsid w:val="00C74652"/>
    <w:rsid w:val="00C74C69"/>
    <w:rsid w:val="00C75071"/>
    <w:rsid w:val="00C75542"/>
    <w:rsid w:val="00C76568"/>
    <w:rsid w:val="00C7695C"/>
    <w:rsid w:val="00C76AAE"/>
    <w:rsid w:val="00C77061"/>
    <w:rsid w:val="00C77763"/>
    <w:rsid w:val="00C77AF5"/>
    <w:rsid w:val="00C77D54"/>
    <w:rsid w:val="00C77E47"/>
    <w:rsid w:val="00C805C3"/>
    <w:rsid w:val="00C806B7"/>
    <w:rsid w:val="00C80917"/>
    <w:rsid w:val="00C80919"/>
    <w:rsid w:val="00C809C5"/>
    <w:rsid w:val="00C80CD0"/>
    <w:rsid w:val="00C810E6"/>
    <w:rsid w:val="00C81AE0"/>
    <w:rsid w:val="00C82188"/>
    <w:rsid w:val="00C82316"/>
    <w:rsid w:val="00C824C6"/>
    <w:rsid w:val="00C825AA"/>
    <w:rsid w:val="00C827F7"/>
    <w:rsid w:val="00C828E4"/>
    <w:rsid w:val="00C83311"/>
    <w:rsid w:val="00C8349F"/>
    <w:rsid w:val="00C84527"/>
    <w:rsid w:val="00C84E2B"/>
    <w:rsid w:val="00C85113"/>
    <w:rsid w:val="00C85162"/>
    <w:rsid w:val="00C857FF"/>
    <w:rsid w:val="00C85B96"/>
    <w:rsid w:val="00C85D8F"/>
    <w:rsid w:val="00C87473"/>
    <w:rsid w:val="00C8750B"/>
    <w:rsid w:val="00C90977"/>
    <w:rsid w:val="00C90A50"/>
    <w:rsid w:val="00C911D1"/>
    <w:rsid w:val="00C9123F"/>
    <w:rsid w:val="00C9180F"/>
    <w:rsid w:val="00C91864"/>
    <w:rsid w:val="00C91BD3"/>
    <w:rsid w:val="00C921DA"/>
    <w:rsid w:val="00C922CE"/>
    <w:rsid w:val="00C92758"/>
    <w:rsid w:val="00C92A98"/>
    <w:rsid w:val="00C93B39"/>
    <w:rsid w:val="00C94275"/>
    <w:rsid w:val="00C948B2"/>
    <w:rsid w:val="00C94A38"/>
    <w:rsid w:val="00C94DCC"/>
    <w:rsid w:val="00C95113"/>
    <w:rsid w:val="00C95342"/>
    <w:rsid w:val="00C958A0"/>
    <w:rsid w:val="00C959F7"/>
    <w:rsid w:val="00C95C03"/>
    <w:rsid w:val="00C96DEC"/>
    <w:rsid w:val="00C96DF3"/>
    <w:rsid w:val="00C96FA1"/>
    <w:rsid w:val="00C970E6"/>
    <w:rsid w:val="00C9741A"/>
    <w:rsid w:val="00CA054C"/>
    <w:rsid w:val="00CA08AB"/>
    <w:rsid w:val="00CA0908"/>
    <w:rsid w:val="00CA0CFB"/>
    <w:rsid w:val="00CA1164"/>
    <w:rsid w:val="00CA1FDF"/>
    <w:rsid w:val="00CA2968"/>
    <w:rsid w:val="00CA3669"/>
    <w:rsid w:val="00CA38D3"/>
    <w:rsid w:val="00CA3CF9"/>
    <w:rsid w:val="00CA3DBF"/>
    <w:rsid w:val="00CA485E"/>
    <w:rsid w:val="00CA48D1"/>
    <w:rsid w:val="00CA5CF7"/>
    <w:rsid w:val="00CA5F69"/>
    <w:rsid w:val="00CA62DB"/>
    <w:rsid w:val="00CA660C"/>
    <w:rsid w:val="00CA6A7C"/>
    <w:rsid w:val="00CA6E60"/>
    <w:rsid w:val="00CA71B4"/>
    <w:rsid w:val="00CA7527"/>
    <w:rsid w:val="00CA75F0"/>
    <w:rsid w:val="00CB0811"/>
    <w:rsid w:val="00CB0F47"/>
    <w:rsid w:val="00CB0F84"/>
    <w:rsid w:val="00CB1392"/>
    <w:rsid w:val="00CB1BA4"/>
    <w:rsid w:val="00CB203F"/>
    <w:rsid w:val="00CB3102"/>
    <w:rsid w:val="00CB3719"/>
    <w:rsid w:val="00CB3F49"/>
    <w:rsid w:val="00CB40AA"/>
    <w:rsid w:val="00CB4143"/>
    <w:rsid w:val="00CB46AE"/>
    <w:rsid w:val="00CB48FC"/>
    <w:rsid w:val="00CB4995"/>
    <w:rsid w:val="00CB57CF"/>
    <w:rsid w:val="00CB5D63"/>
    <w:rsid w:val="00CB5DD2"/>
    <w:rsid w:val="00CB60B0"/>
    <w:rsid w:val="00CB67A2"/>
    <w:rsid w:val="00CB6CFF"/>
    <w:rsid w:val="00CB71C2"/>
    <w:rsid w:val="00CB77C0"/>
    <w:rsid w:val="00CB7831"/>
    <w:rsid w:val="00CB79D7"/>
    <w:rsid w:val="00CB7F49"/>
    <w:rsid w:val="00CC00A1"/>
    <w:rsid w:val="00CC0AE0"/>
    <w:rsid w:val="00CC0DF5"/>
    <w:rsid w:val="00CC0E56"/>
    <w:rsid w:val="00CC1604"/>
    <w:rsid w:val="00CC19AC"/>
    <w:rsid w:val="00CC1E4C"/>
    <w:rsid w:val="00CC1E63"/>
    <w:rsid w:val="00CC1F07"/>
    <w:rsid w:val="00CC22B6"/>
    <w:rsid w:val="00CC237B"/>
    <w:rsid w:val="00CC24F0"/>
    <w:rsid w:val="00CC2587"/>
    <w:rsid w:val="00CC2B0F"/>
    <w:rsid w:val="00CC2E8F"/>
    <w:rsid w:val="00CC2F3A"/>
    <w:rsid w:val="00CC2F93"/>
    <w:rsid w:val="00CC3317"/>
    <w:rsid w:val="00CC3DB1"/>
    <w:rsid w:val="00CC3EBA"/>
    <w:rsid w:val="00CC4522"/>
    <w:rsid w:val="00CC4611"/>
    <w:rsid w:val="00CC4EAF"/>
    <w:rsid w:val="00CC511E"/>
    <w:rsid w:val="00CC5846"/>
    <w:rsid w:val="00CC5BA6"/>
    <w:rsid w:val="00CC697F"/>
    <w:rsid w:val="00CC6D6D"/>
    <w:rsid w:val="00CC71F0"/>
    <w:rsid w:val="00CC7467"/>
    <w:rsid w:val="00CC78CD"/>
    <w:rsid w:val="00CC7D67"/>
    <w:rsid w:val="00CD06C7"/>
    <w:rsid w:val="00CD0B71"/>
    <w:rsid w:val="00CD2175"/>
    <w:rsid w:val="00CD2DED"/>
    <w:rsid w:val="00CD3064"/>
    <w:rsid w:val="00CD32FC"/>
    <w:rsid w:val="00CD3B3F"/>
    <w:rsid w:val="00CD50C2"/>
    <w:rsid w:val="00CD5826"/>
    <w:rsid w:val="00CD5A5B"/>
    <w:rsid w:val="00CD5BC4"/>
    <w:rsid w:val="00CD6227"/>
    <w:rsid w:val="00CD6714"/>
    <w:rsid w:val="00CD67E0"/>
    <w:rsid w:val="00CD6E0E"/>
    <w:rsid w:val="00CD72BC"/>
    <w:rsid w:val="00CD7613"/>
    <w:rsid w:val="00CD7B2F"/>
    <w:rsid w:val="00CD7E61"/>
    <w:rsid w:val="00CE0229"/>
    <w:rsid w:val="00CE0813"/>
    <w:rsid w:val="00CE0DC4"/>
    <w:rsid w:val="00CE0FF4"/>
    <w:rsid w:val="00CE125F"/>
    <w:rsid w:val="00CE17AB"/>
    <w:rsid w:val="00CE1D25"/>
    <w:rsid w:val="00CE1F75"/>
    <w:rsid w:val="00CE2658"/>
    <w:rsid w:val="00CE2823"/>
    <w:rsid w:val="00CE2834"/>
    <w:rsid w:val="00CE28A8"/>
    <w:rsid w:val="00CE386C"/>
    <w:rsid w:val="00CE3B45"/>
    <w:rsid w:val="00CE3E93"/>
    <w:rsid w:val="00CE3F92"/>
    <w:rsid w:val="00CE4027"/>
    <w:rsid w:val="00CE4054"/>
    <w:rsid w:val="00CE4086"/>
    <w:rsid w:val="00CE49B5"/>
    <w:rsid w:val="00CE4BAA"/>
    <w:rsid w:val="00CE4E8B"/>
    <w:rsid w:val="00CE5016"/>
    <w:rsid w:val="00CE52A1"/>
    <w:rsid w:val="00CE5D67"/>
    <w:rsid w:val="00CE6307"/>
    <w:rsid w:val="00CE68B0"/>
    <w:rsid w:val="00CE6C15"/>
    <w:rsid w:val="00CE6CE3"/>
    <w:rsid w:val="00CE6DA7"/>
    <w:rsid w:val="00CE758F"/>
    <w:rsid w:val="00CE77B6"/>
    <w:rsid w:val="00CE788E"/>
    <w:rsid w:val="00CE7AF8"/>
    <w:rsid w:val="00CF0409"/>
    <w:rsid w:val="00CF05BB"/>
    <w:rsid w:val="00CF063F"/>
    <w:rsid w:val="00CF068F"/>
    <w:rsid w:val="00CF0C17"/>
    <w:rsid w:val="00CF0F77"/>
    <w:rsid w:val="00CF1B5A"/>
    <w:rsid w:val="00CF1F6A"/>
    <w:rsid w:val="00CF277B"/>
    <w:rsid w:val="00CF2813"/>
    <w:rsid w:val="00CF2F9E"/>
    <w:rsid w:val="00CF352D"/>
    <w:rsid w:val="00CF3540"/>
    <w:rsid w:val="00CF3D63"/>
    <w:rsid w:val="00CF427F"/>
    <w:rsid w:val="00CF4912"/>
    <w:rsid w:val="00CF4B41"/>
    <w:rsid w:val="00CF4BDC"/>
    <w:rsid w:val="00CF4C89"/>
    <w:rsid w:val="00CF4DB0"/>
    <w:rsid w:val="00CF5C7E"/>
    <w:rsid w:val="00CF5C9F"/>
    <w:rsid w:val="00CF6BF4"/>
    <w:rsid w:val="00CF6D75"/>
    <w:rsid w:val="00CF6DC7"/>
    <w:rsid w:val="00CF6F46"/>
    <w:rsid w:val="00CF7012"/>
    <w:rsid w:val="00CF7215"/>
    <w:rsid w:val="00CF72FF"/>
    <w:rsid w:val="00CF76E1"/>
    <w:rsid w:val="00CF7815"/>
    <w:rsid w:val="00CF797E"/>
    <w:rsid w:val="00CF7F5F"/>
    <w:rsid w:val="00D00186"/>
    <w:rsid w:val="00D0085B"/>
    <w:rsid w:val="00D00A33"/>
    <w:rsid w:val="00D00C67"/>
    <w:rsid w:val="00D012BD"/>
    <w:rsid w:val="00D01529"/>
    <w:rsid w:val="00D0231E"/>
    <w:rsid w:val="00D024EA"/>
    <w:rsid w:val="00D02863"/>
    <w:rsid w:val="00D02D07"/>
    <w:rsid w:val="00D03607"/>
    <w:rsid w:val="00D0372F"/>
    <w:rsid w:val="00D03D01"/>
    <w:rsid w:val="00D0434C"/>
    <w:rsid w:val="00D04490"/>
    <w:rsid w:val="00D04539"/>
    <w:rsid w:val="00D04A91"/>
    <w:rsid w:val="00D051A3"/>
    <w:rsid w:val="00D054F1"/>
    <w:rsid w:val="00D05543"/>
    <w:rsid w:val="00D05D89"/>
    <w:rsid w:val="00D063E4"/>
    <w:rsid w:val="00D0670E"/>
    <w:rsid w:val="00D06885"/>
    <w:rsid w:val="00D06C34"/>
    <w:rsid w:val="00D06C81"/>
    <w:rsid w:val="00D06F5C"/>
    <w:rsid w:val="00D07EC9"/>
    <w:rsid w:val="00D104BF"/>
    <w:rsid w:val="00D1069F"/>
    <w:rsid w:val="00D106A6"/>
    <w:rsid w:val="00D1075F"/>
    <w:rsid w:val="00D107CD"/>
    <w:rsid w:val="00D10A71"/>
    <w:rsid w:val="00D10C58"/>
    <w:rsid w:val="00D10C72"/>
    <w:rsid w:val="00D11608"/>
    <w:rsid w:val="00D11A32"/>
    <w:rsid w:val="00D11D12"/>
    <w:rsid w:val="00D11DC3"/>
    <w:rsid w:val="00D11FAA"/>
    <w:rsid w:val="00D11FF7"/>
    <w:rsid w:val="00D1202C"/>
    <w:rsid w:val="00D12163"/>
    <w:rsid w:val="00D12683"/>
    <w:rsid w:val="00D129DE"/>
    <w:rsid w:val="00D12A84"/>
    <w:rsid w:val="00D12DFE"/>
    <w:rsid w:val="00D13439"/>
    <w:rsid w:val="00D13AEB"/>
    <w:rsid w:val="00D1425B"/>
    <w:rsid w:val="00D14BF3"/>
    <w:rsid w:val="00D15715"/>
    <w:rsid w:val="00D15A3F"/>
    <w:rsid w:val="00D15B3B"/>
    <w:rsid w:val="00D15CBA"/>
    <w:rsid w:val="00D16021"/>
    <w:rsid w:val="00D1603D"/>
    <w:rsid w:val="00D160FF"/>
    <w:rsid w:val="00D1618A"/>
    <w:rsid w:val="00D16634"/>
    <w:rsid w:val="00D16D53"/>
    <w:rsid w:val="00D16E16"/>
    <w:rsid w:val="00D171E0"/>
    <w:rsid w:val="00D17444"/>
    <w:rsid w:val="00D20296"/>
    <w:rsid w:val="00D2112F"/>
    <w:rsid w:val="00D2148A"/>
    <w:rsid w:val="00D21E68"/>
    <w:rsid w:val="00D21EE8"/>
    <w:rsid w:val="00D221CE"/>
    <w:rsid w:val="00D2316F"/>
    <w:rsid w:val="00D232F3"/>
    <w:rsid w:val="00D23472"/>
    <w:rsid w:val="00D2347B"/>
    <w:rsid w:val="00D2378E"/>
    <w:rsid w:val="00D24521"/>
    <w:rsid w:val="00D24570"/>
    <w:rsid w:val="00D2494D"/>
    <w:rsid w:val="00D24ABB"/>
    <w:rsid w:val="00D2564F"/>
    <w:rsid w:val="00D25663"/>
    <w:rsid w:val="00D25B2A"/>
    <w:rsid w:val="00D25B88"/>
    <w:rsid w:val="00D26116"/>
    <w:rsid w:val="00D2629A"/>
    <w:rsid w:val="00D264ED"/>
    <w:rsid w:val="00D26592"/>
    <w:rsid w:val="00D26E1C"/>
    <w:rsid w:val="00D26EDC"/>
    <w:rsid w:val="00D27751"/>
    <w:rsid w:val="00D3048B"/>
    <w:rsid w:val="00D3118A"/>
    <w:rsid w:val="00D313DB"/>
    <w:rsid w:val="00D31680"/>
    <w:rsid w:val="00D31782"/>
    <w:rsid w:val="00D31EFC"/>
    <w:rsid w:val="00D3218D"/>
    <w:rsid w:val="00D32882"/>
    <w:rsid w:val="00D32FFD"/>
    <w:rsid w:val="00D330D8"/>
    <w:rsid w:val="00D33373"/>
    <w:rsid w:val="00D3368F"/>
    <w:rsid w:val="00D33E9B"/>
    <w:rsid w:val="00D347FA"/>
    <w:rsid w:val="00D348C4"/>
    <w:rsid w:val="00D34AFA"/>
    <w:rsid w:val="00D34FF4"/>
    <w:rsid w:val="00D3519D"/>
    <w:rsid w:val="00D3594C"/>
    <w:rsid w:val="00D35B39"/>
    <w:rsid w:val="00D35E2A"/>
    <w:rsid w:val="00D363E0"/>
    <w:rsid w:val="00D3669A"/>
    <w:rsid w:val="00D369E6"/>
    <w:rsid w:val="00D36FB3"/>
    <w:rsid w:val="00D3719F"/>
    <w:rsid w:val="00D37C45"/>
    <w:rsid w:val="00D4023C"/>
    <w:rsid w:val="00D40301"/>
    <w:rsid w:val="00D40415"/>
    <w:rsid w:val="00D405AC"/>
    <w:rsid w:val="00D4080A"/>
    <w:rsid w:val="00D4086A"/>
    <w:rsid w:val="00D409DA"/>
    <w:rsid w:val="00D40F1A"/>
    <w:rsid w:val="00D41342"/>
    <w:rsid w:val="00D41770"/>
    <w:rsid w:val="00D41C85"/>
    <w:rsid w:val="00D420EE"/>
    <w:rsid w:val="00D425F5"/>
    <w:rsid w:val="00D4280A"/>
    <w:rsid w:val="00D428B4"/>
    <w:rsid w:val="00D42999"/>
    <w:rsid w:val="00D42AB0"/>
    <w:rsid w:val="00D4305D"/>
    <w:rsid w:val="00D433BC"/>
    <w:rsid w:val="00D43667"/>
    <w:rsid w:val="00D4379A"/>
    <w:rsid w:val="00D43A5C"/>
    <w:rsid w:val="00D43F65"/>
    <w:rsid w:val="00D440DE"/>
    <w:rsid w:val="00D44B66"/>
    <w:rsid w:val="00D44F53"/>
    <w:rsid w:val="00D44F90"/>
    <w:rsid w:val="00D4501D"/>
    <w:rsid w:val="00D4594B"/>
    <w:rsid w:val="00D46083"/>
    <w:rsid w:val="00D466AC"/>
    <w:rsid w:val="00D46D06"/>
    <w:rsid w:val="00D4760E"/>
    <w:rsid w:val="00D47B15"/>
    <w:rsid w:val="00D47C20"/>
    <w:rsid w:val="00D50D54"/>
    <w:rsid w:val="00D50FE3"/>
    <w:rsid w:val="00D50FED"/>
    <w:rsid w:val="00D51A39"/>
    <w:rsid w:val="00D51AD1"/>
    <w:rsid w:val="00D52B9D"/>
    <w:rsid w:val="00D52CC4"/>
    <w:rsid w:val="00D52FE2"/>
    <w:rsid w:val="00D5313D"/>
    <w:rsid w:val="00D53723"/>
    <w:rsid w:val="00D53BD4"/>
    <w:rsid w:val="00D53E34"/>
    <w:rsid w:val="00D53F64"/>
    <w:rsid w:val="00D54181"/>
    <w:rsid w:val="00D54ACC"/>
    <w:rsid w:val="00D54D30"/>
    <w:rsid w:val="00D5611E"/>
    <w:rsid w:val="00D5645F"/>
    <w:rsid w:val="00D5649C"/>
    <w:rsid w:val="00D5656B"/>
    <w:rsid w:val="00D56883"/>
    <w:rsid w:val="00D56BF2"/>
    <w:rsid w:val="00D56F98"/>
    <w:rsid w:val="00D5710D"/>
    <w:rsid w:val="00D57312"/>
    <w:rsid w:val="00D6031B"/>
    <w:rsid w:val="00D60364"/>
    <w:rsid w:val="00D613FD"/>
    <w:rsid w:val="00D6159B"/>
    <w:rsid w:val="00D6205A"/>
    <w:rsid w:val="00D625D0"/>
    <w:rsid w:val="00D62628"/>
    <w:rsid w:val="00D62A58"/>
    <w:rsid w:val="00D62BCE"/>
    <w:rsid w:val="00D62C03"/>
    <w:rsid w:val="00D63060"/>
    <w:rsid w:val="00D632D5"/>
    <w:rsid w:val="00D6354F"/>
    <w:rsid w:val="00D64084"/>
    <w:rsid w:val="00D64171"/>
    <w:rsid w:val="00D642A1"/>
    <w:rsid w:val="00D64444"/>
    <w:rsid w:val="00D649DB"/>
    <w:rsid w:val="00D64B1C"/>
    <w:rsid w:val="00D658CE"/>
    <w:rsid w:val="00D66359"/>
    <w:rsid w:val="00D6740A"/>
    <w:rsid w:val="00D67A79"/>
    <w:rsid w:val="00D70519"/>
    <w:rsid w:val="00D70B1B"/>
    <w:rsid w:val="00D70F2D"/>
    <w:rsid w:val="00D71091"/>
    <w:rsid w:val="00D710FF"/>
    <w:rsid w:val="00D71688"/>
    <w:rsid w:val="00D71701"/>
    <w:rsid w:val="00D71790"/>
    <w:rsid w:val="00D72BD8"/>
    <w:rsid w:val="00D72E77"/>
    <w:rsid w:val="00D732E5"/>
    <w:rsid w:val="00D734D3"/>
    <w:rsid w:val="00D73723"/>
    <w:rsid w:val="00D7386B"/>
    <w:rsid w:val="00D74150"/>
    <w:rsid w:val="00D74363"/>
    <w:rsid w:val="00D744F5"/>
    <w:rsid w:val="00D74B1C"/>
    <w:rsid w:val="00D750AB"/>
    <w:rsid w:val="00D75BEC"/>
    <w:rsid w:val="00D76F3D"/>
    <w:rsid w:val="00D77021"/>
    <w:rsid w:val="00D770DD"/>
    <w:rsid w:val="00D7718B"/>
    <w:rsid w:val="00D7779E"/>
    <w:rsid w:val="00D77908"/>
    <w:rsid w:val="00D77B04"/>
    <w:rsid w:val="00D77F02"/>
    <w:rsid w:val="00D800C1"/>
    <w:rsid w:val="00D80164"/>
    <w:rsid w:val="00D80299"/>
    <w:rsid w:val="00D805C4"/>
    <w:rsid w:val="00D80EFF"/>
    <w:rsid w:val="00D81218"/>
    <w:rsid w:val="00D81488"/>
    <w:rsid w:val="00D816B1"/>
    <w:rsid w:val="00D816EA"/>
    <w:rsid w:val="00D817CF"/>
    <w:rsid w:val="00D81A90"/>
    <w:rsid w:val="00D81E34"/>
    <w:rsid w:val="00D823DB"/>
    <w:rsid w:val="00D82F47"/>
    <w:rsid w:val="00D831A9"/>
    <w:rsid w:val="00D832CE"/>
    <w:rsid w:val="00D83548"/>
    <w:rsid w:val="00D83888"/>
    <w:rsid w:val="00D83DD4"/>
    <w:rsid w:val="00D83F8E"/>
    <w:rsid w:val="00D84592"/>
    <w:rsid w:val="00D84A77"/>
    <w:rsid w:val="00D84DAE"/>
    <w:rsid w:val="00D8516D"/>
    <w:rsid w:val="00D8534D"/>
    <w:rsid w:val="00D8544F"/>
    <w:rsid w:val="00D85521"/>
    <w:rsid w:val="00D861B1"/>
    <w:rsid w:val="00D86473"/>
    <w:rsid w:val="00D86576"/>
    <w:rsid w:val="00D868AF"/>
    <w:rsid w:val="00D86B26"/>
    <w:rsid w:val="00D86B85"/>
    <w:rsid w:val="00D870DF"/>
    <w:rsid w:val="00D8729A"/>
    <w:rsid w:val="00D87881"/>
    <w:rsid w:val="00D902D9"/>
    <w:rsid w:val="00D906C2"/>
    <w:rsid w:val="00D9084D"/>
    <w:rsid w:val="00D90861"/>
    <w:rsid w:val="00D919F9"/>
    <w:rsid w:val="00D91B57"/>
    <w:rsid w:val="00D91F41"/>
    <w:rsid w:val="00D9281C"/>
    <w:rsid w:val="00D92A91"/>
    <w:rsid w:val="00D92D82"/>
    <w:rsid w:val="00D92F67"/>
    <w:rsid w:val="00D93126"/>
    <w:rsid w:val="00D9362B"/>
    <w:rsid w:val="00D9364E"/>
    <w:rsid w:val="00D93C2C"/>
    <w:rsid w:val="00D93FB0"/>
    <w:rsid w:val="00D95053"/>
    <w:rsid w:val="00D950EC"/>
    <w:rsid w:val="00D9515D"/>
    <w:rsid w:val="00D95388"/>
    <w:rsid w:val="00D955AA"/>
    <w:rsid w:val="00D95732"/>
    <w:rsid w:val="00D96351"/>
    <w:rsid w:val="00D9657B"/>
    <w:rsid w:val="00D96737"/>
    <w:rsid w:val="00D96B78"/>
    <w:rsid w:val="00D97B33"/>
    <w:rsid w:val="00D97DB8"/>
    <w:rsid w:val="00D97DEB"/>
    <w:rsid w:val="00D97EEC"/>
    <w:rsid w:val="00DA0199"/>
    <w:rsid w:val="00DA027B"/>
    <w:rsid w:val="00DA0384"/>
    <w:rsid w:val="00DA0388"/>
    <w:rsid w:val="00DA0423"/>
    <w:rsid w:val="00DA0745"/>
    <w:rsid w:val="00DA1574"/>
    <w:rsid w:val="00DA1764"/>
    <w:rsid w:val="00DA1D0F"/>
    <w:rsid w:val="00DA21E9"/>
    <w:rsid w:val="00DA22A9"/>
    <w:rsid w:val="00DA3CE6"/>
    <w:rsid w:val="00DA4401"/>
    <w:rsid w:val="00DA4E92"/>
    <w:rsid w:val="00DA5478"/>
    <w:rsid w:val="00DA5511"/>
    <w:rsid w:val="00DA58CB"/>
    <w:rsid w:val="00DA592E"/>
    <w:rsid w:val="00DA62BA"/>
    <w:rsid w:val="00DA67C1"/>
    <w:rsid w:val="00DA6AB0"/>
    <w:rsid w:val="00DA6B83"/>
    <w:rsid w:val="00DA6D0A"/>
    <w:rsid w:val="00DA7865"/>
    <w:rsid w:val="00DA79DC"/>
    <w:rsid w:val="00DA7F11"/>
    <w:rsid w:val="00DB011C"/>
    <w:rsid w:val="00DB04EE"/>
    <w:rsid w:val="00DB0BA8"/>
    <w:rsid w:val="00DB110B"/>
    <w:rsid w:val="00DB18BF"/>
    <w:rsid w:val="00DB18F2"/>
    <w:rsid w:val="00DB20F4"/>
    <w:rsid w:val="00DB2426"/>
    <w:rsid w:val="00DB2FB2"/>
    <w:rsid w:val="00DB33EE"/>
    <w:rsid w:val="00DB33FA"/>
    <w:rsid w:val="00DB3A58"/>
    <w:rsid w:val="00DB4095"/>
    <w:rsid w:val="00DB4323"/>
    <w:rsid w:val="00DB4421"/>
    <w:rsid w:val="00DB46EB"/>
    <w:rsid w:val="00DB49FD"/>
    <w:rsid w:val="00DB4DAD"/>
    <w:rsid w:val="00DB5088"/>
    <w:rsid w:val="00DB5EAF"/>
    <w:rsid w:val="00DB6215"/>
    <w:rsid w:val="00DB680E"/>
    <w:rsid w:val="00DB6E26"/>
    <w:rsid w:val="00DB712C"/>
    <w:rsid w:val="00DB7867"/>
    <w:rsid w:val="00DB790E"/>
    <w:rsid w:val="00DC1080"/>
    <w:rsid w:val="00DC115F"/>
    <w:rsid w:val="00DC1B6F"/>
    <w:rsid w:val="00DC1D3A"/>
    <w:rsid w:val="00DC1D6B"/>
    <w:rsid w:val="00DC2911"/>
    <w:rsid w:val="00DC2C4A"/>
    <w:rsid w:val="00DC2D8C"/>
    <w:rsid w:val="00DC331B"/>
    <w:rsid w:val="00DC333E"/>
    <w:rsid w:val="00DC34F3"/>
    <w:rsid w:val="00DC3668"/>
    <w:rsid w:val="00DC3EAB"/>
    <w:rsid w:val="00DC3F80"/>
    <w:rsid w:val="00DC4F6D"/>
    <w:rsid w:val="00DC51BB"/>
    <w:rsid w:val="00DC621B"/>
    <w:rsid w:val="00DC6328"/>
    <w:rsid w:val="00DC6BC4"/>
    <w:rsid w:val="00DC6D90"/>
    <w:rsid w:val="00DC6F7F"/>
    <w:rsid w:val="00DC7021"/>
    <w:rsid w:val="00DC705B"/>
    <w:rsid w:val="00DC717A"/>
    <w:rsid w:val="00DC76EC"/>
    <w:rsid w:val="00DC7720"/>
    <w:rsid w:val="00DC7A53"/>
    <w:rsid w:val="00DC7F95"/>
    <w:rsid w:val="00DD0304"/>
    <w:rsid w:val="00DD0AC6"/>
    <w:rsid w:val="00DD0B82"/>
    <w:rsid w:val="00DD0CF4"/>
    <w:rsid w:val="00DD0D0C"/>
    <w:rsid w:val="00DD0F5C"/>
    <w:rsid w:val="00DD0FF9"/>
    <w:rsid w:val="00DD1264"/>
    <w:rsid w:val="00DD1679"/>
    <w:rsid w:val="00DD18E8"/>
    <w:rsid w:val="00DD1D19"/>
    <w:rsid w:val="00DD1DED"/>
    <w:rsid w:val="00DD230B"/>
    <w:rsid w:val="00DD24A2"/>
    <w:rsid w:val="00DD2816"/>
    <w:rsid w:val="00DD2961"/>
    <w:rsid w:val="00DD4172"/>
    <w:rsid w:val="00DD452A"/>
    <w:rsid w:val="00DD455F"/>
    <w:rsid w:val="00DD4614"/>
    <w:rsid w:val="00DD4EF9"/>
    <w:rsid w:val="00DD4F92"/>
    <w:rsid w:val="00DD501A"/>
    <w:rsid w:val="00DD5310"/>
    <w:rsid w:val="00DD546B"/>
    <w:rsid w:val="00DD774F"/>
    <w:rsid w:val="00DD7C0C"/>
    <w:rsid w:val="00DE0435"/>
    <w:rsid w:val="00DE0730"/>
    <w:rsid w:val="00DE0832"/>
    <w:rsid w:val="00DE0A2A"/>
    <w:rsid w:val="00DE1097"/>
    <w:rsid w:val="00DE245E"/>
    <w:rsid w:val="00DE2894"/>
    <w:rsid w:val="00DE2896"/>
    <w:rsid w:val="00DE2BBC"/>
    <w:rsid w:val="00DE2D2E"/>
    <w:rsid w:val="00DE3002"/>
    <w:rsid w:val="00DE3196"/>
    <w:rsid w:val="00DE3436"/>
    <w:rsid w:val="00DE43AC"/>
    <w:rsid w:val="00DE49A7"/>
    <w:rsid w:val="00DE500D"/>
    <w:rsid w:val="00DE52C6"/>
    <w:rsid w:val="00DE5A85"/>
    <w:rsid w:val="00DE5B3F"/>
    <w:rsid w:val="00DE5BC6"/>
    <w:rsid w:val="00DE61B5"/>
    <w:rsid w:val="00DE6989"/>
    <w:rsid w:val="00DE7093"/>
    <w:rsid w:val="00DE7454"/>
    <w:rsid w:val="00DE74C4"/>
    <w:rsid w:val="00DE7935"/>
    <w:rsid w:val="00DE7C4A"/>
    <w:rsid w:val="00DE7E0B"/>
    <w:rsid w:val="00DE7E68"/>
    <w:rsid w:val="00DE7F3A"/>
    <w:rsid w:val="00DF008B"/>
    <w:rsid w:val="00DF0295"/>
    <w:rsid w:val="00DF0654"/>
    <w:rsid w:val="00DF0EF1"/>
    <w:rsid w:val="00DF11B0"/>
    <w:rsid w:val="00DF11EA"/>
    <w:rsid w:val="00DF188D"/>
    <w:rsid w:val="00DF1D66"/>
    <w:rsid w:val="00DF1F65"/>
    <w:rsid w:val="00DF244C"/>
    <w:rsid w:val="00DF282F"/>
    <w:rsid w:val="00DF2877"/>
    <w:rsid w:val="00DF2AD0"/>
    <w:rsid w:val="00DF3167"/>
    <w:rsid w:val="00DF3587"/>
    <w:rsid w:val="00DF4816"/>
    <w:rsid w:val="00DF4B52"/>
    <w:rsid w:val="00DF5042"/>
    <w:rsid w:val="00DF5065"/>
    <w:rsid w:val="00DF51C8"/>
    <w:rsid w:val="00DF54B1"/>
    <w:rsid w:val="00DF56B5"/>
    <w:rsid w:val="00DF5CD1"/>
    <w:rsid w:val="00DF5E75"/>
    <w:rsid w:val="00DF5F07"/>
    <w:rsid w:val="00DF61DC"/>
    <w:rsid w:val="00DF628B"/>
    <w:rsid w:val="00DF6679"/>
    <w:rsid w:val="00DF6AD2"/>
    <w:rsid w:val="00DF6C46"/>
    <w:rsid w:val="00DF6DD7"/>
    <w:rsid w:val="00DF6E9F"/>
    <w:rsid w:val="00DF712C"/>
    <w:rsid w:val="00DF757D"/>
    <w:rsid w:val="00DF7702"/>
    <w:rsid w:val="00DF79D1"/>
    <w:rsid w:val="00DF7FD2"/>
    <w:rsid w:val="00E005FC"/>
    <w:rsid w:val="00E00676"/>
    <w:rsid w:val="00E00847"/>
    <w:rsid w:val="00E00ABB"/>
    <w:rsid w:val="00E00B08"/>
    <w:rsid w:val="00E010EA"/>
    <w:rsid w:val="00E01854"/>
    <w:rsid w:val="00E01903"/>
    <w:rsid w:val="00E01DEA"/>
    <w:rsid w:val="00E02011"/>
    <w:rsid w:val="00E0228F"/>
    <w:rsid w:val="00E0235C"/>
    <w:rsid w:val="00E030F4"/>
    <w:rsid w:val="00E04484"/>
    <w:rsid w:val="00E049E5"/>
    <w:rsid w:val="00E0539C"/>
    <w:rsid w:val="00E0551B"/>
    <w:rsid w:val="00E05576"/>
    <w:rsid w:val="00E05DCB"/>
    <w:rsid w:val="00E061BC"/>
    <w:rsid w:val="00E063DD"/>
    <w:rsid w:val="00E07550"/>
    <w:rsid w:val="00E07A12"/>
    <w:rsid w:val="00E07E70"/>
    <w:rsid w:val="00E10B3C"/>
    <w:rsid w:val="00E110F2"/>
    <w:rsid w:val="00E11171"/>
    <w:rsid w:val="00E11689"/>
    <w:rsid w:val="00E11F71"/>
    <w:rsid w:val="00E126E8"/>
    <w:rsid w:val="00E129C9"/>
    <w:rsid w:val="00E12C04"/>
    <w:rsid w:val="00E13BA7"/>
    <w:rsid w:val="00E146A1"/>
    <w:rsid w:val="00E147DD"/>
    <w:rsid w:val="00E14DAE"/>
    <w:rsid w:val="00E15349"/>
    <w:rsid w:val="00E154B5"/>
    <w:rsid w:val="00E15BBE"/>
    <w:rsid w:val="00E167A3"/>
    <w:rsid w:val="00E16925"/>
    <w:rsid w:val="00E172AA"/>
    <w:rsid w:val="00E174FC"/>
    <w:rsid w:val="00E17824"/>
    <w:rsid w:val="00E17F58"/>
    <w:rsid w:val="00E20172"/>
    <w:rsid w:val="00E201ED"/>
    <w:rsid w:val="00E20789"/>
    <w:rsid w:val="00E20AAB"/>
    <w:rsid w:val="00E20D0D"/>
    <w:rsid w:val="00E20DFB"/>
    <w:rsid w:val="00E21173"/>
    <w:rsid w:val="00E212F4"/>
    <w:rsid w:val="00E2147C"/>
    <w:rsid w:val="00E21490"/>
    <w:rsid w:val="00E21816"/>
    <w:rsid w:val="00E21B40"/>
    <w:rsid w:val="00E21E33"/>
    <w:rsid w:val="00E220E5"/>
    <w:rsid w:val="00E2214E"/>
    <w:rsid w:val="00E22627"/>
    <w:rsid w:val="00E22DF0"/>
    <w:rsid w:val="00E232FE"/>
    <w:rsid w:val="00E237C9"/>
    <w:rsid w:val="00E23CFB"/>
    <w:rsid w:val="00E23E57"/>
    <w:rsid w:val="00E2417A"/>
    <w:rsid w:val="00E2458F"/>
    <w:rsid w:val="00E253F0"/>
    <w:rsid w:val="00E25508"/>
    <w:rsid w:val="00E25CC9"/>
    <w:rsid w:val="00E264DA"/>
    <w:rsid w:val="00E26662"/>
    <w:rsid w:val="00E268DE"/>
    <w:rsid w:val="00E2692E"/>
    <w:rsid w:val="00E27223"/>
    <w:rsid w:val="00E27474"/>
    <w:rsid w:val="00E276F1"/>
    <w:rsid w:val="00E27BAB"/>
    <w:rsid w:val="00E27BAD"/>
    <w:rsid w:val="00E27E07"/>
    <w:rsid w:val="00E300CD"/>
    <w:rsid w:val="00E3023B"/>
    <w:rsid w:val="00E31354"/>
    <w:rsid w:val="00E314D8"/>
    <w:rsid w:val="00E31D40"/>
    <w:rsid w:val="00E31D52"/>
    <w:rsid w:val="00E32684"/>
    <w:rsid w:val="00E32D61"/>
    <w:rsid w:val="00E331D3"/>
    <w:rsid w:val="00E332CB"/>
    <w:rsid w:val="00E33355"/>
    <w:rsid w:val="00E333B0"/>
    <w:rsid w:val="00E33714"/>
    <w:rsid w:val="00E33738"/>
    <w:rsid w:val="00E33AF9"/>
    <w:rsid w:val="00E34A3F"/>
    <w:rsid w:val="00E34B50"/>
    <w:rsid w:val="00E3534B"/>
    <w:rsid w:val="00E35529"/>
    <w:rsid w:val="00E3559B"/>
    <w:rsid w:val="00E3622D"/>
    <w:rsid w:val="00E36545"/>
    <w:rsid w:val="00E37271"/>
    <w:rsid w:val="00E3727D"/>
    <w:rsid w:val="00E3746D"/>
    <w:rsid w:val="00E37E00"/>
    <w:rsid w:val="00E406E9"/>
    <w:rsid w:val="00E40A5D"/>
    <w:rsid w:val="00E426B8"/>
    <w:rsid w:val="00E42D1E"/>
    <w:rsid w:val="00E43A8D"/>
    <w:rsid w:val="00E43EAE"/>
    <w:rsid w:val="00E442D2"/>
    <w:rsid w:val="00E45046"/>
    <w:rsid w:val="00E450F5"/>
    <w:rsid w:val="00E46197"/>
    <w:rsid w:val="00E462B0"/>
    <w:rsid w:val="00E4676E"/>
    <w:rsid w:val="00E46E3D"/>
    <w:rsid w:val="00E4706B"/>
    <w:rsid w:val="00E47829"/>
    <w:rsid w:val="00E47946"/>
    <w:rsid w:val="00E502B9"/>
    <w:rsid w:val="00E502F4"/>
    <w:rsid w:val="00E50477"/>
    <w:rsid w:val="00E507C2"/>
    <w:rsid w:val="00E508B4"/>
    <w:rsid w:val="00E50A99"/>
    <w:rsid w:val="00E50DC4"/>
    <w:rsid w:val="00E50E7A"/>
    <w:rsid w:val="00E510B7"/>
    <w:rsid w:val="00E51371"/>
    <w:rsid w:val="00E51779"/>
    <w:rsid w:val="00E51B20"/>
    <w:rsid w:val="00E522B1"/>
    <w:rsid w:val="00E52357"/>
    <w:rsid w:val="00E52D84"/>
    <w:rsid w:val="00E52E25"/>
    <w:rsid w:val="00E52F03"/>
    <w:rsid w:val="00E5369D"/>
    <w:rsid w:val="00E538C0"/>
    <w:rsid w:val="00E53D76"/>
    <w:rsid w:val="00E53FA9"/>
    <w:rsid w:val="00E54B17"/>
    <w:rsid w:val="00E55658"/>
    <w:rsid w:val="00E557BE"/>
    <w:rsid w:val="00E558E4"/>
    <w:rsid w:val="00E5604F"/>
    <w:rsid w:val="00E5615D"/>
    <w:rsid w:val="00E563B1"/>
    <w:rsid w:val="00E56464"/>
    <w:rsid w:val="00E56C39"/>
    <w:rsid w:val="00E56DF8"/>
    <w:rsid w:val="00E56E45"/>
    <w:rsid w:val="00E571AD"/>
    <w:rsid w:val="00E5744A"/>
    <w:rsid w:val="00E5761C"/>
    <w:rsid w:val="00E5784A"/>
    <w:rsid w:val="00E57EA7"/>
    <w:rsid w:val="00E6013A"/>
    <w:rsid w:val="00E6033A"/>
    <w:rsid w:val="00E6044D"/>
    <w:rsid w:val="00E6095F"/>
    <w:rsid w:val="00E60AB7"/>
    <w:rsid w:val="00E6194A"/>
    <w:rsid w:val="00E61A66"/>
    <w:rsid w:val="00E61EB7"/>
    <w:rsid w:val="00E62106"/>
    <w:rsid w:val="00E6218B"/>
    <w:rsid w:val="00E626B5"/>
    <w:rsid w:val="00E63682"/>
    <w:rsid w:val="00E639CE"/>
    <w:rsid w:val="00E63A41"/>
    <w:rsid w:val="00E63DAB"/>
    <w:rsid w:val="00E63F9F"/>
    <w:rsid w:val="00E645D4"/>
    <w:rsid w:val="00E64F18"/>
    <w:rsid w:val="00E65762"/>
    <w:rsid w:val="00E6598E"/>
    <w:rsid w:val="00E65D7E"/>
    <w:rsid w:val="00E67138"/>
    <w:rsid w:val="00E67335"/>
    <w:rsid w:val="00E673E3"/>
    <w:rsid w:val="00E676F8"/>
    <w:rsid w:val="00E67E7E"/>
    <w:rsid w:val="00E7008F"/>
    <w:rsid w:val="00E706E6"/>
    <w:rsid w:val="00E7072A"/>
    <w:rsid w:val="00E70A2F"/>
    <w:rsid w:val="00E710BA"/>
    <w:rsid w:val="00E71C51"/>
    <w:rsid w:val="00E71F3F"/>
    <w:rsid w:val="00E722E1"/>
    <w:rsid w:val="00E725EA"/>
    <w:rsid w:val="00E72810"/>
    <w:rsid w:val="00E73477"/>
    <w:rsid w:val="00E73ED9"/>
    <w:rsid w:val="00E73F55"/>
    <w:rsid w:val="00E74CAC"/>
    <w:rsid w:val="00E74D7E"/>
    <w:rsid w:val="00E74DC9"/>
    <w:rsid w:val="00E750B3"/>
    <w:rsid w:val="00E750E5"/>
    <w:rsid w:val="00E7543E"/>
    <w:rsid w:val="00E76D2E"/>
    <w:rsid w:val="00E77334"/>
    <w:rsid w:val="00E7736D"/>
    <w:rsid w:val="00E776C5"/>
    <w:rsid w:val="00E77C22"/>
    <w:rsid w:val="00E8014C"/>
    <w:rsid w:val="00E8078F"/>
    <w:rsid w:val="00E80A83"/>
    <w:rsid w:val="00E81D9F"/>
    <w:rsid w:val="00E81FD8"/>
    <w:rsid w:val="00E82611"/>
    <w:rsid w:val="00E82616"/>
    <w:rsid w:val="00E8270A"/>
    <w:rsid w:val="00E82871"/>
    <w:rsid w:val="00E82895"/>
    <w:rsid w:val="00E82A59"/>
    <w:rsid w:val="00E82A86"/>
    <w:rsid w:val="00E82F07"/>
    <w:rsid w:val="00E833E3"/>
    <w:rsid w:val="00E83629"/>
    <w:rsid w:val="00E83AC3"/>
    <w:rsid w:val="00E83F4C"/>
    <w:rsid w:val="00E84139"/>
    <w:rsid w:val="00E84504"/>
    <w:rsid w:val="00E84558"/>
    <w:rsid w:val="00E8462C"/>
    <w:rsid w:val="00E85359"/>
    <w:rsid w:val="00E85CF7"/>
    <w:rsid w:val="00E862CA"/>
    <w:rsid w:val="00E866A5"/>
    <w:rsid w:val="00E8698D"/>
    <w:rsid w:val="00E87406"/>
    <w:rsid w:val="00E8757C"/>
    <w:rsid w:val="00E8764A"/>
    <w:rsid w:val="00E876C0"/>
    <w:rsid w:val="00E909CF"/>
    <w:rsid w:val="00E9129C"/>
    <w:rsid w:val="00E91557"/>
    <w:rsid w:val="00E91585"/>
    <w:rsid w:val="00E915D6"/>
    <w:rsid w:val="00E917D0"/>
    <w:rsid w:val="00E920D4"/>
    <w:rsid w:val="00E925F8"/>
    <w:rsid w:val="00E927DD"/>
    <w:rsid w:val="00E92A8B"/>
    <w:rsid w:val="00E9306B"/>
    <w:rsid w:val="00E931A5"/>
    <w:rsid w:val="00E9520E"/>
    <w:rsid w:val="00E95464"/>
    <w:rsid w:val="00E95CDE"/>
    <w:rsid w:val="00E95E92"/>
    <w:rsid w:val="00E95EC4"/>
    <w:rsid w:val="00E96481"/>
    <w:rsid w:val="00E9660D"/>
    <w:rsid w:val="00E96723"/>
    <w:rsid w:val="00E96F82"/>
    <w:rsid w:val="00E9700A"/>
    <w:rsid w:val="00E97541"/>
    <w:rsid w:val="00E97683"/>
    <w:rsid w:val="00E97CA0"/>
    <w:rsid w:val="00EA01B7"/>
    <w:rsid w:val="00EA0AFB"/>
    <w:rsid w:val="00EA103F"/>
    <w:rsid w:val="00EA154B"/>
    <w:rsid w:val="00EA259A"/>
    <w:rsid w:val="00EA2B79"/>
    <w:rsid w:val="00EA33CF"/>
    <w:rsid w:val="00EA340F"/>
    <w:rsid w:val="00EA4247"/>
    <w:rsid w:val="00EA4583"/>
    <w:rsid w:val="00EA45BA"/>
    <w:rsid w:val="00EA4A63"/>
    <w:rsid w:val="00EA4D28"/>
    <w:rsid w:val="00EA5407"/>
    <w:rsid w:val="00EA5436"/>
    <w:rsid w:val="00EA55BD"/>
    <w:rsid w:val="00EA57F6"/>
    <w:rsid w:val="00EA580E"/>
    <w:rsid w:val="00EA6352"/>
    <w:rsid w:val="00EA6D21"/>
    <w:rsid w:val="00EA706A"/>
    <w:rsid w:val="00EA7276"/>
    <w:rsid w:val="00EA7396"/>
    <w:rsid w:val="00EA7819"/>
    <w:rsid w:val="00EA796B"/>
    <w:rsid w:val="00EA79E5"/>
    <w:rsid w:val="00EB0EC8"/>
    <w:rsid w:val="00EB1197"/>
    <w:rsid w:val="00EB1335"/>
    <w:rsid w:val="00EB148F"/>
    <w:rsid w:val="00EB18C8"/>
    <w:rsid w:val="00EB2041"/>
    <w:rsid w:val="00EB2CF2"/>
    <w:rsid w:val="00EB2F0E"/>
    <w:rsid w:val="00EB3572"/>
    <w:rsid w:val="00EB3B91"/>
    <w:rsid w:val="00EB49DF"/>
    <w:rsid w:val="00EB56A2"/>
    <w:rsid w:val="00EB5986"/>
    <w:rsid w:val="00EB5B30"/>
    <w:rsid w:val="00EB5D46"/>
    <w:rsid w:val="00EB5FE5"/>
    <w:rsid w:val="00EB608A"/>
    <w:rsid w:val="00EB66BB"/>
    <w:rsid w:val="00EB6A76"/>
    <w:rsid w:val="00EB6F1E"/>
    <w:rsid w:val="00EB6FFC"/>
    <w:rsid w:val="00EB72E1"/>
    <w:rsid w:val="00EB741D"/>
    <w:rsid w:val="00EB784B"/>
    <w:rsid w:val="00EB7D82"/>
    <w:rsid w:val="00EC005A"/>
    <w:rsid w:val="00EC01F8"/>
    <w:rsid w:val="00EC0847"/>
    <w:rsid w:val="00EC0B10"/>
    <w:rsid w:val="00EC0C5F"/>
    <w:rsid w:val="00EC121A"/>
    <w:rsid w:val="00EC19F3"/>
    <w:rsid w:val="00EC232E"/>
    <w:rsid w:val="00EC271E"/>
    <w:rsid w:val="00EC32BD"/>
    <w:rsid w:val="00EC3B51"/>
    <w:rsid w:val="00EC3E7C"/>
    <w:rsid w:val="00EC44C8"/>
    <w:rsid w:val="00EC4BA8"/>
    <w:rsid w:val="00EC4FC2"/>
    <w:rsid w:val="00EC6893"/>
    <w:rsid w:val="00EC6B8A"/>
    <w:rsid w:val="00EC6F68"/>
    <w:rsid w:val="00EC7EA2"/>
    <w:rsid w:val="00EC7FD6"/>
    <w:rsid w:val="00ED0091"/>
    <w:rsid w:val="00ED0778"/>
    <w:rsid w:val="00ED07D4"/>
    <w:rsid w:val="00ED0ABB"/>
    <w:rsid w:val="00ED16FC"/>
    <w:rsid w:val="00ED192E"/>
    <w:rsid w:val="00ED1C36"/>
    <w:rsid w:val="00ED27EC"/>
    <w:rsid w:val="00ED28AE"/>
    <w:rsid w:val="00ED2A2B"/>
    <w:rsid w:val="00ED2ADD"/>
    <w:rsid w:val="00ED3467"/>
    <w:rsid w:val="00ED3764"/>
    <w:rsid w:val="00ED3769"/>
    <w:rsid w:val="00ED3ECB"/>
    <w:rsid w:val="00ED4185"/>
    <w:rsid w:val="00ED46D7"/>
    <w:rsid w:val="00ED4C1C"/>
    <w:rsid w:val="00ED4E99"/>
    <w:rsid w:val="00ED58CD"/>
    <w:rsid w:val="00ED5BE4"/>
    <w:rsid w:val="00ED5C99"/>
    <w:rsid w:val="00ED5D60"/>
    <w:rsid w:val="00ED6010"/>
    <w:rsid w:val="00ED62A9"/>
    <w:rsid w:val="00ED6862"/>
    <w:rsid w:val="00ED7674"/>
    <w:rsid w:val="00ED7812"/>
    <w:rsid w:val="00ED7C64"/>
    <w:rsid w:val="00EE074C"/>
    <w:rsid w:val="00EE11D9"/>
    <w:rsid w:val="00EE15ED"/>
    <w:rsid w:val="00EE1A6F"/>
    <w:rsid w:val="00EE2317"/>
    <w:rsid w:val="00EE2555"/>
    <w:rsid w:val="00EE34A8"/>
    <w:rsid w:val="00EE34ED"/>
    <w:rsid w:val="00EE3570"/>
    <w:rsid w:val="00EE3B8F"/>
    <w:rsid w:val="00EE3EF0"/>
    <w:rsid w:val="00EE4989"/>
    <w:rsid w:val="00EE50A8"/>
    <w:rsid w:val="00EE5308"/>
    <w:rsid w:val="00EE5539"/>
    <w:rsid w:val="00EE5673"/>
    <w:rsid w:val="00EE5B29"/>
    <w:rsid w:val="00EE5E7B"/>
    <w:rsid w:val="00EE68FF"/>
    <w:rsid w:val="00EE6D85"/>
    <w:rsid w:val="00EE722E"/>
    <w:rsid w:val="00EE72EA"/>
    <w:rsid w:val="00EE7824"/>
    <w:rsid w:val="00EE78A1"/>
    <w:rsid w:val="00EE7D19"/>
    <w:rsid w:val="00EF06D9"/>
    <w:rsid w:val="00EF0971"/>
    <w:rsid w:val="00EF0D97"/>
    <w:rsid w:val="00EF0FA2"/>
    <w:rsid w:val="00EF2366"/>
    <w:rsid w:val="00EF23BA"/>
    <w:rsid w:val="00EF2D79"/>
    <w:rsid w:val="00EF2F74"/>
    <w:rsid w:val="00EF3297"/>
    <w:rsid w:val="00EF34E3"/>
    <w:rsid w:val="00EF3543"/>
    <w:rsid w:val="00EF35AD"/>
    <w:rsid w:val="00EF435A"/>
    <w:rsid w:val="00EF44E5"/>
    <w:rsid w:val="00EF453D"/>
    <w:rsid w:val="00EF462D"/>
    <w:rsid w:val="00EF4681"/>
    <w:rsid w:val="00EF4857"/>
    <w:rsid w:val="00EF4D48"/>
    <w:rsid w:val="00EF5057"/>
    <w:rsid w:val="00EF54A8"/>
    <w:rsid w:val="00EF5628"/>
    <w:rsid w:val="00EF5779"/>
    <w:rsid w:val="00EF5BAB"/>
    <w:rsid w:val="00EF5E2D"/>
    <w:rsid w:val="00EF675E"/>
    <w:rsid w:val="00EF6BFD"/>
    <w:rsid w:val="00EF72D2"/>
    <w:rsid w:val="00EF7463"/>
    <w:rsid w:val="00EF7A11"/>
    <w:rsid w:val="00EF7C46"/>
    <w:rsid w:val="00F00269"/>
    <w:rsid w:val="00F0043D"/>
    <w:rsid w:val="00F005DF"/>
    <w:rsid w:val="00F00B20"/>
    <w:rsid w:val="00F00DE3"/>
    <w:rsid w:val="00F013A6"/>
    <w:rsid w:val="00F01673"/>
    <w:rsid w:val="00F01710"/>
    <w:rsid w:val="00F01B3B"/>
    <w:rsid w:val="00F02076"/>
    <w:rsid w:val="00F0241A"/>
    <w:rsid w:val="00F02BBF"/>
    <w:rsid w:val="00F02CE0"/>
    <w:rsid w:val="00F02ED6"/>
    <w:rsid w:val="00F03086"/>
    <w:rsid w:val="00F03B7B"/>
    <w:rsid w:val="00F03C46"/>
    <w:rsid w:val="00F03E95"/>
    <w:rsid w:val="00F04750"/>
    <w:rsid w:val="00F04EFC"/>
    <w:rsid w:val="00F05B01"/>
    <w:rsid w:val="00F061D6"/>
    <w:rsid w:val="00F06636"/>
    <w:rsid w:val="00F0739E"/>
    <w:rsid w:val="00F075B7"/>
    <w:rsid w:val="00F07AB2"/>
    <w:rsid w:val="00F10080"/>
    <w:rsid w:val="00F10F7A"/>
    <w:rsid w:val="00F11D64"/>
    <w:rsid w:val="00F11D66"/>
    <w:rsid w:val="00F12FFF"/>
    <w:rsid w:val="00F1301B"/>
    <w:rsid w:val="00F1312D"/>
    <w:rsid w:val="00F13810"/>
    <w:rsid w:val="00F138F7"/>
    <w:rsid w:val="00F13D18"/>
    <w:rsid w:val="00F13F8D"/>
    <w:rsid w:val="00F13FAC"/>
    <w:rsid w:val="00F1437D"/>
    <w:rsid w:val="00F145CF"/>
    <w:rsid w:val="00F1465E"/>
    <w:rsid w:val="00F14B5F"/>
    <w:rsid w:val="00F14F6E"/>
    <w:rsid w:val="00F1569F"/>
    <w:rsid w:val="00F1588A"/>
    <w:rsid w:val="00F15E73"/>
    <w:rsid w:val="00F1632C"/>
    <w:rsid w:val="00F1648D"/>
    <w:rsid w:val="00F16AC4"/>
    <w:rsid w:val="00F16E98"/>
    <w:rsid w:val="00F17B13"/>
    <w:rsid w:val="00F17EA3"/>
    <w:rsid w:val="00F20181"/>
    <w:rsid w:val="00F203A2"/>
    <w:rsid w:val="00F20467"/>
    <w:rsid w:val="00F2068F"/>
    <w:rsid w:val="00F21070"/>
    <w:rsid w:val="00F211F7"/>
    <w:rsid w:val="00F21285"/>
    <w:rsid w:val="00F21338"/>
    <w:rsid w:val="00F213AD"/>
    <w:rsid w:val="00F214BB"/>
    <w:rsid w:val="00F214DB"/>
    <w:rsid w:val="00F2152D"/>
    <w:rsid w:val="00F228F0"/>
    <w:rsid w:val="00F23042"/>
    <w:rsid w:val="00F231F7"/>
    <w:rsid w:val="00F234C8"/>
    <w:rsid w:val="00F23D44"/>
    <w:rsid w:val="00F23E74"/>
    <w:rsid w:val="00F248C8"/>
    <w:rsid w:val="00F249D0"/>
    <w:rsid w:val="00F24E65"/>
    <w:rsid w:val="00F257AB"/>
    <w:rsid w:val="00F26872"/>
    <w:rsid w:val="00F26AF2"/>
    <w:rsid w:val="00F26FC6"/>
    <w:rsid w:val="00F273DE"/>
    <w:rsid w:val="00F2753C"/>
    <w:rsid w:val="00F2763D"/>
    <w:rsid w:val="00F27C69"/>
    <w:rsid w:val="00F3079C"/>
    <w:rsid w:val="00F30E8E"/>
    <w:rsid w:val="00F310F2"/>
    <w:rsid w:val="00F31120"/>
    <w:rsid w:val="00F31369"/>
    <w:rsid w:val="00F31BBF"/>
    <w:rsid w:val="00F320B9"/>
    <w:rsid w:val="00F320BF"/>
    <w:rsid w:val="00F3218F"/>
    <w:rsid w:val="00F32F60"/>
    <w:rsid w:val="00F3312F"/>
    <w:rsid w:val="00F332B9"/>
    <w:rsid w:val="00F33835"/>
    <w:rsid w:val="00F33AEE"/>
    <w:rsid w:val="00F33E6D"/>
    <w:rsid w:val="00F33F4C"/>
    <w:rsid w:val="00F34086"/>
    <w:rsid w:val="00F34E59"/>
    <w:rsid w:val="00F358AC"/>
    <w:rsid w:val="00F35951"/>
    <w:rsid w:val="00F35AEA"/>
    <w:rsid w:val="00F35BA2"/>
    <w:rsid w:val="00F35D12"/>
    <w:rsid w:val="00F35DEE"/>
    <w:rsid w:val="00F366F8"/>
    <w:rsid w:val="00F36740"/>
    <w:rsid w:val="00F37371"/>
    <w:rsid w:val="00F375C9"/>
    <w:rsid w:val="00F37669"/>
    <w:rsid w:val="00F37939"/>
    <w:rsid w:val="00F379EA"/>
    <w:rsid w:val="00F37E9C"/>
    <w:rsid w:val="00F401A7"/>
    <w:rsid w:val="00F418B2"/>
    <w:rsid w:val="00F41B35"/>
    <w:rsid w:val="00F420B5"/>
    <w:rsid w:val="00F4212E"/>
    <w:rsid w:val="00F4220E"/>
    <w:rsid w:val="00F4264F"/>
    <w:rsid w:val="00F42889"/>
    <w:rsid w:val="00F42898"/>
    <w:rsid w:val="00F42C49"/>
    <w:rsid w:val="00F43AC3"/>
    <w:rsid w:val="00F4430B"/>
    <w:rsid w:val="00F44470"/>
    <w:rsid w:val="00F44D9D"/>
    <w:rsid w:val="00F44FAF"/>
    <w:rsid w:val="00F453B0"/>
    <w:rsid w:val="00F45CB5"/>
    <w:rsid w:val="00F45F94"/>
    <w:rsid w:val="00F46B90"/>
    <w:rsid w:val="00F46CF3"/>
    <w:rsid w:val="00F46EC7"/>
    <w:rsid w:val="00F5022B"/>
    <w:rsid w:val="00F50682"/>
    <w:rsid w:val="00F506C3"/>
    <w:rsid w:val="00F51255"/>
    <w:rsid w:val="00F51823"/>
    <w:rsid w:val="00F51A13"/>
    <w:rsid w:val="00F51F3A"/>
    <w:rsid w:val="00F52245"/>
    <w:rsid w:val="00F5264B"/>
    <w:rsid w:val="00F529E7"/>
    <w:rsid w:val="00F52D87"/>
    <w:rsid w:val="00F534E3"/>
    <w:rsid w:val="00F53AA5"/>
    <w:rsid w:val="00F540D5"/>
    <w:rsid w:val="00F54276"/>
    <w:rsid w:val="00F54342"/>
    <w:rsid w:val="00F5436E"/>
    <w:rsid w:val="00F545EF"/>
    <w:rsid w:val="00F547EF"/>
    <w:rsid w:val="00F54A16"/>
    <w:rsid w:val="00F55CCD"/>
    <w:rsid w:val="00F55F13"/>
    <w:rsid w:val="00F56039"/>
    <w:rsid w:val="00F562EF"/>
    <w:rsid w:val="00F56EAE"/>
    <w:rsid w:val="00F56F6D"/>
    <w:rsid w:val="00F57642"/>
    <w:rsid w:val="00F5767A"/>
    <w:rsid w:val="00F57A3E"/>
    <w:rsid w:val="00F57F88"/>
    <w:rsid w:val="00F602E8"/>
    <w:rsid w:val="00F603F0"/>
    <w:rsid w:val="00F6059F"/>
    <w:rsid w:val="00F60BA8"/>
    <w:rsid w:val="00F60F0E"/>
    <w:rsid w:val="00F61088"/>
    <w:rsid w:val="00F61103"/>
    <w:rsid w:val="00F61541"/>
    <w:rsid w:val="00F6197D"/>
    <w:rsid w:val="00F6250E"/>
    <w:rsid w:val="00F62614"/>
    <w:rsid w:val="00F62700"/>
    <w:rsid w:val="00F629B2"/>
    <w:rsid w:val="00F637C1"/>
    <w:rsid w:val="00F639C3"/>
    <w:rsid w:val="00F63CB1"/>
    <w:rsid w:val="00F63F9B"/>
    <w:rsid w:val="00F6409E"/>
    <w:rsid w:val="00F641FA"/>
    <w:rsid w:val="00F649C0"/>
    <w:rsid w:val="00F64DF6"/>
    <w:rsid w:val="00F64F91"/>
    <w:rsid w:val="00F64FA4"/>
    <w:rsid w:val="00F65403"/>
    <w:rsid w:val="00F657A7"/>
    <w:rsid w:val="00F65C48"/>
    <w:rsid w:val="00F65C6F"/>
    <w:rsid w:val="00F65DCC"/>
    <w:rsid w:val="00F65E77"/>
    <w:rsid w:val="00F66136"/>
    <w:rsid w:val="00F663B4"/>
    <w:rsid w:val="00F66718"/>
    <w:rsid w:val="00F66A49"/>
    <w:rsid w:val="00F66C15"/>
    <w:rsid w:val="00F6712B"/>
    <w:rsid w:val="00F6747D"/>
    <w:rsid w:val="00F67F24"/>
    <w:rsid w:val="00F7090A"/>
    <w:rsid w:val="00F70A31"/>
    <w:rsid w:val="00F71022"/>
    <w:rsid w:val="00F711F6"/>
    <w:rsid w:val="00F712F5"/>
    <w:rsid w:val="00F7178F"/>
    <w:rsid w:val="00F71B7C"/>
    <w:rsid w:val="00F71C32"/>
    <w:rsid w:val="00F71D13"/>
    <w:rsid w:val="00F724F0"/>
    <w:rsid w:val="00F72C7D"/>
    <w:rsid w:val="00F72EBA"/>
    <w:rsid w:val="00F732B3"/>
    <w:rsid w:val="00F73353"/>
    <w:rsid w:val="00F733C0"/>
    <w:rsid w:val="00F7352F"/>
    <w:rsid w:val="00F738AB"/>
    <w:rsid w:val="00F73946"/>
    <w:rsid w:val="00F74291"/>
    <w:rsid w:val="00F745F9"/>
    <w:rsid w:val="00F74925"/>
    <w:rsid w:val="00F753D7"/>
    <w:rsid w:val="00F75BC0"/>
    <w:rsid w:val="00F75C2A"/>
    <w:rsid w:val="00F75FC8"/>
    <w:rsid w:val="00F761C2"/>
    <w:rsid w:val="00F76331"/>
    <w:rsid w:val="00F767C1"/>
    <w:rsid w:val="00F768C7"/>
    <w:rsid w:val="00F76A89"/>
    <w:rsid w:val="00F76DC6"/>
    <w:rsid w:val="00F770B9"/>
    <w:rsid w:val="00F772CE"/>
    <w:rsid w:val="00F7755D"/>
    <w:rsid w:val="00F77C6A"/>
    <w:rsid w:val="00F77E81"/>
    <w:rsid w:val="00F8000F"/>
    <w:rsid w:val="00F80093"/>
    <w:rsid w:val="00F802D3"/>
    <w:rsid w:val="00F80584"/>
    <w:rsid w:val="00F80D54"/>
    <w:rsid w:val="00F816F9"/>
    <w:rsid w:val="00F817A6"/>
    <w:rsid w:val="00F8189B"/>
    <w:rsid w:val="00F81AD0"/>
    <w:rsid w:val="00F81E9F"/>
    <w:rsid w:val="00F82CBF"/>
    <w:rsid w:val="00F82D92"/>
    <w:rsid w:val="00F8319B"/>
    <w:rsid w:val="00F835DA"/>
    <w:rsid w:val="00F83794"/>
    <w:rsid w:val="00F838A8"/>
    <w:rsid w:val="00F83939"/>
    <w:rsid w:val="00F83C52"/>
    <w:rsid w:val="00F83DDC"/>
    <w:rsid w:val="00F8416E"/>
    <w:rsid w:val="00F84937"/>
    <w:rsid w:val="00F84A0F"/>
    <w:rsid w:val="00F84FC2"/>
    <w:rsid w:val="00F84FF5"/>
    <w:rsid w:val="00F852F0"/>
    <w:rsid w:val="00F856D9"/>
    <w:rsid w:val="00F85771"/>
    <w:rsid w:val="00F85FBF"/>
    <w:rsid w:val="00F8654C"/>
    <w:rsid w:val="00F868B6"/>
    <w:rsid w:val="00F869B3"/>
    <w:rsid w:val="00F86F84"/>
    <w:rsid w:val="00F87085"/>
    <w:rsid w:val="00F8743E"/>
    <w:rsid w:val="00F8786E"/>
    <w:rsid w:val="00F87FC5"/>
    <w:rsid w:val="00F90484"/>
    <w:rsid w:val="00F90E0E"/>
    <w:rsid w:val="00F9106D"/>
    <w:rsid w:val="00F91642"/>
    <w:rsid w:val="00F916DD"/>
    <w:rsid w:val="00F918A9"/>
    <w:rsid w:val="00F91A59"/>
    <w:rsid w:val="00F91F33"/>
    <w:rsid w:val="00F93340"/>
    <w:rsid w:val="00F9382C"/>
    <w:rsid w:val="00F93D09"/>
    <w:rsid w:val="00F946A8"/>
    <w:rsid w:val="00F94B87"/>
    <w:rsid w:val="00F94CAE"/>
    <w:rsid w:val="00F9524A"/>
    <w:rsid w:val="00F956C2"/>
    <w:rsid w:val="00F96125"/>
    <w:rsid w:val="00F961AD"/>
    <w:rsid w:val="00F963BA"/>
    <w:rsid w:val="00F965C8"/>
    <w:rsid w:val="00F9669B"/>
    <w:rsid w:val="00F97714"/>
    <w:rsid w:val="00F97813"/>
    <w:rsid w:val="00F97B59"/>
    <w:rsid w:val="00F97DCC"/>
    <w:rsid w:val="00F97F22"/>
    <w:rsid w:val="00FA0916"/>
    <w:rsid w:val="00FA0B02"/>
    <w:rsid w:val="00FA0B4A"/>
    <w:rsid w:val="00FA0C01"/>
    <w:rsid w:val="00FA0D88"/>
    <w:rsid w:val="00FA1421"/>
    <w:rsid w:val="00FA14A2"/>
    <w:rsid w:val="00FA1711"/>
    <w:rsid w:val="00FA1715"/>
    <w:rsid w:val="00FA2575"/>
    <w:rsid w:val="00FA260A"/>
    <w:rsid w:val="00FA27F6"/>
    <w:rsid w:val="00FA2D14"/>
    <w:rsid w:val="00FA3DC0"/>
    <w:rsid w:val="00FA3F7D"/>
    <w:rsid w:val="00FA4625"/>
    <w:rsid w:val="00FA4B8C"/>
    <w:rsid w:val="00FA5110"/>
    <w:rsid w:val="00FA515E"/>
    <w:rsid w:val="00FA5504"/>
    <w:rsid w:val="00FA57A7"/>
    <w:rsid w:val="00FA5F94"/>
    <w:rsid w:val="00FA61A0"/>
    <w:rsid w:val="00FA630D"/>
    <w:rsid w:val="00FA630F"/>
    <w:rsid w:val="00FA65E0"/>
    <w:rsid w:val="00FA6A48"/>
    <w:rsid w:val="00FA6E56"/>
    <w:rsid w:val="00FA6F8A"/>
    <w:rsid w:val="00FA7127"/>
    <w:rsid w:val="00FA7A5E"/>
    <w:rsid w:val="00FB00BD"/>
    <w:rsid w:val="00FB00E7"/>
    <w:rsid w:val="00FB03CB"/>
    <w:rsid w:val="00FB0A36"/>
    <w:rsid w:val="00FB0C7C"/>
    <w:rsid w:val="00FB1337"/>
    <w:rsid w:val="00FB134C"/>
    <w:rsid w:val="00FB138C"/>
    <w:rsid w:val="00FB13DF"/>
    <w:rsid w:val="00FB17DD"/>
    <w:rsid w:val="00FB1E15"/>
    <w:rsid w:val="00FB1E17"/>
    <w:rsid w:val="00FB219D"/>
    <w:rsid w:val="00FB2303"/>
    <w:rsid w:val="00FB2891"/>
    <w:rsid w:val="00FB28B2"/>
    <w:rsid w:val="00FB38EB"/>
    <w:rsid w:val="00FB3E12"/>
    <w:rsid w:val="00FB406C"/>
    <w:rsid w:val="00FB452C"/>
    <w:rsid w:val="00FB4702"/>
    <w:rsid w:val="00FB4D07"/>
    <w:rsid w:val="00FB4EAC"/>
    <w:rsid w:val="00FB4F44"/>
    <w:rsid w:val="00FB5695"/>
    <w:rsid w:val="00FB5844"/>
    <w:rsid w:val="00FB5D66"/>
    <w:rsid w:val="00FB63C4"/>
    <w:rsid w:val="00FB64A6"/>
    <w:rsid w:val="00FB6526"/>
    <w:rsid w:val="00FB67C3"/>
    <w:rsid w:val="00FB6E05"/>
    <w:rsid w:val="00FB70D9"/>
    <w:rsid w:val="00FB73C5"/>
    <w:rsid w:val="00FB740B"/>
    <w:rsid w:val="00FB74E6"/>
    <w:rsid w:val="00FB7F60"/>
    <w:rsid w:val="00FC03B8"/>
    <w:rsid w:val="00FC044F"/>
    <w:rsid w:val="00FC0AED"/>
    <w:rsid w:val="00FC0C30"/>
    <w:rsid w:val="00FC0E59"/>
    <w:rsid w:val="00FC0EA5"/>
    <w:rsid w:val="00FC0F39"/>
    <w:rsid w:val="00FC186D"/>
    <w:rsid w:val="00FC2597"/>
    <w:rsid w:val="00FC28A4"/>
    <w:rsid w:val="00FC366D"/>
    <w:rsid w:val="00FC3B61"/>
    <w:rsid w:val="00FC3E9A"/>
    <w:rsid w:val="00FC411F"/>
    <w:rsid w:val="00FC45BA"/>
    <w:rsid w:val="00FC4716"/>
    <w:rsid w:val="00FC54A1"/>
    <w:rsid w:val="00FC5C1F"/>
    <w:rsid w:val="00FC6331"/>
    <w:rsid w:val="00FC647F"/>
    <w:rsid w:val="00FC64C8"/>
    <w:rsid w:val="00FC67B3"/>
    <w:rsid w:val="00FC6883"/>
    <w:rsid w:val="00FC6A5E"/>
    <w:rsid w:val="00FC6CFB"/>
    <w:rsid w:val="00FC6E13"/>
    <w:rsid w:val="00FC6F77"/>
    <w:rsid w:val="00FC76BD"/>
    <w:rsid w:val="00FC7C4D"/>
    <w:rsid w:val="00FC7D72"/>
    <w:rsid w:val="00FC7E57"/>
    <w:rsid w:val="00FC7F9B"/>
    <w:rsid w:val="00FD038D"/>
    <w:rsid w:val="00FD0823"/>
    <w:rsid w:val="00FD0B02"/>
    <w:rsid w:val="00FD0CE9"/>
    <w:rsid w:val="00FD129C"/>
    <w:rsid w:val="00FD133E"/>
    <w:rsid w:val="00FD1639"/>
    <w:rsid w:val="00FD181A"/>
    <w:rsid w:val="00FD1C49"/>
    <w:rsid w:val="00FD1D1C"/>
    <w:rsid w:val="00FD21E0"/>
    <w:rsid w:val="00FD2463"/>
    <w:rsid w:val="00FD2A6D"/>
    <w:rsid w:val="00FD2A8A"/>
    <w:rsid w:val="00FD2AA9"/>
    <w:rsid w:val="00FD2E1E"/>
    <w:rsid w:val="00FD3007"/>
    <w:rsid w:val="00FD3A66"/>
    <w:rsid w:val="00FD42A9"/>
    <w:rsid w:val="00FD4406"/>
    <w:rsid w:val="00FD4412"/>
    <w:rsid w:val="00FD4498"/>
    <w:rsid w:val="00FD4D5C"/>
    <w:rsid w:val="00FD56B3"/>
    <w:rsid w:val="00FD5AF1"/>
    <w:rsid w:val="00FD5C97"/>
    <w:rsid w:val="00FD60BF"/>
    <w:rsid w:val="00FD642B"/>
    <w:rsid w:val="00FD64B3"/>
    <w:rsid w:val="00FD65EF"/>
    <w:rsid w:val="00FD67BC"/>
    <w:rsid w:val="00FD6E8D"/>
    <w:rsid w:val="00FD7B73"/>
    <w:rsid w:val="00FE0137"/>
    <w:rsid w:val="00FE0DA5"/>
    <w:rsid w:val="00FE0E52"/>
    <w:rsid w:val="00FE0F48"/>
    <w:rsid w:val="00FE1A76"/>
    <w:rsid w:val="00FE1E27"/>
    <w:rsid w:val="00FE242C"/>
    <w:rsid w:val="00FE24CA"/>
    <w:rsid w:val="00FE2969"/>
    <w:rsid w:val="00FE2F0C"/>
    <w:rsid w:val="00FE3A0C"/>
    <w:rsid w:val="00FE3F3C"/>
    <w:rsid w:val="00FE4EF5"/>
    <w:rsid w:val="00FE5512"/>
    <w:rsid w:val="00FE5802"/>
    <w:rsid w:val="00FE582D"/>
    <w:rsid w:val="00FE5E1C"/>
    <w:rsid w:val="00FE5EAF"/>
    <w:rsid w:val="00FE6C64"/>
    <w:rsid w:val="00FE6CAC"/>
    <w:rsid w:val="00FE6D42"/>
    <w:rsid w:val="00FE7174"/>
    <w:rsid w:val="00FE743C"/>
    <w:rsid w:val="00FE76C6"/>
    <w:rsid w:val="00FF00C7"/>
    <w:rsid w:val="00FF022E"/>
    <w:rsid w:val="00FF047E"/>
    <w:rsid w:val="00FF05E5"/>
    <w:rsid w:val="00FF119E"/>
    <w:rsid w:val="00FF1C13"/>
    <w:rsid w:val="00FF1CA7"/>
    <w:rsid w:val="00FF22A0"/>
    <w:rsid w:val="00FF27E3"/>
    <w:rsid w:val="00FF2C86"/>
    <w:rsid w:val="00FF2D29"/>
    <w:rsid w:val="00FF2F6C"/>
    <w:rsid w:val="00FF307D"/>
    <w:rsid w:val="00FF3133"/>
    <w:rsid w:val="00FF348E"/>
    <w:rsid w:val="00FF3572"/>
    <w:rsid w:val="00FF35D4"/>
    <w:rsid w:val="00FF36FF"/>
    <w:rsid w:val="00FF390E"/>
    <w:rsid w:val="00FF3AB0"/>
    <w:rsid w:val="00FF3B07"/>
    <w:rsid w:val="00FF3CB0"/>
    <w:rsid w:val="00FF3FA0"/>
    <w:rsid w:val="00FF44D8"/>
    <w:rsid w:val="00FF456C"/>
    <w:rsid w:val="00FF4648"/>
    <w:rsid w:val="00FF4674"/>
    <w:rsid w:val="00FF4B07"/>
    <w:rsid w:val="00FF5296"/>
    <w:rsid w:val="00FF5FF7"/>
    <w:rsid w:val="00FF6083"/>
    <w:rsid w:val="00FF692C"/>
    <w:rsid w:val="00FF6934"/>
    <w:rsid w:val="00FF6C2B"/>
    <w:rsid w:val="00FF7155"/>
    <w:rsid w:val="00FF7946"/>
    <w:rsid w:val="00FF7CDE"/>
    <w:rsid w:val="00FF7D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FFF44E"/>
  <w15:docId w15:val="{ADC158D0-4F19-41C7-BF37-653E5276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5B73"/>
    <w:pPr>
      <w:spacing w:before="40" w:after="60" w:line="312" w:lineRule="auto"/>
      <w:ind w:firstLine="567"/>
      <w:jc w:val="both"/>
    </w:pPr>
    <w:rPr>
      <w:rFonts w:ascii="GHEA Grapalat" w:hAnsi="GHEA Grapalat"/>
    </w:rPr>
  </w:style>
  <w:style w:type="paragraph" w:styleId="Heading1">
    <w:name w:val="heading 1"/>
    <w:aliases w:val="(Section),Section Heading,(Text),1, 1,Chapter,head3"/>
    <w:basedOn w:val="Normal"/>
    <w:next w:val="Normal"/>
    <w:link w:val="Heading1Char"/>
    <w:uiPriority w:val="9"/>
    <w:qFormat/>
    <w:rsid w:val="00387576"/>
    <w:pPr>
      <w:spacing w:before="240" w:after="240"/>
      <w:ind w:firstLine="0"/>
      <w:contextualSpacing/>
      <w:jc w:val="left"/>
      <w:outlineLvl w:val="0"/>
    </w:pPr>
    <w:rPr>
      <w:rFonts w:eastAsiaTheme="majorEastAsia" w:cstheme="majorBidi"/>
      <w:b/>
      <w:bCs/>
      <w:color w:val="1F497D" w:themeColor="text2"/>
      <w:sz w:val="32"/>
      <w:szCs w:val="28"/>
    </w:rPr>
  </w:style>
  <w:style w:type="paragraph" w:styleId="Heading2">
    <w:name w:val="heading 2"/>
    <w:aliases w:val="(Chapter),Paranum,Text,Body"/>
    <w:basedOn w:val="ListParagraph"/>
    <w:next w:val="Normal"/>
    <w:link w:val="Heading2Char"/>
    <w:uiPriority w:val="9"/>
    <w:unhideWhenUsed/>
    <w:qFormat/>
    <w:rsid w:val="002F3594"/>
    <w:pPr>
      <w:keepNext/>
      <w:keepLines/>
      <w:numPr>
        <w:numId w:val="54"/>
      </w:numPr>
      <w:spacing w:after="240" w:line="288" w:lineRule="auto"/>
      <w:jc w:val="left"/>
      <w:outlineLvl w:val="1"/>
    </w:pPr>
    <w:rPr>
      <w:rFonts w:eastAsiaTheme="majorEastAsia" w:cstheme="majorBidi"/>
      <w:b/>
      <w:bCs/>
      <w:caps/>
      <w:color w:val="1F497D" w:themeColor="text2"/>
      <w:sz w:val="26"/>
      <w:szCs w:val="26"/>
      <w:lang w:val="es-ES"/>
    </w:rPr>
  </w:style>
  <w:style w:type="paragraph" w:styleId="Heading3">
    <w:name w:val="heading 3"/>
    <w:aliases w:val="(Sub-Chapter),Centered,(text),Heading 3 Char Char Char Char Char Char"/>
    <w:basedOn w:val="ListParagraph"/>
    <w:next w:val="Normal"/>
    <w:link w:val="Heading3Char"/>
    <w:uiPriority w:val="9"/>
    <w:unhideWhenUsed/>
    <w:qFormat/>
    <w:rsid w:val="006E220E"/>
    <w:pPr>
      <w:keepNext/>
      <w:keepLines/>
      <w:numPr>
        <w:ilvl w:val="1"/>
        <w:numId w:val="54"/>
      </w:numPr>
      <w:spacing w:before="240"/>
      <w:jc w:val="left"/>
      <w:outlineLvl w:val="2"/>
    </w:pPr>
    <w:rPr>
      <w:b/>
      <w:caps/>
      <w:lang w:val="hy-AM"/>
    </w:rPr>
  </w:style>
  <w:style w:type="paragraph" w:styleId="Heading4">
    <w:name w:val="heading 4"/>
    <w:aliases w:val="Centred"/>
    <w:basedOn w:val="ListParagraph"/>
    <w:next w:val="Normal"/>
    <w:link w:val="Heading4Char"/>
    <w:unhideWhenUsed/>
    <w:qFormat/>
    <w:rsid w:val="00554D44"/>
    <w:pPr>
      <w:keepNext/>
      <w:keepLines/>
      <w:numPr>
        <w:ilvl w:val="2"/>
        <w:numId w:val="54"/>
      </w:numPr>
      <w:ind w:left="1072" w:hanging="505"/>
      <w:jc w:val="left"/>
      <w:outlineLvl w:val="3"/>
    </w:pPr>
    <w:rPr>
      <w:b/>
      <w:color w:val="0070C0"/>
      <w:lang w:val="hy-AM"/>
    </w:rPr>
  </w:style>
  <w:style w:type="paragraph" w:styleId="Heading5">
    <w:name w:val="heading 5"/>
    <w:aliases w:val="Side"/>
    <w:basedOn w:val="Normal"/>
    <w:next w:val="Normal"/>
    <w:link w:val="Heading5Char"/>
    <w:unhideWhenUsed/>
    <w:qFormat/>
    <w:rsid w:val="002E5B7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2E5B7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2E5B7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2E5B7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2E5B7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Section Heading Char,(Text) Char,1 Char, 1 Char,Chapter Char,head3 Char"/>
    <w:basedOn w:val="DefaultParagraphFont"/>
    <w:link w:val="Heading1"/>
    <w:uiPriority w:val="9"/>
    <w:rsid w:val="00387576"/>
    <w:rPr>
      <w:rFonts w:ascii="GHEA Grapalat" w:eastAsiaTheme="majorEastAsia" w:hAnsi="GHEA Grapalat" w:cstheme="majorBidi"/>
      <w:b/>
      <w:bCs/>
      <w:color w:val="1F497D" w:themeColor="text2"/>
      <w:sz w:val="32"/>
      <w:szCs w:val="28"/>
    </w:rPr>
  </w:style>
  <w:style w:type="paragraph" w:styleId="BodyText">
    <w:name w:val="Body Text"/>
    <w:aliases w:val="(Main Text),date,Body Text (Main text)"/>
    <w:basedOn w:val="Normal"/>
    <w:link w:val="BodyTextChar1"/>
    <w:rsid w:val="00D40301"/>
    <w:pPr>
      <w:spacing w:after="120"/>
    </w:pPr>
  </w:style>
  <w:style w:type="character" w:customStyle="1" w:styleId="BodyTextChar1">
    <w:name w:val="Body Text Char1"/>
    <w:aliases w:val="(Main Text) Char,date Char,Body Text (Main text) Char1"/>
    <w:link w:val="BodyText"/>
    <w:rsid w:val="00CC2B0F"/>
    <w:rPr>
      <w:sz w:val="24"/>
      <w:szCs w:val="24"/>
    </w:rPr>
  </w:style>
  <w:style w:type="character" w:customStyle="1" w:styleId="Heading2Char">
    <w:name w:val="Heading 2 Char"/>
    <w:aliases w:val="(Chapter) Char,Paranum Char,Text Char,Body Char"/>
    <w:basedOn w:val="DefaultParagraphFont"/>
    <w:link w:val="Heading2"/>
    <w:uiPriority w:val="9"/>
    <w:rsid w:val="002F3594"/>
    <w:rPr>
      <w:rFonts w:ascii="GHEA Grapalat" w:eastAsiaTheme="majorEastAsia" w:hAnsi="GHEA Grapalat" w:cstheme="majorBidi"/>
      <w:b/>
      <w:bCs/>
      <w:caps/>
      <w:color w:val="1F497D" w:themeColor="text2"/>
      <w:sz w:val="26"/>
      <w:szCs w:val="26"/>
      <w:lang w:val="es-ES"/>
    </w:rPr>
  </w:style>
  <w:style w:type="character" w:customStyle="1" w:styleId="Heading3Char1">
    <w:name w:val="Heading 3 Char1"/>
    <w:aliases w:val="(Sub-Chapter) Char,Centered Char,(text) Char,Heading 3 Char Char Char Char Char Char Char1,Centered Char1,(text) Char1,(Sub-Chapter) Char1,Heading 3 Char Char Char Char Char Char Char2,Heading 3 Char2"/>
    <w:rsid w:val="00E9129C"/>
    <w:rPr>
      <w:rFonts w:ascii="GHEA Grapalat" w:hAnsi="GHEA Grapalat" w:cs="Sylfaen"/>
      <w:b/>
      <w:bCs/>
      <w:color w:val="000000"/>
      <w:sz w:val="22"/>
      <w:szCs w:val="22"/>
      <w:lang w:val="es-ES"/>
    </w:rPr>
  </w:style>
  <w:style w:type="character" w:customStyle="1" w:styleId="Heading4Char2">
    <w:name w:val="Heading 4 Char2"/>
    <w:aliases w:val="Centred Char1"/>
    <w:rsid w:val="009027D1"/>
    <w:rPr>
      <w:rFonts w:ascii="GHEA Grapalat" w:hAnsi="GHEA Grapalat"/>
      <w:b/>
      <w:bCs/>
      <w:sz w:val="22"/>
      <w:szCs w:val="22"/>
      <w:lang w:val="af-ZA" w:eastAsia="en-US" w:bidi="ar-SA"/>
    </w:rPr>
  </w:style>
  <w:style w:type="character" w:customStyle="1" w:styleId="Heading5Char1">
    <w:name w:val="Heading 5 Char1"/>
    <w:aliases w:val="Side Char1"/>
    <w:rsid w:val="0029274A"/>
    <w:rPr>
      <w:b/>
      <w:bCs/>
      <w:i/>
      <w:iCs/>
      <w:sz w:val="26"/>
      <w:szCs w:val="26"/>
      <w:lang w:val="en-US" w:eastAsia="en-US" w:bidi="ar-SA"/>
    </w:rPr>
  </w:style>
  <w:style w:type="character" w:customStyle="1" w:styleId="Heading6Char1">
    <w:name w:val="Heading 6 Char1"/>
    <w:rsid w:val="0029274A"/>
    <w:rPr>
      <w:rFonts w:ascii="Arial Armenian" w:hAnsi="Arial Armenian"/>
      <w:i/>
      <w:sz w:val="22"/>
      <w:u w:val="single"/>
      <w:lang w:val="en-GB"/>
    </w:rPr>
  </w:style>
  <w:style w:type="character" w:customStyle="1" w:styleId="Heading7Char1">
    <w:name w:val="Heading 7 Char1"/>
    <w:rsid w:val="0029274A"/>
    <w:rPr>
      <w:rFonts w:ascii="Garamond" w:hAnsi="Garamond"/>
      <w:i/>
      <w:spacing w:val="-5"/>
      <w:sz w:val="28"/>
      <w:shd w:val="pct5" w:color="auto" w:fill="auto"/>
      <w:lang w:val="en-GB"/>
    </w:rPr>
  </w:style>
  <w:style w:type="character" w:customStyle="1" w:styleId="Heading8Char1">
    <w:name w:val="Heading 8 Char1"/>
    <w:rsid w:val="0029274A"/>
    <w:rPr>
      <w:rFonts w:ascii="Arial Black" w:hAnsi="Arial Black"/>
      <w:caps/>
      <w:spacing w:val="60"/>
      <w:position w:val="4"/>
      <w:sz w:val="14"/>
      <w:lang w:val="en-GB"/>
    </w:rPr>
  </w:style>
  <w:style w:type="character" w:customStyle="1" w:styleId="Heading9Char1">
    <w:name w:val="Heading 9 Char1"/>
    <w:rsid w:val="0029274A"/>
    <w:rPr>
      <w:rFonts w:ascii="Garamond" w:hAnsi="Garamond"/>
      <w:b/>
      <w:i/>
      <w:kern w:val="28"/>
      <w:lang w:val="en-GB"/>
    </w:rPr>
  </w:style>
  <w:style w:type="paragraph" w:customStyle="1" w:styleId="Head4">
    <w:name w:val="Head 4"/>
    <w:basedOn w:val="Heading4"/>
    <w:autoRedefine/>
    <w:rsid w:val="007B4E6F"/>
    <w:pPr>
      <w:widowControl w:val="0"/>
      <w:tabs>
        <w:tab w:val="left" w:pos="567"/>
      </w:tabs>
      <w:spacing w:before="0" w:line="240" w:lineRule="auto"/>
      <w:ind w:left="397"/>
    </w:pPr>
    <w:rPr>
      <w:szCs w:val="20"/>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2E5B73"/>
    <w:rPr>
      <w:caps/>
      <w:spacing w:val="10"/>
      <w:sz w:val="18"/>
      <w:szCs w:val="18"/>
    </w:rPr>
  </w:style>
  <w:style w:type="paragraph" w:styleId="BodyTextIndent3">
    <w:name w:val="Body Text Indent 3"/>
    <w:basedOn w:val="Normal"/>
    <w:link w:val="BodyTextIndent3Char"/>
    <w:rsid w:val="00D40301"/>
    <w:rPr>
      <w:rFonts w:ascii="Arial Armenian" w:hAnsi="Arial Armenian"/>
      <w:noProof/>
      <w:sz w:val="20"/>
      <w:szCs w:val="20"/>
    </w:rPr>
  </w:style>
  <w:style w:type="character" w:customStyle="1" w:styleId="BodyTextIndent3Char">
    <w:name w:val="Body Text Indent 3 Char"/>
    <w:link w:val="BodyTextIndent3"/>
    <w:rsid w:val="0029274A"/>
    <w:rPr>
      <w:rFonts w:ascii="Arial Armenian" w:hAnsi="Arial Armenian"/>
      <w:noProof/>
      <w:lang w:val="en-US" w:eastAsia="en-US" w:bidi="ar-SA"/>
    </w:rPr>
  </w:style>
  <w:style w:type="paragraph" w:customStyle="1" w:styleId="xl24">
    <w:name w:val="xl24"/>
    <w:basedOn w:val="Normal"/>
    <w:rsid w:val="00D40301"/>
    <w:pPr>
      <w:spacing w:before="100" w:beforeAutospacing="1" w:after="100" w:afterAutospacing="1"/>
    </w:pPr>
    <w:rPr>
      <w:rFonts w:ascii="Arial Armenian" w:eastAsia="Arial Unicode MS" w:hAnsi="Arial Armenian" w:cs="Arial Unicode MS"/>
      <w:sz w:val="18"/>
      <w:szCs w:val="18"/>
    </w:rPr>
  </w:style>
  <w:style w:type="paragraph" w:customStyle="1" w:styleId="Tablefigure">
    <w:name w:val="Table_figure"/>
    <w:basedOn w:val="Normal"/>
    <w:rsid w:val="00D40301"/>
    <w:pPr>
      <w:spacing w:before="60"/>
      <w:jc w:val="right"/>
    </w:pPr>
    <w:rPr>
      <w:rFonts w:ascii="Arial Armenian" w:hAnsi="Arial Armenian"/>
      <w:sz w:val="16"/>
      <w:szCs w:val="20"/>
      <w:lang w:val="en-GB"/>
    </w:rPr>
  </w:style>
  <w:style w:type="paragraph" w:styleId="BodyTextIndent2">
    <w:name w:val="Body Text Indent 2"/>
    <w:basedOn w:val="Normal"/>
    <w:link w:val="BodyTextIndent2Char1"/>
    <w:rsid w:val="00D40301"/>
    <w:pPr>
      <w:widowControl w:val="0"/>
      <w:spacing w:after="120"/>
      <w:ind w:left="720" w:firstLine="720"/>
    </w:pPr>
    <w:rPr>
      <w:rFonts w:ascii="Arial Armenian" w:hAnsi="Arial Armenian"/>
      <w:sz w:val="20"/>
      <w:szCs w:val="20"/>
      <w:lang w:val="en-GB"/>
    </w:rPr>
  </w:style>
  <w:style w:type="character" w:customStyle="1" w:styleId="BodyTextIndent2Char1">
    <w:name w:val="Body Text Indent 2 Char1"/>
    <w:link w:val="BodyTextIndent2"/>
    <w:rsid w:val="0029274A"/>
    <w:rPr>
      <w:rFonts w:ascii="Arial Armenian" w:hAnsi="Arial Armenian"/>
      <w:lang w:val="en-GB" w:eastAsia="en-US" w:bidi="ar-SA"/>
    </w:rPr>
  </w:style>
  <w:style w:type="paragraph" w:styleId="BodyTextIndent">
    <w:name w:val="Body Text Indent"/>
    <w:aliases w:val="(Table Source), (Table Source),(Table Source) Char,Body Text Indent Char,(Table Source)1"/>
    <w:basedOn w:val="BodyText"/>
    <w:next w:val="Normal"/>
    <w:link w:val="BodyTextIndentChar1"/>
    <w:rsid w:val="00D40301"/>
    <w:pPr>
      <w:widowControl w:val="0"/>
      <w:spacing w:before="60" w:after="60"/>
      <w:ind w:firstLine="652"/>
    </w:pPr>
    <w:rPr>
      <w:rFonts w:ascii="Arial Armenian" w:hAnsi="Arial Armenian"/>
      <w:i/>
      <w:sz w:val="16"/>
      <w:szCs w:val="20"/>
      <w:lang w:val="en-GB"/>
    </w:rPr>
  </w:style>
  <w:style w:type="character" w:customStyle="1" w:styleId="BodyTextIndentChar1">
    <w:name w:val="Body Text Indent Char1"/>
    <w:aliases w:val="(Table Source) Char1, (Table Source) Char,(Table Source) Char Char,Body Text Indent Char Char,(Table Source)1 Char"/>
    <w:link w:val="BodyTextIndent"/>
    <w:rsid w:val="0029274A"/>
    <w:rPr>
      <w:rFonts w:ascii="Arial Armenian" w:hAnsi="Arial Armenian"/>
      <w:i/>
      <w:sz w:val="16"/>
      <w:lang w:val="en-GB" w:eastAsia="en-US" w:bidi="ar-SA"/>
    </w:rPr>
  </w:style>
  <w:style w:type="paragraph" w:customStyle="1" w:styleId="Specialnormal">
    <w:name w:val="Special normal"/>
    <w:basedOn w:val="Normal"/>
    <w:rsid w:val="00D40301"/>
    <w:pPr>
      <w:overflowPunct w:val="0"/>
      <w:autoSpaceDE w:val="0"/>
      <w:autoSpaceDN w:val="0"/>
      <w:adjustRightInd w:val="0"/>
      <w:jc w:val="center"/>
      <w:textAlignment w:val="baseline"/>
    </w:pPr>
    <w:rPr>
      <w:sz w:val="20"/>
      <w:szCs w:val="20"/>
      <w:lang w:val="en-GB"/>
    </w:rPr>
  </w:style>
  <w:style w:type="paragraph" w:styleId="CommentText">
    <w:name w:val="annotation text"/>
    <w:basedOn w:val="Normal"/>
    <w:link w:val="CommentTextChar"/>
    <w:uiPriority w:val="99"/>
    <w:rsid w:val="00D40301"/>
    <w:rPr>
      <w:rFonts w:ascii="Arial Armenian" w:hAnsi="Arial Armenian"/>
      <w:sz w:val="20"/>
      <w:szCs w:val="20"/>
      <w:lang w:val="ru-RU" w:eastAsia="ru-RU"/>
    </w:rPr>
  </w:style>
  <w:style w:type="character" w:customStyle="1" w:styleId="CommentTextChar">
    <w:name w:val="Comment Text Char"/>
    <w:link w:val="CommentText"/>
    <w:uiPriority w:val="99"/>
    <w:rsid w:val="0029274A"/>
    <w:rPr>
      <w:rFonts w:ascii="Arial Armenian" w:hAnsi="Arial Armenian"/>
      <w:lang w:val="ru-RU" w:eastAsia="ru-RU" w:bidi="ar-SA"/>
    </w:rPr>
  </w:style>
  <w:style w:type="paragraph" w:customStyle="1" w:styleId="a0">
    <w:name w:val="???????? ????? ? ????????"/>
    <w:basedOn w:val="Normal"/>
    <w:rsid w:val="00D40301"/>
    <w:pPr>
      <w:ind w:left="360" w:hanging="360"/>
    </w:pPr>
    <w:rPr>
      <w:rFonts w:ascii="Times Armenian" w:hAnsi="Times Armenian"/>
      <w:szCs w:val="20"/>
      <w:lang w:eastAsia="ru-RU"/>
    </w:rPr>
  </w:style>
  <w:style w:type="paragraph" w:customStyle="1" w:styleId="a1">
    <w:name w:val="???????"/>
    <w:link w:val="Char"/>
    <w:rsid w:val="00D40301"/>
    <w:pPr>
      <w:spacing w:after="160" w:line="259" w:lineRule="auto"/>
    </w:pPr>
    <w:rPr>
      <w:lang w:val="ru-RU" w:eastAsia="ru-RU"/>
    </w:rPr>
  </w:style>
  <w:style w:type="character" w:customStyle="1" w:styleId="Char">
    <w:name w:val="??????? Char"/>
    <w:link w:val="a1"/>
    <w:rsid w:val="00644ED9"/>
    <w:rPr>
      <w:lang w:val="ru-RU" w:eastAsia="ru-RU" w:bidi="ar-SA"/>
    </w:rPr>
  </w:style>
  <w:style w:type="paragraph" w:customStyle="1" w:styleId="2">
    <w:name w:val="???????2"/>
    <w:rsid w:val="00D40301"/>
    <w:pPr>
      <w:spacing w:after="160" w:line="259" w:lineRule="auto"/>
    </w:pPr>
    <w:rPr>
      <w:rFonts w:ascii="Times Armenian" w:hAnsi="Times Armenian"/>
      <w:sz w:val="24"/>
      <w:lang w:eastAsia="ru-RU"/>
    </w:rPr>
  </w:style>
  <w:style w:type="paragraph" w:customStyle="1" w:styleId="a2">
    <w:name w:val="???????? ?????"/>
    <w:basedOn w:val="a1"/>
    <w:rsid w:val="00D40301"/>
    <w:pPr>
      <w:jc w:val="center"/>
    </w:pPr>
    <w:rPr>
      <w:rFonts w:ascii="Times Armenian" w:hAnsi="Times Armenian"/>
      <w:i/>
      <w:sz w:val="32"/>
      <w:lang w:val="en-US"/>
    </w:rPr>
  </w:style>
  <w:style w:type="paragraph" w:customStyle="1" w:styleId="31">
    <w:name w:val="???????? ????? ? ???????? 31"/>
    <w:basedOn w:val="2"/>
    <w:rsid w:val="00D40301"/>
    <w:pPr>
      <w:spacing w:line="360" w:lineRule="auto"/>
      <w:ind w:firstLine="360"/>
      <w:jc w:val="both"/>
    </w:pPr>
  </w:style>
  <w:style w:type="paragraph" w:customStyle="1" w:styleId="a3">
    <w:name w:val="??????"/>
    <w:basedOn w:val="2"/>
    <w:rsid w:val="00D40301"/>
    <w:pPr>
      <w:spacing w:line="360" w:lineRule="auto"/>
      <w:ind w:left="-426" w:right="-619" w:firstLine="710"/>
      <w:jc w:val="both"/>
    </w:pPr>
    <w:rPr>
      <w:rFonts w:ascii="Arial LatArm" w:hAnsi="Arial LatArm"/>
      <w:i/>
      <w:lang w:val="en-AU"/>
    </w:rPr>
  </w:style>
  <w:style w:type="paragraph" w:customStyle="1" w:styleId="3">
    <w:name w:val="???????? ????? 3"/>
    <w:basedOn w:val="Normal"/>
    <w:rsid w:val="00D40301"/>
    <w:rPr>
      <w:rFonts w:ascii="Times Armenian" w:hAnsi="Times Armenian"/>
      <w:szCs w:val="20"/>
      <w:lang w:val="ru-RU" w:eastAsia="ru-RU"/>
    </w:rPr>
  </w:style>
  <w:style w:type="paragraph" w:customStyle="1" w:styleId="20">
    <w:name w:val="???????? ????? ? ????????2"/>
    <w:basedOn w:val="2"/>
    <w:rsid w:val="00D40301"/>
    <w:pPr>
      <w:spacing w:line="360" w:lineRule="auto"/>
      <w:ind w:firstLine="720"/>
      <w:jc w:val="both"/>
    </w:pPr>
    <w:rPr>
      <w:sz w:val="28"/>
    </w:rPr>
  </w:style>
  <w:style w:type="paragraph" w:customStyle="1" w:styleId="11">
    <w:name w:val="????????? 11"/>
    <w:basedOn w:val="2"/>
    <w:next w:val="2"/>
    <w:rsid w:val="00D40301"/>
    <w:pPr>
      <w:keepNext/>
      <w:spacing w:line="360" w:lineRule="auto"/>
      <w:outlineLvl w:val="0"/>
    </w:pPr>
    <w:rPr>
      <w:rFonts w:ascii="Times LatArm" w:hAnsi="Times LatArm"/>
    </w:rPr>
  </w:style>
  <w:style w:type="paragraph" w:customStyle="1" w:styleId="1">
    <w:name w:val="????????1"/>
    <w:basedOn w:val="a1"/>
    <w:rsid w:val="00CC19AC"/>
    <w:pPr>
      <w:jc w:val="center"/>
    </w:pPr>
    <w:rPr>
      <w:rFonts w:ascii="Times Armenian" w:hAnsi="Times Armenian"/>
      <w:i/>
      <w:sz w:val="28"/>
      <w:lang w:val="en-US"/>
    </w:rPr>
  </w:style>
  <w:style w:type="paragraph" w:customStyle="1" w:styleId="21">
    <w:name w:val="???????? ????? ? ???????? 2"/>
    <w:basedOn w:val="a1"/>
    <w:rsid w:val="00CC19AC"/>
    <w:pPr>
      <w:ind w:right="-141" w:firstLine="567"/>
      <w:jc w:val="both"/>
    </w:pPr>
    <w:rPr>
      <w:rFonts w:ascii="Times Armenian" w:hAnsi="Times Armenian"/>
      <w:sz w:val="24"/>
    </w:rPr>
  </w:style>
  <w:style w:type="paragraph" w:customStyle="1" w:styleId="22">
    <w:name w:val="???????? ????? 2"/>
    <w:basedOn w:val="a1"/>
    <w:rsid w:val="00D74B1C"/>
    <w:pPr>
      <w:spacing w:line="360" w:lineRule="auto"/>
      <w:jc w:val="both"/>
    </w:pPr>
    <w:rPr>
      <w:rFonts w:ascii="Times LatArm" w:hAnsi="Times LatArm"/>
      <w:b/>
      <w:i/>
      <w:sz w:val="28"/>
      <w:lang w:val="en-US"/>
    </w:rPr>
  </w:style>
  <w:style w:type="paragraph" w:customStyle="1" w:styleId="10">
    <w:name w:val="???????1"/>
    <w:rsid w:val="00D15CBA"/>
    <w:pPr>
      <w:spacing w:after="160" w:line="259" w:lineRule="auto"/>
    </w:pPr>
    <w:rPr>
      <w:lang w:val="ru-RU" w:eastAsia="ru-RU"/>
    </w:rPr>
  </w:style>
  <w:style w:type="paragraph" w:customStyle="1" w:styleId="30">
    <w:name w:val="???????? ????? ? ????????3"/>
    <w:basedOn w:val="a1"/>
    <w:rsid w:val="006C08D3"/>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autoRedefine/>
    <w:rsid w:val="007A59F7"/>
    <w:pPr>
      <w:spacing w:before="240" w:after="120" w:line="276" w:lineRule="auto"/>
    </w:pPr>
    <w:rPr>
      <w:rFonts w:ascii="GHEA Grapalat" w:hAnsi="GHEA Grapalat"/>
      <w:iCs/>
      <w:spacing w:val="0"/>
      <w:kern w:val="0"/>
      <w:lang w:val="af-ZA" w:eastAsia="ru-RU"/>
    </w:rPr>
  </w:style>
  <w:style w:type="paragraph" w:customStyle="1" w:styleId="Heading2ChapterParanumText">
    <w:name w:val="Heading 2.(Chapter).Paranum.Text"/>
    <w:basedOn w:val="Normal"/>
    <w:next w:val="BodyTextMainTextdateBodyTextMaintext"/>
    <w:link w:val="Heading2ChapterParanumTextChar"/>
    <w:rsid w:val="005531A9"/>
    <w:pPr>
      <w:keepNext/>
      <w:widowControl w:val="0"/>
      <w:spacing w:after="240" w:line="360" w:lineRule="auto"/>
      <w:outlineLvl w:val="1"/>
    </w:pPr>
    <w:rPr>
      <w:rFonts w:ascii="Times Armenian" w:hAnsi="Times Armenian"/>
      <w:b/>
      <w:spacing w:val="24"/>
      <w:kern w:val="28"/>
      <w:lang w:val="it-IT"/>
    </w:rPr>
  </w:style>
  <w:style w:type="paragraph" w:customStyle="1" w:styleId="BodyTextMainTextdateBodyTextMaintext">
    <w:name w:val="Body Text.(Main Text).date.Body Text (Main text)"/>
    <w:basedOn w:val="Normal"/>
    <w:rsid w:val="005531A9"/>
    <w:pPr>
      <w:widowControl w:val="0"/>
      <w:spacing w:after="120" w:line="360" w:lineRule="auto"/>
      <w:ind w:firstLine="652"/>
    </w:pPr>
    <w:rPr>
      <w:rFonts w:ascii="Arial Armenian" w:hAnsi="Arial Armenian"/>
      <w:sz w:val="20"/>
      <w:lang w:val="en-GB"/>
    </w:rPr>
  </w:style>
  <w:style w:type="character" w:customStyle="1" w:styleId="Heading2ChapterParanumTextChar">
    <w:name w:val="Heading 2.(Chapter).Paranum.Text Char"/>
    <w:link w:val="Heading2ChapterParanumText"/>
    <w:rsid w:val="00FC67B3"/>
    <w:rPr>
      <w:rFonts w:ascii="Times Armenian" w:hAnsi="Times Armenian"/>
      <w:b/>
      <w:spacing w:val="24"/>
      <w:kern w:val="28"/>
      <w:sz w:val="24"/>
      <w:szCs w:val="24"/>
      <w:lang w:val="it-IT" w:eastAsia="en-US" w:bidi="ar-SA"/>
    </w:rPr>
  </w:style>
  <w:style w:type="character" w:customStyle="1" w:styleId="StyleHeading2ChapterParanumTextSylfaen1Char">
    <w:name w:val="Style Heading 2.(Chapter).Paranum.Text + Sylfaen1 Char"/>
    <w:link w:val="StyleHeading2ChapterParanumTextSylfaen1"/>
    <w:rsid w:val="007A59F7"/>
    <w:rPr>
      <w:rFonts w:ascii="GHEA Grapalat" w:hAnsi="GHEA Grapalat" w:cs="Arial"/>
      <w:b/>
      <w:iCs/>
      <w:sz w:val="22"/>
      <w:szCs w:val="22"/>
      <w:lang w:val="af-ZA" w:eastAsia="ru-RU"/>
    </w:rPr>
  </w:style>
  <w:style w:type="paragraph" w:customStyle="1" w:styleId="8">
    <w:name w:val="????????? 8"/>
    <w:basedOn w:val="a1"/>
    <w:next w:val="a1"/>
    <w:rsid w:val="0089375B"/>
    <w:pPr>
      <w:keepNext/>
      <w:ind w:firstLine="426"/>
      <w:outlineLvl w:val="7"/>
    </w:pPr>
    <w:rPr>
      <w:rFonts w:ascii="Times Armenian" w:hAnsi="Times Armenian"/>
      <w:b/>
      <w:sz w:val="24"/>
      <w:lang w:val="en-US"/>
    </w:rPr>
  </w:style>
  <w:style w:type="paragraph" w:customStyle="1" w:styleId="210">
    <w:name w:val="???????? ????? ? ???????? 21"/>
    <w:basedOn w:val="2"/>
    <w:rsid w:val="00077B04"/>
    <w:pPr>
      <w:spacing w:line="360" w:lineRule="auto"/>
      <w:ind w:firstLine="840"/>
      <w:jc w:val="both"/>
    </w:pPr>
    <w:rPr>
      <w:rFonts w:ascii="Arial LatArm" w:hAnsi="Arial LatArm"/>
    </w:rPr>
  </w:style>
  <w:style w:type="paragraph" w:styleId="BodyText2">
    <w:name w:val="Body Text 2"/>
    <w:aliases w:val="1Text"/>
    <w:basedOn w:val="Normal"/>
    <w:link w:val="BodyText2Char1"/>
    <w:qFormat/>
    <w:rsid w:val="003B57EA"/>
    <w:pPr>
      <w:spacing w:after="120" w:line="480" w:lineRule="auto"/>
    </w:pPr>
    <w:rPr>
      <w:sz w:val="20"/>
      <w:szCs w:val="20"/>
      <w:lang w:val="ru-RU" w:eastAsia="ru-RU"/>
    </w:rPr>
  </w:style>
  <w:style w:type="character" w:customStyle="1" w:styleId="BodyText2Char1">
    <w:name w:val="Body Text 2 Char1"/>
    <w:aliases w:val="1Text Char1"/>
    <w:link w:val="BodyText2"/>
    <w:rsid w:val="0029274A"/>
    <w:rPr>
      <w:lang w:val="ru-RU" w:eastAsia="ru-RU" w:bidi="ar-SA"/>
    </w:rPr>
  </w:style>
  <w:style w:type="paragraph" w:styleId="BodyText3">
    <w:name w:val="Body Text 3"/>
    <w:basedOn w:val="Normal"/>
    <w:link w:val="BodyText3Char1"/>
    <w:rsid w:val="006732F2"/>
    <w:pPr>
      <w:spacing w:after="120"/>
    </w:pPr>
    <w:rPr>
      <w:sz w:val="16"/>
      <w:szCs w:val="16"/>
      <w:lang w:val="ru-RU" w:eastAsia="ru-RU"/>
    </w:rPr>
  </w:style>
  <w:style w:type="character" w:customStyle="1" w:styleId="BodyText3Char1">
    <w:name w:val="Body Text 3 Char1"/>
    <w:link w:val="BodyText3"/>
    <w:rsid w:val="0029274A"/>
    <w:rPr>
      <w:sz w:val="16"/>
      <w:szCs w:val="16"/>
      <w:lang w:val="ru-RU" w:eastAsia="ru-RU" w:bidi="ar-SA"/>
    </w:rPr>
  </w:style>
  <w:style w:type="paragraph" w:customStyle="1" w:styleId="Bullet">
    <w:name w:val="Bullet"/>
    <w:aliases w:val="bl,Bullet L1,bl1"/>
    <w:basedOn w:val="Normal"/>
    <w:rsid w:val="00C9180F"/>
    <w:pPr>
      <w:numPr>
        <w:numId w:val="1"/>
      </w:numPr>
      <w:tabs>
        <w:tab w:val="clear" w:pos="720"/>
        <w:tab w:val="num" w:pos="360"/>
      </w:tabs>
      <w:overflowPunct w:val="0"/>
      <w:autoSpaceDE w:val="0"/>
      <w:autoSpaceDN w:val="0"/>
      <w:adjustRightInd w:val="0"/>
      <w:spacing w:after="130"/>
      <w:ind w:left="360"/>
      <w:textAlignment w:val="baseline"/>
    </w:pPr>
    <w:rPr>
      <w:lang w:val="en-GB"/>
    </w:rPr>
  </w:style>
  <w:style w:type="paragraph" w:styleId="ListBullet">
    <w:name w:val="List Bullet"/>
    <w:basedOn w:val="Normal"/>
    <w:autoRedefine/>
    <w:qFormat/>
    <w:rsid w:val="00C9180F"/>
    <w:pPr>
      <w:tabs>
        <w:tab w:val="num" w:pos="360"/>
      </w:tabs>
      <w:overflowPunct w:val="0"/>
      <w:autoSpaceDE w:val="0"/>
      <w:autoSpaceDN w:val="0"/>
      <w:adjustRightInd w:val="0"/>
      <w:spacing w:before="130"/>
      <w:ind w:left="360" w:hanging="360"/>
      <w:textAlignment w:val="baseline"/>
    </w:pPr>
    <w:rPr>
      <w:lang w:val="en-GB"/>
    </w:rPr>
  </w:style>
  <w:style w:type="paragraph" w:customStyle="1" w:styleId="BSAPtext">
    <w:name w:val="BSAP text"/>
    <w:basedOn w:val="Normal"/>
    <w:rsid w:val="00C9180F"/>
    <w:rPr>
      <w:rFonts w:ascii="Bookman Old Style" w:hAnsi="Bookman Old Style"/>
    </w:rPr>
  </w:style>
  <w:style w:type="paragraph" w:styleId="EndnoteText">
    <w:name w:val="endnote text"/>
    <w:basedOn w:val="Normal"/>
    <w:link w:val="EndnoteTextChar"/>
    <w:rsid w:val="00C9180F"/>
    <w:rPr>
      <w:sz w:val="20"/>
      <w:szCs w:val="20"/>
      <w:lang w:val="en-GB"/>
    </w:rPr>
  </w:style>
  <w:style w:type="character" w:customStyle="1" w:styleId="EndnoteTextChar">
    <w:name w:val="Endnote Text Char"/>
    <w:link w:val="EndnoteText"/>
    <w:rsid w:val="0029274A"/>
    <w:rPr>
      <w:lang w:val="en-GB" w:eastAsia="en-US" w:bidi="ar-SA"/>
    </w:rPr>
  </w:style>
  <w:style w:type="character" w:styleId="PageNumber">
    <w:name w:val="page number"/>
    <w:basedOn w:val="DefaultParagraphFont"/>
    <w:rsid w:val="00C9180F"/>
  </w:style>
  <w:style w:type="paragraph" w:styleId="Footer">
    <w:name w:val="footer"/>
    <w:basedOn w:val="Normal"/>
    <w:next w:val="Normal"/>
    <w:link w:val="FooterChar2"/>
    <w:uiPriority w:val="99"/>
    <w:rsid w:val="00C9180F"/>
    <w:pPr>
      <w:tabs>
        <w:tab w:val="center" w:pos="4819"/>
        <w:tab w:val="right" w:pos="9071"/>
      </w:tabs>
      <w:overflowPunct w:val="0"/>
      <w:autoSpaceDE w:val="0"/>
      <w:autoSpaceDN w:val="0"/>
      <w:adjustRightInd w:val="0"/>
      <w:textAlignment w:val="baseline"/>
    </w:pPr>
    <w:rPr>
      <w:lang w:val="en-GB"/>
    </w:rPr>
  </w:style>
  <w:style w:type="character" w:customStyle="1" w:styleId="FooterChar2">
    <w:name w:val="Footer Char2"/>
    <w:link w:val="Footer"/>
    <w:uiPriority w:val="99"/>
    <w:rsid w:val="003E5F3D"/>
    <w:rPr>
      <w:sz w:val="22"/>
      <w:szCs w:val="22"/>
      <w:lang w:val="en-GB"/>
    </w:rPr>
  </w:style>
  <w:style w:type="paragraph" w:customStyle="1" w:styleId="xl32">
    <w:name w:val="xl32"/>
    <w:basedOn w:val="Normal"/>
    <w:rsid w:val="00C9180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Armenian" w:hAnsi="Times Armenian"/>
      <w:sz w:val="16"/>
      <w:szCs w:val="16"/>
      <w:lang w:val="ru-RU" w:eastAsia="ru-RU"/>
    </w:rPr>
  </w:style>
  <w:style w:type="character" w:styleId="Hyperlink">
    <w:name w:val="Hyperlink"/>
    <w:uiPriority w:val="99"/>
    <w:rsid w:val="00C9180F"/>
    <w:rPr>
      <w:color w:val="0000FF"/>
      <w:u w:val="single"/>
    </w:rPr>
  </w:style>
  <w:style w:type="character" w:styleId="FollowedHyperlink">
    <w:name w:val="FollowedHyperlink"/>
    <w:rsid w:val="00C9180F"/>
    <w:rPr>
      <w:color w:val="800080"/>
      <w:u w:val="single"/>
    </w:rPr>
  </w:style>
  <w:style w:type="paragraph" w:customStyle="1" w:styleId="CaptionSubtitle">
    <w:name w:val="Caption: Subtitle"/>
    <w:rsid w:val="008E4C9D"/>
    <w:pPr>
      <w:spacing w:after="160" w:line="259" w:lineRule="auto"/>
    </w:pPr>
    <w:rPr>
      <w:rFonts w:ascii="Arial" w:hAnsi="Arial"/>
      <w:noProof/>
      <w:sz w:val="18"/>
    </w:rPr>
  </w:style>
  <w:style w:type="paragraph" w:styleId="FootnoteText">
    <w:name w:val="footnote text"/>
    <w:aliases w:val="fn,ADB,single space,footnote text Char,Footnote Text Char,fn Char,ADB Char,single space Char Char,footnote text,FOOTNOTES Char,FOOTNOTES Char Char Char,FOOTNOTES,Footnote Text Char2 Char,Footnote Text Char1 Char Char,f,WB-Fußnotentext,ft"/>
    <w:basedOn w:val="Normal"/>
    <w:link w:val="FootnoteTextChar1"/>
    <w:autoRedefine/>
    <w:uiPriority w:val="99"/>
    <w:rsid w:val="008C23C8"/>
    <w:pPr>
      <w:ind w:firstLine="0"/>
    </w:pPr>
    <w:rPr>
      <w:sz w:val="16"/>
      <w:szCs w:val="20"/>
    </w:rPr>
  </w:style>
  <w:style w:type="character" w:customStyle="1" w:styleId="FootnoteTextChar1">
    <w:name w:val="Footnote Text Char1"/>
    <w:aliases w:val="fn Char1,ADB Char1,single space Char,footnote text Char Char,Footnote Text Char Char,fn Char Char,ADB Char Char,single space Char Char Char,footnote text Char1,FOOTNOTES Char Char,FOOTNOTES Char Char Char Char,FOOTNOTES Char1,f Char"/>
    <w:link w:val="FootnoteText"/>
    <w:uiPriority w:val="99"/>
    <w:rsid w:val="008C23C8"/>
    <w:rPr>
      <w:rFonts w:ascii="GHEA Grapalat" w:hAnsi="GHEA Grapalat"/>
      <w:sz w:val="16"/>
      <w:szCs w:val="20"/>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600144"/>
    <w:rPr>
      <w:vertAlign w:val="superscript"/>
    </w:rPr>
  </w:style>
  <w:style w:type="table" w:styleId="TableGrid">
    <w:name w:val="Table Grid"/>
    <w:basedOn w:val="TableNormal"/>
    <w:uiPriority w:val="39"/>
    <w:rsid w:val="00600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rsid w:val="00602C73"/>
    <w:pPr>
      <w:overflowPunct w:val="0"/>
      <w:autoSpaceDE w:val="0"/>
      <w:autoSpaceDN w:val="0"/>
      <w:adjustRightInd w:val="0"/>
      <w:ind w:left="153" w:hanging="153"/>
      <w:textAlignment w:val="baseline"/>
    </w:pPr>
    <w:rPr>
      <w:sz w:val="18"/>
      <w:szCs w:val="20"/>
      <w:lang w:val="en-GB"/>
    </w:rPr>
  </w:style>
  <w:style w:type="paragraph" w:styleId="BlockText">
    <w:name w:val="Block Text"/>
    <w:basedOn w:val="Normal"/>
    <w:rsid w:val="00602C73"/>
    <w:pPr>
      <w:spacing w:line="360" w:lineRule="auto"/>
      <w:ind w:left="-709" w:right="-483"/>
    </w:pPr>
    <w:rPr>
      <w:rFonts w:ascii="Times Armenian" w:hAnsi="Times Armenian"/>
      <w:szCs w:val="20"/>
    </w:rPr>
  </w:style>
  <w:style w:type="paragraph" w:customStyle="1" w:styleId="CaptionTable">
    <w:name w:val="Caption_Table"/>
    <w:basedOn w:val="Caption"/>
    <w:rsid w:val="005531A9"/>
    <w:pPr>
      <w:ind w:left="1325" w:hanging="1325"/>
    </w:pPr>
    <w:rPr>
      <w:rFonts w:ascii="Arial Armenian" w:hAnsi="Arial Armenian"/>
      <w:lang w:val="en-GB"/>
    </w:rPr>
  </w:style>
  <w:style w:type="paragraph" w:customStyle="1" w:styleId="xl34">
    <w:name w:val="xl34"/>
    <w:basedOn w:val="Normal"/>
    <w:rsid w:val="005531A9"/>
    <w:pPr>
      <w:spacing w:before="100" w:beforeAutospacing="1" w:after="100" w:afterAutospacing="1"/>
      <w:jc w:val="center"/>
    </w:pPr>
    <w:rPr>
      <w:rFonts w:ascii="Arial Armenian" w:eastAsia="Arial Unicode MS" w:hAnsi="Arial Armenian" w:cs="Arial Unicode MS"/>
      <w:sz w:val="16"/>
      <w:szCs w:val="16"/>
    </w:rPr>
  </w:style>
  <w:style w:type="paragraph" w:customStyle="1" w:styleId="Tablefirstcolumn">
    <w:name w:val="Table_first column"/>
    <w:basedOn w:val="Normal"/>
    <w:rsid w:val="005531A9"/>
    <w:pPr>
      <w:spacing w:before="60"/>
    </w:pPr>
    <w:rPr>
      <w:rFonts w:ascii="Arial Armenian" w:hAnsi="Arial Armenian"/>
      <w:sz w:val="16"/>
      <w:szCs w:val="20"/>
      <w:lang w:val="en-GB"/>
    </w:rPr>
  </w:style>
  <w:style w:type="paragraph" w:customStyle="1" w:styleId="xl25">
    <w:name w:val="xl25"/>
    <w:basedOn w:val="Normal"/>
    <w:rsid w:val="005531A9"/>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i/>
      <w:iCs/>
      <w:sz w:val="16"/>
      <w:szCs w:val="16"/>
    </w:rPr>
  </w:style>
  <w:style w:type="paragraph" w:customStyle="1" w:styleId="BodyTextIndentTableSourceTableSourceCharBodyTextIndentChar">
    <w:name w:val="Body Text Indent.(Table Source).(Table Source) Char.Body Text Indent Char"/>
    <w:basedOn w:val="BodyTextMainTextdateBodyTextMaintext"/>
    <w:next w:val="Normal"/>
    <w:rsid w:val="005531A9"/>
    <w:pPr>
      <w:spacing w:before="60" w:after="60" w:line="240" w:lineRule="auto"/>
    </w:pPr>
    <w:rPr>
      <w:i/>
      <w:sz w:val="16"/>
    </w:rPr>
  </w:style>
  <w:style w:type="paragraph" w:customStyle="1" w:styleId="Tablefirstrow">
    <w:name w:val="Table_first row"/>
    <w:basedOn w:val="Normal"/>
    <w:rsid w:val="005531A9"/>
    <w:pPr>
      <w:widowControl w:val="0"/>
      <w:spacing w:before="60"/>
      <w:jc w:val="right"/>
    </w:pPr>
    <w:rPr>
      <w:rFonts w:ascii="Arial Armenian" w:hAnsi="Arial Armenian"/>
      <w:b/>
      <w:sz w:val="16"/>
      <w:szCs w:val="20"/>
      <w:lang w:val="en-GB"/>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5531A9"/>
    <w:rPr>
      <w:rFonts w:ascii="Arial Armenian" w:hAnsi="Arial Armenian"/>
      <w:i/>
      <w:sz w:val="18"/>
      <w:lang w:val="en-GB"/>
    </w:rPr>
  </w:style>
  <w:style w:type="paragraph" w:styleId="BalloonText">
    <w:name w:val="Balloon Text"/>
    <w:basedOn w:val="Normal"/>
    <w:link w:val="BalloonTextChar"/>
    <w:uiPriority w:val="99"/>
    <w:rsid w:val="004C4D8B"/>
    <w:rPr>
      <w:rFonts w:ascii="Tahoma" w:hAnsi="Tahoma"/>
      <w:sz w:val="16"/>
      <w:szCs w:val="16"/>
    </w:rPr>
  </w:style>
  <w:style w:type="character" w:customStyle="1" w:styleId="BalloonTextChar">
    <w:name w:val="Balloon Text Char"/>
    <w:link w:val="BalloonText"/>
    <w:uiPriority w:val="99"/>
    <w:rsid w:val="004C4D8B"/>
    <w:rPr>
      <w:rFonts w:ascii="Tahoma" w:hAnsi="Tahoma" w:cs="Tahoma"/>
      <w:sz w:val="16"/>
      <w:szCs w:val="16"/>
    </w:rPr>
  </w:style>
  <w:style w:type="paragraph" w:customStyle="1" w:styleId="ListParagraph3">
    <w:name w:val="List Paragraph3"/>
    <w:aliases w:val="Akapit z listą BS,List Paragraph 1,List_Paragraph,Multilevel para_II,Bullet1,Bullets,References,List Paragraph (numbered (a)),IBL List Paragraph,List Paragraph nowy,Numbered List Paragraph,List Paragraph-ExecSummary,List Paragraph31,Ha"/>
    <w:basedOn w:val="Normal"/>
    <w:link w:val="ListParagraphChar"/>
    <w:qFormat/>
    <w:rsid w:val="00CC1E4C"/>
    <w:pPr>
      <w:ind w:left="720"/>
      <w:contextualSpacing/>
    </w:pPr>
  </w:style>
  <w:style w:type="paragraph" w:styleId="TOC2">
    <w:name w:val="toc 2"/>
    <w:basedOn w:val="Normal"/>
    <w:next w:val="Normal"/>
    <w:autoRedefine/>
    <w:uiPriority w:val="39"/>
    <w:qFormat/>
    <w:rsid w:val="00A61317"/>
    <w:pPr>
      <w:spacing w:before="120" w:after="0"/>
      <w:ind w:left="220"/>
      <w:jc w:val="left"/>
    </w:pPr>
    <w:rPr>
      <w:rFonts w:asciiTheme="minorHAnsi" w:hAnsiTheme="minorHAnsi" w:cstheme="minorHAnsi"/>
      <w:b/>
      <w:bCs/>
    </w:rPr>
  </w:style>
  <w:style w:type="paragraph" w:styleId="TOC3">
    <w:name w:val="toc 3"/>
    <w:basedOn w:val="Normal"/>
    <w:next w:val="Normal"/>
    <w:autoRedefine/>
    <w:uiPriority w:val="39"/>
    <w:qFormat/>
    <w:rsid w:val="00A161C7"/>
    <w:pPr>
      <w:spacing w:before="0" w:after="0"/>
      <w:ind w:left="440"/>
      <w:jc w:val="left"/>
    </w:pPr>
    <w:rPr>
      <w:rFonts w:asciiTheme="minorHAnsi" w:hAnsiTheme="minorHAnsi" w:cstheme="minorHAnsi"/>
      <w:sz w:val="20"/>
      <w:szCs w:val="20"/>
    </w:rPr>
  </w:style>
  <w:style w:type="paragraph" w:styleId="TOC4">
    <w:name w:val="toc 4"/>
    <w:basedOn w:val="Normal"/>
    <w:next w:val="Normal"/>
    <w:autoRedefine/>
    <w:uiPriority w:val="39"/>
    <w:rsid w:val="00503895"/>
    <w:pPr>
      <w:spacing w:before="0" w:after="0"/>
      <w:ind w:left="660"/>
      <w:jc w:val="left"/>
    </w:pPr>
    <w:rPr>
      <w:rFonts w:asciiTheme="minorHAnsi" w:hAnsiTheme="minorHAnsi" w:cstheme="minorHAnsi"/>
      <w:sz w:val="20"/>
      <w:szCs w:val="20"/>
    </w:rPr>
  </w:style>
  <w:style w:type="paragraph" w:styleId="Header">
    <w:name w:val="header"/>
    <w:aliases w:val="Header Char Char Char Char Char Char Char Char Char Char,Header Char Char Char Char Char Char Char Char Char Char Char Char,h"/>
    <w:basedOn w:val="Normal"/>
    <w:link w:val="HeaderChar1"/>
    <w:uiPriority w:val="99"/>
    <w:rsid w:val="00D92D82"/>
    <w:pPr>
      <w:tabs>
        <w:tab w:val="center" w:pos="4844"/>
        <w:tab w:val="right" w:pos="9689"/>
      </w:tabs>
    </w:pPr>
  </w:style>
  <w:style w:type="character" w:customStyle="1" w:styleId="HeaderChar1">
    <w:name w:val="Header Char1"/>
    <w:aliases w:val="Header Char Char Char Char Char Char Char Char Char Char Char,Header Char Char Char Char Char Char Char Char Char Char Char Char Char,h Char"/>
    <w:link w:val="Header"/>
    <w:uiPriority w:val="99"/>
    <w:rsid w:val="00D92D82"/>
    <w:rPr>
      <w:sz w:val="24"/>
      <w:szCs w:val="24"/>
    </w:rPr>
  </w:style>
  <w:style w:type="paragraph" w:styleId="TOC1">
    <w:name w:val="toc 1"/>
    <w:basedOn w:val="Normal"/>
    <w:next w:val="Normal"/>
    <w:autoRedefine/>
    <w:uiPriority w:val="39"/>
    <w:qFormat/>
    <w:rsid w:val="003555BF"/>
    <w:pPr>
      <w:spacing w:before="120" w:after="0"/>
      <w:jc w:val="left"/>
    </w:pPr>
    <w:rPr>
      <w:rFonts w:asciiTheme="minorHAnsi" w:hAnsiTheme="minorHAnsi" w:cstheme="minorHAnsi"/>
      <w:b/>
      <w:bCs/>
      <w:i/>
      <w:iCs/>
      <w:sz w:val="24"/>
      <w:szCs w:val="24"/>
    </w:rPr>
  </w:style>
  <w:style w:type="paragraph" w:styleId="TOC5">
    <w:name w:val="toc 5"/>
    <w:basedOn w:val="Normal"/>
    <w:next w:val="Normal"/>
    <w:autoRedefine/>
    <w:uiPriority w:val="39"/>
    <w:rsid w:val="0093413C"/>
    <w:pPr>
      <w:spacing w:before="0" w:after="0"/>
      <w:ind w:left="880"/>
      <w:jc w:val="left"/>
    </w:pPr>
    <w:rPr>
      <w:rFonts w:asciiTheme="minorHAnsi" w:hAnsiTheme="minorHAnsi" w:cstheme="minorHAnsi"/>
      <w:sz w:val="20"/>
      <w:szCs w:val="20"/>
    </w:rPr>
  </w:style>
  <w:style w:type="paragraph" w:customStyle="1" w:styleId="H1-intro">
    <w:name w:val="H1-intro"/>
    <w:basedOn w:val="Heading1"/>
    <w:autoRedefine/>
    <w:rsid w:val="00A844DE"/>
    <w:pPr>
      <w:widowControl w:val="0"/>
      <w:tabs>
        <w:tab w:val="left" w:pos="-284"/>
      </w:tabs>
      <w:spacing w:before="0" w:after="0"/>
      <w:ind w:right="-51"/>
      <w:jc w:val="center"/>
    </w:pPr>
    <w:rPr>
      <w:rFonts w:ascii="Times Armenian" w:hAnsi="Times Armenian"/>
      <w:bCs w:val="0"/>
      <w:iCs/>
      <w:spacing w:val="60"/>
      <w:kern w:val="28"/>
      <w:sz w:val="28"/>
      <w:lang w:val="es-ES"/>
    </w:rPr>
  </w:style>
  <w:style w:type="paragraph" w:styleId="Title">
    <w:name w:val="Title"/>
    <w:basedOn w:val="Normal"/>
    <w:next w:val="Normal"/>
    <w:link w:val="TitleChar"/>
    <w:qFormat/>
    <w:rsid w:val="002E5B7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1">
    <w:name w:val="Title Char1"/>
    <w:rsid w:val="00AF5441"/>
    <w:rPr>
      <w:rFonts w:ascii="Arial Armenian" w:hAnsi="Arial Armenian"/>
      <w:b/>
      <w:bCs/>
      <w:sz w:val="24"/>
      <w:szCs w:val="24"/>
      <w:lang w:val="fr-FR"/>
    </w:rPr>
  </w:style>
  <w:style w:type="paragraph" w:customStyle="1" w:styleId="CaptionGraph">
    <w:name w:val="Caption_Graph"/>
    <w:basedOn w:val="Caption"/>
    <w:rsid w:val="00AF5441"/>
    <w:pPr>
      <w:spacing w:before="120"/>
      <w:ind w:left="1325" w:hanging="1325"/>
    </w:pPr>
    <w:rPr>
      <w:lang w:val="it-IT"/>
    </w:rPr>
  </w:style>
  <w:style w:type="paragraph" w:customStyle="1" w:styleId="graphtable">
    <w:name w:val="graph&amp;table"/>
    <w:basedOn w:val="BodyText"/>
    <w:next w:val="BodyTextIndent"/>
    <w:rsid w:val="00AF5441"/>
    <w:pPr>
      <w:widowControl w:val="0"/>
      <w:spacing w:before="60" w:after="60"/>
    </w:pPr>
    <w:rPr>
      <w:rFonts w:ascii="Arial Armenian" w:hAnsi="Arial Armenian"/>
      <w:sz w:val="20"/>
      <w:szCs w:val="20"/>
      <w:lang w:val="en-GB"/>
    </w:rPr>
  </w:style>
  <w:style w:type="paragraph" w:customStyle="1" w:styleId="BodyTextdate">
    <w:name w:val="Body Text.date"/>
    <w:basedOn w:val="Normal"/>
    <w:rsid w:val="00AF5441"/>
    <w:pPr>
      <w:widowControl w:val="0"/>
      <w:spacing w:after="120" w:line="360" w:lineRule="auto"/>
    </w:pPr>
    <w:rPr>
      <w:rFonts w:ascii="Arial Armenian" w:hAnsi="Arial Armenian"/>
      <w:spacing w:val="-5"/>
      <w:sz w:val="20"/>
      <w:szCs w:val="20"/>
      <w:lang w:val="en-GB"/>
    </w:rPr>
  </w:style>
  <w:style w:type="character" w:customStyle="1" w:styleId="CaptionGraphChar">
    <w:name w:val="Caption_Graph Char"/>
    <w:rsid w:val="00AF5441"/>
    <w:rPr>
      <w:rFonts w:ascii="Arial Armenian" w:hAnsi="Arial Armenian"/>
      <w:b/>
      <w:sz w:val="20"/>
    </w:rPr>
  </w:style>
  <w:style w:type="paragraph" w:customStyle="1" w:styleId="CoverSubTitle">
    <w:name w:val="Cover SubTitle"/>
    <w:basedOn w:val="Normal"/>
    <w:rsid w:val="00AF5441"/>
    <w:pPr>
      <w:widowControl w:val="0"/>
      <w:overflowPunct w:val="0"/>
      <w:autoSpaceDE w:val="0"/>
      <w:autoSpaceDN w:val="0"/>
      <w:adjustRightInd w:val="0"/>
      <w:spacing w:line="440" w:lineRule="exact"/>
      <w:jc w:val="center"/>
      <w:textAlignment w:val="baseline"/>
    </w:pPr>
    <w:rPr>
      <w:sz w:val="32"/>
      <w:szCs w:val="20"/>
    </w:rPr>
  </w:style>
  <w:style w:type="paragraph" w:customStyle="1" w:styleId="Heading5Side">
    <w:name w:val="Heading 5.Side"/>
    <w:basedOn w:val="Normal"/>
    <w:next w:val="Normal"/>
    <w:rsid w:val="00AF5441"/>
    <w:pPr>
      <w:keepNext/>
      <w:spacing w:line="360" w:lineRule="auto"/>
      <w:outlineLvl w:val="4"/>
    </w:pPr>
    <w:rPr>
      <w:rFonts w:ascii="Times LatArm" w:hAnsi="Times LatArm"/>
      <w:szCs w:val="20"/>
      <w:lang w:val="en-NZ"/>
    </w:rPr>
  </w:style>
  <w:style w:type="paragraph" w:customStyle="1" w:styleId="23">
    <w:name w:val="çàãîëîâîê 2"/>
    <w:basedOn w:val="Normal"/>
    <w:next w:val="Normal"/>
    <w:rsid w:val="00AF5441"/>
    <w:pPr>
      <w:keepNext/>
      <w:overflowPunct w:val="0"/>
      <w:autoSpaceDE w:val="0"/>
      <w:autoSpaceDN w:val="0"/>
      <w:adjustRightInd w:val="0"/>
    </w:pPr>
    <w:rPr>
      <w:rFonts w:ascii="Arial Armenian" w:hAnsi="Arial Armenian"/>
      <w:szCs w:val="20"/>
    </w:rPr>
  </w:style>
  <w:style w:type="paragraph" w:customStyle="1" w:styleId="BodyTextMainTextdate">
    <w:name w:val="Body Text.(Main Text).date"/>
    <w:basedOn w:val="Normal"/>
    <w:rsid w:val="00AF5441"/>
    <w:pPr>
      <w:jc w:val="center"/>
    </w:pPr>
    <w:rPr>
      <w:rFonts w:ascii="Times LatArm" w:hAnsi="Times LatArm"/>
      <w:b/>
      <w:i/>
      <w:sz w:val="28"/>
      <w:szCs w:val="20"/>
    </w:rPr>
  </w:style>
  <w:style w:type="paragraph" w:customStyle="1" w:styleId="CaptionAnnexedTable">
    <w:name w:val="Caption_Annexed Table"/>
    <w:basedOn w:val="Caption"/>
    <w:rsid w:val="00AF5441"/>
    <w:pPr>
      <w:spacing w:before="120"/>
      <w:ind w:left="1325" w:hanging="1325"/>
    </w:pPr>
  </w:style>
  <w:style w:type="paragraph" w:customStyle="1" w:styleId="xl28">
    <w:name w:val="xl28"/>
    <w:basedOn w:val="Normal"/>
    <w:rsid w:val="00AF544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57">
    <w:name w:val="xl57"/>
    <w:basedOn w:val="Normal"/>
    <w:rsid w:val="00AF5441"/>
    <w:pPr>
      <w:pBdr>
        <w:bottom w:val="single" w:sz="4" w:space="0" w:color="auto"/>
        <w:right w:val="single" w:sz="4" w:space="0" w:color="auto"/>
      </w:pBdr>
      <w:spacing w:before="100" w:after="100"/>
    </w:pPr>
    <w:rPr>
      <w:rFonts w:ascii="Times Armenian" w:eastAsia="Arial Unicode MS" w:hAnsi="Times Armenian"/>
      <w:sz w:val="16"/>
      <w:szCs w:val="20"/>
    </w:rPr>
  </w:style>
  <w:style w:type="paragraph" w:styleId="PlainText">
    <w:name w:val="Plain Text"/>
    <w:basedOn w:val="Normal"/>
    <w:link w:val="PlainTextChar"/>
    <w:rsid w:val="00AF5441"/>
    <w:pPr>
      <w:spacing w:before="120"/>
    </w:pPr>
    <w:rPr>
      <w:rFonts w:ascii="Courier New" w:hAnsi="Courier New"/>
      <w:sz w:val="20"/>
      <w:szCs w:val="20"/>
    </w:rPr>
  </w:style>
  <w:style w:type="character" w:customStyle="1" w:styleId="PlainTextChar">
    <w:name w:val="Plain Text Char"/>
    <w:link w:val="PlainText"/>
    <w:rsid w:val="00AF5441"/>
    <w:rPr>
      <w:rFonts w:ascii="Courier New" w:hAnsi="Courier New"/>
    </w:rPr>
  </w:style>
  <w:style w:type="paragraph" w:customStyle="1" w:styleId="Armenian">
    <w:name w:val="Armenian"/>
    <w:basedOn w:val="Normal"/>
    <w:rsid w:val="00AF5441"/>
    <w:pPr>
      <w:autoSpaceDE w:val="0"/>
      <w:autoSpaceDN w:val="0"/>
    </w:pPr>
    <w:rPr>
      <w:rFonts w:ascii="Times LatArm" w:hAnsi="Times LatArm"/>
      <w:sz w:val="20"/>
    </w:rPr>
  </w:style>
  <w:style w:type="paragraph" w:customStyle="1" w:styleId="Vernagir">
    <w:name w:val="Vernagir"/>
    <w:basedOn w:val="Normal"/>
    <w:next w:val="Normal"/>
    <w:rsid w:val="00AF5441"/>
    <w:pPr>
      <w:autoSpaceDE w:val="0"/>
      <w:autoSpaceDN w:val="0"/>
      <w:spacing w:before="240" w:after="120"/>
      <w:jc w:val="center"/>
    </w:pPr>
    <w:rPr>
      <w:rFonts w:ascii="Times Armenian" w:hAnsi="Times Armenian"/>
      <w:b/>
      <w:bCs/>
      <w:sz w:val="20"/>
    </w:rPr>
  </w:style>
  <w:style w:type="paragraph" w:customStyle="1" w:styleId="xl44">
    <w:name w:val="xl44"/>
    <w:basedOn w:val="Normal"/>
    <w:rsid w:val="00AF5441"/>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sz w:val="16"/>
      <w:szCs w:val="20"/>
    </w:rPr>
  </w:style>
  <w:style w:type="paragraph" w:customStyle="1" w:styleId="Heading3Sub-ChapterCenteredtext">
    <w:name w:val="Heading 3.(Sub-Chapter).Centered.(text)"/>
    <w:basedOn w:val="Normal"/>
    <w:next w:val="BodyTextMainTextdateBodyTextMaintext"/>
    <w:rsid w:val="00AF5441"/>
    <w:pPr>
      <w:keepNext/>
      <w:widowControl w:val="0"/>
      <w:tabs>
        <w:tab w:val="left" w:pos="624"/>
      </w:tabs>
      <w:spacing w:before="240" w:after="240"/>
      <w:outlineLvl w:val="2"/>
    </w:pPr>
    <w:rPr>
      <w:rFonts w:ascii="Times Armenian" w:hAnsi="Times Armenian"/>
      <w:b/>
      <w:lang w:val="af-ZA"/>
    </w:rPr>
  </w:style>
  <w:style w:type="paragraph" w:customStyle="1" w:styleId="BoxTitle">
    <w:name w:val="Box_Title"/>
    <w:basedOn w:val="Caption"/>
    <w:rsid w:val="00AF5441"/>
    <w:pPr>
      <w:spacing w:before="60" w:after="120"/>
      <w:ind w:left="1325" w:hanging="1325"/>
    </w:pPr>
    <w:rPr>
      <w:lang w:val="fr-FR"/>
    </w:rPr>
  </w:style>
  <w:style w:type="paragraph" w:styleId="TOC6">
    <w:name w:val="toc 6"/>
    <w:basedOn w:val="Normal"/>
    <w:next w:val="Normal"/>
    <w:autoRedefine/>
    <w:uiPriority w:val="39"/>
    <w:rsid w:val="00AF5441"/>
    <w:pPr>
      <w:spacing w:before="0" w:after="0"/>
      <w:ind w:left="1100"/>
      <w:jc w:val="left"/>
    </w:pPr>
    <w:rPr>
      <w:rFonts w:asciiTheme="minorHAnsi" w:hAnsiTheme="minorHAnsi" w:cstheme="minorHAnsi"/>
      <w:sz w:val="20"/>
      <w:szCs w:val="20"/>
    </w:rPr>
  </w:style>
  <w:style w:type="paragraph" w:styleId="TOC7">
    <w:name w:val="toc 7"/>
    <w:basedOn w:val="Normal"/>
    <w:next w:val="Normal"/>
    <w:autoRedefine/>
    <w:uiPriority w:val="39"/>
    <w:rsid w:val="00AF5441"/>
    <w:pPr>
      <w:spacing w:before="0" w:after="0"/>
      <w:ind w:left="1320"/>
      <w:jc w:val="left"/>
    </w:pPr>
    <w:rPr>
      <w:rFonts w:asciiTheme="minorHAnsi" w:hAnsiTheme="minorHAnsi" w:cstheme="minorHAnsi"/>
      <w:sz w:val="20"/>
      <w:szCs w:val="20"/>
    </w:rPr>
  </w:style>
  <w:style w:type="paragraph" w:styleId="TOC8">
    <w:name w:val="toc 8"/>
    <w:basedOn w:val="Normal"/>
    <w:next w:val="Normal"/>
    <w:autoRedefine/>
    <w:uiPriority w:val="39"/>
    <w:rsid w:val="00AF5441"/>
    <w:pPr>
      <w:spacing w:before="0" w:after="0"/>
      <w:ind w:left="1540"/>
      <w:jc w:val="left"/>
    </w:pPr>
    <w:rPr>
      <w:rFonts w:asciiTheme="minorHAnsi" w:hAnsiTheme="minorHAnsi" w:cstheme="minorHAnsi"/>
      <w:sz w:val="20"/>
      <w:szCs w:val="20"/>
    </w:rPr>
  </w:style>
  <w:style w:type="paragraph" w:styleId="TOC9">
    <w:name w:val="toc 9"/>
    <w:basedOn w:val="Normal"/>
    <w:next w:val="Normal"/>
    <w:autoRedefine/>
    <w:uiPriority w:val="39"/>
    <w:rsid w:val="00AF5441"/>
    <w:pPr>
      <w:spacing w:before="0" w:after="0"/>
      <w:ind w:left="1760"/>
      <w:jc w:val="left"/>
    </w:pPr>
    <w:rPr>
      <w:rFonts w:asciiTheme="minorHAnsi" w:hAnsiTheme="minorHAnsi" w:cstheme="minorHAnsi"/>
      <w:sz w:val="20"/>
      <w:szCs w:val="20"/>
    </w:rPr>
  </w:style>
  <w:style w:type="table" w:styleId="TableList7">
    <w:name w:val="Table List 7"/>
    <w:basedOn w:val="TableNormal"/>
    <w:rsid w:val="00AF544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Web3">
    <w:name w:val="Table Web 3"/>
    <w:basedOn w:val="TableNormal"/>
    <w:rsid w:val="00AF544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rsid w:val="00AF544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bleofFigures">
    <w:name w:val="table of figures"/>
    <w:basedOn w:val="Normal"/>
    <w:next w:val="Normal"/>
    <w:rsid w:val="000F0242"/>
    <w:pPr>
      <w:ind w:left="480" w:hanging="480"/>
    </w:pPr>
    <w:rPr>
      <w:sz w:val="20"/>
    </w:rPr>
  </w:style>
  <w:style w:type="paragraph" w:customStyle="1" w:styleId="TOCBase">
    <w:name w:val="TOC Base"/>
    <w:basedOn w:val="Normal"/>
    <w:rsid w:val="000F0242"/>
    <w:pPr>
      <w:tabs>
        <w:tab w:val="right" w:leader="dot" w:pos="8505"/>
      </w:tabs>
      <w:overflowPunct w:val="0"/>
      <w:autoSpaceDE w:val="0"/>
      <w:autoSpaceDN w:val="0"/>
      <w:adjustRightInd w:val="0"/>
      <w:textAlignment w:val="baseline"/>
    </w:pPr>
    <w:rPr>
      <w:rFonts w:ascii="Gill Sans" w:hAnsi="Gill Sans"/>
      <w:szCs w:val="20"/>
    </w:rPr>
  </w:style>
  <w:style w:type="paragraph" w:customStyle="1" w:styleId="Bulets">
    <w:name w:val="Bulets"/>
    <w:basedOn w:val="Normal"/>
    <w:next w:val="Normal"/>
    <w:rsid w:val="000F0242"/>
    <w:pPr>
      <w:tabs>
        <w:tab w:val="num" w:pos="360"/>
      </w:tabs>
      <w:ind w:left="357" w:hanging="357"/>
    </w:pPr>
    <w:rPr>
      <w:rFonts w:ascii="Times Armenian" w:hAnsi="Times Armenian"/>
      <w:sz w:val="20"/>
      <w:szCs w:val="20"/>
    </w:rPr>
  </w:style>
  <w:style w:type="paragraph" w:customStyle="1" w:styleId="Numbering">
    <w:name w:val="Numbering"/>
    <w:basedOn w:val="Normal"/>
    <w:next w:val="Normal"/>
    <w:rsid w:val="000F0242"/>
    <w:pPr>
      <w:tabs>
        <w:tab w:val="num" w:pos="360"/>
      </w:tabs>
      <w:ind w:left="360" w:hanging="360"/>
    </w:pPr>
    <w:rPr>
      <w:rFonts w:ascii="Times Armenian" w:hAnsi="Times Armenian"/>
      <w:sz w:val="20"/>
      <w:szCs w:val="20"/>
    </w:rPr>
  </w:style>
  <w:style w:type="paragraph" w:customStyle="1" w:styleId="Bulet-2">
    <w:name w:val="Bulet-2"/>
    <w:basedOn w:val="Normal"/>
    <w:rsid w:val="000F0242"/>
    <w:pPr>
      <w:tabs>
        <w:tab w:val="num" w:pos="454"/>
      </w:tabs>
      <w:ind w:left="454" w:hanging="454"/>
    </w:pPr>
    <w:rPr>
      <w:rFonts w:ascii="Times Armenian" w:hAnsi="Times Armenian"/>
    </w:rPr>
  </w:style>
  <w:style w:type="character" w:styleId="Strong">
    <w:name w:val="Strong"/>
    <w:qFormat/>
    <w:rsid w:val="002E5B73"/>
    <w:rPr>
      <w:b/>
      <w:bCs/>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F0242"/>
    <w:pPr>
      <w:spacing w:after="120"/>
      <w:ind w:left="360"/>
    </w:pPr>
    <w:rPr>
      <w:sz w:val="20"/>
    </w:rPr>
  </w:style>
  <w:style w:type="paragraph" w:customStyle="1" w:styleId="StyleHeading120pt">
    <w:name w:val="Style Heading 1 + 20 pt"/>
    <w:basedOn w:val="Heading1"/>
    <w:rsid w:val="00CE0229"/>
    <w:pPr>
      <w:spacing w:before="0" w:after="0"/>
    </w:pPr>
    <w:rPr>
      <w:rFonts w:ascii="Times Armenian" w:hAnsi="Times Armenian"/>
      <w:sz w:val="40"/>
      <w:szCs w:val="24"/>
    </w:rPr>
  </w:style>
  <w:style w:type="paragraph" w:customStyle="1" w:styleId="StyleHeading216ptBoldLightBlueLeft025">
    <w:name w:val="Style Heading 2 + 16 pt Bold Light Blue Left:  0.25&quot;"/>
    <w:basedOn w:val="Heading2"/>
    <w:rsid w:val="00CE0229"/>
    <w:pPr>
      <w:ind w:left="360"/>
    </w:pPr>
    <w:rPr>
      <w:color w:val="3366FF"/>
      <w:spacing w:val="24"/>
    </w:rPr>
  </w:style>
  <w:style w:type="paragraph" w:styleId="Subtitle">
    <w:name w:val="Subtitle"/>
    <w:basedOn w:val="Normal"/>
    <w:next w:val="Normal"/>
    <w:link w:val="SubtitleChar"/>
    <w:qFormat/>
    <w:rsid w:val="002E5B7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rsid w:val="002E5B73"/>
    <w:rPr>
      <w:rFonts w:asciiTheme="majorHAnsi" w:eastAsiaTheme="majorEastAsia" w:hAnsiTheme="majorHAnsi" w:cstheme="majorBidi"/>
      <w:i/>
      <w:iCs/>
      <w:spacing w:val="13"/>
      <w:sz w:val="24"/>
      <w:szCs w:val="24"/>
    </w:rPr>
  </w:style>
  <w:style w:type="character" w:styleId="EndnoteReference">
    <w:name w:val="endnote reference"/>
    <w:rsid w:val="00CE0229"/>
    <w:rPr>
      <w:vertAlign w:val="superscript"/>
    </w:rPr>
  </w:style>
  <w:style w:type="paragraph" w:styleId="Index1">
    <w:name w:val="index 1"/>
    <w:basedOn w:val="Normal"/>
    <w:next w:val="Normal"/>
    <w:autoRedefine/>
    <w:rsid w:val="00CE0229"/>
    <w:pPr>
      <w:ind w:left="240" w:hanging="240"/>
    </w:pPr>
  </w:style>
  <w:style w:type="paragraph" w:styleId="Index2">
    <w:name w:val="index 2"/>
    <w:basedOn w:val="Normal"/>
    <w:next w:val="Normal"/>
    <w:autoRedefine/>
    <w:rsid w:val="00CE0229"/>
    <w:pPr>
      <w:ind w:left="480" w:hanging="240"/>
    </w:pPr>
  </w:style>
  <w:style w:type="paragraph" w:styleId="Index3">
    <w:name w:val="index 3"/>
    <w:basedOn w:val="Normal"/>
    <w:next w:val="Normal"/>
    <w:autoRedefine/>
    <w:rsid w:val="00CE0229"/>
    <w:pPr>
      <w:ind w:left="720" w:hanging="240"/>
    </w:pPr>
  </w:style>
  <w:style w:type="paragraph" w:styleId="Index4">
    <w:name w:val="index 4"/>
    <w:basedOn w:val="Normal"/>
    <w:next w:val="Normal"/>
    <w:autoRedefine/>
    <w:rsid w:val="00CE0229"/>
    <w:pPr>
      <w:ind w:left="960" w:hanging="240"/>
    </w:pPr>
  </w:style>
  <w:style w:type="paragraph" w:styleId="Index5">
    <w:name w:val="index 5"/>
    <w:basedOn w:val="Normal"/>
    <w:next w:val="Normal"/>
    <w:autoRedefine/>
    <w:rsid w:val="00CE0229"/>
    <w:pPr>
      <w:ind w:left="1200" w:hanging="240"/>
    </w:pPr>
  </w:style>
  <w:style w:type="paragraph" w:styleId="Index6">
    <w:name w:val="index 6"/>
    <w:basedOn w:val="Normal"/>
    <w:next w:val="Normal"/>
    <w:autoRedefine/>
    <w:rsid w:val="00CE0229"/>
    <w:pPr>
      <w:ind w:left="1440" w:hanging="240"/>
    </w:pPr>
  </w:style>
  <w:style w:type="paragraph" w:styleId="Index7">
    <w:name w:val="index 7"/>
    <w:basedOn w:val="Normal"/>
    <w:next w:val="Normal"/>
    <w:autoRedefine/>
    <w:rsid w:val="00CE0229"/>
    <w:pPr>
      <w:ind w:left="1680" w:hanging="240"/>
    </w:pPr>
  </w:style>
  <w:style w:type="paragraph" w:styleId="Index8">
    <w:name w:val="index 8"/>
    <w:basedOn w:val="Normal"/>
    <w:next w:val="Normal"/>
    <w:autoRedefine/>
    <w:rsid w:val="00CE0229"/>
    <w:pPr>
      <w:ind w:left="1920" w:hanging="240"/>
    </w:pPr>
  </w:style>
  <w:style w:type="paragraph" w:styleId="Index9">
    <w:name w:val="index 9"/>
    <w:basedOn w:val="Normal"/>
    <w:next w:val="Normal"/>
    <w:autoRedefine/>
    <w:rsid w:val="00CE0229"/>
    <w:pPr>
      <w:ind w:left="2160" w:hanging="240"/>
    </w:pPr>
  </w:style>
  <w:style w:type="paragraph" w:styleId="IndexHeading">
    <w:name w:val="index heading"/>
    <w:basedOn w:val="Normal"/>
    <w:next w:val="Index1"/>
    <w:rsid w:val="00CE0229"/>
  </w:style>
  <w:style w:type="paragraph" w:customStyle="1" w:styleId="BodyTextIndentTableSource">
    <w:name w:val="Body Text Indent.(Table Source)"/>
    <w:basedOn w:val="Normal"/>
    <w:rsid w:val="00CE0229"/>
    <w:pPr>
      <w:spacing w:line="360" w:lineRule="auto"/>
      <w:ind w:firstLine="540"/>
    </w:pPr>
    <w:rPr>
      <w:rFonts w:ascii="Times LatArm" w:hAnsi="Times LatArm"/>
      <w:szCs w:val="20"/>
    </w:rPr>
  </w:style>
  <w:style w:type="character" w:customStyle="1" w:styleId="TableTitleCharCharCharCharCharCharCharCharCharCharChar">
    <w:name w:val="(Table Title) Char Char Char Char Char Char Char Char Char Char Char"/>
    <w:aliases w:val="Caption1,(Table Title)1"/>
    <w:rsid w:val="00CE0229"/>
    <w:rPr>
      <w:rFonts w:ascii="Arial Armenian" w:hAnsi="Arial Armenian"/>
      <w:b/>
      <w:noProof w:val="0"/>
      <w:lang w:val="en-GB" w:eastAsia="en-US" w:bidi="ar-SA"/>
    </w:rPr>
  </w:style>
  <w:style w:type="paragraph" w:customStyle="1" w:styleId="xl26">
    <w:name w:val="xl26"/>
    <w:basedOn w:val="Normal"/>
    <w:rsid w:val="00CE0229"/>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7">
    <w:name w:val="xl27"/>
    <w:basedOn w:val="Normal"/>
    <w:rsid w:val="00CE0229"/>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9">
    <w:name w:val="xl29"/>
    <w:basedOn w:val="Normal"/>
    <w:rsid w:val="00CE0229"/>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30">
    <w:name w:val="xl30"/>
    <w:basedOn w:val="Normal"/>
    <w:rsid w:val="00CE0229"/>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31">
    <w:name w:val="xl31"/>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Armenian" w:eastAsia="Arial Unicode MS" w:hAnsi="Times Armenian" w:cs="Arial Unicode MS"/>
      <w:sz w:val="16"/>
      <w:szCs w:val="16"/>
    </w:rPr>
  </w:style>
  <w:style w:type="paragraph" w:customStyle="1" w:styleId="xl43">
    <w:name w:val="xl43"/>
    <w:basedOn w:val="Normal"/>
    <w:rsid w:val="00CE0229"/>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sz w:val="16"/>
      <w:szCs w:val="16"/>
    </w:rPr>
  </w:style>
  <w:style w:type="paragraph" w:customStyle="1" w:styleId="BoxText">
    <w:name w:val="Box Text"/>
    <w:basedOn w:val="BodyText"/>
    <w:rsid w:val="00CE0229"/>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line="360" w:lineRule="auto"/>
      <w:ind w:firstLine="652"/>
      <w:suppressOverlap/>
    </w:pPr>
    <w:rPr>
      <w:rFonts w:ascii="Arial Armenian" w:hAnsi="Arial Armenian"/>
      <w:noProof/>
      <w:sz w:val="20"/>
      <w:szCs w:val="20"/>
      <w:lang w:val="it-IT"/>
    </w:rPr>
  </w:style>
  <w:style w:type="paragraph" w:customStyle="1" w:styleId="BulletAB1">
    <w:name w:val="Bullet AB1"/>
    <w:basedOn w:val="Normal"/>
    <w:rsid w:val="00CE0229"/>
    <w:pPr>
      <w:tabs>
        <w:tab w:val="num" w:pos="360"/>
        <w:tab w:val="left" w:pos="1008"/>
      </w:tabs>
      <w:ind w:left="360" w:hanging="360"/>
    </w:pPr>
    <w:rPr>
      <w:sz w:val="21"/>
      <w:szCs w:val="20"/>
      <w:lang w:val="en-GB"/>
    </w:rPr>
  </w:style>
  <w:style w:type="paragraph" w:customStyle="1" w:styleId="Style1">
    <w:name w:val="Style1"/>
    <w:basedOn w:val="BodyText"/>
    <w:rsid w:val="00CE0229"/>
    <w:pPr>
      <w:tabs>
        <w:tab w:val="left" w:pos="360"/>
        <w:tab w:val="num" w:pos="720"/>
        <w:tab w:val="left" w:pos="900"/>
        <w:tab w:val="left" w:pos="9029"/>
      </w:tabs>
      <w:spacing w:after="0" w:line="360" w:lineRule="auto"/>
      <w:ind w:left="720" w:hanging="360"/>
    </w:pPr>
    <w:rPr>
      <w:rFonts w:ascii="Arial Armenian" w:hAnsi="Arial Armenian"/>
      <w:i/>
      <w:szCs w:val="20"/>
      <w:lang w:val="af-ZA"/>
    </w:rPr>
  </w:style>
  <w:style w:type="paragraph" w:customStyle="1" w:styleId="Tables">
    <w:name w:val="Tables"/>
    <w:basedOn w:val="BodyText2"/>
    <w:qFormat/>
    <w:rsid w:val="00CE0229"/>
    <w:pPr>
      <w:spacing w:after="0" w:line="240" w:lineRule="auto"/>
    </w:pPr>
    <w:rPr>
      <w:b/>
      <w:bCs/>
      <w:iCs/>
      <w:sz w:val="22"/>
      <w:szCs w:val="24"/>
      <w:lang w:val="en-US" w:eastAsia="en-US"/>
    </w:rPr>
  </w:style>
  <w:style w:type="paragraph" w:customStyle="1" w:styleId="wolort">
    <w:name w:val="wolort"/>
    <w:basedOn w:val="Normal"/>
    <w:rsid w:val="00CE0229"/>
    <w:pPr>
      <w:jc w:val="center"/>
    </w:pPr>
    <w:rPr>
      <w:rFonts w:ascii="Arial Armenian" w:hAnsi="Arial Armenian"/>
      <w:b/>
    </w:rPr>
  </w:style>
  <w:style w:type="character" w:customStyle="1" w:styleId="Heading4Char">
    <w:name w:val="Heading 4 Char"/>
    <w:aliases w:val="Centred Char"/>
    <w:basedOn w:val="DefaultParagraphFont"/>
    <w:link w:val="Heading4"/>
    <w:rsid w:val="00554D44"/>
    <w:rPr>
      <w:rFonts w:ascii="GHEA Grapalat" w:hAnsi="GHEA Grapalat"/>
      <w:b/>
      <w:color w:val="0070C0"/>
      <w:lang w:val="hy-AM"/>
    </w:rPr>
  </w:style>
  <w:style w:type="paragraph" w:customStyle="1" w:styleId="Tabletext0">
    <w:name w:val="Table text"/>
    <w:basedOn w:val="Normal"/>
    <w:rsid w:val="00CE0229"/>
    <w:pPr>
      <w:overflowPunct w:val="0"/>
      <w:autoSpaceDE w:val="0"/>
      <w:autoSpaceDN w:val="0"/>
      <w:adjustRightInd w:val="0"/>
      <w:spacing w:before="60" w:line="240" w:lineRule="atLeast"/>
      <w:textAlignment w:val="baseline"/>
    </w:pPr>
    <w:rPr>
      <w:sz w:val="18"/>
      <w:szCs w:val="20"/>
      <w:lang w:val="en-GB"/>
    </w:rPr>
  </w:style>
  <w:style w:type="paragraph" w:customStyle="1" w:styleId="MessageText">
    <w:name w:val="Message Text"/>
    <w:basedOn w:val="BodyText"/>
    <w:rsid w:val="00CE0229"/>
    <w:pPr>
      <w:widowControl w:val="0"/>
      <w:spacing w:line="360" w:lineRule="auto"/>
      <w:ind w:firstLine="652"/>
    </w:pPr>
    <w:rPr>
      <w:rFonts w:ascii="Arial Armenian" w:hAnsi="Arial Armenian"/>
      <w:szCs w:val="20"/>
      <w:lang w:val="en-GB"/>
    </w:rPr>
  </w:style>
  <w:style w:type="paragraph" w:customStyle="1" w:styleId="Heading41">
    <w:name w:val="Heading 41"/>
    <w:aliases w:val="Centred1"/>
    <w:basedOn w:val="Normal"/>
    <w:rsid w:val="00CE0229"/>
    <w:pPr>
      <w:widowControl w:val="0"/>
      <w:tabs>
        <w:tab w:val="num" w:pos="1080"/>
      </w:tabs>
      <w:ind w:left="737" w:hanging="737"/>
    </w:pPr>
    <w:rPr>
      <w:rFonts w:ascii="Arial Armenian" w:hAnsi="Arial Armenian"/>
      <w:sz w:val="20"/>
      <w:szCs w:val="20"/>
      <w:lang w:val="en-GB"/>
    </w:rPr>
  </w:style>
  <w:style w:type="paragraph" w:customStyle="1" w:styleId="PRAMO">
    <w:name w:val="PRAMO"/>
    <w:basedOn w:val="Normal"/>
    <w:rsid w:val="00CE0229"/>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pPr>
    <w:rPr>
      <w:rFonts w:ascii="Arial" w:hAnsi="Arial"/>
      <w:lang w:val="en-GB"/>
    </w:rPr>
  </w:style>
  <w:style w:type="paragraph" w:customStyle="1" w:styleId="bullet1">
    <w:name w:val="bullet1"/>
    <w:basedOn w:val="NormalIndent"/>
    <w:rsid w:val="00CE0229"/>
    <w:pPr>
      <w:tabs>
        <w:tab w:val="clear" w:pos="1134"/>
        <w:tab w:val="clear" w:pos="1701"/>
        <w:tab w:val="left" w:pos="1418"/>
      </w:tabs>
      <w:ind w:left="0"/>
      <w:jc w:val="left"/>
    </w:pPr>
  </w:style>
  <w:style w:type="paragraph" w:styleId="NormalIndent">
    <w:name w:val="Normal Indent"/>
    <w:basedOn w:val="Normal"/>
    <w:rsid w:val="00CE0229"/>
    <w:pPr>
      <w:tabs>
        <w:tab w:val="left" w:pos="1134"/>
        <w:tab w:val="left" w:pos="1701"/>
        <w:tab w:val="left" w:pos="2835"/>
        <w:tab w:val="left" w:pos="5103"/>
        <w:tab w:val="left" w:pos="7371"/>
        <w:tab w:val="right" w:pos="9639"/>
      </w:tabs>
      <w:ind w:left="1134"/>
    </w:pPr>
    <w:rPr>
      <w:lang w:val="en-GB"/>
    </w:rPr>
  </w:style>
  <w:style w:type="paragraph" w:customStyle="1" w:styleId="a4">
    <w:name w:val="????????"/>
    <w:basedOn w:val="Normal"/>
    <w:rsid w:val="00CE0229"/>
    <w:pPr>
      <w:jc w:val="center"/>
    </w:pPr>
    <w:rPr>
      <w:rFonts w:ascii="Times Armenian" w:hAnsi="Times Armenian"/>
      <w:i/>
      <w:sz w:val="28"/>
      <w:szCs w:val="20"/>
      <w:lang w:eastAsia="ru-RU"/>
    </w:rPr>
  </w:style>
  <w:style w:type="paragraph" w:customStyle="1" w:styleId="12">
    <w:name w:val="???????? ????? ? ????????1"/>
    <w:basedOn w:val="2"/>
    <w:rsid w:val="00CE0229"/>
    <w:pPr>
      <w:spacing w:line="360" w:lineRule="auto"/>
      <w:ind w:firstLine="720"/>
      <w:jc w:val="both"/>
    </w:pPr>
    <w:rPr>
      <w:sz w:val="28"/>
    </w:rPr>
  </w:style>
  <w:style w:type="paragraph" w:customStyle="1" w:styleId="BodyTextIndentTableSource1">
    <w:name w:val="Body Text Indent.(Table Source)1"/>
    <w:basedOn w:val="Normal"/>
    <w:rsid w:val="00CE0229"/>
    <w:pPr>
      <w:ind w:firstLine="3"/>
    </w:pPr>
    <w:rPr>
      <w:rFonts w:ascii="Times Armenian" w:hAnsi="Times Armenian"/>
      <w:szCs w:val="20"/>
      <w:lang w:val="fr-FR"/>
    </w:rPr>
  </w:style>
  <w:style w:type="paragraph" w:customStyle="1" w:styleId="xl33">
    <w:name w:val="xl33"/>
    <w:basedOn w:val="Normal"/>
    <w:rsid w:val="00CE0229"/>
    <w:pPr>
      <w:pBdr>
        <w:top w:val="single" w:sz="4" w:space="0" w:color="auto"/>
        <w:left w:val="single" w:sz="4" w:space="0" w:color="auto"/>
        <w:bottom w:val="single" w:sz="4" w:space="0" w:color="auto"/>
        <w:right w:val="single" w:sz="4" w:space="0" w:color="auto"/>
      </w:pBdr>
      <w:spacing w:before="100" w:after="100"/>
    </w:pPr>
    <w:rPr>
      <w:rFonts w:ascii="Arial Armenian" w:eastAsia="Arial Unicode MS" w:hAnsi="Arial Armenian"/>
      <w:b/>
      <w:i/>
      <w:sz w:val="16"/>
      <w:szCs w:val="20"/>
    </w:rPr>
  </w:style>
  <w:style w:type="paragraph" w:customStyle="1" w:styleId="xl35">
    <w:name w:val="xl35"/>
    <w:basedOn w:val="Normal"/>
    <w:rsid w:val="00CE0229"/>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i/>
      <w:sz w:val="16"/>
      <w:szCs w:val="20"/>
    </w:rPr>
  </w:style>
  <w:style w:type="paragraph" w:customStyle="1" w:styleId="xl36">
    <w:name w:val="xl36"/>
    <w:basedOn w:val="Normal"/>
    <w:rsid w:val="00CE0229"/>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37">
    <w:name w:val="xl37"/>
    <w:basedOn w:val="Normal"/>
    <w:rsid w:val="00CE0229"/>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b/>
      <w:sz w:val="16"/>
      <w:szCs w:val="20"/>
    </w:rPr>
  </w:style>
  <w:style w:type="paragraph" w:customStyle="1" w:styleId="xl38">
    <w:name w:val="xl38"/>
    <w:basedOn w:val="Normal"/>
    <w:rsid w:val="00CE0229"/>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b/>
      <w:sz w:val="16"/>
      <w:szCs w:val="20"/>
    </w:rPr>
  </w:style>
  <w:style w:type="paragraph" w:customStyle="1" w:styleId="xl39">
    <w:name w:val="xl39"/>
    <w:basedOn w:val="Normal"/>
    <w:rsid w:val="00CE0229"/>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0">
    <w:name w:val="xl40"/>
    <w:basedOn w:val="Normal"/>
    <w:rsid w:val="00CE0229"/>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1">
    <w:name w:val="xl41"/>
    <w:basedOn w:val="Normal"/>
    <w:rsid w:val="00CE0229"/>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42">
    <w:name w:val="xl42"/>
    <w:basedOn w:val="Normal"/>
    <w:rsid w:val="00CE0229"/>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i/>
      <w:sz w:val="16"/>
      <w:szCs w:val="20"/>
    </w:rPr>
  </w:style>
  <w:style w:type="paragraph" w:customStyle="1" w:styleId="xl45">
    <w:name w:val="xl45"/>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6">
    <w:name w:val="xl46"/>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7">
    <w:name w:val="xl47"/>
    <w:basedOn w:val="Normal"/>
    <w:rsid w:val="00CE0229"/>
    <w:pPr>
      <w:pBdr>
        <w:bottom w:val="single" w:sz="4" w:space="0" w:color="auto"/>
        <w:right w:val="single" w:sz="4" w:space="0" w:color="auto"/>
      </w:pBdr>
      <w:shd w:val="clear" w:color="auto" w:fill="FFFFFF"/>
      <w:spacing w:before="100" w:after="100"/>
      <w:textAlignment w:val="top"/>
    </w:pPr>
    <w:rPr>
      <w:rFonts w:ascii="Arial Armenian" w:eastAsia="Arial Unicode MS" w:hAnsi="Arial Armenian"/>
      <w:i/>
      <w:sz w:val="16"/>
      <w:szCs w:val="20"/>
    </w:rPr>
  </w:style>
  <w:style w:type="paragraph" w:customStyle="1" w:styleId="xl48">
    <w:name w:val="xl48"/>
    <w:basedOn w:val="Normal"/>
    <w:rsid w:val="00CE0229"/>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6"/>
      <w:szCs w:val="20"/>
    </w:rPr>
  </w:style>
  <w:style w:type="paragraph" w:customStyle="1" w:styleId="xl49">
    <w:name w:val="xl49"/>
    <w:basedOn w:val="Normal"/>
    <w:rsid w:val="00CE0229"/>
    <w:pPr>
      <w:pBdr>
        <w:top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50">
    <w:name w:val="xl50"/>
    <w:basedOn w:val="Normal"/>
    <w:rsid w:val="00CE0229"/>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1">
    <w:name w:val="xl51"/>
    <w:basedOn w:val="Normal"/>
    <w:rsid w:val="00CE0229"/>
    <w:pPr>
      <w:pBdr>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2">
    <w:name w:val="xl52"/>
    <w:basedOn w:val="Normal"/>
    <w:rsid w:val="00CE0229"/>
    <w:pPr>
      <w:pBdr>
        <w:top w:val="single" w:sz="4" w:space="0" w:color="auto"/>
        <w:lef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3">
    <w:name w:val="xl53"/>
    <w:basedOn w:val="Normal"/>
    <w:rsid w:val="00CE0229"/>
    <w:pPr>
      <w:pBdr>
        <w:top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4">
    <w:name w:val="xl54"/>
    <w:basedOn w:val="Normal"/>
    <w:rsid w:val="00CE0229"/>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55">
    <w:name w:val="xl55"/>
    <w:basedOn w:val="Normal"/>
    <w:rsid w:val="00CE0229"/>
    <w:pPr>
      <w:pBdr>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6">
    <w:name w:val="xl56"/>
    <w:basedOn w:val="Normal"/>
    <w:rsid w:val="00CE0229"/>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8">
    <w:name w:val="xl58"/>
    <w:basedOn w:val="Normal"/>
    <w:rsid w:val="00CE0229"/>
    <w:pPr>
      <w:pBdr>
        <w:left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59">
    <w:name w:val="xl59"/>
    <w:basedOn w:val="Normal"/>
    <w:rsid w:val="00CE0229"/>
    <w:pPr>
      <w:pBdr>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60">
    <w:name w:val="xl60"/>
    <w:basedOn w:val="Normal"/>
    <w:rsid w:val="00CE0229"/>
    <w:pPr>
      <w:pBdr>
        <w:top w:val="single" w:sz="4" w:space="0" w:color="auto"/>
        <w:lef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1">
    <w:name w:val="xl61"/>
    <w:basedOn w:val="Normal"/>
    <w:rsid w:val="00CE0229"/>
    <w:pPr>
      <w:pBdr>
        <w:top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2">
    <w:name w:val="xl62"/>
    <w:basedOn w:val="Normal"/>
    <w:rsid w:val="00CE0229"/>
    <w:pPr>
      <w:pBdr>
        <w:left w:val="single" w:sz="4" w:space="0" w:color="auto"/>
        <w:bottom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3">
    <w:name w:val="xl63"/>
    <w:basedOn w:val="Normal"/>
    <w:rsid w:val="00CE0229"/>
    <w:pPr>
      <w:pBdr>
        <w:bottom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4">
    <w:name w:val="xl64"/>
    <w:basedOn w:val="Normal"/>
    <w:rsid w:val="00CE0229"/>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sz w:val="14"/>
      <w:szCs w:val="20"/>
    </w:rPr>
  </w:style>
  <w:style w:type="paragraph" w:customStyle="1" w:styleId="xl65">
    <w:name w:val="xl65"/>
    <w:basedOn w:val="Normal"/>
    <w:rsid w:val="00CE0229"/>
    <w:pPr>
      <w:pBdr>
        <w:left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6">
    <w:name w:val="xl66"/>
    <w:basedOn w:val="Normal"/>
    <w:rsid w:val="00CE0229"/>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7">
    <w:name w:val="xl67"/>
    <w:basedOn w:val="Normal"/>
    <w:rsid w:val="00CE0229"/>
    <w:pPr>
      <w:pBdr>
        <w:top w:val="single" w:sz="4" w:space="0" w:color="auto"/>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68">
    <w:name w:val="xl68"/>
    <w:basedOn w:val="Normal"/>
    <w:rsid w:val="00CE0229"/>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i/>
      <w:sz w:val="14"/>
      <w:szCs w:val="20"/>
    </w:rPr>
  </w:style>
  <w:style w:type="paragraph" w:customStyle="1" w:styleId="xl69">
    <w:name w:val="xl69"/>
    <w:basedOn w:val="Normal"/>
    <w:rsid w:val="00CE022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Armenian" w:eastAsia="Arial Unicode MS" w:hAnsi="Arial Armenian" w:cs="Arial Unicode MS"/>
    </w:rPr>
  </w:style>
  <w:style w:type="paragraph" w:customStyle="1" w:styleId="xl70">
    <w:name w:val="xl70"/>
    <w:basedOn w:val="Normal"/>
    <w:rsid w:val="00CE0229"/>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1">
    <w:name w:val="xl71"/>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2">
    <w:name w:val="xl72"/>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Armenian" w:eastAsia="Arial Unicode MS" w:hAnsi="Arial Armenian" w:cs="Arial Unicode MS"/>
      <w:i/>
      <w:iCs/>
    </w:rPr>
  </w:style>
  <w:style w:type="paragraph" w:customStyle="1" w:styleId="xl73">
    <w:name w:val="xl73"/>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74">
    <w:name w:val="xl74"/>
    <w:basedOn w:val="Normal"/>
    <w:rsid w:val="00CE0229"/>
    <w:pPr>
      <w:pBdr>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5">
    <w:name w:val="xl75"/>
    <w:basedOn w:val="Normal"/>
    <w:rsid w:val="00CE022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76">
    <w:name w:val="xl76"/>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7">
    <w:name w:val="xl77"/>
    <w:basedOn w:val="Normal"/>
    <w:rsid w:val="00CE022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rPr>
  </w:style>
  <w:style w:type="paragraph" w:customStyle="1" w:styleId="xl78">
    <w:name w:val="xl78"/>
    <w:basedOn w:val="Normal"/>
    <w:rsid w:val="00CE022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79">
    <w:name w:val="xl79"/>
    <w:basedOn w:val="Normal"/>
    <w:rsid w:val="00CE022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80">
    <w:name w:val="xl80"/>
    <w:basedOn w:val="Normal"/>
    <w:rsid w:val="00CE022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81">
    <w:name w:val="xl81"/>
    <w:basedOn w:val="Normal"/>
    <w:rsid w:val="00CE0229"/>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82">
    <w:name w:val="xl82"/>
    <w:basedOn w:val="Normal"/>
    <w:rsid w:val="00CE022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83">
    <w:name w:val="xl83"/>
    <w:basedOn w:val="Normal"/>
    <w:rsid w:val="00CE0229"/>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4">
    <w:name w:val="xl84"/>
    <w:basedOn w:val="Normal"/>
    <w:rsid w:val="00CE0229"/>
    <w:pPr>
      <w:pBdr>
        <w:top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5">
    <w:name w:val="xl85"/>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6">
    <w:name w:val="xl86"/>
    <w:basedOn w:val="Normal"/>
    <w:rsid w:val="00CE0229"/>
    <w:pPr>
      <w:pBdr>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7">
    <w:name w:val="xl87"/>
    <w:basedOn w:val="Normal"/>
    <w:rsid w:val="00CE0229"/>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88">
    <w:name w:val="xl88"/>
    <w:basedOn w:val="Normal"/>
    <w:rsid w:val="00CE0229"/>
    <w:pPr>
      <w:pBdr>
        <w:bottom w:val="single" w:sz="4" w:space="0" w:color="auto"/>
      </w:pBdr>
      <w:shd w:val="clear" w:color="auto" w:fill="FFFFFF"/>
      <w:spacing w:before="100" w:beforeAutospacing="1" w:after="100" w:afterAutospacing="1"/>
    </w:pPr>
    <w:rPr>
      <w:rFonts w:ascii="Arial Armenian" w:eastAsia="Arial Unicode MS" w:hAnsi="Arial Armenian" w:cs="Arial Unicode MS"/>
    </w:rPr>
  </w:style>
  <w:style w:type="paragraph" w:customStyle="1" w:styleId="xl89">
    <w:name w:val="xl89"/>
    <w:basedOn w:val="Normal"/>
    <w:rsid w:val="00CE0229"/>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Armenian" w:eastAsia="Arial Unicode MS" w:hAnsi="Arial Armenian" w:cs="Arial Unicode MS"/>
      <w:b/>
      <w:bCs/>
    </w:rPr>
  </w:style>
  <w:style w:type="paragraph" w:customStyle="1" w:styleId="xl90">
    <w:name w:val="xl90"/>
    <w:basedOn w:val="Normal"/>
    <w:rsid w:val="00CE022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1">
    <w:name w:val="xl91"/>
    <w:basedOn w:val="Normal"/>
    <w:rsid w:val="00CE022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2">
    <w:name w:val="xl92"/>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3">
    <w:name w:val="xl93"/>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u w:val="single"/>
    </w:rPr>
  </w:style>
  <w:style w:type="paragraph" w:customStyle="1" w:styleId="xl94">
    <w:name w:val="xl94"/>
    <w:basedOn w:val="Normal"/>
    <w:rsid w:val="00CE0229"/>
    <w:pPr>
      <w:pBdr>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5">
    <w:name w:val="xl95"/>
    <w:basedOn w:val="Normal"/>
    <w:rsid w:val="00CE022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6">
    <w:name w:val="xl96"/>
    <w:basedOn w:val="Normal"/>
    <w:rsid w:val="00CE022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97">
    <w:name w:val="xl97"/>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8">
    <w:name w:val="xl98"/>
    <w:basedOn w:val="Normal"/>
    <w:rsid w:val="00CE022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Armenian" w:eastAsia="Arial Unicode MS" w:hAnsi="Arial Armenian" w:cs="Arial Unicode MS"/>
    </w:rPr>
  </w:style>
  <w:style w:type="paragraph" w:customStyle="1" w:styleId="xl99">
    <w:name w:val="xl99"/>
    <w:basedOn w:val="Normal"/>
    <w:rsid w:val="00CE0229"/>
    <w:pPr>
      <w:pBdr>
        <w:right w:val="single" w:sz="8" w:space="0" w:color="auto"/>
      </w:pBdr>
      <w:shd w:val="clear" w:color="auto" w:fill="FFFFFF"/>
      <w:spacing w:before="100" w:beforeAutospacing="1" w:after="100" w:afterAutospacing="1"/>
      <w:jc w:val="right"/>
    </w:pPr>
    <w:rPr>
      <w:rFonts w:ascii="Arial Armenian" w:eastAsia="Arial Unicode MS" w:hAnsi="Arial Armenian" w:cs="Arial Unicode MS"/>
      <w:b/>
      <w:bCs/>
    </w:rPr>
  </w:style>
  <w:style w:type="paragraph" w:customStyle="1" w:styleId="xl100">
    <w:name w:val="xl100"/>
    <w:basedOn w:val="Normal"/>
    <w:rsid w:val="00CE0229"/>
    <w:pPr>
      <w:pBdr>
        <w:right w:val="single" w:sz="8" w:space="0" w:color="auto"/>
      </w:pBdr>
      <w:shd w:val="clear" w:color="auto" w:fill="CCFFFF"/>
      <w:spacing w:before="100" w:beforeAutospacing="1" w:after="100" w:afterAutospacing="1"/>
      <w:jc w:val="right"/>
    </w:pPr>
    <w:rPr>
      <w:rFonts w:ascii="Arial Armenian" w:eastAsia="Arial Unicode MS" w:hAnsi="Arial Armenian" w:cs="Arial Unicode MS"/>
    </w:rPr>
  </w:style>
  <w:style w:type="paragraph" w:customStyle="1" w:styleId="xl101">
    <w:name w:val="xl101"/>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102">
    <w:name w:val="xl102"/>
    <w:basedOn w:val="Normal"/>
    <w:rsid w:val="00CE0229"/>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103">
    <w:name w:val="xl103"/>
    <w:basedOn w:val="Normal"/>
    <w:rsid w:val="00CE0229"/>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i/>
      <w:iCs/>
    </w:rPr>
  </w:style>
  <w:style w:type="paragraph" w:customStyle="1" w:styleId="xl104">
    <w:name w:val="xl104"/>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rPr>
  </w:style>
  <w:style w:type="paragraph" w:customStyle="1" w:styleId="xl105">
    <w:name w:val="xl105"/>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06">
    <w:name w:val="xl106"/>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Armenian" w:eastAsia="Arial Unicode MS" w:hAnsi="Arial Armenian" w:cs="Arial Unicode MS"/>
    </w:rPr>
  </w:style>
  <w:style w:type="paragraph" w:customStyle="1" w:styleId="xl107">
    <w:name w:val="xl107"/>
    <w:basedOn w:val="Normal"/>
    <w:rsid w:val="00CE022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eastAsia="Arial Unicode MS" w:hAnsi="Arial Armenian" w:cs="Arial Unicode MS"/>
      <w:b/>
      <w:bCs/>
    </w:rPr>
  </w:style>
  <w:style w:type="paragraph" w:customStyle="1" w:styleId="xl108">
    <w:name w:val="xl108"/>
    <w:basedOn w:val="Normal"/>
    <w:rsid w:val="00CE022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09">
    <w:name w:val="xl109"/>
    <w:basedOn w:val="Normal"/>
    <w:rsid w:val="00CE022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10">
    <w:name w:val="xl110"/>
    <w:basedOn w:val="Normal"/>
    <w:rsid w:val="00CE0229"/>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11">
    <w:name w:val="xl111"/>
    <w:basedOn w:val="Normal"/>
    <w:rsid w:val="00CE0229"/>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b/>
      <w:bCs/>
    </w:rPr>
  </w:style>
  <w:style w:type="paragraph" w:customStyle="1" w:styleId="xl112">
    <w:name w:val="xl112"/>
    <w:basedOn w:val="Normal"/>
    <w:rsid w:val="00CE0229"/>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13">
    <w:name w:val="xl113"/>
    <w:basedOn w:val="Normal"/>
    <w:rsid w:val="00CE0229"/>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114">
    <w:name w:val="xl114"/>
    <w:basedOn w:val="Normal"/>
    <w:rsid w:val="00CE022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rPr>
  </w:style>
  <w:style w:type="paragraph" w:customStyle="1" w:styleId="xl115">
    <w:name w:val="xl115"/>
    <w:basedOn w:val="Normal"/>
    <w:rsid w:val="00CE022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character" w:customStyle="1" w:styleId="Heading3Char">
    <w:name w:val="Heading 3 Char"/>
    <w:aliases w:val="(Sub-Chapter) Char2,Centered Char2,(text) Char2,Heading 3 Char Char Char Char Char Char Char3"/>
    <w:basedOn w:val="DefaultParagraphFont"/>
    <w:link w:val="Heading3"/>
    <w:uiPriority w:val="9"/>
    <w:rsid w:val="006E220E"/>
    <w:rPr>
      <w:rFonts w:ascii="GHEA Grapalat" w:hAnsi="GHEA Grapalat"/>
      <w:b/>
      <w:caps/>
      <w:lang w:val="hy-AM"/>
    </w:rPr>
  </w:style>
  <w:style w:type="paragraph" w:customStyle="1" w:styleId="KLegalHeading3">
    <w:name w:val="KLegal Heading 3"/>
    <w:basedOn w:val="Normal"/>
    <w:next w:val="Heading2"/>
    <w:rsid w:val="00CE0229"/>
    <w:pPr>
      <w:keepNext/>
      <w:overflowPunct w:val="0"/>
      <w:autoSpaceDE w:val="0"/>
      <w:autoSpaceDN w:val="0"/>
      <w:adjustRightInd w:val="0"/>
      <w:spacing w:after="220"/>
      <w:ind w:left="1440" w:hanging="720"/>
      <w:textAlignment w:val="baseline"/>
    </w:pPr>
    <w:rPr>
      <w:b/>
      <w:szCs w:val="20"/>
      <w:lang w:val="en-GB"/>
    </w:rPr>
  </w:style>
  <w:style w:type="paragraph" w:customStyle="1" w:styleId="KLegalHeading4">
    <w:name w:val="KLegal Heading 4"/>
    <w:basedOn w:val="Normal"/>
    <w:next w:val="Heading2"/>
    <w:rsid w:val="00CE0229"/>
    <w:pPr>
      <w:keepNext/>
      <w:overflowPunct w:val="0"/>
      <w:autoSpaceDE w:val="0"/>
      <w:autoSpaceDN w:val="0"/>
      <w:adjustRightInd w:val="0"/>
      <w:spacing w:after="220"/>
      <w:ind w:left="2160" w:hanging="720"/>
      <w:textAlignment w:val="baseline"/>
    </w:pPr>
    <w:rPr>
      <w:b/>
      <w:i/>
      <w:szCs w:val="20"/>
      <w:lang w:val="en-GB"/>
    </w:rPr>
  </w:style>
  <w:style w:type="paragraph" w:customStyle="1" w:styleId="KLegalHeading1">
    <w:name w:val="KLegal Heading 1"/>
    <w:basedOn w:val="Normal"/>
    <w:next w:val="KLegalHeading2"/>
    <w:rsid w:val="00CE0229"/>
    <w:pPr>
      <w:keepNext/>
      <w:pageBreakBefore/>
      <w:overflowPunct w:val="0"/>
      <w:autoSpaceDE w:val="0"/>
      <w:autoSpaceDN w:val="0"/>
      <w:adjustRightInd w:val="0"/>
      <w:spacing w:after="440"/>
      <w:ind w:left="851" w:hanging="851"/>
      <w:textAlignment w:val="baseline"/>
      <w:outlineLvl w:val="0"/>
    </w:pPr>
    <w:rPr>
      <w:b/>
      <w:sz w:val="32"/>
      <w:szCs w:val="20"/>
      <w:lang w:val="en-GB"/>
    </w:rPr>
  </w:style>
  <w:style w:type="paragraph" w:customStyle="1" w:styleId="KLegalHeading2">
    <w:name w:val="KLegal Heading 2"/>
    <w:basedOn w:val="Normal"/>
    <w:next w:val="KLegalHeading3"/>
    <w:rsid w:val="00CE0229"/>
    <w:pPr>
      <w:keepNext/>
      <w:overflowPunct w:val="0"/>
      <w:autoSpaceDE w:val="0"/>
      <w:autoSpaceDN w:val="0"/>
      <w:adjustRightInd w:val="0"/>
      <w:spacing w:after="220"/>
      <w:ind w:left="851" w:hanging="851"/>
      <w:textAlignment w:val="baseline"/>
      <w:outlineLvl w:val="1"/>
    </w:pPr>
    <w:rPr>
      <w:b/>
      <w:sz w:val="28"/>
      <w:szCs w:val="20"/>
      <w:lang w:val="en-GB"/>
    </w:rPr>
  </w:style>
  <w:style w:type="character" w:customStyle="1" w:styleId="Normal1">
    <w:name w:val="Normal1"/>
    <w:rsid w:val="00CE0229"/>
    <w:rPr>
      <w:rFonts w:ascii="Arial" w:hAnsi="Arial"/>
      <w:sz w:val="24"/>
      <w:szCs w:val="24"/>
    </w:rPr>
  </w:style>
  <w:style w:type="paragraph" w:customStyle="1" w:styleId="BulletblBulletL1bl1">
    <w:name w:val="Bullet.bl.Bullet L1.bl1"/>
    <w:basedOn w:val="Normal"/>
    <w:rsid w:val="00CE0229"/>
    <w:pPr>
      <w:tabs>
        <w:tab w:val="num" w:pos="360"/>
      </w:tabs>
      <w:autoSpaceDE w:val="0"/>
      <w:autoSpaceDN w:val="0"/>
      <w:spacing w:after="130"/>
      <w:ind w:left="360" w:hanging="360"/>
    </w:pPr>
    <w:rPr>
      <w:rFonts w:ascii="Times Armenian" w:hAnsi="Times Armenian"/>
      <w:lang w:val="en-GB" w:eastAsia="ru-RU"/>
    </w:rPr>
  </w:style>
  <w:style w:type="paragraph" w:customStyle="1" w:styleId="Heading3Centeredtext">
    <w:name w:val="Heading 3.Centered.(text)"/>
    <w:basedOn w:val="Normal"/>
    <w:next w:val="Heading2"/>
    <w:rsid w:val="00CE0229"/>
    <w:pPr>
      <w:keepNext/>
      <w:autoSpaceDE w:val="0"/>
      <w:autoSpaceDN w:val="0"/>
      <w:spacing w:after="220"/>
      <w:outlineLvl w:val="2"/>
    </w:pPr>
    <w:rPr>
      <w:rFonts w:ascii="Times Armenian" w:hAnsi="Times Armenian"/>
      <w:b/>
      <w:bCs/>
      <w:lang w:val="en-GB" w:eastAsia="ru-RU"/>
    </w:rPr>
  </w:style>
  <w:style w:type="paragraph" w:customStyle="1" w:styleId="13">
    <w:name w:val="çàãîëîâîê 1"/>
    <w:basedOn w:val="Normal"/>
    <w:next w:val="Normal"/>
    <w:rsid w:val="00CE0229"/>
    <w:pPr>
      <w:keepNext/>
      <w:overflowPunct w:val="0"/>
      <w:autoSpaceDE w:val="0"/>
      <w:autoSpaceDN w:val="0"/>
      <w:adjustRightInd w:val="0"/>
      <w:jc w:val="center"/>
    </w:pPr>
    <w:rPr>
      <w:rFonts w:ascii="Arial Armenian" w:hAnsi="Arial Armenian"/>
      <w:szCs w:val="20"/>
    </w:rPr>
  </w:style>
  <w:style w:type="paragraph" w:customStyle="1" w:styleId="BalloonText2">
    <w:name w:val="Balloon Text2"/>
    <w:basedOn w:val="Normal"/>
    <w:semiHidden/>
    <w:rsid w:val="00CE0229"/>
    <w:pPr>
      <w:ind w:left="2157" w:hanging="180"/>
    </w:pPr>
    <w:rPr>
      <w:rFonts w:ascii="Tahoma" w:hAnsi="Tahoma" w:cs="Tahoma"/>
      <w:sz w:val="16"/>
      <w:szCs w:val="16"/>
    </w:rPr>
  </w:style>
  <w:style w:type="character" w:customStyle="1" w:styleId="Heading3CharCharCharCharCharCharChar">
    <w:name w:val="Heading 3 Char Char Char Char Char Char Char"/>
    <w:rsid w:val="00CE0229"/>
    <w:rPr>
      <w:rFonts w:ascii="Times Armenian" w:hAnsi="Times Armenian"/>
      <w:b/>
      <w:bCs/>
      <w:sz w:val="24"/>
      <w:szCs w:val="24"/>
      <w:lang w:val="en-GB" w:eastAsia="en-US" w:bidi="ar-SA"/>
    </w:rPr>
  </w:style>
  <w:style w:type="paragraph" w:customStyle="1" w:styleId="WW-BodyText3">
    <w:name w:val="WW-Body Text 3"/>
    <w:basedOn w:val="Normal"/>
    <w:rsid w:val="00CE0229"/>
    <w:pPr>
      <w:suppressAutoHyphens/>
    </w:pPr>
    <w:rPr>
      <w:rFonts w:ascii="Times Armenian" w:hAnsi="Times Armenian"/>
      <w:lang w:eastAsia="ar-SA"/>
    </w:rPr>
  </w:style>
  <w:style w:type="paragraph" w:customStyle="1" w:styleId="WW-BodyTextIndent2">
    <w:name w:val="WW-Body Text Indent 2"/>
    <w:basedOn w:val="Normal"/>
    <w:rsid w:val="00CE0229"/>
    <w:pPr>
      <w:suppressAutoHyphens/>
      <w:ind w:firstLine="720"/>
    </w:pPr>
    <w:rPr>
      <w:rFonts w:ascii="Times LatArm" w:hAnsi="Times LatArm"/>
      <w:i/>
      <w:iCs/>
      <w:lang w:eastAsia="ar-SA"/>
    </w:rPr>
  </w:style>
  <w:style w:type="paragraph" w:customStyle="1" w:styleId="BalloonText1">
    <w:name w:val="Balloon Text1"/>
    <w:basedOn w:val="Normal"/>
    <w:semiHidden/>
    <w:rsid w:val="00CE0229"/>
    <w:rPr>
      <w:rFonts w:ascii="Tahoma" w:hAnsi="Tahoma" w:cs="Tahoma"/>
      <w:sz w:val="16"/>
      <w:szCs w:val="16"/>
    </w:rPr>
  </w:style>
  <w:style w:type="paragraph" w:customStyle="1" w:styleId="BalloonText3">
    <w:name w:val="Balloon Text3"/>
    <w:basedOn w:val="Normal"/>
    <w:semiHidden/>
    <w:rsid w:val="00CE0229"/>
    <w:rPr>
      <w:rFonts w:ascii="Tahoma" w:hAnsi="Tahoma" w:cs="Tahoma"/>
      <w:sz w:val="16"/>
      <w:szCs w:val="16"/>
    </w:rPr>
  </w:style>
  <w:style w:type="paragraph" w:customStyle="1" w:styleId="xl116">
    <w:name w:val="xl116"/>
    <w:basedOn w:val="Normal"/>
    <w:rsid w:val="00CE0229"/>
    <w:pPr>
      <w:pBdr>
        <w:top w:val="single" w:sz="4" w:space="0" w:color="auto"/>
        <w:right w:val="single" w:sz="4" w:space="0" w:color="auto"/>
      </w:pBdr>
      <w:spacing w:before="100" w:beforeAutospacing="1" w:after="100" w:afterAutospacing="1"/>
      <w:jc w:val="right"/>
      <w:textAlignment w:val="center"/>
    </w:pPr>
    <w:rPr>
      <w:rFonts w:ascii="Times Armenian" w:eastAsia="Arial Unicode MS" w:hAnsi="Times Armenian" w:cs="Arial Unicode MS"/>
    </w:rPr>
  </w:style>
  <w:style w:type="paragraph" w:customStyle="1" w:styleId="xl117">
    <w:name w:val="xl117"/>
    <w:basedOn w:val="Normal"/>
    <w:rsid w:val="00CE0229"/>
    <w:pPr>
      <w:pBdr>
        <w:top w:val="single" w:sz="4" w:space="0" w:color="auto"/>
        <w:left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18">
    <w:name w:val="xl118"/>
    <w:basedOn w:val="Normal"/>
    <w:rsid w:val="00CE0229"/>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119">
    <w:name w:val="xl119"/>
    <w:basedOn w:val="Normal"/>
    <w:rsid w:val="00CE0229"/>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20">
    <w:name w:val="xl120"/>
    <w:basedOn w:val="Normal"/>
    <w:rsid w:val="00CE0229"/>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1">
    <w:name w:val="xl121"/>
    <w:basedOn w:val="Normal"/>
    <w:rsid w:val="00CE0229"/>
    <w:pPr>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2">
    <w:name w:val="xl122"/>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3">
    <w:name w:val="xl123"/>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4">
    <w:name w:val="xl124"/>
    <w:basedOn w:val="Normal"/>
    <w:rsid w:val="00CE022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Armenian" w:eastAsia="Arial Unicode MS" w:hAnsi="Times Armenian" w:cs="Arial Unicode MS"/>
      <w:b/>
      <w:bCs/>
      <w:i/>
      <w:iCs/>
    </w:rPr>
  </w:style>
  <w:style w:type="paragraph" w:customStyle="1" w:styleId="xl125">
    <w:name w:val="xl125"/>
    <w:basedOn w:val="Normal"/>
    <w:rsid w:val="00CE0229"/>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rPr>
  </w:style>
  <w:style w:type="paragraph" w:customStyle="1" w:styleId="xl126">
    <w:name w:val="xl126"/>
    <w:basedOn w:val="Normal"/>
    <w:rsid w:val="00CE0229"/>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7">
    <w:name w:val="xl127"/>
    <w:basedOn w:val="Normal"/>
    <w:rsid w:val="00CE0229"/>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8">
    <w:name w:val="xl128"/>
    <w:basedOn w:val="Normal"/>
    <w:rsid w:val="00CE0229"/>
    <w:pPr>
      <w:pBdr>
        <w:bottom w:val="single" w:sz="4" w:space="0" w:color="auto"/>
        <w:right w:val="single" w:sz="4" w:space="0" w:color="auto"/>
      </w:pBdr>
      <w:spacing w:before="100" w:beforeAutospacing="1" w:after="100" w:afterAutospacing="1"/>
    </w:pPr>
    <w:rPr>
      <w:rFonts w:ascii="Times Armenian" w:eastAsia="Arial Unicode MS" w:hAnsi="Times Armenian" w:cs="Arial Unicode MS"/>
    </w:rPr>
  </w:style>
  <w:style w:type="paragraph" w:customStyle="1" w:styleId="xl129">
    <w:name w:val="xl129"/>
    <w:basedOn w:val="Normal"/>
    <w:rsid w:val="00CE0229"/>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30">
    <w:name w:val="xl130"/>
    <w:basedOn w:val="Normal"/>
    <w:rsid w:val="00CE0229"/>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1">
    <w:name w:val="xl131"/>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2">
    <w:name w:val="xl132"/>
    <w:basedOn w:val="Normal"/>
    <w:rsid w:val="00CE022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3">
    <w:name w:val="xl133"/>
    <w:basedOn w:val="Normal"/>
    <w:rsid w:val="00CE0229"/>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4">
    <w:name w:val="xl134"/>
    <w:basedOn w:val="Normal"/>
    <w:rsid w:val="00CE0229"/>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5">
    <w:name w:val="xl135"/>
    <w:basedOn w:val="Normal"/>
    <w:rsid w:val="00CE0229"/>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rPr>
  </w:style>
  <w:style w:type="paragraph" w:customStyle="1" w:styleId="xl136">
    <w:name w:val="xl136"/>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7">
    <w:name w:val="xl137"/>
    <w:basedOn w:val="Normal"/>
    <w:rsid w:val="00CE0229"/>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xl138">
    <w:name w:val="xl138"/>
    <w:basedOn w:val="Normal"/>
    <w:rsid w:val="00CE0229"/>
    <w:pPr>
      <w:pBdr>
        <w:top w:val="single" w:sz="8" w:space="0" w:color="auto"/>
        <w:left w:val="single" w:sz="4" w:space="0" w:color="auto"/>
        <w:bottom w:val="single" w:sz="4" w:space="0" w:color="auto"/>
        <w:right w:val="single" w:sz="8"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StyleHeading5SideItalic">
    <w:name w:val="Style Heading 5Side + Italic"/>
    <w:basedOn w:val="Heading5"/>
    <w:rsid w:val="00CE0229"/>
    <w:pPr>
      <w:widowControl w:val="0"/>
      <w:tabs>
        <w:tab w:val="left" w:pos="1021"/>
      </w:tabs>
      <w:spacing w:before="0" w:after="120"/>
    </w:pPr>
    <w:rPr>
      <w:rFonts w:ascii="Times Armenian" w:hAnsi="Times Armenian"/>
      <w:sz w:val="20"/>
      <w:szCs w:val="20"/>
      <w:u w:val="single"/>
      <w:lang w:val="en-GB"/>
    </w:rPr>
  </w:style>
  <w:style w:type="character" w:styleId="CommentReference">
    <w:name w:val="annotation reference"/>
    <w:uiPriority w:val="99"/>
    <w:rsid w:val="009E1455"/>
    <w:rPr>
      <w:sz w:val="16"/>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 webb"/>
    <w:basedOn w:val="Normal"/>
    <w:link w:val="NormalWebChar"/>
    <w:uiPriority w:val="99"/>
    <w:qFormat/>
    <w:rsid w:val="009E1455"/>
    <w:pPr>
      <w:spacing w:before="100" w:after="100"/>
    </w:pPr>
    <w:rPr>
      <w:szCs w:val="20"/>
    </w:rPr>
  </w:style>
  <w:style w:type="paragraph" w:customStyle="1" w:styleId="CaptionTableTitle">
    <w:name w:val="Caption.(Table Title)"/>
    <w:basedOn w:val="Normal"/>
    <w:next w:val="Normal"/>
    <w:rsid w:val="009E1455"/>
    <w:pPr>
      <w:keepNext/>
      <w:keepLines/>
      <w:spacing w:before="130" w:after="130"/>
    </w:pPr>
    <w:rPr>
      <w:b/>
      <w:szCs w:val="20"/>
      <w:lang w:val="en-GB"/>
    </w:rPr>
  </w:style>
  <w:style w:type="paragraph" w:styleId="NoSpacing">
    <w:name w:val="No Spacing"/>
    <w:basedOn w:val="Normal"/>
    <w:link w:val="NoSpacingChar"/>
    <w:qFormat/>
    <w:rsid w:val="002E5B73"/>
    <w:pPr>
      <w:spacing w:after="0" w:line="240" w:lineRule="auto"/>
    </w:pPr>
  </w:style>
  <w:style w:type="character" w:customStyle="1" w:styleId="NoSpacingChar">
    <w:name w:val="No Spacing Char"/>
    <w:basedOn w:val="DefaultParagraphFont"/>
    <w:link w:val="NoSpacing"/>
    <w:rsid w:val="002E5B73"/>
  </w:style>
  <w:style w:type="paragraph" w:customStyle="1" w:styleId="StyleHeading2ChapterParanumText10pt">
    <w:name w:val="Style Heading 2(Chapter)ParanumText + 10 pt"/>
    <w:basedOn w:val="Heading2"/>
    <w:rsid w:val="004A6E4A"/>
  </w:style>
  <w:style w:type="paragraph" w:customStyle="1" w:styleId="CharChar">
    <w:name w:val="Char Char"/>
    <w:basedOn w:val="Normal"/>
    <w:rsid w:val="00A9107F"/>
    <w:pPr>
      <w:spacing w:line="240" w:lineRule="exact"/>
    </w:pPr>
    <w:rPr>
      <w:rFonts w:ascii="Arial" w:hAnsi="Arial" w:cs="Arial"/>
      <w:sz w:val="20"/>
      <w:szCs w:val="20"/>
    </w:rPr>
  </w:style>
  <w:style w:type="paragraph" w:customStyle="1" w:styleId="CharCharChar">
    <w:name w:val="Char Char Char"/>
    <w:basedOn w:val="Normal"/>
    <w:rsid w:val="009B2442"/>
    <w:pPr>
      <w:spacing w:line="240" w:lineRule="exact"/>
    </w:pPr>
    <w:rPr>
      <w:rFonts w:ascii="Arial" w:hAnsi="Arial" w:cs="Arial"/>
      <w:sz w:val="20"/>
      <w:szCs w:val="20"/>
    </w:rPr>
  </w:style>
  <w:style w:type="paragraph" w:customStyle="1" w:styleId="BodyText1">
    <w:name w:val="Body Text1"/>
    <w:basedOn w:val="Normal"/>
    <w:rsid w:val="009B2442"/>
    <w:pPr>
      <w:numPr>
        <w:numId w:val="3"/>
      </w:numPr>
      <w:spacing w:after="240"/>
    </w:pPr>
    <w:rPr>
      <w:rFonts w:ascii="Times Armenian" w:hAnsi="Times Armenian"/>
      <w:lang w:eastAsia="ru-RU"/>
    </w:rPr>
  </w:style>
  <w:style w:type="paragraph" w:customStyle="1" w:styleId="Char0">
    <w:name w:val="Char"/>
    <w:basedOn w:val="Normal"/>
    <w:next w:val="Normal"/>
    <w:rsid w:val="003C1BB8"/>
    <w:pPr>
      <w:spacing w:line="240" w:lineRule="exact"/>
    </w:pPr>
    <w:rPr>
      <w:rFonts w:ascii="Tahoma" w:hAnsi="Tahoma"/>
      <w:szCs w:val="20"/>
    </w:rPr>
  </w:style>
  <w:style w:type="table" w:styleId="TableWeb2">
    <w:name w:val="Table Web 2"/>
    <w:basedOn w:val="TableNormal"/>
    <w:rsid w:val="00D861B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D861B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table">
    <w:name w:val="Title_table"/>
    <w:basedOn w:val="Caption"/>
    <w:rsid w:val="008E52F5"/>
    <w:rPr>
      <w:bCs/>
      <w:lang w:eastAsia="ru-RU"/>
    </w:rPr>
  </w:style>
  <w:style w:type="paragraph" w:customStyle="1" w:styleId="ConsNonformat">
    <w:name w:val="ConsNonformat"/>
    <w:rsid w:val="006A5F43"/>
    <w:pPr>
      <w:widowControl w:val="0"/>
      <w:autoSpaceDE w:val="0"/>
      <w:autoSpaceDN w:val="0"/>
      <w:adjustRightInd w:val="0"/>
      <w:spacing w:after="160" w:line="259" w:lineRule="auto"/>
    </w:pPr>
    <w:rPr>
      <w:rFonts w:ascii="Courier New" w:hAnsi="Courier New"/>
      <w:lang w:val="ru-RU"/>
    </w:rPr>
  </w:style>
  <w:style w:type="paragraph" w:customStyle="1" w:styleId="Znak">
    <w:name w:val="Znak"/>
    <w:basedOn w:val="Normal"/>
    <w:rsid w:val="00C21466"/>
    <w:pPr>
      <w:tabs>
        <w:tab w:val="left" w:pos="709"/>
      </w:tabs>
    </w:pPr>
    <w:rPr>
      <w:rFonts w:ascii="Tahoma" w:hAnsi="Tahoma"/>
      <w:lang w:val="pl-PL" w:eastAsia="pl-PL"/>
    </w:rPr>
  </w:style>
  <w:style w:type="character" w:customStyle="1" w:styleId="BodyTextChar">
    <w:name w:val="Body Text Char"/>
    <w:aliases w:val="Body Text (Main text) Char"/>
    <w:uiPriority w:val="99"/>
    <w:rsid w:val="00481CAA"/>
    <w:rPr>
      <w:rFonts w:ascii="Times Armenian" w:hAnsi="Times Armenian"/>
      <w:sz w:val="24"/>
      <w:lang w:val="en-AU" w:eastAsia="en-US" w:bidi="ar-SA"/>
    </w:rPr>
  </w:style>
  <w:style w:type="paragraph" w:customStyle="1" w:styleId="Char7">
    <w:name w:val="Char7"/>
    <w:basedOn w:val="Normal"/>
    <w:rsid w:val="00481CAA"/>
    <w:pPr>
      <w:spacing w:line="240" w:lineRule="exact"/>
    </w:pPr>
    <w:rPr>
      <w:rFonts w:ascii="Arial" w:hAnsi="Arial" w:cs="Arial"/>
      <w:sz w:val="20"/>
      <w:szCs w:val="20"/>
    </w:rPr>
  </w:style>
  <w:style w:type="paragraph" w:customStyle="1" w:styleId="a5">
    <w:name w:val="Знак Знак"/>
    <w:basedOn w:val="Normal"/>
    <w:link w:val="Char1"/>
    <w:rsid w:val="00481CAA"/>
    <w:pPr>
      <w:spacing w:line="240" w:lineRule="exact"/>
    </w:pPr>
    <w:rPr>
      <w:rFonts w:ascii="Arial" w:hAnsi="Arial" w:cs="Arial"/>
      <w:sz w:val="20"/>
      <w:szCs w:val="20"/>
      <w:lang w:val="en-GB"/>
    </w:rPr>
  </w:style>
  <w:style w:type="character" w:customStyle="1" w:styleId="Char1">
    <w:name w:val="Знак Знак Char"/>
    <w:link w:val="a5"/>
    <w:locked/>
    <w:rsid w:val="004E3CFA"/>
    <w:rPr>
      <w:rFonts w:ascii="Arial" w:hAnsi="Arial" w:cs="Arial"/>
      <w:lang w:val="en-GB" w:eastAsia="en-US" w:bidi="ar-SA"/>
    </w:rPr>
  </w:style>
  <w:style w:type="paragraph" w:customStyle="1" w:styleId="CharCharCharCharCharCharCharCharCharCharCharChar">
    <w:name w:val="Char Char Char Char Char Char Char Char Char Char Char Char"/>
    <w:basedOn w:val="Normal"/>
    <w:rsid w:val="00481CAA"/>
    <w:pPr>
      <w:spacing w:line="240" w:lineRule="exact"/>
    </w:pPr>
    <w:rPr>
      <w:rFonts w:ascii="Arial" w:hAnsi="Arial" w:cs="Arial"/>
      <w:sz w:val="20"/>
      <w:szCs w:val="20"/>
    </w:rPr>
  </w:style>
  <w:style w:type="character" w:customStyle="1" w:styleId="ParanumCharChar">
    <w:name w:val="Paranum Char Char"/>
    <w:rsid w:val="005500EA"/>
    <w:rPr>
      <w:rFonts w:ascii="Arial" w:hAnsi="Arial" w:cs="Arial"/>
      <w:b/>
      <w:bCs/>
      <w:i/>
      <w:iCs/>
      <w:sz w:val="28"/>
      <w:szCs w:val="28"/>
      <w:lang w:val="en-US" w:eastAsia="en-US" w:bidi="ar-SA"/>
    </w:rPr>
  </w:style>
  <w:style w:type="character" w:customStyle="1" w:styleId="textinfo1">
    <w:name w:val="textinfo1"/>
    <w:rsid w:val="005500EA"/>
    <w:rPr>
      <w:rFonts w:ascii="Arial AM" w:hAnsi="Arial AM" w:hint="default"/>
      <w:color w:val="000000"/>
      <w:sz w:val="18"/>
      <w:szCs w:val="18"/>
    </w:rPr>
  </w:style>
  <w:style w:type="paragraph" w:customStyle="1" w:styleId="CharCharCharCharCharCharCharChar">
    <w:name w:val="Char Char Char Char Char Char Char Char"/>
    <w:basedOn w:val="Normal"/>
    <w:rsid w:val="005500EA"/>
    <w:pPr>
      <w:spacing w:line="240" w:lineRule="exact"/>
    </w:pPr>
    <w:rPr>
      <w:rFonts w:ascii="Arial" w:hAnsi="Arial" w:cs="Arial"/>
      <w:sz w:val="20"/>
      <w:szCs w:val="20"/>
    </w:rPr>
  </w:style>
  <w:style w:type="paragraph" w:customStyle="1" w:styleId="CharCharCharCharCharCharCharCharCharCharCharCharCharCharChar">
    <w:name w:val="Char Char Char Char Знак Char Знак Char Char Char Char Char Char Char Char Char Char"/>
    <w:basedOn w:val="Normal"/>
    <w:rsid w:val="005500EA"/>
    <w:pPr>
      <w:tabs>
        <w:tab w:val="left" w:pos="709"/>
      </w:tabs>
    </w:pPr>
    <w:rPr>
      <w:rFonts w:ascii="Tahoma" w:hAnsi="Tahoma"/>
      <w:lang w:val="pl-PL" w:eastAsia="pl-PL"/>
    </w:rPr>
  </w:style>
  <w:style w:type="paragraph" w:customStyle="1" w:styleId="Report-Title">
    <w:name w:val="Report-Title"/>
    <w:rsid w:val="005500EA"/>
    <w:pPr>
      <w:spacing w:after="240" w:line="259" w:lineRule="auto"/>
    </w:pPr>
    <w:rPr>
      <w:rFonts w:ascii="Arial" w:eastAsia="MS Mincho" w:hAnsi="Arial" w:cs="Arial"/>
      <w:b/>
      <w:bCs/>
      <w:sz w:val="36"/>
      <w:szCs w:val="36"/>
    </w:rPr>
  </w:style>
  <w:style w:type="paragraph" w:customStyle="1" w:styleId="msonormalcxspmiddle">
    <w:name w:val="msonormalcxspmiddle"/>
    <w:basedOn w:val="Normal"/>
    <w:rsid w:val="005500EA"/>
    <w:pPr>
      <w:spacing w:before="100" w:beforeAutospacing="1" w:after="100" w:afterAutospacing="1"/>
    </w:pPr>
  </w:style>
  <w:style w:type="paragraph" w:customStyle="1" w:styleId="BodyText21">
    <w:name w:val="Body Text 21"/>
    <w:basedOn w:val="Normal"/>
    <w:rsid w:val="005500EA"/>
    <w:pPr>
      <w:overflowPunct w:val="0"/>
      <w:autoSpaceDE w:val="0"/>
      <w:autoSpaceDN w:val="0"/>
      <w:adjustRightInd w:val="0"/>
      <w:spacing w:line="360" w:lineRule="auto"/>
      <w:ind w:firstLine="720"/>
      <w:textAlignment w:val="baseline"/>
    </w:pPr>
    <w:rPr>
      <w:rFonts w:ascii="Times Armenian" w:hAnsi="Times Armenian"/>
    </w:rPr>
  </w:style>
  <w:style w:type="paragraph" w:customStyle="1" w:styleId="a">
    <w:name w:val="Стиль"/>
    <w:rsid w:val="005500EA"/>
    <w:pPr>
      <w:numPr>
        <w:numId w:val="7"/>
      </w:numPr>
      <w:tabs>
        <w:tab w:val="clear" w:pos="360"/>
      </w:tabs>
      <w:spacing w:after="160" w:line="259" w:lineRule="auto"/>
    </w:pPr>
    <w:rPr>
      <w:rFonts w:ascii="Baltica" w:hAnsi="Baltica"/>
      <w:lang w:eastAsia="ru-RU"/>
    </w:rPr>
  </w:style>
  <w:style w:type="paragraph" w:customStyle="1" w:styleId="ConsNormal">
    <w:name w:val="ConsNormal"/>
    <w:rsid w:val="005500EA"/>
    <w:pPr>
      <w:widowControl w:val="0"/>
      <w:autoSpaceDE w:val="0"/>
      <w:autoSpaceDN w:val="0"/>
      <w:adjustRightInd w:val="0"/>
      <w:spacing w:after="160" w:line="259" w:lineRule="auto"/>
      <w:ind w:firstLine="720"/>
    </w:pPr>
    <w:rPr>
      <w:rFonts w:ascii="Arial" w:hAnsi="Arial"/>
      <w:lang w:val="ru-RU"/>
    </w:rPr>
  </w:style>
  <w:style w:type="paragraph" w:customStyle="1" w:styleId="ListDash">
    <w:name w:val="List Dash"/>
    <w:basedOn w:val="Normal"/>
    <w:rsid w:val="005500EA"/>
    <w:pPr>
      <w:numPr>
        <w:numId w:val="5"/>
      </w:numPr>
      <w:spacing w:before="120" w:after="120"/>
    </w:pPr>
    <w:rPr>
      <w:szCs w:val="20"/>
      <w:lang w:val="en-GB"/>
    </w:rPr>
  </w:style>
  <w:style w:type="paragraph" w:customStyle="1" w:styleId="CharCharCharCharCharCharChar">
    <w:name w:val="Char Char Char Char Char Char Char"/>
    <w:basedOn w:val="Normal"/>
    <w:rsid w:val="005500EA"/>
    <w:pPr>
      <w:spacing w:line="240" w:lineRule="exact"/>
    </w:pPr>
    <w:rPr>
      <w:rFonts w:ascii="Arial" w:hAnsi="Arial" w:cs="Arial"/>
      <w:sz w:val="20"/>
      <w:szCs w:val="20"/>
    </w:rPr>
  </w:style>
  <w:style w:type="paragraph" w:customStyle="1" w:styleId="Default">
    <w:name w:val="Default"/>
    <w:link w:val="DefaultChar"/>
    <w:rsid w:val="005500EA"/>
    <w:pPr>
      <w:widowControl w:val="0"/>
      <w:autoSpaceDE w:val="0"/>
      <w:autoSpaceDN w:val="0"/>
      <w:adjustRightInd w:val="0"/>
      <w:spacing w:after="160" w:line="259" w:lineRule="auto"/>
    </w:pPr>
    <w:rPr>
      <w:rFonts w:ascii="Times Armenian" w:hAnsi="Times Armenian" w:cs="Times Armenian"/>
      <w:color w:val="000000"/>
      <w:sz w:val="24"/>
      <w:szCs w:val="24"/>
      <w:lang w:val="ru-RU" w:eastAsia="ru-RU"/>
    </w:rPr>
  </w:style>
  <w:style w:type="paragraph" w:customStyle="1" w:styleId="2ndheading">
    <w:name w:val="2nd heading"/>
    <w:basedOn w:val="Normal"/>
    <w:next w:val="Normal"/>
    <w:rsid w:val="005500EA"/>
    <w:pPr>
      <w:numPr>
        <w:numId w:val="8"/>
      </w:numPr>
      <w:tabs>
        <w:tab w:val="clear" w:pos="643"/>
      </w:tabs>
      <w:ind w:left="0" w:firstLine="0"/>
    </w:pPr>
    <w:rPr>
      <w:rFonts w:ascii="Univers" w:hAnsi="Univers"/>
      <w:bCs/>
      <w:sz w:val="28"/>
      <w:szCs w:val="20"/>
      <w:lang w:val="en-GB"/>
    </w:rPr>
  </w:style>
  <w:style w:type="paragraph" w:styleId="ListBullet2">
    <w:name w:val="List Bullet 2"/>
    <w:basedOn w:val="Normal"/>
    <w:autoRedefine/>
    <w:rsid w:val="005500EA"/>
    <w:pPr>
      <w:numPr>
        <w:numId w:val="6"/>
      </w:numPr>
    </w:pPr>
  </w:style>
  <w:style w:type="paragraph" w:styleId="BodyTextFirstIndent">
    <w:name w:val="Body Text First Indent"/>
    <w:basedOn w:val="BodyText"/>
    <w:link w:val="BodyTextFirstIndentChar2"/>
    <w:rsid w:val="005500EA"/>
    <w:pPr>
      <w:ind w:firstLine="210"/>
    </w:pPr>
    <w:rPr>
      <w:lang w:val="ru-RU" w:eastAsia="ru-RU"/>
    </w:rPr>
  </w:style>
  <w:style w:type="character" w:customStyle="1" w:styleId="BodyTextFirstIndentChar2">
    <w:name w:val="Body Text First Indent Char2"/>
    <w:link w:val="BodyTextFirstIndent"/>
    <w:rsid w:val="005500EA"/>
    <w:rPr>
      <w:sz w:val="24"/>
      <w:szCs w:val="24"/>
      <w:lang w:val="ru-RU" w:eastAsia="ru-RU" w:bidi="ar-SA"/>
    </w:rPr>
  </w:style>
  <w:style w:type="paragraph" w:styleId="CommentSubject">
    <w:name w:val="annotation subject"/>
    <w:basedOn w:val="CommentText"/>
    <w:next w:val="CommentText"/>
    <w:link w:val="CommentSubjectChar2"/>
    <w:uiPriority w:val="99"/>
    <w:rsid w:val="005500EA"/>
    <w:rPr>
      <w:rFonts w:ascii="Courier New" w:hAnsi="Courier New"/>
      <w:b/>
      <w:bCs/>
      <w:lang w:val="en-US" w:eastAsia="en-US"/>
    </w:rPr>
  </w:style>
  <w:style w:type="character" w:customStyle="1" w:styleId="CommentSubjectChar2">
    <w:name w:val="Comment Subject Char2"/>
    <w:link w:val="CommentSubject"/>
    <w:uiPriority w:val="99"/>
    <w:rsid w:val="005500EA"/>
    <w:rPr>
      <w:rFonts w:ascii="Courier New" w:hAnsi="Courier New"/>
      <w:b/>
      <w:bCs/>
      <w:lang w:val="en-US" w:eastAsia="en-US" w:bidi="ar-SA"/>
    </w:rPr>
  </w:style>
  <w:style w:type="table" w:styleId="TableGrid8">
    <w:name w:val="Table Grid 8"/>
    <w:basedOn w:val="TableNormal"/>
    <w:rsid w:val="000540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rsid w:val="000540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LineNumber">
    <w:name w:val="line number"/>
    <w:basedOn w:val="DefaultParagraphFont"/>
    <w:rsid w:val="004A76FF"/>
  </w:style>
  <w:style w:type="paragraph" w:customStyle="1" w:styleId="CharCharCharChar">
    <w:name w:val="Char Char Char Char"/>
    <w:basedOn w:val="Normal"/>
    <w:rsid w:val="004A76FF"/>
    <w:pPr>
      <w:tabs>
        <w:tab w:val="num" w:pos="840"/>
      </w:tabs>
      <w:spacing w:line="240" w:lineRule="exact"/>
      <w:ind w:left="840" w:hanging="360"/>
    </w:pPr>
    <w:rPr>
      <w:rFonts w:ascii="Verdana" w:hAnsi="Verdana"/>
      <w:sz w:val="20"/>
      <w:szCs w:val="20"/>
      <w:lang w:val="ru-RU"/>
    </w:rPr>
  </w:style>
  <w:style w:type="paragraph" w:customStyle="1" w:styleId="6">
    <w:name w:val="Знак Знак6"/>
    <w:basedOn w:val="Normal"/>
    <w:link w:val="Char3"/>
    <w:rsid w:val="008E55EF"/>
    <w:pPr>
      <w:spacing w:line="240" w:lineRule="exact"/>
    </w:pPr>
    <w:rPr>
      <w:rFonts w:ascii="Arial" w:hAnsi="Arial" w:cs="Arial"/>
      <w:sz w:val="20"/>
      <w:szCs w:val="20"/>
      <w:lang w:val="en-GB"/>
    </w:rPr>
  </w:style>
  <w:style w:type="character" w:customStyle="1" w:styleId="Char3">
    <w:name w:val="Знак Знак Char3"/>
    <w:link w:val="6"/>
    <w:rsid w:val="00C35731"/>
    <w:rPr>
      <w:rFonts w:ascii="Arial" w:hAnsi="Arial" w:cs="Arial"/>
      <w:lang w:val="en-GB" w:eastAsia="en-US" w:bidi="ar-SA"/>
    </w:rPr>
  </w:style>
  <w:style w:type="paragraph" w:customStyle="1" w:styleId="a6">
    <w:name w:val="Заголовок таблицы"/>
    <w:basedOn w:val="a7"/>
    <w:rsid w:val="008E55EF"/>
    <w:pPr>
      <w:jc w:val="center"/>
    </w:pPr>
    <w:rPr>
      <w:b/>
    </w:rPr>
  </w:style>
  <w:style w:type="paragraph" w:customStyle="1" w:styleId="a7">
    <w:name w:val="Содержимое таблицы"/>
    <w:basedOn w:val="Normal"/>
    <w:rsid w:val="008E55EF"/>
    <w:pPr>
      <w:suppressLineNumbers/>
      <w:suppressAutoHyphens/>
    </w:pPr>
    <w:rPr>
      <w:szCs w:val="20"/>
    </w:rPr>
  </w:style>
  <w:style w:type="paragraph" w:customStyle="1" w:styleId="norm">
    <w:name w:val="norm"/>
    <w:basedOn w:val="Normal"/>
    <w:link w:val="normChar"/>
    <w:rsid w:val="008E55EF"/>
    <w:pPr>
      <w:spacing w:line="480" w:lineRule="auto"/>
      <w:ind w:firstLine="709"/>
    </w:pPr>
    <w:rPr>
      <w:rFonts w:ascii="Arial Armenian" w:hAnsi="Arial Armenian"/>
      <w:szCs w:val="20"/>
      <w:lang w:eastAsia="ru-RU"/>
    </w:rPr>
  </w:style>
  <w:style w:type="character" w:customStyle="1" w:styleId="normChar">
    <w:name w:val="norm Char"/>
    <w:link w:val="norm"/>
    <w:rsid w:val="008E55EF"/>
    <w:rPr>
      <w:rFonts w:ascii="Arial Armenian" w:hAnsi="Arial Armenian"/>
      <w:sz w:val="22"/>
      <w:lang w:val="en-US" w:eastAsia="ru-RU" w:bidi="ar-SA"/>
    </w:rPr>
  </w:style>
  <w:style w:type="paragraph" w:customStyle="1" w:styleId="a8">
    <w:name w:val="??????? ??????????"/>
    <w:basedOn w:val="a1"/>
    <w:rsid w:val="0029274A"/>
    <w:pPr>
      <w:tabs>
        <w:tab w:val="center" w:pos="4320"/>
        <w:tab w:val="right" w:pos="8640"/>
      </w:tabs>
    </w:pPr>
    <w:rPr>
      <w:rFonts w:ascii="Times Armenian" w:hAnsi="Times Armenian"/>
      <w:sz w:val="24"/>
      <w:lang w:val="en-US"/>
    </w:rPr>
  </w:style>
  <w:style w:type="paragraph" w:customStyle="1" w:styleId="BodyText22">
    <w:name w:val="Body Text 22"/>
    <w:basedOn w:val="Normal"/>
    <w:rsid w:val="0029274A"/>
    <w:pPr>
      <w:overflowPunct w:val="0"/>
      <w:autoSpaceDE w:val="0"/>
      <w:autoSpaceDN w:val="0"/>
      <w:adjustRightInd w:val="0"/>
      <w:textAlignment w:val="baseline"/>
    </w:pPr>
    <w:rPr>
      <w:rFonts w:ascii="Times LatArm" w:hAnsi="Times LatArm"/>
      <w:szCs w:val="20"/>
      <w:lang w:val="en-GB" w:eastAsia="ru-RU"/>
    </w:rPr>
  </w:style>
  <w:style w:type="paragraph" w:styleId="DocumentMap">
    <w:name w:val="Document Map"/>
    <w:basedOn w:val="Normal"/>
    <w:link w:val="DocumentMapChar1"/>
    <w:uiPriority w:val="99"/>
    <w:rsid w:val="0029274A"/>
    <w:pPr>
      <w:shd w:val="clear" w:color="auto" w:fill="000080"/>
      <w:overflowPunct w:val="0"/>
      <w:autoSpaceDE w:val="0"/>
      <w:autoSpaceDN w:val="0"/>
      <w:adjustRightInd w:val="0"/>
      <w:textAlignment w:val="baseline"/>
    </w:pPr>
    <w:rPr>
      <w:rFonts w:ascii="Tahoma" w:hAnsi="Tahoma"/>
      <w:szCs w:val="20"/>
      <w:lang w:val="en-GB" w:eastAsia="ru-RU"/>
    </w:rPr>
  </w:style>
  <w:style w:type="paragraph" w:customStyle="1" w:styleId="CharCharChar0">
    <w:name w:val="Char Char Char Знак Знак"/>
    <w:basedOn w:val="Normal"/>
    <w:rsid w:val="0029274A"/>
    <w:pPr>
      <w:spacing w:line="240" w:lineRule="exact"/>
    </w:pPr>
    <w:rPr>
      <w:rFonts w:ascii="Arial" w:hAnsi="Arial" w:cs="Arial"/>
      <w:sz w:val="20"/>
      <w:szCs w:val="20"/>
    </w:rPr>
  </w:style>
  <w:style w:type="paragraph" w:customStyle="1" w:styleId="CharChar39">
    <w:name w:val="Char Char39"/>
    <w:basedOn w:val="Normal"/>
    <w:rsid w:val="0029274A"/>
    <w:pPr>
      <w:spacing w:line="240" w:lineRule="exact"/>
    </w:pPr>
    <w:rPr>
      <w:rFonts w:ascii="Arial" w:hAnsi="Arial" w:cs="Arial"/>
      <w:sz w:val="20"/>
      <w:szCs w:val="20"/>
    </w:rPr>
  </w:style>
  <w:style w:type="paragraph" w:customStyle="1" w:styleId="CharCharChar3">
    <w:name w:val="Char Char Char3"/>
    <w:basedOn w:val="Normal"/>
    <w:rsid w:val="0029274A"/>
    <w:pPr>
      <w:spacing w:line="240" w:lineRule="exact"/>
    </w:pPr>
    <w:rPr>
      <w:rFonts w:ascii="Arial" w:hAnsi="Arial" w:cs="Arial"/>
      <w:sz w:val="20"/>
      <w:szCs w:val="20"/>
    </w:rPr>
  </w:style>
  <w:style w:type="paragraph" w:customStyle="1" w:styleId="Znak3">
    <w:name w:val="Znak3"/>
    <w:basedOn w:val="Normal"/>
    <w:rsid w:val="0029274A"/>
    <w:pPr>
      <w:tabs>
        <w:tab w:val="left" w:pos="709"/>
      </w:tabs>
    </w:pPr>
    <w:rPr>
      <w:rFonts w:ascii="Tahoma" w:hAnsi="Tahoma"/>
      <w:lang w:val="pl-PL" w:eastAsia="pl-PL"/>
    </w:rPr>
  </w:style>
  <w:style w:type="paragraph" w:customStyle="1" w:styleId="CM31">
    <w:name w:val="CM31"/>
    <w:basedOn w:val="Default"/>
    <w:next w:val="Default"/>
    <w:rsid w:val="00B777C1"/>
    <w:pPr>
      <w:numPr>
        <w:numId w:val="4"/>
      </w:numPr>
      <w:spacing w:after="228"/>
      <w:ind w:left="0" w:firstLine="0"/>
    </w:pPr>
    <w:rPr>
      <w:rFonts w:ascii="Arial-Armenian" w:hAnsi="Arial-Armenian" w:cs="Arial-Armenian"/>
      <w:color w:val="auto"/>
    </w:rPr>
  </w:style>
  <w:style w:type="paragraph" w:customStyle="1" w:styleId="StyleCaptionTimesArmenian11pt">
    <w:name w:val="Style Caption + Times Armenian 11 pt"/>
    <w:basedOn w:val="Caption"/>
    <w:link w:val="StyleCaptionTimesArmenian11ptChar"/>
    <w:rsid w:val="00CC24F0"/>
    <w:pPr>
      <w:overflowPunct w:val="0"/>
      <w:autoSpaceDE w:val="0"/>
      <w:autoSpaceDN w:val="0"/>
      <w:adjustRightInd w:val="0"/>
      <w:spacing w:after="120"/>
      <w:textAlignment w:val="baseline"/>
    </w:pPr>
    <w:rPr>
      <w:rFonts w:ascii="Arial Armenian" w:hAnsi="Arial Armenian"/>
      <w:bCs/>
      <w:sz w:val="26"/>
      <w:szCs w:val="26"/>
    </w:rPr>
  </w:style>
  <w:style w:type="character" w:customStyle="1" w:styleId="StyleCaptionTimesArmenian11ptChar">
    <w:name w:val="Style Caption + Times Armenian 11 pt Char"/>
    <w:link w:val="StyleCaptionTimesArmenian11pt"/>
    <w:rsid w:val="00CC24F0"/>
    <w:rPr>
      <w:rFonts w:ascii="Arial Armenian" w:hAnsi="Arial Armenian"/>
      <w:b/>
      <w:bCs/>
      <w:sz w:val="26"/>
      <w:szCs w:val="26"/>
      <w:lang w:val="en-US" w:eastAsia="en-US" w:bidi="ar-SA"/>
    </w:rPr>
  </w:style>
  <w:style w:type="paragraph" w:customStyle="1" w:styleId="StyleHeading120ptBlue">
    <w:name w:val="Style Heading 1 + 20 pt Blue"/>
    <w:basedOn w:val="Heading1"/>
    <w:rsid w:val="009E53F4"/>
    <w:pPr>
      <w:spacing w:line="360" w:lineRule="auto"/>
      <w:ind w:firstLine="720"/>
      <w:jc w:val="both"/>
    </w:pPr>
    <w:rPr>
      <w:sz w:val="40"/>
      <w:szCs w:val="40"/>
      <w:lang w:val="en-GB"/>
    </w:rPr>
  </w:style>
  <w:style w:type="paragraph" w:customStyle="1" w:styleId="StyleHeading1TimesArmenian10ptNotBoldUnderline1">
    <w:name w:val="Style Heading 1 + Times Armenian 10 pt Not Bold Underline1"/>
    <w:basedOn w:val="Heading1"/>
    <w:autoRedefine/>
    <w:rsid w:val="001505CB"/>
    <w:pPr>
      <w:tabs>
        <w:tab w:val="center" w:pos="-180"/>
        <w:tab w:val="left" w:pos="450"/>
      </w:tabs>
      <w:spacing w:line="360" w:lineRule="auto"/>
      <w:jc w:val="both"/>
    </w:pPr>
    <w:rPr>
      <w:rFonts w:cs="Sylfaen"/>
      <w:b w:val="0"/>
      <w:bCs w:val="0"/>
      <w:szCs w:val="24"/>
    </w:rPr>
  </w:style>
  <w:style w:type="paragraph" w:customStyle="1" w:styleId="CharCharCharCharCharCharCharCharCharChar">
    <w:name w:val="Char Char Char Char Char Char Char Char Char Char"/>
    <w:basedOn w:val="Normal"/>
    <w:rsid w:val="009E53F4"/>
    <w:pPr>
      <w:spacing w:line="240" w:lineRule="exact"/>
    </w:pPr>
    <w:rPr>
      <w:rFonts w:ascii="Arial" w:hAnsi="Arial" w:cs="Arial"/>
      <w:sz w:val="20"/>
      <w:szCs w:val="20"/>
    </w:rPr>
  </w:style>
  <w:style w:type="paragraph" w:customStyle="1" w:styleId="Titlechart">
    <w:name w:val="Title_chart"/>
    <w:basedOn w:val="Caption"/>
    <w:rsid w:val="004F7042"/>
    <w:rPr>
      <w:bCs/>
      <w:lang w:eastAsia="ru-RU"/>
    </w:rPr>
  </w:style>
  <w:style w:type="paragraph" w:customStyle="1" w:styleId="CharCharCharCharCharCharCharCharCharCharCharCharChar">
    <w:name w:val="Char Char Char Char Char Char Char Char Char Char Char Char Char"/>
    <w:basedOn w:val="Normal"/>
    <w:rsid w:val="004F7042"/>
    <w:pPr>
      <w:spacing w:line="240" w:lineRule="exact"/>
    </w:pPr>
    <w:rPr>
      <w:rFonts w:ascii="Arial" w:hAnsi="Arial" w:cs="Arial"/>
      <w:sz w:val="20"/>
      <w:szCs w:val="20"/>
    </w:rPr>
  </w:style>
  <w:style w:type="paragraph" w:customStyle="1" w:styleId="StyleHeading1SectionSectionHeadingText11Chapterhead3">
    <w:name w:val="Style Heading 1(Section)Section Heading(Text)1 1Chapterhead3..."/>
    <w:basedOn w:val="Heading1"/>
    <w:link w:val="StyleHeading1SectionSectionHeadingText11Chapterhead3Char"/>
    <w:autoRedefine/>
    <w:rsid w:val="00FE1A76"/>
    <w:pPr>
      <w:spacing w:before="0" w:after="0" w:line="360" w:lineRule="auto"/>
    </w:pPr>
    <w:rPr>
      <w:b w:val="0"/>
      <w:color w:val="auto"/>
      <w:sz w:val="22"/>
      <w:szCs w:val="22"/>
      <w:lang w:val="es-ES"/>
    </w:rPr>
  </w:style>
  <w:style w:type="character" w:customStyle="1" w:styleId="StyleHeading1SectionSectionHeadingText11Chapterhead3Char">
    <w:name w:val="Style Heading 1(Section)Section Heading(Text)1 1Chapterhead3... Char"/>
    <w:link w:val="StyleHeading1SectionSectionHeadingText11Chapterhead3"/>
    <w:rsid w:val="00FE1A76"/>
    <w:rPr>
      <w:rFonts w:ascii="GHEA Grapalat" w:eastAsia="SimSun" w:hAnsi="GHEA Grapalat"/>
      <w:b/>
      <w:sz w:val="22"/>
      <w:szCs w:val="22"/>
      <w:lang w:val="es-ES"/>
    </w:rPr>
  </w:style>
  <w:style w:type="paragraph" w:customStyle="1" w:styleId="StyleHeading2ChapterParanumTextSylfaen">
    <w:name w:val="Style Heading 2.(Chapter).Paranum.Text + Sylfaen"/>
    <w:basedOn w:val="Heading2ChapterParanumText"/>
    <w:link w:val="StyleHeading2ChapterParanumTextSylfaenChar"/>
    <w:autoRedefine/>
    <w:rsid w:val="000278B1"/>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278B1"/>
    <w:rPr>
      <w:rFonts w:ascii="Sylfaen" w:hAnsi="Sylfaen"/>
      <w:b/>
      <w:bCs/>
      <w:spacing w:val="24"/>
      <w:kern w:val="28"/>
      <w:sz w:val="24"/>
      <w:szCs w:val="24"/>
      <w:lang w:val="it-IT" w:eastAsia="en-US" w:bidi="ar-SA"/>
    </w:rPr>
  </w:style>
  <w:style w:type="paragraph" w:customStyle="1" w:styleId="StyleHeading3Sub-ChapterCenteredtextHeading3CharCharC">
    <w:name w:val="Style Heading 3(Sub-Chapter)Centered(text)Heading 3 Char Char C..."/>
    <w:basedOn w:val="Heading3"/>
    <w:autoRedefine/>
    <w:rsid w:val="004F0A98"/>
    <w:pPr>
      <w:ind w:right="302"/>
    </w:pPr>
    <w:rPr>
      <w:bCs/>
      <w:lang w:val="af-ZA"/>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autoRedefine/>
    <w:rsid w:val="00A57DA1"/>
  </w:style>
  <w:style w:type="character" w:customStyle="1" w:styleId="StyleStyleHeading1SectionSectionHeadingText11Chapterhead3Char">
    <w:name w:val="Style Style Heading 1(Section)Section Heading(Text)1 1Chapterhead3.... Char"/>
    <w:basedOn w:val="StyleHeading1SectionSectionHeadingText11Chapterhead3Char"/>
    <w:link w:val="StyleStyleHeading1SectionSectionHeadingText11Chapterhead3"/>
    <w:rsid w:val="00A57DA1"/>
    <w:rPr>
      <w:rFonts w:ascii="GHEA Grapalat" w:eastAsia="SimSun" w:hAnsi="GHEA Grapalat"/>
      <w:b/>
      <w:sz w:val="22"/>
      <w:szCs w:val="22"/>
      <w:lang w:val="es-ES"/>
    </w:rPr>
  </w:style>
  <w:style w:type="paragraph" w:customStyle="1" w:styleId="211">
    <w:name w:val="???????? ????? 21"/>
    <w:basedOn w:val="2"/>
    <w:rsid w:val="009E5A59"/>
    <w:pPr>
      <w:jc w:val="center"/>
    </w:pPr>
    <w:rPr>
      <w:b/>
      <w:sz w:val="28"/>
    </w:rPr>
  </w:style>
  <w:style w:type="paragraph" w:customStyle="1" w:styleId="14">
    <w:name w:val="Абзац списка1"/>
    <w:basedOn w:val="Normal"/>
    <w:qFormat/>
    <w:rsid w:val="00C35731"/>
    <w:pPr>
      <w:spacing w:after="200" w:line="276" w:lineRule="auto"/>
      <w:ind w:left="720"/>
      <w:contextualSpacing/>
    </w:pPr>
    <w:rPr>
      <w:lang w:val="ru-RU" w:eastAsia="ru-RU"/>
    </w:rPr>
  </w:style>
  <w:style w:type="character" w:customStyle="1" w:styleId="apple-style-span">
    <w:name w:val="apple-style-span"/>
    <w:basedOn w:val="DefaultParagraphFont"/>
    <w:rsid w:val="00C35731"/>
  </w:style>
  <w:style w:type="paragraph" w:customStyle="1" w:styleId="mechtex">
    <w:name w:val="mechtex"/>
    <w:basedOn w:val="Normal"/>
    <w:link w:val="mechtexChar"/>
    <w:uiPriority w:val="99"/>
    <w:rsid w:val="00C35731"/>
    <w:pPr>
      <w:jc w:val="center"/>
    </w:pPr>
  </w:style>
  <w:style w:type="character" w:customStyle="1" w:styleId="mechtexChar">
    <w:name w:val="mechtex Char"/>
    <w:link w:val="mechtex"/>
    <w:uiPriority w:val="99"/>
    <w:locked/>
    <w:rsid w:val="00C35731"/>
    <w:rPr>
      <w:sz w:val="22"/>
      <w:szCs w:val="24"/>
      <w:lang w:val="en-US" w:eastAsia="en-US" w:bidi="ar-SA"/>
    </w:rPr>
  </w:style>
  <w:style w:type="paragraph" w:customStyle="1" w:styleId="Style15">
    <w:name w:val="Style1.5"/>
    <w:basedOn w:val="Normal"/>
    <w:rsid w:val="00C35731"/>
    <w:pPr>
      <w:spacing w:line="360" w:lineRule="auto"/>
      <w:ind w:firstLine="709"/>
    </w:pPr>
    <w:rPr>
      <w:rFonts w:ascii="Arial Armenian" w:hAnsi="Arial Armenian"/>
    </w:rPr>
  </w:style>
  <w:style w:type="paragraph" w:customStyle="1" w:styleId="russtyle">
    <w:name w:val="russtyle"/>
    <w:basedOn w:val="Normal"/>
    <w:rsid w:val="00C35731"/>
    <w:rPr>
      <w:rFonts w:ascii="Russian Baltica" w:hAnsi="Russian Baltica"/>
    </w:rPr>
  </w:style>
  <w:style w:type="paragraph" w:customStyle="1" w:styleId="Style2">
    <w:name w:val="Style2"/>
    <w:basedOn w:val="mechtex"/>
    <w:rsid w:val="00C35731"/>
    <w:rPr>
      <w:w w:val="90"/>
    </w:rPr>
  </w:style>
  <w:style w:type="paragraph" w:customStyle="1" w:styleId="Style3">
    <w:name w:val="Style3"/>
    <w:basedOn w:val="mechtex"/>
    <w:rsid w:val="00C35731"/>
    <w:rPr>
      <w:w w:val="90"/>
    </w:rPr>
  </w:style>
  <w:style w:type="paragraph" w:customStyle="1" w:styleId="Style6">
    <w:name w:val="Style6"/>
    <w:basedOn w:val="mechtex"/>
    <w:rsid w:val="00C35731"/>
  </w:style>
  <w:style w:type="paragraph" w:customStyle="1" w:styleId="1CharChar">
    <w:name w:val="Знак Знак1 Char Char Знак Знак"/>
    <w:basedOn w:val="Normal"/>
    <w:rsid w:val="00C35731"/>
    <w:pPr>
      <w:tabs>
        <w:tab w:val="num" w:pos="840"/>
      </w:tabs>
      <w:spacing w:line="240" w:lineRule="exact"/>
      <w:ind w:left="840" w:hanging="360"/>
    </w:pPr>
    <w:rPr>
      <w:rFonts w:ascii="Verdana" w:hAnsi="Verdana"/>
      <w:sz w:val="20"/>
      <w:szCs w:val="20"/>
      <w:lang w:val="ru-RU"/>
    </w:rPr>
  </w:style>
  <w:style w:type="paragraph" w:customStyle="1" w:styleId="CharCharCharChar0">
    <w:name w:val="Знак Знак Char Char Знак Знак Char Char Знак Знак"/>
    <w:basedOn w:val="Normal"/>
    <w:autoRedefine/>
    <w:rsid w:val="00C35731"/>
    <w:pPr>
      <w:spacing w:line="240" w:lineRule="exact"/>
    </w:pPr>
    <w:rPr>
      <w:sz w:val="28"/>
      <w:szCs w:val="20"/>
    </w:rPr>
  </w:style>
  <w:style w:type="paragraph" w:customStyle="1" w:styleId="CharCharCharCharCharCharCharCharCharCharCharCharChar3">
    <w:name w:val="Char Char Char Char Char Char Char Char Char Char Char Char Char3"/>
    <w:basedOn w:val="Normal"/>
    <w:rsid w:val="00C35731"/>
    <w:pPr>
      <w:spacing w:line="240" w:lineRule="exact"/>
    </w:pPr>
    <w:rPr>
      <w:rFonts w:ascii="Arial" w:hAnsi="Arial" w:cs="Arial"/>
      <w:sz w:val="20"/>
      <w:szCs w:val="20"/>
    </w:rPr>
  </w:style>
  <w:style w:type="paragraph" w:customStyle="1" w:styleId="15">
    <w:name w:val="Обычный1"/>
    <w:rsid w:val="00C35731"/>
    <w:pPr>
      <w:autoSpaceDE w:val="0"/>
      <w:autoSpaceDN w:val="0"/>
      <w:spacing w:after="160" w:line="259" w:lineRule="auto"/>
    </w:pPr>
    <w:rPr>
      <w:lang w:val="ru-RU" w:eastAsia="ru-RU"/>
    </w:rPr>
  </w:style>
  <w:style w:type="paragraph" w:customStyle="1" w:styleId="Char2">
    <w:name w:val="Знак Знак Знак Знак Знак Знак Знак Знак Знак Знак Знак Знак Знак Знак Знак Знак Знак Знак Char Знак Знак"/>
    <w:basedOn w:val="Normal"/>
    <w:autoRedefine/>
    <w:rsid w:val="00C35731"/>
    <w:pPr>
      <w:spacing w:line="240" w:lineRule="exact"/>
    </w:pPr>
    <w:rPr>
      <w:sz w:val="28"/>
      <w:szCs w:val="20"/>
    </w:rPr>
  </w:style>
  <w:style w:type="paragraph" w:customStyle="1" w:styleId="TitlePageHeader">
    <w:name w:val="TitlePage_Header"/>
    <w:basedOn w:val="Normal"/>
    <w:rsid w:val="00C35731"/>
    <w:pPr>
      <w:spacing w:before="240" w:after="240" w:line="288" w:lineRule="auto"/>
      <w:ind w:left="3240"/>
    </w:pPr>
    <w:rPr>
      <w:rFonts w:ascii="Verdana" w:hAnsi="Verdana"/>
      <w:b/>
      <w:sz w:val="32"/>
      <w:szCs w:val="20"/>
      <w:lang w:eastAsia="fr-FR"/>
    </w:rPr>
  </w:style>
  <w:style w:type="character" w:customStyle="1" w:styleId="t101">
    <w:name w:val="t101"/>
    <w:rsid w:val="00C35731"/>
    <w:rPr>
      <w:b/>
      <w:bCs/>
      <w:color w:val="0000FF"/>
    </w:rPr>
  </w:style>
  <w:style w:type="paragraph" w:customStyle="1" w:styleId="Char30">
    <w:name w:val="Знак Знак Знак Знак Знак Знак Знак Знак Знак Знак Знак Знак Знак Знак Знак Знак Знак Знак Char Знак Знак3"/>
    <w:basedOn w:val="Normal"/>
    <w:autoRedefine/>
    <w:rsid w:val="00C35731"/>
    <w:pPr>
      <w:spacing w:line="240" w:lineRule="exact"/>
    </w:pPr>
    <w:rPr>
      <w:sz w:val="28"/>
      <w:szCs w:val="20"/>
    </w:rPr>
  </w:style>
  <w:style w:type="paragraph" w:customStyle="1" w:styleId="Char1CharCharCharCharCharCharCharCharCharCharCharChar">
    <w:name w:val="Char1 Char Char Char Char Char Char Char Char Char Char Char Char"/>
    <w:basedOn w:val="Normal"/>
    <w:rsid w:val="00C35731"/>
    <w:pPr>
      <w:widowControl w:val="0"/>
      <w:autoSpaceDE w:val="0"/>
      <w:autoSpaceDN w:val="0"/>
      <w:adjustRightInd w:val="0"/>
      <w:spacing w:line="240" w:lineRule="exact"/>
    </w:pPr>
    <w:rPr>
      <w:rFonts w:ascii="Arial" w:eastAsia="MS Mincho" w:hAnsi="Arial" w:cs="Arial"/>
      <w:sz w:val="20"/>
      <w:szCs w:val="20"/>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C35731"/>
    <w:pPr>
      <w:spacing w:line="240" w:lineRule="exact"/>
    </w:pPr>
    <w:rPr>
      <w:rFonts w:ascii="Arial" w:hAnsi="Arial" w:cs="Arial"/>
      <w:sz w:val="20"/>
      <w:szCs w:val="20"/>
    </w:rPr>
  </w:style>
  <w:style w:type="paragraph" w:customStyle="1" w:styleId="Style4">
    <w:name w:val="Style 4"/>
    <w:basedOn w:val="Normal"/>
    <w:rsid w:val="00C35731"/>
    <w:pPr>
      <w:numPr>
        <w:numId w:val="2"/>
      </w:numPr>
      <w:spacing w:after="240" w:line="240" w:lineRule="atLeast"/>
    </w:pPr>
    <w:rPr>
      <w:rFonts w:ascii="Garamond" w:hAnsi="Garamond"/>
      <w:szCs w:val="20"/>
    </w:rPr>
  </w:style>
  <w:style w:type="paragraph" w:customStyle="1" w:styleId="NormalWeb1">
    <w:name w:val="Normal (Web)1"/>
    <w:basedOn w:val="Normal"/>
    <w:rsid w:val="00C35731"/>
    <w:pPr>
      <w:spacing w:before="100" w:beforeAutospacing="1" w:after="100" w:afterAutospacing="1"/>
    </w:pPr>
    <w:rPr>
      <w:lang w:val="ru-RU" w:eastAsia="ru-RU"/>
    </w:rPr>
  </w:style>
  <w:style w:type="paragraph" w:customStyle="1" w:styleId="CharCharChar1">
    <w:name w:val="Char Char Char Знак"/>
    <w:basedOn w:val="Normal"/>
    <w:next w:val="Normal"/>
    <w:rsid w:val="00C35731"/>
    <w:pPr>
      <w:spacing w:line="240" w:lineRule="exact"/>
    </w:pPr>
    <w:rPr>
      <w:rFonts w:ascii="Tahoma" w:hAnsi="Tahoma"/>
      <w:szCs w:val="20"/>
    </w:rPr>
  </w:style>
  <w:style w:type="paragraph" w:customStyle="1" w:styleId="CharCharChar1Char">
    <w:name w:val="Char Char Char1 Char"/>
    <w:basedOn w:val="Normal"/>
    <w:rsid w:val="00C35731"/>
    <w:pPr>
      <w:spacing w:line="240" w:lineRule="exact"/>
    </w:pPr>
    <w:rPr>
      <w:rFonts w:ascii="Arial" w:hAnsi="Arial" w:cs="Arial"/>
      <w:sz w:val="20"/>
      <w:szCs w:val="20"/>
    </w:rPr>
  </w:style>
  <w:style w:type="paragraph" w:customStyle="1" w:styleId="CharCharChar30">
    <w:name w:val="Char Char Char Знак3"/>
    <w:basedOn w:val="Normal"/>
    <w:next w:val="Normal"/>
    <w:rsid w:val="00C35731"/>
    <w:pPr>
      <w:spacing w:line="240" w:lineRule="exact"/>
    </w:pPr>
    <w:rPr>
      <w:rFonts w:ascii="Tahoma" w:hAnsi="Tahoma"/>
      <w:szCs w:val="20"/>
    </w:rPr>
  </w:style>
  <w:style w:type="paragraph" w:customStyle="1" w:styleId="16">
    <w:name w:val="Знак Знак1"/>
    <w:basedOn w:val="Normal"/>
    <w:rsid w:val="00C35731"/>
    <w:pPr>
      <w:spacing w:line="240" w:lineRule="exact"/>
    </w:pPr>
    <w:rPr>
      <w:rFonts w:ascii="Arial" w:eastAsia="MS Mincho" w:hAnsi="Arial" w:cs="Arial"/>
      <w:sz w:val="20"/>
      <w:szCs w:val="20"/>
    </w:rPr>
  </w:style>
  <w:style w:type="paragraph" w:customStyle="1" w:styleId="Graphic">
    <w:name w:val="Graphic"/>
    <w:basedOn w:val="Heading2"/>
    <w:rsid w:val="00CE3E93"/>
    <w:pPr>
      <w:spacing w:after="130"/>
      <w:outlineLvl w:val="9"/>
    </w:pPr>
    <w:rPr>
      <w:rFonts w:ascii="Times New Roman" w:hAnsi="Times New Roman"/>
      <w:bCs w:val="0"/>
      <w:iCs/>
      <w:sz w:val="22"/>
      <w:szCs w:val="22"/>
      <w:lang w:val="en-GB"/>
    </w:rPr>
  </w:style>
  <w:style w:type="paragraph" w:styleId="ListContinue2">
    <w:name w:val="List Continue 2"/>
    <w:basedOn w:val="Normal"/>
    <w:rsid w:val="00CE3E93"/>
    <w:pPr>
      <w:spacing w:after="120"/>
      <w:ind w:left="720"/>
    </w:pPr>
  </w:style>
  <w:style w:type="paragraph" w:customStyle="1" w:styleId="GlossaryHeader">
    <w:name w:val="Glossary Header"/>
    <w:next w:val="Normal"/>
    <w:rsid w:val="00CE3E93"/>
    <w:pPr>
      <w:pageBreakBefore/>
      <w:overflowPunct w:val="0"/>
      <w:autoSpaceDE w:val="0"/>
      <w:autoSpaceDN w:val="0"/>
      <w:adjustRightInd w:val="0"/>
      <w:spacing w:after="160" w:line="259" w:lineRule="auto"/>
      <w:textAlignment w:val="baseline"/>
    </w:pPr>
    <w:rPr>
      <w:noProof/>
      <w:sz w:val="36"/>
      <w:lang w:val="en-GB"/>
    </w:rPr>
  </w:style>
  <w:style w:type="paragraph" w:customStyle="1" w:styleId="font5">
    <w:name w:val="font5"/>
    <w:basedOn w:val="Normal"/>
    <w:rsid w:val="00CE3E93"/>
    <w:pPr>
      <w:spacing w:before="100" w:beforeAutospacing="1" w:after="100" w:afterAutospacing="1"/>
    </w:pPr>
    <w:rPr>
      <w:rFonts w:ascii="Times Armenian" w:hAnsi="Times Armenian"/>
      <w:color w:val="000000"/>
      <w:sz w:val="16"/>
      <w:szCs w:val="16"/>
    </w:rPr>
  </w:style>
  <w:style w:type="paragraph" w:customStyle="1" w:styleId="font6">
    <w:name w:val="font6"/>
    <w:basedOn w:val="Normal"/>
    <w:rsid w:val="00CE3E93"/>
    <w:pPr>
      <w:spacing w:before="100" w:beforeAutospacing="1" w:after="100" w:afterAutospacing="1"/>
    </w:pPr>
    <w:rPr>
      <w:rFonts w:ascii="Times Armenian" w:hAnsi="Times Armenian"/>
      <w:b/>
      <w:bCs/>
      <w:color w:val="000000"/>
      <w:sz w:val="16"/>
      <w:szCs w:val="16"/>
    </w:rPr>
  </w:style>
  <w:style w:type="paragraph" w:customStyle="1" w:styleId="font7">
    <w:name w:val="font7"/>
    <w:basedOn w:val="Normal"/>
    <w:rsid w:val="00CE3E93"/>
    <w:pPr>
      <w:spacing w:before="100" w:beforeAutospacing="1" w:after="100" w:afterAutospacing="1"/>
    </w:pPr>
    <w:rPr>
      <w:rFonts w:ascii="Times Armenian" w:hAnsi="Times Armenian"/>
      <w:color w:val="000000"/>
      <w:sz w:val="20"/>
      <w:szCs w:val="20"/>
    </w:rPr>
  </w:style>
  <w:style w:type="paragraph" w:customStyle="1" w:styleId="font8">
    <w:name w:val="font8"/>
    <w:basedOn w:val="Normal"/>
    <w:rsid w:val="00CE3E93"/>
    <w:pPr>
      <w:spacing w:before="100" w:beforeAutospacing="1" w:after="100" w:afterAutospacing="1"/>
    </w:pPr>
    <w:rPr>
      <w:rFonts w:ascii="Times Armenian" w:hAnsi="Times Armenian"/>
      <w:color w:val="000000"/>
      <w:sz w:val="16"/>
      <w:szCs w:val="16"/>
    </w:rPr>
  </w:style>
  <w:style w:type="paragraph" w:customStyle="1" w:styleId="font9">
    <w:name w:val="font9"/>
    <w:basedOn w:val="Normal"/>
    <w:rsid w:val="00CE3E93"/>
    <w:pPr>
      <w:spacing w:before="100" w:beforeAutospacing="1" w:after="100" w:afterAutospacing="1"/>
    </w:pPr>
    <w:rPr>
      <w:rFonts w:ascii="Times Armenian" w:hAnsi="Times Armenian"/>
      <w:color w:val="000000"/>
    </w:rPr>
  </w:style>
  <w:style w:type="paragraph" w:customStyle="1" w:styleId="font10">
    <w:name w:val="font10"/>
    <w:basedOn w:val="Normal"/>
    <w:rsid w:val="00CE3E93"/>
    <w:pPr>
      <w:spacing w:before="100" w:beforeAutospacing="1" w:after="100" w:afterAutospacing="1"/>
    </w:pPr>
    <w:rPr>
      <w:rFonts w:ascii="Times Armenian" w:hAnsi="Times Armenian"/>
      <w:b/>
      <w:bCs/>
      <w:color w:val="000000"/>
      <w:sz w:val="16"/>
      <w:szCs w:val="16"/>
    </w:rPr>
  </w:style>
  <w:style w:type="paragraph" w:customStyle="1" w:styleId="xl139">
    <w:name w:val="xl139"/>
    <w:basedOn w:val="Normal"/>
    <w:rsid w:val="00CE3E93"/>
    <w:pPr>
      <w:pBdr>
        <w:lef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0">
    <w:name w:val="xl140"/>
    <w:basedOn w:val="Normal"/>
    <w:rsid w:val="00CE3E93"/>
    <w:pPr>
      <w:pBdr>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1">
    <w:name w:val="xl141"/>
    <w:basedOn w:val="Normal"/>
    <w:rsid w:val="00CE3E93"/>
    <w:pPr>
      <w:pBdr>
        <w:left w:val="single" w:sz="8" w:space="0" w:color="auto"/>
        <w:bottom w:val="single" w:sz="8" w:space="0" w:color="auto"/>
        <w:right w:val="single" w:sz="8" w:space="0" w:color="auto"/>
      </w:pBdr>
      <w:spacing w:before="100" w:beforeAutospacing="1" w:after="100" w:afterAutospacing="1"/>
      <w:textAlignment w:val="center"/>
    </w:pPr>
    <w:rPr>
      <w:rFonts w:ascii="Times Armenian" w:hAnsi="Times Armenian"/>
      <w:sz w:val="16"/>
      <w:szCs w:val="16"/>
    </w:rPr>
  </w:style>
  <w:style w:type="paragraph" w:customStyle="1" w:styleId="xl142">
    <w:name w:val="xl142"/>
    <w:basedOn w:val="Normal"/>
    <w:rsid w:val="00CE3E9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3">
    <w:name w:val="xl143"/>
    <w:basedOn w:val="Normal"/>
    <w:rsid w:val="00CE3E93"/>
    <w:pPr>
      <w:pBdr>
        <w:left w:val="single" w:sz="8" w:space="0" w:color="auto"/>
        <w:bottom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4">
    <w:name w:val="xl144"/>
    <w:basedOn w:val="Normal"/>
    <w:rsid w:val="00CE3E93"/>
    <w:pPr>
      <w:pBdr>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5">
    <w:name w:val="xl145"/>
    <w:basedOn w:val="Normal"/>
    <w:rsid w:val="00CE3E93"/>
    <w:pPr>
      <w:pBdr>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6">
    <w:name w:val="xl146"/>
    <w:basedOn w:val="Normal"/>
    <w:rsid w:val="00CE3E93"/>
    <w:pPr>
      <w:pBdr>
        <w:left w:val="single" w:sz="8" w:space="0" w:color="auto"/>
        <w:bottom w:val="single" w:sz="8" w:space="0" w:color="auto"/>
      </w:pBdr>
      <w:spacing w:before="100" w:beforeAutospacing="1" w:after="100" w:afterAutospacing="1"/>
      <w:textAlignment w:val="center"/>
    </w:pPr>
    <w:rPr>
      <w:rFonts w:ascii="Times Armenian" w:hAnsi="Times Armenian"/>
      <w:b/>
      <w:bCs/>
      <w:sz w:val="16"/>
      <w:szCs w:val="16"/>
    </w:rPr>
  </w:style>
  <w:style w:type="paragraph" w:customStyle="1" w:styleId="xl147">
    <w:name w:val="xl147"/>
    <w:basedOn w:val="Normal"/>
    <w:rsid w:val="00CE3E93"/>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8">
    <w:name w:val="xl148"/>
    <w:basedOn w:val="Normal"/>
    <w:rsid w:val="00CE3E93"/>
    <w:pPr>
      <w:pBdr>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9">
    <w:name w:val="xl149"/>
    <w:basedOn w:val="Normal"/>
    <w:rsid w:val="00CE3E93"/>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0">
    <w:name w:val="xl150"/>
    <w:basedOn w:val="Normal"/>
    <w:rsid w:val="00CE3E93"/>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1">
    <w:name w:val="xl151"/>
    <w:basedOn w:val="Normal"/>
    <w:rsid w:val="00CE3E93"/>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2">
    <w:name w:val="xl152"/>
    <w:basedOn w:val="Normal"/>
    <w:rsid w:val="00CE3E93"/>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3">
    <w:name w:val="xl153"/>
    <w:basedOn w:val="Normal"/>
    <w:rsid w:val="00CE3E93"/>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4">
    <w:name w:val="xl154"/>
    <w:basedOn w:val="Normal"/>
    <w:rsid w:val="00CE3E93"/>
    <w:pPr>
      <w:spacing w:before="100" w:beforeAutospacing="1" w:after="100" w:afterAutospacing="1"/>
      <w:jc w:val="center"/>
      <w:textAlignment w:val="center"/>
    </w:pPr>
  </w:style>
  <w:style w:type="paragraph" w:customStyle="1" w:styleId="xl155">
    <w:name w:val="xl155"/>
    <w:basedOn w:val="Normal"/>
    <w:rsid w:val="00CE3E93"/>
    <w:pPr>
      <w:spacing w:before="100" w:beforeAutospacing="1" w:after="100" w:afterAutospacing="1"/>
      <w:textAlignment w:val="center"/>
    </w:pPr>
    <w:rPr>
      <w:rFonts w:ascii="Times Armenian" w:hAnsi="Times Armenian"/>
      <w:b/>
      <w:bCs/>
      <w:sz w:val="18"/>
      <w:szCs w:val="18"/>
    </w:rPr>
  </w:style>
  <w:style w:type="paragraph" w:customStyle="1" w:styleId="xl156">
    <w:name w:val="xl156"/>
    <w:basedOn w:val="Normal"/>
    <w:rsid w:val="00CE3E93"/>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7">
    <w:name w:val="xl157"/>
    <w:basedOn w:val="Normal"/>
    <w:rsid w:val="00CE3E93"/>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8">
    <w:name w:val="xl158"/>
    <w:basedOn w:val="Normal"/>
    <w:rsid w:val="00CE3E93"/>
    <w:pPr>
      <w:pBdr>
        <w:top w:val="double" w:sz="6"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59">
    <w:name w:val="xl159"/>
    <w:basedOn w:val="Normal"/>
    <w:rsid w:val="00CE3E93"/>
    <w:pPr>
      <w:pBdr>
        <w:left w:val="single" w:sz="8" w:space="0" w:color="auto"/>
        <w:bottom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0">
    <w:name w:val="xl160"/>
    <w:basedOn w:val="Normal"/>
    <w:rsid w:val="00CE3E93"/>
    <w:pPr>
      <w:pBdr>
        <w:top w:val="single" w:sz="8"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1">
    <w:name w:val="xl161"/>
    <w:basedOn w:val="Normal"/>
    <w:rsid w:val="00CE3E93"/>
    <w:pPr>
      <w:spacing w:before="100" w:beforeAutospacing="1" w:after="100" w:afterAutospacing="1"/>
      <w:textAlignment w:val="center"/>
    </w:pPr>
    <w:rPr>
      <w:rFonts w:ascii="Times Armenian" w:hAnsi="Times Armenian"/>
      <w:b/>
      <w:bCs/>
      <w:sz w:val="18"/>
      <w:szCs w:val="18"/>
      <w:u w:val="single"/>
    </w:rPr>
  </w:style>
  <w:style w:type="paragraph" w:customStyle="1" w:styleId="xl23">
    <w:name w:val="xl23"/>
    <w:basedOn w:val="Normal"/>
    <w:rsid w:val="00CE3E93"/>
    <w:pPr>
      <w:spacing w:before="100" w:beforeAutospacing="1" w:after="100" w:afterAutospacing="1"/>
      <w:jc w:val="center"/>
      <w:textAlignment w:val="center"/>
    </w:pPr>
    <w:rPr>
      <w:rFonts w:ascii="Times Armenian" w:hAnsi="Times Armenian"/>
    </w:rPr>
  </w:style>
  <w:style w:type="paragraph" w:customStyle="1" w:styleId="StyleBodyTextArialAMChar">
    <w:name w:val="Style Body Text + Arial AM Char"/>
    <w:basedOn w:val="BodyText"/>
    <w:rsid w:val="00CE3E93"/>
    <w:pPr>
      <w:spacing w:after="240"/>
    </w:pPr>
    <w:rPr>
      <w:rFonts w:ascii="Arial AM" w:hAnsi="Arial AM"/>
      <w:spacing w:val="-5"/>
      <w:szCs w:val="20"/>
      <w:lang w:val="en-GB"/>
    </w:rPr>
  </w:style>
  <w:style w:type="character" w:customStyle="1" w:styleId="FooterChar">
    <w:name w:val="Footer Char"/>
    <w:uiPriority w:val="99"/>
    <w:rsid w:val="00CE3E93"/>
    <w:rPr>
      <w:sz w:val="24"/>
      <w:szCs w:val="24"/>
    </w:rPr>
  </w:style>
  <w:style w:type="paragraph" w:customStyle="1" w:styleId="CharCharCharCharChar">
    <w:name w:val="Char Char Char Char Char Знак Знак"/>
    <w:basedOn w:val="Normal"/>
    <w:rsid w:val="00CE3E93"/>
    <w:pPr>
      <w:spacing w:line="240" w:lineRule="exact"/>
    </w:pPr>
    <w:rPr>
      <w:rFonts w:ascii="Arial" w:hAnsi="Arial" w:cs="Arial"/>
      <w:sz w:val="20"/>
      <w:szCs w:val="20"/>
    </w:rPr>
  </w:style>
  <w:style w:type="paragraph" w:customStyle="1" w:styleId="CharChar1CharCharChar1Char">
    <w:name w:val="Char Char1 Char Char Char1 Char"/>
    <w:basedOn w:val="Normal"/>
    <w:autoRedefine/>
    <w:rsid w:val="00CE3E93"/>
    <w:rPr>
      <w:rFonts w:eastAsia="SimSun"/>
      <w:sz w:val="20"/>
      <w:szCs w:val="20"/>
      <w:lang w:eastAsia="ru-RU"/>
    </w:rPr>
  </w:style>
  <w:style w:type="character" w:styleId="Emphasis">
    <w:name w:val="Emphasis"/>
    <w:qFormat/>
    <w:rsid w:val="002E5B73"/>
    <w:rPr>
      <w:b/>
      <w:bCs/>
      <w:i/>
      <w:iCs/>
      <w:spacing w:val="10"/>
      <w:bdr w:val="none" w:sz="0" w:space="0" w:color="auto"/>
      <w:shd w:val="clear" w:color="auto" w:fill="auto"/>
    </w:rPr>
  </w:style>
  <w:style w:type="paragraph" w:customStyle="1" w:styleId="4">
    <w:name w:val="Знак Знак4"/>
    <w:basedOn w:val="Normal"/>
    <w:rsid w:val="00CE3E93"/>
    <w:pPr>
      <w:tabs>
        <w:tab w:val="left" w:pos="709"/>
      </w:tabs>
    </w:pPr>
    <w:rPr>
      <w:rFonts w:ascii="Tahoma" w:hAnsi="Tahoma"/>
      <w:lang w:val="pl-PL" w:eastAsia="pl-PL"/>
    </w:rPr>
  </w:style>
  <w:style w:type="paragraph" w:customStyle="1" w:styleId="CharCharCharCharCharChar1CharCharCharCharCharCharCharCharChar">
    <w:name w:val="Char Char Char Char Char Char1 Char Char Char Char Char Char Char Char Char Знак Знак"/>
    <w:basedOn w:val="Normal"/>
    <w:rsid w:val="00011E91"/>
    <w:pPr>
      <w:spacing w:line="240" w:lineRule="exact"/>
    </w:pPr>
    <w:rPr>
      <w:rFonts w:ascii="Arial" w:hAnsi="Arial" w:cs="Arial"/>
      <w:sz w:val="20"/>
      <w:szCs w:val="20"/>
    </w:rPr>
  </w:style>
  <w:style w:type="character" w:customStyle="1" w:styleId="BodyTextFirstIndentChar">
    <w:name w:val="Body Text First Indent Char"/>
    <w:rsid w:val="00011E91"/>
    <w:rPr>
      <w:rFonts w:ascii="Times Armenian" w:hAnsi="Times Armenian"/>
      <w:sz w:val="24"/>
      <w:szCs w:val="24"/>
      <w:lang w:val="ru-RU" w:eastAsia="ru-RU" w:bidi="ar-SA"/>
    </w:rPr>
  </w:style>
  <w:style w:type="character" w:customStyle="1" w:styleId="CommentSubjectChar">
    <w:name w:val="Comment Subject Char"/>
    <w:uiPriority w:val="99"/>
    <w:rsid w:val="00011E91"/>
    <w:rPr>
      <w:rFonts w:ascii="Courier New" w:hAnsi="Courier New"/>
      <w:b/>
      <w:bCs/>
      <w:sz w:val="24"/>
      <w:szCs w:val="24"/>
      <w:lang w:val="en-US" w:eastAsia="en-US" w:bidi="ar-SA"/>
    </w:rPr>
  </w:style>
  <w:style w:type="paragraph" w:customStyle="1" w:styleId="Char4">
    <w:name w:val="Знак Char Знак"/>
    <w:basedOn w:val="Normal"/>
    <w:rsid w:val="00011E91"/>
    <w:pPr>
      <w:spacing w:line="240" w:lineRule="exact"/>
    </w:pPr>
    <w:rPr>
      <w:rFonts w:ascii="Arial" w:eastAsia="Batang" w:hAnsi="Arial" w:cs="Arial"/>
      <w:sz w:val="20"/>
      <w:szCs w:val="20"/>
    </w:rPr>
  </w:style>
  <w:style w:type="paragraph" w:customStyle="1" w:styleId="CharCharCharCharCharChar">
    <w:name w:val="Знак Знак Char Char Знак Знак Char Char Знак Знак Char Char"/>
    <w:basedOn w:val="Normal"/>
    <w:autoRedefine/>
    <w:rsid w:val="00011E91"/>
    <w:pPr>
      <w:spacing w:line="240" w:lineRule="exact"/>
    </w:pPr>
    <w:rPr>
      <w:sz w:val="28"/>
      <w:szCs w:val="20"/>
    </w:rPr>
  </w:style>
  <w:style w:type="character" w:customStyle="1" w:styleId="longtext">
    <w:name w:val="long_text"/>
    <w:basedOn w:val="DefaultParagraphFont"/>
    <w:rsid w:val="00201348"/>
  </w:style>
  <w:style w:type="paragraph" w:customStyle="1" w:styleId="hodvats">
    <w:name w:val="hodvats"/>
    <w:basedOn w:val="Normal"/>
    <w:rsid w:val="00201348"/>
    <w:pPr>
      <w:tabs>
        <w:tab w:val="left" w:pos="993"/>
        <w:tab w:val="left" w:pos="1985"/>
      </w:tabs>
      <w:spacing w:before="113" w:after="57" w:line="220" w:lineRule="exact"/>
      <w:ind w:firstLine="397"/>
    </w:pPr>
    <w:rPr>
      <w:rFonts w:ascii="Dallak Helv" w:hAnsi="Dallak Helv"/>
      <w:b/>
      <w:noProof/>
      <w:sz w:val="18"/>
      <w:szCs w:val="20"/>
    </w:rPr>
  </w:style>
  <w:style w:type="character" w:customStyle="1" w:styleId="FooterChar1">
    <w:name w:val="Footer Char1"/>
    <w:locked/>
    <w:rsid w:val="00201348"/>
    <w:rPr>
      <w:sz w:val="22"/>
      <w:lang w:val="en-GB" w:eastAsia="en-US" w:bidi="ar-SA"/>
    </w:rPr>
  </w:style>
  <w:style w:type="character" w:customStyle="1" w:styleId="CharChar15">
    <w:name w:val="Char Char15"/>
    <w:locked/>
    <w:rsid w:val="00201348"/>
    <w:rPr>
      <w:rFonts w:ascii="Cambria" w:hAnsi="Cambria"/>
      <w:b/>
      <w:bCs/>
      <w:kern w:val="32"/>
      <w:sz w:val="32"/>
      <w:szCs w:val="32"/>
      <w:lang w:val="fr-FR" w:eastAsia="en-US" w:bidi="ar-SA"/>
    </w:rPr>
  </w:style>
  <w:style w:type="paragraph" w:customStyle="1" w:styleId="24">
    <w:name w:val="Знак Знак2"/>
    <w:basedOn w:val="Normal"/>
    <w:rsid w:val="00201348"/>
    <w:pPr>
      <w:spacing w:line="240" w:lineRule="exact"/>
    </w:pPr>
    <w:rPr>
      <w:rFonts w:ascii="Arial" w:hAnsi="Arial" w:cs="Arial"/>
      <w:sz w:val="20"/>
      <w:szCs w:val="20"/>
    </w:rPr>
  </w:style>
  <w:style w:type="paragraph" w:customStyle="1" w:styleId="CharCharCharCharChar0">
    <w:name w:val="Char Char Char Char Char"/>
    <w:basedOn w:val="Normal"/>
    <w:rsid w:val="00201348"/>
    <w:pPr>
      <w:spacing w:line="240" w:lineRule="exact"/>
    </w:pPr>
    <w:rPr>
      <w:rFonts w:ascii="Arial" w:hAnsi="Arial" w:cs="Arial"/>
      <w:sz w:val="20"/>
      <w:szCs w:val="20"/>
    </w:rPr>
  </w:style>
  <w:style w:type="paragraph" w:customStyle="1" w:styleId="CharCharCharCharCharCharCharCharCharCharChar">
    <w:name w:val="Char Char Char Знак Char Char Char Char Char Знак Char Char Char"/>
    <w:basedOn w:val="Normal"/>
    <w:rsid w:val="00C32F85"/>
    <w:pPr>
      <w:spacing w:line="240" w:lineRule="exact"/>
    </w:pPr>
    <w:rPr>
      <w:rFonts w:ascii="Arial" w:hAnsi="Arial" w:cs="Arial"/>
      <w:sz w:val="20"/>
      <w:szCs w:val="20"/>
    </w:rPr>
  </w:style>
  <w:style w:type="character" w:customStyle="1" w:styleId="CharChar10">
    <w:name w:val="Char Char10"/>
    <w:locked/>
    <w:rsid w:val="00EA5436"/>
    <w:rPr>
      <w:rFonts w:ascii="Arial Armenian" w:hAnsi="Arial Armenian" w:cs="Sylfaen"/>
      <w:sz w:val="24"/>
      <w:szCs w:val="24"/>
      <w:lang w:val="ru-RU" w:eastAsia="ru-RU" w:bidi="ar-SA"/>
    </w:rPr>
  </w:style>
  <w:style w:type="paragraph" w:customStyle="1" w:styleId="StyleHeading4CentredArialUnicode105pt">
    <w:name w:val="Style Heading 4Centred + Arial Unicode 10.5 pt"/>
    <w:basedOn w:val="Heading4"/>
    <w:link w:val="StyleHeading4CentredArialUnicode105ptChar"/>
    <w:autoRedefine/>
    <w:rsid w:val="00D868AF"/>
    <w:pPr>
      <w:spacing w:before="120"/>
    </w:pPr>
    <w:rPr>
      <w:rFonts w:ascii="Arial Unicode" w:hAnsi="Arial Unicode"/>
    </w:rPr>
  </w:style>
  <w:style w:type="character" w:customStyle="1" w:styleId="StyleHeading4CentredArialUnicode105ptChar">
    <w:name w:val="Style Heading 4Centred + Arial Unicode 10.5 pt Char"/>
    <w:link w:val="StyleHeading4CentredArialUnicode105pt"/>
    <w:rsid w:val="00D868AF"/>
    <w:rPr>
      <w:rFonts w:ascii="Arial Unicode" w:hAnsi="Arial Unicode"/>
      <w:b/>
      <w:bCs/>
      <w:sz w:val="22"/>
      <w:szCs w:val="22"/>
      <w:lang w:val="af-ZA" w:eastAsia="en-US" w:bidi="ar-SA"/>
    </w:rPr>
  </w:style>
  <w:style w:type="paragraph" w:customStyle="1" w:styleId="StyleStyleHeading3Sub-ChapterCenteredtextHeading3CharChar">
    <w:name w:val="Style Style Heading 3(Sub-Chapter)Centered(text)Heading 3 Char Char..."/>
    <w:basedOn w:val="StyleHeading3Sub-ChapterCenteredtextHeading3CharCharC"/>
    <w:autoRedefine/>
    <w:rsid w:val="00C85162"/>
    <w:pPr>
      <w:tabs>
        <w:tab w:val="left" w:pos="360"/>
      </w:tabs>
      <w:spacing w:after="240"/>
      <w:ind w:right="0"/>
    </w:pPr>
    <w:rPr>
      <w:caps w:val="0"/>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autoRedefine/>
    <w:rsid w:val="00BA094A"/>
    <w:pPr>
      <w:spacing w:before="120"/>
    </w:pPr>
    <w:rPr>
      <w:bCs/>
      <w:iCs w:val="0"/>
      <w:spacing w:val="24"/>
      <w:kern w:val="28"/>
      <w:sz w:val="24"/>
      <w:szCs w:val="24"/>
    </w:rPr>
  </w:style>
  <w:style w:type="character" w:customStyle="1" w:styleId="StyleStyleHeading2ChapterParanumTextSylfaen1ArialUniChar">
    <w:name w:val="Style Style Heading 2.(Chapter).Paranum.Text + Sylfaen1 + Arial Uni... Char"/>
    <w:link w:val="StyleStyleHeading2ChapterParanumTextSylfaen1ArialUni"/>
    <w:rsid w:val="00BA094A"/>
    <w:rPr>
      <w:rFonts w:ascii="GHEA Grapalat" w:hAnsi="GHEA Grapalat"/>
      <w:b/>
      <w:bCs/>
      <w:spacing w:val="24"/>
      <w:kern w:val="28"/>
      <w:sz w:val="24"/>
      <w:szCs w:val="24"/>
      <w:lang w:val="af-ZA"/>
    </w:rPr>
  </w:style>
  <w:style w:type="paragraph" w:customStyle="1" w:styleId="StyleBodyTextMainTextdateBodyTextMaintextGHEAGrapa">
    <w:name w:val="Style Body Text(Main Text)dateBody Text (Main text) + GHEA Grapa..."/>
    <w:basedOn w:val="BodyText"/>
    <w:autoRedefine/>
    <w:rsid w:val="00D868AF"/>
    <w:pPr>
      <w:spacing w:line="360" w:lineRule="auto"/>
    </w:pPr>
  </w:style>
  <w:style w:type="paragraph" w:customStyle="1" w:styleId="StyleStyleHeading2ChapterParanumTextSylfaen1ArialUni1">
    <w:name w:val="Style Style Heading 2.(Chapter).Paranum.Text + Sylfaen1 + Arial Uni...1"/>
    <w:basedOn w:val="StyleHeading2ChapterParanumTextSylfaen1"/>
    <w:autoRedefine/>
    <w:rsid w:val="00A46D7C"/>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C2389E"/>
    <w:rPr>
      <w:b/>
      <w:bCs w:val="0"/>
      <w:spacing w:val="40"/>
      <w:sz w:val="28"/>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E927DD"/>
    <w:rPr>
      <w:bCs/>
      <w:iCs w:val="0"/>
      <w:spacing w:val="24"/>
      <w:kern w:val="28"/>
      <w:lang w:val="pt-BR" w:eastAsia="en-US"/>
    </w:rPr>
  </w:style>
  <w:style w:type="character" w:customStyle="1" w:styleId="StyleStyleHeading2ChapterParanumTextSylfaen1GHEAGrapChar">
    <w:name w:val="Style Style Heading 2.(Chapter).Paranum.Text + Sylfaen1 + GHEA Grap... Char"/>
    <w:link w:val="StyleStyleHeading2ChapterParanumTextSylfaen1GHEAGrap"/>
    <w:rsid w:val="00E927DD"/>
    <w:rPr>
      <w:rFonts w:ascii="GHEA Grapalat" w:hAnsi="GHEA Grapalat"/>
      <w:b/>
      <w:bCs/>
      <w:spacing w:val="24"/>
      <w:kern w:val="28"/>
      <w:sz w:val="22"/>
      <w:szCs w:val="22"/>
      <w:lang w:val="pt-BR" w:eastAsia="en-US" w:bidi="ar-SA"/>
    </w:rPr>
  </w:style>
  <w:style w:type="character" w:customStyle="1" w:styleId="CharChar18">
    <w:name w:val="Char Char18"/>
    <w:rsid w:val="009027D1"/>
    <w:rPr>
      <w:rFonts w:ascii="Arial Armenian" w:eastAsia="Times New Roman" w:hAnsi="Arial Armenian"/>
      <w:i/>
      <w:sz w:val="22"/>
      <w:u w:val="single"/>
      <w:lang w:val="en-GB"/>
    </w:rPr>
  </w:style>
  <w:style w:type="character" w:customStyle="1" w:styleId="FontStyle29">
    <w:name w:val="Font Style29"/>
    <w:rsid w:val="009027D1"/>
    <w:rPr>
      <w:rFonts w:ascii="Tahoma" w:hAnsi="Tahoma" w:cs="Tahoma"/>
      <w:color w:val="000000"/>
      <w:sz w:val="16"/>
      <w:szCs w:val="16"/>
    </w:rPr>
  </w:style>
  <w:style w:type="character" w:customStyle="1" w:styleId="CharChar19">
    <w:name w:val="Char Char19"/>
    <w:rsid w:val="00DE74C4"/>
    <w:rPr>
      <w:b/>
      <w:sz w:val="32"/>
      <w:lang w:val="en-GB" w:eastAsia="en-US" w:bidi="ar-SA"/>
    </w:rPr>
  </w:style>
  <w:style w:type="paragraph" w:customStyle="1" w:styleId="rmcptlkhmsonormal">
    <w:name w:val="rmcptlkh msonormal"/>
    <w:basedOn w:val="Normal"/>
    <w:rsid w:val="00DE74C4"/>
    <w:pPr>
      <w:spacing w:before="100" w:beforeAutospacing="1" w:after="100" w:afterAutospacing="1"/>
    </w:pPr>
    <w:rPr>
      <w:rFonts w:eastAsia="Batang"/>
      <w:lang w:val="ru-RU" w:eastAsia="ko-KR"/>
    </w:rPr>
  </w:style>
  <w:style w:type="character" w:customStyle="1" w:styleId="CharChar21">
    <w:name w:val="Char Char21"/>
    <w:rsid w:val="00DE74C4"/>
    <w:rPr>
      <w:rFonts w:ascii="Arial Armenian" w:hAnsi="Arial Armenian"/>
      <w:i/>
      <w:sz w:val="22"/>
      <w:u w:val="single"/>
      <w:lang w:val="en-GB" w:eastAsia="en-US" w:bidi="ar-SA"/>
    </w:rPr>
  </w:style>
  <w:style w:type="character" w:customStyle="1" w:styleId="CharChar20">
    <w:name w:val="Char Char20"/>
    <w:rsid w:val="00DE74C4"/>
    <w:rPr>
      <w:rFonts w:ascii="Garamond" w:hAnsi="Garamond"/>
      <w:i/>
      <w:spacing w:val="-5"/>
      <w:sz w:val="28"/>
      <w:lang w:val="en-GB" w:eastAsia="en-US" w:bidi="ar-SA"/>
    </w:rPr>
  </w:style>
  <w:style w:type="paragraph" w:styleId="Revision">
    <w:name w:val="Revision"/>
    <w:hidden/>
    <w:uiPriority w:val="99"/>
    <w:semiHidden/>
    <w:rsid w:val="00A6758D"/>
    <w:pPr>
      <w:spacing w:after="160" w:line="259" w:lineRule="auto"/>
    </w:pPr>
    <w:rPr>
      <w:rFonts w:ascii="Arial Armenian" w:hAnsi="Arial Armenian" w:cs="Sylfaen"/>
      <w:sz w:val="24"/>
      <w:szCs w:val="24"/>
      <w:lang w:val="ru-RU" w:eastAsia="ru-RU"/>
    </w:rPr>
  </w:style>
  <w:style w:type="paragraph" w:customStyle="1" w:styleId="CM33">
    <w:name w:val="CM33"/>
    <w:basedOn w:val="Normal"/>
    <w:next w:val="Normal"/>
    <w:rsid w:val="00A6758D"/>
    <w:pPr>
      <w:widowControl w:val="0"/>
      <w:autoSpaceDE w:val="0"/>
      <w:autoSpaceDN w:val="0"/>
      <w:adjustRightInd w:val="0"/>
      <w:spacing w:after="343"/>
    </w:pPr>
    <w:rPr>
      <w:rFonts w:ascii="Arial Armenian" w:hAnsi="Arial Armenian" w:cs="Arial Armenian"/>
    </w:rPr>
  </w:style>
  <w:style w:type="paragraph" w:customStyle="1" w:styleId="CharCharCharCharCharCharCharChar3">
    <w:name w:val="Char Char Char Char Char Char Char Char3"/>
    <w:basedOn w:val="Normal"/>
    <w:rsid w:val="004E3CFA"/>
    <w:pPr>
      <w:spacing w:line="240" w:lineRule="exact"/>
    </w:pPr>
    <w:rPr>
      <w:rFonts w:ascii="Arial" w:hAnsi="Arial" w:cs="Arial"/>
      <w:sz w:val="20"/>
      <w:szCs w:val="20"/>
    </w:rPr>
  </w:style>
  <w:style w:type="paragraph" w:customStyle="1" w:styleId="CharCharCharCharCharCharCharCharCharCharCharCharCharCharChar6">
    <w:name w:val="Char Char Char Char Знак Char Знак Char Char Char Char Char Char Char Char Char Char6"/>
    <w:basedOn w:val="Normal"/>
    <w:rsid w:val="004E3CFA"/>
    <w:pPr>
      <w:tabs>
        <w:tab w:val="left" w:pos="709"/>
      </w:tabs>
    </w:pPr>
    <w:rPr>
      <w:rFonts w:ascii="Tahoma" w:hAnsi="Tahoma"/>
      <w:lang w:val="pl-PL" w:eastAsia="pl-PL"/>
    </w:rPr>
  </w:style>
  <w:style w:type="paragraph" w:customStyle="1" w:styleId="CharCharCharCharCharCharChar3">
    <w:name w:val="Char Char Char Char Char Char Char3"/>
    <w:basedOn w:val="Normal"/>
    <w:rsid w:val="004E3CFA"/>
    <w:pPr>
      <w:spacing w:line="240" w:lineRule="exact"/>
    </w:pPr>
    <w:rPr>
      <w:rFonts w:ascii="Arial" w:hAnsi="Arial" w:cs="Arial"/>
      <w:sz w:val="20"/>
      <w:szCs w:val="20"/>
    </w:rPr>
  </w:style>
  <w:style w:type="paragraph" w:customStyle="1" w:styleId="CharCharChar31">
    <w:name w:val="Char Char Char Знак Знак3"/>
    <w:basedOn w:val="Normal"/>
    <w:rsid w:val="004E3CFA"/>
    <w:pPr>
      <w:spacing w:line="240" w:lineRule="exact"/>
    </w:pPr>
    <w:rPr>
      <w:rFonts w:ascii="Arial" w:hAnsi="Arial" w:cs="Arial"/>
      <w:sz w:val="20"/>
      <w:szCs w:val="20"/>
    </w:rPr>
  </w:style>
  <w:style w:type="paragraph" w:customStyle="1" w:styleId="CharCharCharCharCharCharCharCharCharChar3">
    <w:name w:val="Char Char Char Char Char Char Char Char Char Char3"/>
    <w:basedOn w:val="Normal"/>
    <w:rsid w:val="004E3CFA"/>
    <w:pPr>
      <w:spacing w:line="240" w:lineRule="exact"/>
    </w:pPr>
    <w:rPr>
      <w:rFonts w:ascii="Arial" w:hAnsi="Arial" w:cs="Arial"/>
      <w:sz w:val="20"/>
      <w:szCs w:val="20"/>
    </w:rPr>
  </w:style>
  <w:style w:type="paragraph" w:customStyle="1" w:styleId="1CharChar3">
    <w:name w:val="Знак Знак1 Char Char Знак Знак3"/>
    <w:basedOn w:val="Normal"/>
    <w:rsid w:val="004E3CFA"/>
    <w:pPr>
      <w:tabs>
        <w:tab w:val="num" w:pos="840"/>
      </w:tabs>
      <w:spacing w:line="240" w:lineRule="exact"/>
      <w:ind w:left="840" w:hanging="360"/>
    </w:pPr>
    <w:rPr>
      <w:rFonts w:ascii="Verdana" w:hAnsi="Verdana"/>
      <w:sz w:val="20"/>
      <w:szCs w:val="20"/>
      <w:lang w:val="ru-RU"/>
    </w:rPr>
  </w:style>
  <w:style w:type="paragraph" w:customStyle="1" w:styleId="CharCharCharChar3">
    <w:name w:val="Знак Знак Char Char Знак Знак Char Char Знак Знак3"/>
    <w:basedOn w:val="Normal"/>
    <w:autoRedefine/>
    <w:rsid w:val="004E3CFA"/>
    <w:pPr>
      <w:spacing w:line="240" w:lineRule="exact"/>
    </w:pPr>
    <w:rPr>
      <w:sz w:val="28"/>
      <w:szCs w:val="20"/>
    </w:rPr>
  </w:style>
  <w:style w:type="paragraph" w:customStyle="1" w:styleId="CharCharChar1Char3">
    <w:name w:val="Char Char Char1 Char3"/>
    <w:basedOn w:val="Normal"/>
    <w:rsid w:val="004E3CFA"/>
    <w:pPr>
      <w:spacing w:line="240" w:lineRule="exact"/>
    </w:pPr>
    <w:rPr>
      <w:rFonts w:ascii="Arial" w:hAnsi="Arial" w:cs="Arial"/>
      <w:sz w:val="20"/>
      <w:szCs w:val="20"/>
    </w:rPr>
  </w:style>
  <w:style w:type="paragraph" w:customStyle="1" w:styleId="130">
    <w:name w:val="Знак Знак13"/>
    <w:basedOn w:val="Normal"/>
    <w:rsid w:val="004E3CFA"/>
    <w:pPr>
      <w:spacing w:line="240" w:lineRule="exact"/>
    </w:pPr>
    <w:rPr>
      <w:rFonts w:ascii="Arial" w:eastAsia="MS Mincho" w:hAnsi="Arial" w:cs="Arial"/>
      <w:sz w:val="20"/>
      <w:szCs w:val="20"/>
    </w:rPr>
  </w:style>
  <w:style w:type="paragraph" w:customStyle="1" w:styleId="CharCharCharCharChar3">
    <w:name w:val="Char Char Char Char Char Знак Знак3"/>
    <w:basedOn w:val="Normal"/>
    <w:rsid w:val="004E3CFA"/>
    <w:pPr>
      <w:spacing w:line="240" w:lineRule="exact"/>
    </w:pPr>
    <w:rPr>
      <w:rFonts w:ascii="Arial" w:hAnsi="Arial" w:cs="Arial"/>
      <w:sz w:val="20"/>
      <w:szCs w:val="20"/>
    </w:rPr>
  </w:style>
  <w:style w:type="paragraph" w:customStyle="1" w:styleId="CharChar1CharCharChar1Char3">
    <w:name w:val="Char Char1 Char Char Char1 Char3"/>
    <w:basedOn w:val="Normal"/>
    <w:autoRedefine/>
    <w:rsid w:val="004E3CFA"/>
    <w:rPr>
      <w:rFonts w:eastAsia="SimSun"/>
      <w:sz w:val="20"/>
      <w:szCs w:val="20"/>
      <w:lang w:eastAsia="ru-RU"/>
    </w:rPr>
  </w:style>
  <w:style w:type="paragraph" w:customStyle="1" w:styleId="43">
    <w:name w:val="Знак Знак43"/>
    <w:basedOn w:val="Normal"/>
    <w:rsid w:val="004E3CFA"/>
    <w:pPr>
      <w:tabs>
        <w:tab w:val="left" w:pos="709"/>
      </w:tabs>
    </w:pPr>
    <w:rPr>
      <w:rFonts w:ascii="Tahoma" w:hAnsi="Tahoma"/>
      <w:lang w:val="pl-PL" w:eastAsia="pl-PL"/>
    </w:rPr>
  </w:style>
  <w:style w:type="paragraph" w:customStyle="1" w:styleId="Char31">
    <w:name w:val="Знак Char Знак3"/>
    <w:basedOn w:val="Normal"/>
    <w:rsid w:val="004E3CFA"/>
    <w:pPr>
      <w:spacing w:line="240" w:lineRule="exact"/>
    </w:pPr>
    <w:rPr>
      <w:rFonts w:ascii="Arial" w:eastAsia="Batang" w:hAnsi="Arial" w:cs="Arial"/>
      <w:sz w:val="20"/>
      <w:szCs w:val="20"/>
    </w:rPr>
  </w:style>
  <w:style w:type="paragraph" w:customStyle="1" w:styleId="CharCharCharCharCharChar3">
    <w:name w:val="Знак Знак Char Char Знак Знак Char Char Знак Знак Char Char3"/>
    <w:basedOn w:val="Normal"/>
    <w:autoRedefine/>
    <w:rsid w:val="004E3CFA"/>
    <w:pPr>
      <w:spacing w:line="240" w:lineRule="exact"/>
    </w:pPr>
    <w:rPr>
      <w:sz w:val="28"/>
      <w:szCs w:val="20"/>
    </w:rPr>
  </w:style>
  <w:style w:type="paragraph" w:customStyle="1" w:styleId="230">
    <w:name w:val="Знак Знак23"/>
    <w:basedOn w:val="Normal"/>
    <w:rsid w:val="004E3CFA"/>
    <w:pPr>
      <w:spacing w:line="240" w:lineRule="exact"/>
    </w:pPr>
    <w:rPr>
      <w:rFonts w:ascii="Arial" w:hAnsi="Arial" w:cs="Arial"/>
      <w:sz w:val="20"/>
      <w:szCs w:val="20"/>
    </w:rPr>
  </w:style>
  <w:style w:type="paragraph" w:customStyle="1" w:styleId="CharCharCharCharChar30">
    <w:name w:val="Char Char Char Char Char3"/>
    <w:basedOn w:val="Normal"/>
    <w:rsid w:val="004E3CFA"/>
    <w:pPr>
      <w:spacing w:line="240" w:lineRule="exact"/>
    </w:pPr>
    <w:rPr>
      <w:rFonts w:ascii="Arial" w:hAnsi="Arial" w:cs="Arial"/>
      <w:sz w:val="20"/>
      <w:szCs w:val="20"/>
    </w:rPr>
  </w:style>
  <w:style w:type="paragraph" w:customStyle="1" w:styleId="listparagraphcxspmiddle">
    <w:name w:val="listparagraphcxspmiddle"/>
    <w:basedOn w:val="Normal"/>
    <w:rsid w:val="004E3CFA"/>
    <w:pPr>
      <w:spacing w:before="100" w:beforeAutospacing="1" w:after="100" w:afterAutospacing="1"/>
    </w:pPr>
  </w:style>
  <w:style w:type="paragraph" w:customStyle="1" w:styleId="listparagraphcxsplast">
    <w:name w:val="listparagraphcxsplast"/>
    <w:basedOn w:val="Normal"/>
    <w:rsid w:val="004E3CFA"/>
    <w:pPr>
      <w:spacing w:before="100" w:beforeAutospacing="1" w:after="100" w:afterAutospacing="1"/>
    </w:pPr>
  </w:style>
  <w:style w:type="paragraph" w:customStyle="1" w:styleId="CharCharCharCharChar1">
    <w:name w:val="Знак Char Char Знак Char Char Char"/>
    <w:aliases w:val=" Знак Char Char Знак Char Char1 Знак, Знак Char Char Знак Char Char Char"/>
    <w:basedOn w:val="Normal"/>
    <w:next w:val="Normal"/>
    <w:semiHidden/>
    <w:rsid w:val="00D90861"/>
    <w:pPr>
      <w:spacing w:line="240" w:lineRule="exact"/>
    </w:pPr>
    <w:rPr>
      <w:rFonts w:ascii="Arial" w:hAnsi="Arial" w:cs="Arial"/>
      <w:b/>
      <w:sz w:val="20"/>
      <w:szCs w:val="20"/>
      <w:lang w:val="en-GB"/>
    </w:rPr>
  </w:style>
  <w:style w:type="character" w:customStyle="1" w:styleId="BodyTextFirstIndentChar1">
    <w:name w:val="Body Text First Indent Char1"/>
    <w:rsid w:val="00D90861"/>
    <w:rPr>
      <w:rFonts w:ascii="Times Armenian" w:hAnsi="Times Armenian"/>
      <w:sz w:val="24"/>
      <w:szCs w:val="24"/>
      <w:lang w:val="ru-RU" w:eastAsia="ru-RU" w:bidi="ar-SA"/>
    </w:rPr>
  </w:style>
  <w:style w:type="character" w:customStyle="1" w:styleId="CommentSubjectChar1">
    <w:name w:val="Comment Subject Char1"/>
    <w:rsid w:val="00D90861"/>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D90861"/>
    <w:pPr>
      <w:spacing w:line="240" w:lineRule="exact"/>
    </w:pPr>
    <w:rPr>
      <w:rFonts w:ascii="Verdana" w:eastAsia="MS Mincho" w:hAnsi="Verdana"/>
      <w:sz w:val="20"/>
      <w:szCs w:val="20"/>
      <w:lang w:val="en-GB"/>
    </w:rPr>
  </w:style>
  <w:style w:type="numbering" w:customStyle="1" w:styleId="NoList1">
    <w:name w:val="No List1"/>
    <w:next w:val="NoList"/>
    <w:semiHidden/>
    <w:unhideWhenUsed/>
    <w:rsid w:val="00D90861"/>
  </w:style>
  <w:style w:type="character" w:customStyle="1" w:styleId="apple-converted-space">
    <w:name w:val="apple-converted-space"/>
    <w:rsid w:val="00D90861"/>
  </w:style>
  <w:style w:type="paragraph" w:customStyle="1" w:styleId="ListParagraph1">
    <w:name w:val="List Paragraph1"/>
    <w:aliases w:val="OBC Bullet,Normal numbered,List Paragraph12"/>
    <w:basedOn w:val="Normal"/>
    <w:qFormat/>
    <w:rsid w:val="00D90861"/>
    <w:pPr>
      <w:ind w:left="720" w:right="201" w:firstLine="900"/>
      <w:contextualSpacing/>
    </w:pPr>
    <w:rPr>
      <w:rFonts w:ascii="Times Armenian" w:hAnsi="Times Armeni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OBC Bullet Char,Ha Cha"/>
    <w:link w:val="ListParagraph3"/>
    <w:rsid w:val="00D90861"/>
    <w:rPr>
      <w:sz w:val="24"/>
      <w:szCs w:val="24"/>
      <w:lang w:val="en-US" w:eastAsia="en-US" w:bidi="ar-SA"/>
    </w:rPr>
  </w:style>
  <w:style w:type="numbering" w:customStyle="1" w:styleId="NoList2">
    <w:name w:val="No List2"/>
    <w:next w:val="NoList"/>
    <w:semiHidden/>
    <w:unhideWhenUsed/>
    <w:rsid w:val="00D90861"/>
  </w:style>
  <w:style w:type="numbering" w:customStyle="1" w:styleId="NoList3">
    <w:name w:val="No List3"/>
    <w:next w:val="NoList"/>
    <w:semiHidden/>
    <w:unhideWhenUsed/>
    <w:rsid w:val="00D90861"/>
  </w:style>
  <w:style w:type="character" w:customStyle="1" w:styleId="textexposedshow">
    <w:name w:val="text_exposed_show"/>
    <w:rsid w:val="00D90861"/>
    <w:rPr>
      <w:rFonts w:cs="Times New Roman"/>
    </w:rPr>
  </w:style>
  <w:style w:type="paragraph" w:customStyle="1" w:styleId="formtext">
    <w:name w:val="formtext"/>
    <w:basedOn w:val="Normal"/>
    <w:rsid w:val="00D90861"/>
    <w:pPr>
      <w:spacing w:before="120" w:after="120" w:line="240" w:lineRule="exact"/>
    </w:pPr>
    <w:rPr>
      <w:rFonts w:ascii="Arial" w:eastAsia="SimSun" w:hAnsi="Arial"/>
      <w:lang w:eastAsia="fr-FR"/>
    </w:rPr>
  </w:style>
  <w:style w:type="paragraph" w:customStyle="1" w:styleId="italic">
    <w:name w:val="italic"/>
    <w:basedOn w:val="Normal"/>
    <w:rsid w:val="00D90861"/>
    <w:pPr>
      <w:spacing w:before="100" w:beforeAutospacing="1" w:after="100" w:afterAutospacing="1"/>
    </w:pPr>
    <w:rPr>
      <w:rFonts w:cs="Calibri"/>
    </w:rPr>
  </w:style>
  <w:style w:type="paragraph" w:customStyle="1" w:styleId="ecxmsonormal">
    <w:name w:val="ecxmsonormal"/>
    <w:basedOn w:val="Normal"/>
    <w:rsid w:val="00D90861"/>
    <w:pPr>
      <w:spacing w:before="100" w:beforeAutospacing="1" w:after="100" w:afterAutospacing="1"/>
    </w:pPr>
    <w:rPr>
      <w:rFonts w:cs="Calibri"/>
    </w:rPr>
  </w:style>
  <w:style w:type="paragraph" w:customStyle="1" w:styleId="CharCharChar2">
    <w:name w:val="Char Char Char Знак Знак Знак Знак Знак"/>
    <w:basedOn w:val="Normal"/>
    <w:rsid w:val="00D90861"/>
    <w:pPr>
      <w:spacing w:line="240" w:lineRule="exact"/>
    </w:pPr>
    <w:rPr>
      <w:rFonts w:ascii="Arial" w:hAnsi="Arial" w:cs="Arial"/>
      <w:color w:val="000000"/>
      <w:sz w:val="20"/>
      <w:szCs w:val="20"/>
      <w:lang w:val="en-GB"/>
    </w:rPr>
  </w:style>
  <w:style w:type="character" w:customStyle="1" w:styleId="title1">
    <w:name w:val="title1"/>
    <w:rsid w:val="00D90861"/>
    <w:rPr>
      <w:rFonts w:ascii="Verdana" w:hAnsi="Verdana"/>
      <w:b/>
      <w:color w:val="000000"/>
      <w:sz w:val="12"/>
      <w:u w:val="none"/>
      <w:effect w:val="none"/>
    </w:rPr>
  </w:style>
  <w:style w:type="character" w:customStyle="1" w:styleId="hps">
    <w:name w:val="hps"/>
    <w:rsid w:val="00D90861"/>
    <w:rPr>
      <w:rFonts w:cs="Times New Roman"/>
    </w:rPr>
  </w:style>
  <w:style w:type="character" w:customStyle="1" w:styleId="st">
    <w:name w:val="st"/>
    <w:rsid w:val="00D90861"/>
    <w:rPr>
      <w:rFonts w:cs="Times New Roman"/>
    </w:rPr>
  </w:style>
  <w:style w:type="paragraph" w:customStyle="1" w:styleId="bodytext0">
    <w:name w:val="bodytext"/>
    <w:basedOn w:val="Normal"/>
    <w:rsid w:val="00D90861"/>
    <w:pPr>
      <w:spacing w:before="100" w:beforeAutospacing="1" w:after="100" w:afterAutospacing="1"/>
    </w:pPr>
    <w:rPr>
      <w:rFonts w:cs="Calibri"/>
    </w:rPr>
  </w:style>
  <w:style w:type="character" w:customStyle="1" w:styleId="CharChar4">
    <w:name w:val="Char Char4"/>
    <w:rsid w:val="00D90861"/>
    <w:rPr>
      <w:rFonts w:ascii="Cambria" w:hAnsi="Cambria" w:cs="Cambria"/>
      <w:b/>
      <w:bCs/>
      <w:sz w:val="26"/>
      <w:szCs w:val="26"/>
    </w:rPr>
  </w:style>
  <w:style w:type="character" w:customStyle="1" w:styleId="CharChar2">
    <w:name w:val="Char Char2"/>
    <w:rsid w:val="00D90861"/>
    <w:rPr>
      <w:rFonts w:ascii="Calibri" w:hAnsi="Calibri" w:cs="Calibri"/>
      <w:sz w:val="22"/>
      <w:szCs w:val="22"/>
      <w:lang w:val="en-US" w:eastAsia="en-US"/>
    </w:rPr>
  </w:style>
  <w:style w:type="character" w:customStyle="1" w:styleId="CharChar1">
    <w:name w:val="Char Char1"/>
    <w:rsid w:val="00D90861"/>
    <w:rPr>
      <w:rFonts w:ascii="Calibri" w:hAnsi="Calibri" w:cs="Calibri"/>
      <w:sz w:val="22"/>
      <w:szCs w:val="22"/>
      <w:lang w:val="en-US" w:eastAsia="en-US"/>
    </w:rPr>
  </w:style>
  <w:style w:type="paragraph" w:customStyle="1" w:styleId="num02">
    <w:name w:val="Énum02"/>
    <w:basedOn w:val="Normal"/>
    <w:rsid w:val="00D90861"/>
    <w:pPr>
      <w:numPr>
        <w:numId w:val="9"/>
      </w:numPr>
      <w:spacing w:after="120" w:line="260" w:lineRule="exact"/>
    </w:pPr>
    <w:rPr>
      <w:rFonts w:ascii="Arial" w:hAnsi="Arial" w:cs="Arial"/>
      <w:lang w:eastAsia="fr-FR"/>
    </w:rPr>
  </w:style>
  <w:style w:type="character" w:customStyle="1" w:styleId="arg">
    <w:name w:val="arg"/>
    <w:rsid w:val="00D90861"/>
    <w:rPr>
      <w:rFonts w:cs="Times New Roman"/>
    </w:rPr>
  </w:style>
  <w:style w:type="character" w:customStyle="1" w:styleId="fulltext">
    <w:name w:val="fulltext"/>
    <w:rsid w:val="00D90861"/>
    <w:rPr>
      <w:rFonts w:cs="Times New Roman"/>
    </w:rPr>
  </w:style>
  <w:style w:type="paragraph" w:customStyle="1" w:styleId="innewsdate">
    <w:name w:val="in_news_date"/>
    <w:basedOn w:val="Normal"/>
    <w:rsid w:val="00D90861"/>
    <w:pPr>
      <w:spacing w:before="100" w:beforeAutospacing="1" w:after="100" w:afterAutospacing="1"/>
    </w:pPr>
  </w:style>
  <w:style w:type="character" w:customStyle="1" w:styleId="gr">
    <w:name w:val="gr"/>
    <w:rsid w:val="00D90861"/>
    <w:rPr>
      <w:rFonts w:cs="Times New Roman"/>
    </w:rPr>
  </w:style>
  <w:style w:type="character" w:customStyle="1" w:styleId="opennewstext">
    <w:name w:val="opennewstext"/>
    <w:rsid w:val="00D90861"/>
    <w:rPr>
      <w:rFonts w:cs="Times New Roman"/>
    </w:rPr>
  </w:style>
  <w:style w:type="paragraph" w:customStyle="1" w:styleId="CharCharCharCharCharCharCharCharCharCharCharCharCharCharChar1">
    <w:name w:val="Char Char Char Char Знак Char Знак Char Char Char Char Char Char Char Char Char Char1"/>
    <w:basedOn w:val="Normal"/>
    <w:rsid w:val="00D90861"/>
    <w:pPr>
      <w:tabs>
        <w:tab w:val="left" w:pos="709"/>
      </w:tabs>
    </w:pPr>
    <w:rPr>
      <w:rFonts w:ascii="Tahoma" w:hAnsi="Tahoma" w:cs="Tahoma"/>
      <w:lang w:val="pl-PL" w:eastAsia="pl-PL"/>
    </w:rPr>
  </w:style>
  <w:style w:type="character" w:customStyle="1" w:styleId="fulltext0">
    <w:name w:val="full_text"/>
    <w:rsid w:val="00D90861"/>
    <w:rPr>
      <w:rFonts w:cs="Times New Roman"/>
    </w:rPr>
  </w:style>
  <w:style w:type="character" w:customStyle="1" w:styleId="wrc116">
    <w:name w:val="wrc116"/>
    <w:rsid w:val="00D90861"/>
    <w:rPr>
      <w:rFonts w:cs="Times New Roman"/>
      <w:vanish/>
    </w:rPr>
  </w:style>
  <w:style w:type="character" w:customStyle="1" w:styleId="editsection">
    <w:name w:val="editsection"/>
    <w:rsid w:val="00D90861"/>
    <w:rPr>
      <w:rFonts w:cs="Times New Roman"/>
    </w:rPr>
  </w:style>
  <w:style w:type="character" w:customStyle="1" w:styleId="mw-headline">
    <w:name w:val="mw-headline"/>
    <w:rsid w:val="00D90861"/>
    <w:rPr>
      <w:rFonts w:cs="Times New Roman"/>
    </w:rPr>
  </w:style>
  <w:style w:type="paragraph" w:styleId="ListNumber">
    <w:name w:val="List Number"/>
    <w:basedOn w:val="Normal"/>
    <w:rsid w:val="00763A57"/>
    <w:pPr>
      <w:numPr>
        <w:numId w:val="13"/>
      </w:numPr>
    </w:pPr>
  </w:style>
  <w:style w:type="character" w:customStyle="1" w:styleId="il">
    <w:name w:val="il"/>
    <w:basedOn w:val="DefaultParagraphFont"/>
    <w:rsid w:val="00763A57"/>
  </w:style>
  <w:style w:type="character" w:customStyle="1" w:styleId="Heading5Char">
    <w:name w:val="Heading 5 Char"/>
    <w:aliases w:val="Side Char"/>
    <w:basedOn w:val="DefaultParagraphFont"/>
    <w:link w:val="Heading5"/>
    <w:locked/>
    <w:rsid w:val="002E5B7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locked/>
    <w:rsid w:val="002E5B7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locked/>
    <w:rsid w:val="002E5B73"/>
    <w:rPr>
      <w:rFonts w:asciiTheme="majorHAnsi" w:eastAsiaTheme="majorEastAsia" w:hAnsiTheme="majorHAnsi" w:cstheme="majorBidi"/>
      <w:i/>
      <w:iCs/>
    </w:rPr>
  </w:style>
  <w:style w:type="character" w:customStyle="1" w:styleId="Heading8Char">
    <w:name w:val="Heading 8 Char"/>
    <w:basedOn w:val="DefaultParagraphFont"/>
    <w:link w:val="Heading8"/>
    <w:locked/>
    <w:rsid w:val="002E5B73"/>
    <w:rPr>
      <w:rFonts w:asciiTheme="majorHAnsi" w:eastAsiaTheme="majorEastAsia" w:hAnsiTheme="majorHAnsi" w:cstheme="majorBidi"/>
      <w:sz w:val="20"/>
      <w:szCs w:val="20"/>
    </w:rPr>
  </w:style>
  <w:style w:type="character" w:customStyle="1" w:styleId="Heading9Char">
    <w:name w:val="Heading 9 Char"/>
    <w:basedOn w:val="DefaultParagraphFont"/>
    <w:link w:val="Heading9"/>
    <w:locked/>
    <w:rsid w:val="002E5B73"/>
    <w:rPr>
      <w:rFonts w:asciiTheme="majorHAnsi" w:eastAsiaTheme="majorEastAsia" w:hAnsiTheme="majorHAnsi" w:cstheme="majorBidi"/>
      <w:i/>
      <w:iCs/>
      <w:spacing w:val="5"/>
      <w:sz w:val="20"/>
      <w:szCs w:val="20"/>
    </w:rPr>
  </w:style>
  <w:style w:type="character" w:customStyle="1" w:styleId="BodyText2Char">
    <w:name w:val="Body Text 2 Char"/>
    <w:aliases w:val="1Text Char"/>
    <w:uiPriority w:val="99"/>
    <w:locked/>
    <w:rsid w:val="00763A57"/>
    <w:rPr>
      <w:rFonts w:ascii="Times Armenian" w:hAnsi="Times Armenian" w:cs="Times New Roman"/>
      <w:b/>
      <w:sz w:val="24"/>
      <w:lang w:val="fr-FR"/>
    </w:rPr>
  </w:style>
  <w:style w:type="character" w:customStyle="1" w:styleId="BodyTextIndent2Char">
    <w:name w:val="Body Text Indent 2 Char"/>
    <w:locked/>
    <w:rsid w:val="00763A57"/>
    <w:rPr>
      <w:rFonts w:ascii="Times LatArm" w:hAnsi="Times LatArm" w:cs="Times New Roman"/>
      <w:sz w:val="22"/>
      <w:lang w:val="fr-FR"/>
    </w:rPr>
  </w:style>
  <w:style w:type="character" w:customStyle="1" w:styleId="HeaderChar">
    <w:name w:val="Header Char"/>
    <w:aliases w:val="Header Char Char Char Char Char Char Char Char Char Char Char1,Header Char Char Char Char Char Char Char Char Char Char Char Char Char1"/>
    <w:uiPriority w:val="99"/>
    <w:locked/>
    <w:rsid w:val="00763A57"/>
    <w:rPr>
      <w:rFonts w:cs="Times New Roman"/>
      <w:sz w:val="22"/>
      <w:lang w:val="en-GB"/>
    </w:rPr>
  </w:style>
  <w:style w:type="character" w:customStyle="1" w:styleId="TitleChar">
    <w:name w:val="Title Char"/>
    <w:basedOn w:val="DefaultParagraphFont"/>
    <w:link w:val="Title"/>
    <w:locked/>
    <w:rsid w:val="002E5B73"/>
    <w:rPr>
      <w:rFonts w:asciiTheme="majorHAnsi" w:eastAsiaTheme="majorEastAsia" w:hAnsiTheme="majorHAnsi" w:cstheme="majorBidi"/>
      <w:spacing w:val="5"/>
      <w:sz w:val="52"/>
      <w:szCs w:val="52"/>
    </w:rPr>
  </w:style>
  <w:style w:type="character" w:customStyle="1" w:styleId="BodyText3Char">
    <w:name w:val="Body Text 3 Char"/>
    <w:uiPriority w:val="99"/>
    <w:locked/>
    <w:rsid w:val="00763A57"/>
    <w:rPr>
      <w:rFonts w:ascii="Times Armenian" w:hAnsi="Times Armenian" w:cs="Times New Roman"/>
      <w:sz w:val="24"/>
      <w:lang w:val="it-IT"/>
    </w:rPr>
  </w:style>
  <w:style w:type="paragraph" w:customStyle="1" w:styleId="Listenabsatz">
    <w:name w:val="Listenabsatz"/>
    <w:basedOn w:val="Normal"/>
    <w:rsid w:val="00763A57"/>
    <w:pPr>
      <w:ind w:left="720"/>
      <w:contextualSpacing/>
    </w:pPr>
    <w:rPr>
      <w:rFonts w:ascii="Cambria" w:hAnsi="Cambria"/>
      <w:lang w:val="de-DE"/>
    </w:rPr>
  </w:style>
  <w:style w:type="paragraph" w:customStyle="1" w:styleId="Style40">
    <w:name w:val="Style4"/>
    <w:basedOn w:val="TOC3"/>
    <w:autoRedefine/>
    <w:rsid w:val="00E37271"/>
    <w:rPr>
      <w:bCs/>
      <w:noProof/>
      <w:color w:val="000000"/>
      <w:lang w:val="es-ES"/>
    </w:rPr>
  </w:style>
  <w:style w:type="paragraph" w:customStyle="1" w:styleId="Style5">
    <w:name w:val="Style5"/>
    <w:basedOn w:val="TOC3"/>
    <w:autoRedefine/>
    <w:rsid w:val="00E37271"/>
    <w:rPr>
      <w:rFonts w:cs="Sylfaen"/>
      <w:noProof/>
    </w:rPr>
  </w:style>
  <w:style w:type="paragraph" w:customStyle="1" w:styleId="Style7">
    <w:name w:val="Style7"/>
    <w:basedOn w:val="TOC3"/>
    <w:autoRedefine/>
    <w:rsid w:val="00E37271"/>
    <w:rPr>
      <w:rFonts w:cs="Sylfaen"/>
      <w:noProof/>
    </w:rPr>
  </w:style>
  <w:style w:type="paragraph" w:customStyle="1" w:styleId="Style8">
    <w:name w:val="Style8"/>
    <w:basedOn w:val="TOC1"/>
    <w:autoRedefine/>
    <w:rsid w:val="00E37271"/>
    <w:rPr>
      <w:i w:val="0"/>
      <w:noProof/>
    </w:rPr>
  </w:style>
  <w:style w:type="paragraph" w:customStyle="1" w:styleId="Style9">
    <w:name w:val="Style9"/>
    <w:basedOn w:val="TOC1"/>
    <w:autoRedefine/>
    <w:rsid w:val="00E37271"/>
    <w:rPr>
      <w:noProof/>
    </w:rPr>
  </w:style>
  <w:style w:type="character" w:customStyle="1" w:styleId="CharChar14">
    <w:name w:val="Char Char14"/>
    <w:rsid w:val="00B142B8"/>
    <w:rPr>
      <w:sz w:val="36"/>
      <w:lang w:val="en-GB"/>
    </w:rPr>
  </w:style>
  <w:style w:type="character" w:customStyle="1" w:styleId="CharChar5">
    <w:name w:val="Char Char5"/>
    <w:rsid w:val="00B142B8"/>
    <w:rPr>
      <w:rFonts w:ascii="Arial Armenian" w:hAnsi="Arial Armenian" w:cs="Sylfaen"/>
      <w:sz w:val="24"/>
      <w:szCs w:val="24"/>
      <w:lang w:val="ru-RU" w:eastAsia="ru-RU"/>
    </w:rPr>
  </w:style>
  <w:style w:type="character" w:customStyle="1" w:styleId="CharChar16">
    <w:name w:val="Char Char16"/>
    <w:rsid w:val="00B142B8"/>
    <w:rPr>
      <w:rFonts w:ascii="Times New Roman" w:hAnsi="Times New Roman"/>
      <w:b/>
      <w:sz w:val="32"/>
      <w:lang w:val="en-GB"/>
    </w:rPr>
  </w:style>
  <w:style w:type="character" w:customStyle="1" w:styleId="CharChar17">
    <w:name w:val="Char Char17"/>
    <w:rsid w:val="00B142B8"/>
    <w:rPr>
      <w:rFonts w:ascii="Arial Armenian" w:hAnsi="Arial Armenian"/>
      <w:i/>
      <w:sz w:val="22"/>
      <w:u w:val="single"/>
      <w:lang w:val="en-GB" w:eastAsia="en-US" w:bidi="ar-SA"/>
    </w:rPr>
  </w:style>
  <w:style w:type="paragraph" w:customStyle="1" w:styleId="text">
    <w:name w:val="text"/>
    <w:basedOn w:val="Normal"/>
    <w:link w:val="textChar"/>
    <w:rsid w:val="00B142B8"/>
    <w:pPr>
      <w:ind w:firstLine="454"/>
    </w:pPr>
    <w:rPr>
      <w:rFonts w:ascii="GHEA Mariam" w:hAnsi="GHEA Mariam"/>
      <w:sz w:val="20"/>
      <w:szCs w:val="20"/>
      <w:lang w:val="en-GB" w:eastAsia="ru-RU"/>
    </w:rPr>
  </w:style>
  <w:style w:type="character" w:customStyle="1" w:styleId="textChar">
    <w:name w:val="text Char"/>
    <w:link w:val="text"/>
    <w:rsid w:val="00B142B8"/>
    <w:rPr>
      <w:rFonts w:ascii="GHEA Mariam" w:hAnsi="GHEA Mariam" w:cs="GHEA Mariam"/>
      <w:lang w:val="en-GB" w:eastAsia="ru-RU"/>
    </w:rPr>
  </w:style>
  <w:style w:type="paragraph" w:customStyle="1" w:styleId="Char40">
    <w:name w:val="Char4"/>
    <w:basedOn w:val="Normal"/>
    <w:rsid w:val="00B142B8"/>
    <w:pPr>
      <w:spacing w:line="240" w:lineRule="exact"/>
    </w:pPr>
    <w:rPr>
      <w:rFonts w:ascii="Arial" w:eastAsia="Calibri" w:hAnsi="Arial" w:cs="Arial"/>
      <w:sz w:val="20"/>
      <w:szCs w:val="20"/>
    </w:rPr>
  </w:style>
  <w:style w:type="paragraph" w:customStyle="1" w:styleId="p2">
    <w:name w:val="p2"/>
    <w:basedOn w:val="Normal"/>
    <w:rsid w:val="00B142B8"/>
    <w:pPr>
      <w:spacing w:before="100" w:beforeAutospacing="1" w:after="100" w:afterAutospacing="1"/>
    </w:pPr>
    <w:rPr>
      <w:rFonts w:eastAsia="Calibri"/>
    </w:rPr>
  </w:style>
  <w:style w:type="paragraph" w:customStyle="1" w:styleId="Char32">
    <w:name w:val="Char3"/>
    <w:basedOn w:val="Normal"/>
    <w:rsid w:val="00B142B8"/>
    <w:pPr>
      <w:spacing w:line="240" w:lineRule="exact"/>
    </w:pPr>
    <w:rPr>
      <w:rFonts w:ascii="Arial" w:eastAsia="Calibri" w:hAnsi="Arial" w:cs="Arial"/>
      <w:sz w:val="20"/>
      <w:szCs w:val="20"/>
    </w:rPr>
  </w:style>
  <w:style w:type="paragraph" w:customStyle="1" w:styleId="Char20">
    <w:name w:val="Char2"/>
    <w:basedOn w:val="Normal"/>
    <w:rsid w:val="00B142B8"/>
    <w:pPr>
      <w:spacing w:line="240" w:lineRule="exact"/>
    </w:pPr>
    <w:rPr>
      <w:rFonts w:ascii="Arial" w:eastAsia="Calibri" w:hAnsi="Arial" w:cs="Arial"/>
      <w:sz w:val="20"/>
      <w:szCs w:val="20"/>
    </w:rPr>
  </w:style>
  <w:style w:type="paragraph" w:customStyle="1" w:styleId="Char10">
    <w:name w:val="Char1"/>
    <w:basedOn w:val="Normal"/>
    <w:uiPriority w:val="99"/>
    <w:rsid w:val="00B142B8"/>
    <w:pPr>
      <w:spacing w:line="240" w:lineRule="exact"/>
    </w:pPr>
    <w:rPr>
      <w:rFonts w:ascii="Arial" w:eastAsia="Calibri" w:hAnsi="Arial" w:cs="Arial"/>
      <w:sz w:val="20"/>
      <w:szCs w:val="20"/>
    </w:rPr>
  </w:style>
  <w:style w:type="character" w:customStyle="1" w:styleId="32ptExact">
    <w:name w:val="Основной текст (3) + Интервал 2 pt Exact"/>
    <w:rsid w:val="00B142B8"/>
    <w:rPr>
      <w:rFonts w:ascii="Sylfaen" w:hAnsi="Sylfaen" w:cs="Sylfaen"/>
      <w:spacing w:val="40"/>
      <w:sz w:val="20"/>
      <w:szCs w:val="20"/>
      <w:u w:val="none"/>
      <w:lang w:val="ru-RU" w:eastAsia="ru-RU"/>
    </w:rPr>
  </w:style>
  <w:style w:type="paragraph" w:customStyle="1" w:styleId="CharCharCharCharChar2">
    <w:name w:val="Char Char Char Знак Знак Char Char Знак Знак"/>
    <w:basedOn w:val="Normal"/>
    <w:rsid w:val="00B142B8"/>
    <w:pPr>
      <w:spacing w:line="240" w:lineRule="exact"/>
    </w:pPr>
    <w:rPr>
      <w:rFonts w:ascii="Arial" w:hAnsi="Arial" w:cs="Arial"/>
      <w:sz w:val="20"/>
      <w:szCs w:val="20"/>
    </w:rPr>
  </w:style>
  <w:style w:type="paragraph" w:customStyle="1" w:styleId="CharCharCharCharCharChar0">
    <w:name w:val="Char Char Char Char Char Char"/>
    <w:basedOn w:val="Normal"/>
    <w:rsid w:val="00B142B8"/>
    <w:pPr>
      <w:spacing w:line="240" w:lineRule="exact"/>
    </w:pPr>
    <w:rPr>
      <w:rFonts w:ascii="Arial" w:hAnsi="Arial" w:cs="Arial"/>
      <w:sz w:val="20"/>
      <w:szCs w:val="20"/>
    </w:rPr>
  </w:style>
  <w:style w:type="paragraph" w:customStyle="1" w:styleId="CharChar113">
    <w:name w:val="Char Char113"/>
    <w:basedOn w:val="Normal"/>
    <w:rsid w:val="00B142B8"/>
    <w:pPr>
      <w:spacing w:line="240" w:lineRule="exact"/>
    </w:pPr>
    <w:rPr>
      <w:rFonts w:ascii="Arial" w:hAnsi="Arial" w:cs="Arial"/>
      <w:sz w:val="20"/>
      <w:szCs w:val="20"/>
    </w:rPr>
  </w:style>
  <w:style w:type="character" w:customStyle="1" w:styleId="Heading1Char1">
    <w:name w:val="Heading 1 Char1"/>
    <w:aliases w:val="(Section) Char1,Section Heading Char1,(Text) Char1,1 Char1,Chapter Char1,head3 Char1"/>
    <w:uiPriority w:val="99"/>
    <w:locked/>
    <w:rsid w:val="00794E72"/>
    <w:rPr>
      <w:rFonts w:ascii="Arial" w:hAnsi="Arial"/>
      <w:b/>
      <w:kern w:val="32"/>
      <w:sz w:val="32"/>
    </w:rPr>
  </w:style>
  <w:style w:type="character" w:customStyle="1" w:styleId="BodyTextIndent3Char1">
    <w:name w:val="Body Text Indent 3 Char1"/>
    <w:uiPriority w:val="99"/>
    <w:locked/>
    <w:rsid w:val="00794E72"/>
    <w:rPr>
      <w:rFonts w:ascii="Times New Roman" w:hAnsi="Times New Roman"/>
      <w:sz w:val="16"/>
    </w:rPr>
  </w:style>
  <w:style w:type="character" w:customStyle="1" w:styleId="PlainTextChar1">
    <w:name w:val="Plain Text Char1"/>
    <w:uiPriority w:val="99"/>
    <w:locked/>
    <w:rsid w:val="00794E72"/>
    <w:rPr>
      <w:rFonts w:ascii="Courier New" w:hAnsi="Courier New"/>
      <w:sz w:val="20"/>
    </w:rPr>
  </w:style>
  <w:style w:type="character" w:customStyle="1" w:styleId="CommentTextChar1">
    <w:name w:val="Comment Text Char1"/>
    <w:uiPriority w:val="99"/>
    <w:locked/>
    <w:rsid w:val="00794E72"/>
    <w:rPr>
      <w:rFonts w:ascii="Times New Roman" w:hAnsi="Times New Roman"/>
      <w:sz w:val="20"/>
      <w:lang w:val="en-GB"/>
    </w:rPr>
  </w:style>
  <w:style w:type="character" w:customStyle="1" w:styleId="SubtitleChar1">
    <w:name w:val="Subtitle Char1"/>
    <w:uiPriority w:val="99"/>
    <w:locked/>
    <w:rsid w:val="00794E72"/>
    <w:rPr>
      <w:rFonts w:ascii="Times LatArm" w:hAnsi="Times LatArm"/>
      <w:b/>
      <w:sz w:val="24"/>
    </w:rPr>
  </w:style>
  <w:style w:type="character" w:customStyle="1" w:styleId="BalloonTextChar1">
    <w:name w:val="Balloon Text Char1"/>
    <w:uiPriority w:val="99"/>
    <w:locked/>
    <w:rsid w:val="00794E72"/>
    <w:rPr>
      <w:rFonts w:ascii="Tahoma" w:hAnsi="Tahoma"/>
      <w:sz w:val="16"/>
    </w:rPr>
  </w:style>
  <w:style w:type="character" w:customStyle="1" w:styleId="CharChar163">
    <w:name w:val="Char Char163"/>
    <w:uiPriority w:val="99"/>
    <w:rsid w:val="00794E72"/>
    <w:rPr>
      <w:rFonts w:ascii="Times New Roman" w:hAnsi="Times New Roman"/>
      <w:b/>
      <w:sz w:val="20"/>
      <w:lang w:val="en-GB"/>
    </w:rPr>
  </w:style>
  <w:style w:type="character" w:customStyle="1" w:styleId="CharChar142">
    <w:name w:val="Char Char142"/>
    <w:uiPriority w:val="99"/>
    <w:rsid w:val="00794E72"/>
    <w:rPr>
      <w:rFonts w:ascii="Times New Roman" w:hAnsi="Times New Roman"/>
      <w:sz w:val="20"/>
      <w:lang w:val="en-GB"/>
    </w:rPr>
  </w:style>
  <w:style w:type="character" w:customStyle="1" w:styleId="CharChar53">
    <w:name w:val="Char Char53"/>
    <w:uiPriority w:val="99"/>
    <w:rsid w:val="00794E72"/>
    <w:rPr>
      <w:rFonts w:ascii="Times New Roman" w:hAnsi="Times New Roman"/>
      <w:sz w:val="20"/>
      <w:lang w:val="en-GB"/>
    </w:rPr>
  </w:style>
  <w:style w:type="character" w:customStyle="1" w:styleId="EndnoteTextChar1">
    <w:name w:val="Endnote Text Char1"/>
    <w:uiPriority w:val="99"/>
    <w:semiHidden/>
    <w:locked/>
    <w:rsid w:val="00794E72"/>
    <w:rPr>
      <w:rFonts w:ascii="Times New Roman" w:hAnsi="Times New Roman"/>
      <w:sz w:val="20"/>
      <w:lang w:val="en-GB"/>
    </w:rPr>
  </w:style>
  <w:style w:type="character" w:customStyle="1" w:styleId="estilo2">
    <w:name w:val="estilo2"/>
    <w:uiPriority w:val="99"/>
    <w:rsid w:val="00794E72"/>
  </w:style>
  <w:style w:type="character" w:customStyle="1" w:styleId="CharChar3">
    <w:name w:val="Char Char3"/>
    <w:uiPriority w:val="99"/>
    <w:locked/>
    <w:rsid w:val="00794E72"/>
    <w:rPr>
      <w:rFonts w:cs="Times New Roman"/>
      <w:sz w:val="22"/>
      <w:lang w:val="en-GB" w:eastAsia="en-US" w:bidi="ar-SA"/>
    </w:rPr>
  </w:style>
  <w:style w:type="character" w:customStyle="1" w:styleId="CharChar11">
    <w:name w:val="Char Char11"/>
    <w:uiPriority w:val="99"/>
    <w:locked/>
    <w:rsid w:val="00794E72"/>
    <w:rPr>
      <w:rFonts w:ascii="Times Armenian" w:hAnsi="Times Armenian" w:cs="Times New Roman"/>
      <w:b/>
      <w:bCs/>
      <w:sz w:val="24"/>
      <w:szCs w:val="24"/>
      <w:lang w:val="en-US" w:eastAsia="en-US" w:bidi="ar-SA"/>
    </w:rPr>
  </w:style>
  <w:style w:type="character" w:customStyle="1" w:styleId="CharChar51">
    <w:name w:val="Char Char51"/>
    <w:uiPriority w:val="99"/>
    <w:locked/>
    <w:rsid w:val="00794E72"/>
    <w:rPr>
      <w:sz w:val="22"/>
      <w:lang w:val="en-GB" w:eastAsia="en-US"/>
    </w:rPr>
  </w:style>
  <w:style w:type="paragraph" w:customStyle="1" w:styleId="Numberedtext">
    <w:name w:val="Numbered text"/>
    <w:basedOn w:val="BodyText"/>
    <w:uiPriority w:val="99"/>
    <w:rsid w:val="00794E72"/>
    <w:pPr>
      <w:numPr>
        <w:numId w:val="14"/>
      </w:numPr>
      <w:tabs>
        <w:tab w:val="clear" w:pos="1004"/>
        <w:tab w:val="num" w:pos="360"/>
      </w:tabs>
      <w:ind w:left="0" w:firstLine="0"/>
    </w:pPr>
    <w:rPr>
      <w:rFonts w:cs="Calibri"/>
      <w:lang w:eastAsia="en-NZ"/>
    </w:rPr>
  </w:style>
  <w:style w:type="character" w:customStyle="1" w:styleId="DocumentMapChar">
    <w:name w:val="Document Map Char"/>
    <w:rsid w:val="00794E72"/>
    <w:rPr>
      <w:rFonts w:ascii="Times New Roman" w:eastAsia="Times New Roman" w:hAnsi="Times New Roman"/>
      <w:sz w:val="0"/>
      <w:szCs w:val="0"/>
    </w:rPr>
  </w:style>
  <w:style w:type="character" w:customStyle="1" w:styleId="DocumentMapChar1">
    <w:name w:val="Document Map Char1"/>
    <w:link w:val="DocumentMap"/>
    <w:uiPriority w:val="99"/>
    <w:locked/>
    <w:rsid w:val="00794E72"/>
    <w:rPr>
      <w:rFonts w:ascii="Tahoma" w:hAnsi="Tahoma"/>
      <w:sz w:val="24"/>
      <w:shd w:val="clear" w:color="auto" w:fill="000080"/>
      <w:lang w:val="en-GB" w:eastAsia="ru-RU"/>
    </w:rPr>
  </w:style>
  <w:style w:type="paragraph" w:styleId="TOCHeading">
    <w:name w:val="TOC Heading"/>
    <w:basedOn w:val="Heading1"/>
    <w:next w:val="Normal"/>
    <w:uiPriority w:val="39"/>
    <w:unhideWhenUsed/>
    <w:qFormat/>
    <w:rsid w:val="002E5B73"/>
    <w:pPr>
      <w:outlineLvl w:val="9"/>
    </w:pPr>
    <w:rPr>
      <w:lang w:bidi="en-US"/>
    </w:rPr>
  </w:style>
  <w:style w:type="character" w:customStyle="1" w:styleId="StyleGHEAGrapalatJustifiedBefore12ptChar">
    <w:name w:val="Style GHEA Grapalat Justified Before:  12 pt Char"/>
    <w:link w:val="StyleGHEAGrapalatJustifiedBefore12pt"/>
    <w:locked/>
    <w:rsid w:val="00F6409E"/>
    <w:rPr>
      <w:rFonts w:ascii="GHEA Grapalat" w:hAnsi="GHEA Grapalat"/>
      <w:sz w:val="22"/>
      <w:lang w:val="ru-RU" w:eastAsia="ru-RU"/>
    </w:rPr>
  </w:style>
  <w:style w:type="paragraph" w:customStyle="1" w:styleId="StyleGHEAGrapalatJustifiedBefore12pt">
    <w:name w:val="Style GHEA Grapalat Justified Before:  12 pt"/>
    <w:basedOn w:val="Normal"/>
    <w:link w:val="StyleGHEAGrapalatJustifiedBefore12ptChar"/>
    <w:rsid w:val="00F6409E"/>
    <w:pPr>
      <w:numPr>
        <w:numId w:val="15"/>
      </w:numPr>
      <w:spacing w:before="240" w:after="240"/>
    </w:pPr>
    <w:rPr>
      <w:szCs w:val="20"/>
      <w:lang w:val="ru-RU" w:eastAsia="ru-RU"/>
    </w:rPr>
  </w:style>
  <w:style w:type="character" w:customStyle="1" w:styleId="FontStyle32">
    <w:name w:val="Font Style32"/>
    <w:uiPriority w:val="99"/>
    <w:rsid w:val="00F6409E"/>
    <w:rPr>
      <w:rFonts w:ascii="Tahoma" w:hAnsi="Tahoma" w:cs="Tahoma"/>
      <w:sz w:val="20"/>
      <w:szCs w:val="20"/>
    </w:rPr>
  </w:style>
  <w:style w:type="paragraph" w:customStyle="1" w:styleId="Text2">
    <w:name w:val="Text 2"/>
    <w:basedOn w:val="Normal"/>
    <w:rsid w:val="00F6409E"/>
    <w:pPr>
      <w:spacing w:before="120" w:after="120"/>
      <w:ind w:left="850"/>
    </w:pPr>
    <w:rPr>
      <w:lang w:val="en-GB" w:eastAsia="zh-CN"/>
    </w:rPr>
  </w:style>
  <w:style w:type="character" w:customStyle="1" w:styleId="fnChar2">
    <w:name w:val="fn Char2"/>
    <w:aliases w:val="ADB Char2,single space Char1,footnote text Char Char1,fn Char Char1,ADB Char Char1,single space Char Char Char1,footnote text Char2,FOOTNOTES Char Char1,FOOTNOTES Char Char Char Char1,FOOTNOTES Char2,Footnote Text Char2,fn Char3,ADB Char3,f Cha"/>
    <w:uiPriority w:val="99"/>
    <w:locked/>
    <w:rsid w:val="00F6409E"/>
    <w:rPr>
      <w:lang w:val="ru-RU" w:eastAsia="ru-RU"/>
    </w:rPr>
  </w:style>
  <w:style w:type="paragraph" w:customStyle="1" w:styleId="article-type">
    <w:name w:val="article-type"/>
    <w:basedOn w:val="Normal"/>
    <w:rsid w:val="00F6409E"/>
    <w:pPr>
      <w:spacing w:before="100" w:beforeAutospacing="1" w:after="100" w:afterAutospacing="1"/>
    </w:pPr>
    <w:rPr>
      <w:lang w:val="ru-RU" w:eastAsia="ru-RU"/>
    </w:rPr>
  </w:style>
  <w:style w:type="paragraph" w:customStyle="1" w:styleId="wpn-byline">
    <w:name w:val="wpn-byline"/>
    <w:basedOn w:val="Normal"/>
    <w:rsid w:val="00F6409E"/>
    <w:pPr>
      <w:spacing w:before="100" w:beforeAutospacing="1" w:after="100" w:afterAutospacing="1"/>
    </w:pPr>
    <w:rPr>
      <w:lang w:val="ru-RU" w:eastAsia="ru-RU"/>
    </w:rPr>
  </w:style>
  <w:style w:type="paragraph" w:customStyle="1" w:styleId="headline10margin-bottom-20">
    <w:name w:val="headline10 margin-bottom-20"/>
    <w:basedOn w:val="Normal"/>
    <w:rsid w:val="00F6409E"/>
    <w:pPr>
      <w:spacing w:before="100" w:beforeAutospacing="1" w:after="100" w:afterAutospacing="1"/>
    </w:pPr>
    <w:rPr>
      <w:lang w:val="ru-RU" w:eastAsia="ru-RU"/>
    </w:rPr>
  </w:style>
  <w:style w:type="character" w:customStyle="1" w:styleId="published">
    <w:name w:val="published"/>
    <w:rsid w:val="00F6409E"/>
  </w:style>
  <w:style w:type="character" w:customStyle="1" w:styleId="divider">
    <w:name w:val="divider"/>
    <w:rsid w:val="00F6409E"/>
  </w:style>
  <w:style w:type="character" w:customStyle="1" w:styleId="authorvcard">
    <w:name w:val="author vcard"/>
    <w:rsid w:val="00F6409E"/>
  </w:style>
  <w:style w:type="character" w:customStyle="1" w:styleId="category">
    <w:name w:val="category"/>
    <w:rsid w:val="00F6409E"/>
  </w:style>
  <w:style w:type="character" w:customStyle="1" w:styleId="before">
    <w:name w:val="before"/>
    <w:rsid w:val="00F6409E"/>
  </w:style>
  <w:style w:type="character" w:customStyle="1" w:styleId="aqj">
    <w:name w:val="aqj"/>
    <w:rsid w:val="00F6409E"/>
  </w:style>
  <w:style w:type="character" w:customStyle="1" w:styleId="gd">
    <w:name w:val="gd"/>
    <w:rsid w:val="00F6409E"/>
  </w:style>
  <w:style w:type="character" w:customStyle="1" w:styleId="g3">
    <w:name w:val="g3"/>
    <w:rsid w:val="00F6409E"/>
  </w:style>
  <w:style w:type="character" w:customStyle="1" w:styleId="goa1h">
    <w:name w:val="go a1h"/>
    <w:rsid w:val="00F6409E"/>
  </w:style>
  <w:style w:type="character" w:customStyle="1" w:styleId="hb">
    <w:name w:val="hb"/>
    <w:rsid w:val="00F6409E"/>
  </w:style>
  <w:style w:type="character" w:customStyle="1" w:styleId="g2">
    <w:name w:val="g2"/>
    <w:rsid w:val="00F6409E"/>
  </w:style>
  <w:style w:type="character" w:customStyle="1" w:styleId="sizzle">
    <w:name w:val="sizzle"/>
    <w:basedOn w:val="DefaultParagraphFont"/>
    <w:rsid w:val="00DA22A9"/>
  </w:style>
  <w:style w:type="paragraph" w:customStyle="1" w:styleId="17">
    <w:name w:val="Абзац списка1"/>
    <w:basedOn w:val="Normal"/>
    <w:qFormat/>
    <w:rsid w:val="00DA22A9"/>
    <w:pPr>
      <w:ind w:left="720"/>
    </w:pPr>
  </w:style>
  <w:style w:type="character" w:customStyle="1" w:styleId="CharChar112">
    <w:name w:val="Char Char112"/>
    <w:uiPriority w:val="99"/>
    <w:rsid w:val="00DA22A9"/>
    <w:rPr>
      <w:rFonts w:ascii="Arial Armenian" w:hAnsi="Arial Armenian"/>
      <w:lang w:val="ru-RU" w:eastAsia="ru-RU" w:bidi="ar-SA"/>
    </w:rPr>
  </w:style>
  <w:style w:type="paragraph" w:customStyle="1" w:styleId="a9">
    <w:name w:val="Знак"/>
    <w:basedOn w:val="Normal"/>
    <w:rsid w:val="00DA22A9"/>
    <w:pPr>
      <w:spacing w:line="240" w:lineRule="exact"/>
    </w:pPr>
    <w:rPr>
      <w:rFonts w:ascii="Arial" w:hAnsi="Arial" w:cs="Arial"/>
      <w:sz w:val="20"/>
      <w:szCs w:val="20"/>
      <w:lang w:val="en-GB"/>
    </w:rPr>
  </w:style>
  <w:style w:type="paragraph" w:customStyle="1" w:styleId="StyleGHEAGrapalatJustifiedAfter6ptLinespacingMultip">
    <w:name w:val="Style GHEA Grapalat Justified After:  6 pt Line spacing:  Multip..."/>
    <w:basedOn w:val="Normal"/>
    <w:rsid w:val="002911BC"/>
    <w:pPr>
      <w:numPr>
        <w:numId w:val="16"/>
      </w:numPr>
      <w:spacing w:before="240" w:after="240"/>
    </w:pPr>
    <w:rPr>
      <w:szCs w:val="20"/>
      <w:lang w:val="hy-AM" w:eastAsia="ru-RU"/>
    </w:rPr>
  </w:style>
  <w:style w:type="paragraph" w:customStyle="1" w:styleId="StyleStyleHeading2ChapterParanumTextSylfaenGHEAGrapa">
    <w:name w:val="Style Style Heading 2.(Chapter).Paranum.Text + Sylfaen + GHEA Grapa..."/>
    <w:basedOn w:val="StyleHeading2ChapterParanumTextSylfaen"/>
    <w:qFormat/>
    <w:rsid w:val="008A4855"/>
    <w:rPr>
      <w:rFonts w:ascii="GHEA Grapalat" w:hAnsi="GHEA Grapalat"/>
    </w:rPr>
  </w:style>
  <w:style w:type="paragraph" w:customStyle="1" w:styleId="18">
    <w:name w:val="Без интервала1"/>
    <w:link w:val="aa"/>
    <w:uiPriority w:val="1"/>
    <w:qFormat/>
    <w:rsid w:val="00E46197"/>
    <w:pPr>
      <w:spacing w:after="160" w:line="259" w:lineRule="auto"/>
    </w:pPr>
    <w:rPr>
      <w:lang w:val="ru-RU" w:eastAsia="ru-RU"/>
    </w:rPr>
  </w:style>
  <w:style w:type="character" w:customStyle="1" w:styleId="aa">
    <w:name w:val="Без интервала Знак"/>
    <w:link w:val="18"/>
    <w:rsid w:val="00E46197"/>
    <w:rPr>
      <w:rFonts w:ascii="Calibri" w:hAnsi="Calibri"/>
      <w:sz w:val="22"/>
      <w:szCs w:val="22"/>
      <w:lang w:bidi="ar-SA"/>
    </w:rPr>
  </w:style>
  <w:style w:type="paragraph" w:customStyle="1" w:styleId="19">
    <w:name w:val="Обычный1"/>
    <w:rsid w:val="00E46197"/>
    <w:pPr>
      <w:autoSpaceDE w:val="0"/>
      <w:autoSpaceDN w:val="0"/>
      <w:spacing w:after="160" w:line="259" w:lineRule="auto"/>
    </w:pPr>
    <w:rPr>
      <w:lang w:val="ru-RU" w:eastAsia="ru-RU"/>
    </w:rPr>
  </w:style>
  <w:style w:type="paragraph" w:customStyle="1" w:styleId="1a">
    <w:name w:val="Рецензия1"/>
    <w:hidden/>
    <w:semiHidden/>
    <w:rsid w:val="00E46197"/>
    <w:pPr>
      <w:spacing w:after="160" w:line="259" w:lineRule="auto"/>
    </w:pPr>
    <w:rPr>
      <w:rFonts w:ascii="Arial Armenian" w:hAnsi="Arial Armenian" w:cs="Sylfaen"/>
      <w:sz w:val="24"/>
      <w:szCs w:val="24"/>
      <w:lang w:val="ru-RU" w:eastAsia="ru-RU"/>
    </w:rPr>
  </w:style>
  <w:style w:type="paragraph" w:customStyle="1" w:styleId="32">
    <w:name w:val="???????? ????? ? ???????? 3"/>
    <w:basedOn w:val="a1"/>
    <w:uiPriority w:val="99"/>
    <w:rsid w:val="00F32F60"/>
    <w:pPr>
      <w:ind w:firstLine="360"/>
      <w:jc w:val="both"/>
    </w:pPr>
    <w:rPr>
      <w:rFonts w:ascii="Times Armenian" w:hAnsi="Times Armenian"/>
      <w:sz w:val="24"/>
      <w:lang w:val="af-ZA"/>
    </w:rPr>
  </w:style>
  <w:style w:type="paragraph" w:customStyle="1" w:styleId="60">
    <w:name w:val="????????? 6"/>
    <w:basedOn w:val="a1"/>
    <w:next w:val="a1"/>
    <w:uiPriority w:val="99"/>
    <w:rsid w:val="00F32F60"/>
    <w:pPr>
      <w:keepNext/>
      <w:jc w:val="center"/>
      <w:outlineLvl w:val="5"/>
    </w:pPr>
    <w:rPr>
      <w:rFonts w:ascii="Times Armenian" w:hAnsi="Times Armenian"/>
      <w:i/>
      <w:lang w:val="en-US"/>
    </w:rPr>
  </w:style>
  <w:style w:type="paragraph" w:customStyle="1" w:styleId="310">
    <w:name w:val="???????? ????? 31"/>
    <w:basedOn w:val="a1"/>
    <w:uiPriority w:val="99"/>
    <w:rsid w:val="00F32F60"/>
    <w:pPr>
      <w:jc w:val="center"/>
    </w:pPr>
    <w:rPr>
      <w:rFonts w:ascii="Arial Armenian" w:hAnsi="Arial Armenian"/>
      <w:sz w:val="24"/>
      <w:lang w:val="en-AU"/>
    </w:rPr>
  </w:style>
  <w:style w:type="paragraph" w:customStyle="1" w:styleId="25">
    <w:name w:val="????????? 2"/>
    <w:basedOn w:val="a1"/>
    <w:next w:val="a1"/>
    <w:uiPriority w:val="99"/>
    <w:rsid w:val="00F32F60"/>
    <w:pPr>
      <w:keepNext/>
      <w:ind w:firstLine="720"/>
      <w:outlineLvl w:val="1"/>
    </w:pPr>
    <w:rPr>
      <w:rFonts w:ascii="Times LatArm" w:hAnsi="Times LatArm"/>
      <w:b/>
      <w:i/>
      <w:sz w:val="28"/>
      <w:lang w:val="en-US"/>
    </w:rPr>
  </w:style>
  <w:style w:type="paragraph" w:customStyle="1" w:styleId="40">
    <w:name w:val="????????? 4"/>
    <w:basedOn w:val="a1"/>
    <w:next w:val="a1"/>
    <w:uiPriority w:val="99"/>
    <w:rsid w:val="00F32F60"/>
    <w:pPr>
      <w:keepNext/>
      <w:spacing w:line="360" w:lineRule="auto"/>
      <w:ind w:firstLine="360"/>
      <w:jc w:val="both"/>
      <w:outlineLvl w:val="3"/>
    </w:pPr>
    <w:rPr>
      <w:rFonts w:ascii="Times LatArm" w:hAnsi="Times LatArm"/>
      <w:i/>
      <w:noProof/>
      <w:sz w:val="24"/>
    </w:rPr>
  </w:style>
  <w:style w:type="paragraph" w:customStyle="1" w:styleId="1b">
    <w:name w:val="????????? 1"/>
    <w:basedOn w:val="Normal"/>
    <w:next w:val="Normal"/>
    <w:rsid w:val="00F32F60"/>
    <w:pPr>
      <w:keepNext/>
      <w:outlineLvl w:val="0"/>
    </w:pPr>
    <w:rPr>
      <w:rFonts w:ascii="Times Armenian" w:hAnsi="Times Armenian"/>
      <w:i/>
      <w:szCs w:val="20"/>
      <w:lang w:eastAsia="ru-RU"/>
    </w:rPr>
  </w:style>
  <w:style w:type="paragraph" w:customStyle="1" w:styleId="CharChar0">
    <w:name w:val="Знак Знак Char Char"/>
    <w:basedOn w:val="Normal"/>
    <w:rsid w:val="00F32F60"/>
    <w:pPr>
      <w:spacing w:line="240" w:lineRule="exact"/>
    </w:pPr>
    <w:rPr>
      <w:rFonts w:ascii="Arial" w:hAnsi="Arial" w:cs="Arial"/>
      <w:sz w:val="20"/>
      <w:szCs w:val="20"/>
    </w:rPr>
  </w:style>
  <w:style w:type="paragraph" w:customStyle="1" w:styleId="CharChar6">
    <w:name w:val="Знак Знак Char Char Знак Знак"/>
    <w:basedOn w:val="Normal"/>
    <w:rsid w:val="00F32F60"/>
    <w:pPr>
      <w:spacing w:line="240" w:lineRule="exact"/>
    </w:pPr>
    <w:rPr>
      <w:rFonts w:ascii="Arial" w:hAnsi="Arial" w:cs="Arial"/>
      <w:sz w:val="20"/>
      <w:szCs w:val="20"/>
    </w:rPr>
  </w:style>
  <w:style w:type="paragraph" w:customStyle="1" w:styleId="Para">
    <w:name w:val="Para"/>
    <w:basedOn w:val="Normal"/>
    <w:autoRedefine/>
    <w:rsid w:val="00F32F60"/>
    <w:pPr>
      <w:suppressAutoHyphens/>
    </w:pPr>
    <w:rPr>
      <w:rFonts w:eastAsia="Calibri" w:cs="Sylfaen"/>
      <w:bCs/>
      <w:kern w:val="1"/>
      <w:lang w:val="hy-AM"/>
    </w:rPr>
  </w:style>
  <w:style w:type="paragraph" w:customStyle="1" w:styleId="ModelNrmlSingle">
    <w:name w:val="ModelNrmlSingle"/>
    <w:basedOn w:val="Normal"/>
    <w:rsid w:val="00F32F60"/>
    <w:pPr>
      <w:spacing w:after="240"/>
      <w:ind w:firstLine="720"/>
    </w:pPr>
    <w:rPr>
      <w:szCs w:val="20"/>
    </w:rPr>
  </w:style>
  <w:style w:type="paragraph" w:customStyle="1" w:styleId="Char5">
    <w:name w:val="Char5"/>
    <w:basedOn w:val="Normal"/>
    <w:rsid w:val="008568FE"/>
    <w:pPr>
      <w:spacing w:line="240" w:lineRule="exact"/>
    </w:pPr>
    <w:rPr>
      <w:rFonts w:ascii="Arial" w:eastAsia="Calibri" w:hAnsi="Arial" w:cs="Arial"/>
      <w:sz w:val="20"/>
      <w:szCs w:val="20"/>
    </w:rPr>
  </w:style>
  <w:style w:type="paragraph" w:customStyle="1" w:styleId="33">
    <w:name w:val="Знак Знак3"/>
    <w:basedOn w:val="Normal"/>
    <w:link w:val="Char11"/>
    <w:rsid w:val="008568FE"/>
    <w:pPr>
      <w:spacing w:line="240" w:lineRule="exact"/>
    </w:pPr>
    <w:rPr>
      <w:rFonts w:ascii="Arial" w:eastAsia="Calibri" w:hAnsi="Arial"/>
      <w:sz w:val="20"/>
      <w:szCs w:val="20"/>
      <w:lang w:val="en-GB"/>
    </w:rPr>
  </w:style>
  <w:style w:type="character" w:customStyle="1" w:styleId="Char11">
    <w:name w:val="Знак Знак Char1"/>
    <w:link w:val="33"/>
    <w:locked/>
    <w:rsid w:val="008568FE"/>
    <w:rPr>
      <w:rFonts w:ascii="Arial" w:eastAsia="Calibri" w:hAnsi="Arial"/>
      <w:lang w:val="en-GB"/>
    </w:rPr>
  </w:style>
  <w:style w:type="paragraph" w:customStyle="1" w:styleId="CharChar60">
    <w:name w:val="Char Char6"/>
    <w:basedOn w:val="Normal"/>
    <w:rsid w:val="008568FE"/>
    <w:pPr>
      <w:spacing w:line="240" w:lineRule="exact"/>
    </w:pPr>
    <w:rPr>
      <w:rFonts w:ascii="Arial" w:eastAsia="Calibri" w:hAnsi="Arial" w:cs="Arial"/>
      <w:sz w:val="20"/>
      <w:szCs w:val="20"/>
    </w:rPr>
  </w:style>
  <w:style w:type="paragraph" w:customStyle="1" w:styleId="CharCharChar10">
    <w:name w:val="Char Char Char1"/>
    <w:basedOn w:val="Normal"/>
    <w:rsid w:val="008568FE"/>
    <w:pPr>
      <w:spacing w:line="240" w:lineRule="exact"/>
    </w:pPr>
    <w:rPr>
      <w:rFonts w:ascii="Arial" w:eastAsia="Calibri" w:hAnsi="Arial" w:cs="Arial"/>
      <w:sz w:val="20"/>
      <w:szCs w:val="20"/>
    </w:rPr>
  </w:style>
  <w:style w:type="paragraph" w:customStyle="1" w:styleId="Znak1">
    <w:name w:val="Znak1"/>
    <w:basedOn w:val="Normal"/>
    <w:rsid w:val="008568FE"/>
    <w:pPr>
      <w:tabs>
        <w:tab w:val="left" w:pos="709"/>
      </w:tabs>
    </w:pPr>
    <w:rPr>
      <w:rFonts w:ascii="Tahoma" w:eastAsia="Calibri" w:hAnsi="Tahoma"/>
      <w:lang w:val="pl-PL" w:eastAsia="pl-PL"/>
    </w:rPr>
  </w:style>
  <w:style w:type="paragraph" w:customStyle="1" w:styleId="CharCharCharCharCharCharCharCharCharCharCharCharChar1">
    <w:name w:val="Char Char Char Char Char Char Char Char Char Char Char Char Char1"/>
    <w:basedOn w:val="Normal"/>
    <w:rsid w:val="008568FE"/>
    <w:pPr>
      <w:spacing w:line="240" w:lineRule="exact"/>
    </w:pPr>
    <w:rPr>
      <w:rFonts w:ascii="Arial" w:eastAsia="Calibri" w:hAnsi="Arial" w:cs="Arial"/>
      <w:sz w:val="20"/>
      <w:szCs w:val="20"/>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autoRedefine/>
    <w:rsid w:val="008568FE"/>
    <w:pPr>
      <w:spacing w:line="240" w:lineRule="exact"/>
    </w:pPr>
    <w:rPr>
      <w:rFonts w:eastAsia="Calibri"/>
      <w:sz w:val="28"/>
      <w:szCs w:val="20"/>
    </w:rPr>
  </w:style>
  <w:style w:type="paragraph" w:customStyle="1" w:styleId="CharCharChar11">
    <w:name w:val="Char Char Char Знак1"/>
    <w:basedOn w:val="Normal"/>
    <w:next w:val="Normal"/>
    <w:rsid w:val="008568FE"/>
    <w:pPr>
      <w:spacing w:line="240" w:lineRule="exact"/>
    </w:pPr>
    <w:rPr>
      <w:rFonts w:ascii="Tahoma" w:eastAsia="Calibri" w:hAnsi="Tahoma"/>
      <w:szCs w:val="20"/>
    </w:rPr>
  </w:style>
  <w:style w:type="paragraph" w:customStyle="1" w:styleId="CharCharCharCharCharCharCharChar1">
    <w:name w:val="Char Char Char Char Char Char Char Char1"/>
    <w:basedOn w:val="Normal"/>
    <w:rsid w:val="008568FE"/>
    <w:pPr>
      <w:spacing w:line="240" w:lineRule="exact"/>
    </w:pPr>
    <w:rPr>
      <w:rFonts w:ascii="Arial" w:eastAsia="Calibri" w:hAnsi="Arial" w:cs="Arial"/>
      <w:sz w:val="20"/>
      <w:szCs w:val="20"/>
    </w:rPr>
  </w:style>
  <w:style w:type="paragraph" w:customStyle="1" w:styleId="CharCharCharCharCharCharCharCharCharCharCharCharCharCharChar2">
    <w:name w:val="Char Char Char Char Знак Char Знак Char Char Char Char Char Char Char Char Char Char2"/>
    <w:basedOn w:val="Normal"/>
    <w:rsid w:val="008568FE"/>
    <w:pPr>
      <w:tabs>
        <w:tab w:val="left" w:pos="709"/>
      </w:tabs>
    </w:pPr>
    <w:rPr>
      <w:rFonts w:ascii="Tahoma" w:eastAsia="Calibri" w:hAnsi="Tahoma"/>
      <w:lang w:val="pl-PL" w:eastAsia="pl-PL"/>
    </w:rPr>
  </w:style>
  <w:style w:type="paragraph" w:customStyle="1" w:styleId="CharCharCharCharCharCharChar1">
    <w:name w:val="Char Char Char Char Char Char Char1"/>
    <w:basedOn w:val="Normal"/>
    <w:rsid w:val="008568FE"/>
    <w:pPr>
      <w:spacing w:line="240" w:lineRule="exact"/>
    </w:pPr>
    <w:rPr>
      <w:rFonts w:ascii="Arial" w:eastAsia="Calibri" w:hAnsi="Arial" w:cs="Arial"/>
      <w:sz w:val="20"/>
      <w:szCs w:val="20"/>
    </w:rPr>
  </w:style>
  <w:style w:type="paragraph" w:customStyle="1" w:styleId="CharCharChar12">
    <w:name w:val="Char Char Char Знак Знак1"/>
    <w:basedOn w:val="Normal"/>
    <w:rsid w:val="008568FE"/>
    <w:pPr>
      <w:spacing w:line="240" w:lineRule="exact"/>
    </w:pPr>
    <w:rPr>
      <w:rFonts w:ascii="Arial" w:eastAsia="Calibri" w:hAnsi="Arial" w:cs="Arial"/>
      <w:sz w:val="20"/>
      <w:szCs w:val="20"/>
    </w:rPr>
  </w:style>
  <w:style w:type="paragraph" w:customStyle="1" w:styleId="CharCharCharCharCharCharCharCharCharChar1">
    <w:name w:val="Char Char Char Char Char Char Char Char Char Char1"/>
    <w:basedOn w:val="Normal"/>
    <w:rsid w:val="008568FE"/>
    <w:pPr>
      <w:spacing w:line="240" w:lineRule="exact"/>
    </w:pPr>
    <w:rPr>
      <w:rFonts w:ascii="Arial" w:eastAsia="Calibri" w:hAnsi="Arial" w:cs="Arial"/>
      <w:sz w:val="20"/>
      <w:szCs w:val="20"/>
    </w:rPr>
  </w:style>
  <w:style w:type="paragraph" w:customStyle="1" w:styleId="1CharChar1">
    <w:name w:val="Знак Знак1 Char Char Знак Знак1"/>
    <w:basedOn w:val="Normal"/>
    <w:rsid w:val="008568FE"/>
    <w:pPr>
      <w:tabs>
        <w:tab w:val="num" w:pos="840"/>
      </w:tabs>
      <w:spacing w:line="240" w:lineRule="exact"/>
      <w:ind w:left="840" w:hanging="360"/>
    </w:pPr>
    <w:rPr>
      <w:rFonts w:ascii="Verdana" w:eastAsia="Calibri" w:hAnsi="Verdana"/>
      <w:sz w:val="20"/>
      <w:szCs w:val="20"/>
      <w:lang w:val="ru-RU"/>
    </w:rPr>
  </w:style>
  <w:style w:type="paragraph" w:customStyle="1" w:styleId="CharCharCharChar1">
    <w:name w:val="Знак Знак Char Char Знак Знак Char Char Знак Знак1"/>
    <w:basedOn w:val="Normal"/>
    <w:autoRedefine/>
    <w:rsid w:val="008568FE"/>
    <w:pPr>
      <w:spacing w:line="240" w:lineRule="exact"/>
    </w:pPr>
    <w:rPr>
      <w:rFonts w:eastAsia="Calibri"/>
      <w:sz w:val="28"/>
      <w:szCs w:val="20"/>
    </w:rPr>
  </w:style>
  <w:style w:type="paragraph" w:customStyle="1" w:styleId="CharCharChar1Char1">
    <w:name w:val="Char Char Char1 Char1"/>
    <w:basedOn w:val="Normal"/>
    <w:rsid w:val="008568FE"/>
    <w:pPr>
      <w:spacing w:line="240" w:lineRule="exact"/>
    </w:pPr>
    <w:rPr>
      <w:rFonts w:ascii="Arial" w:eastAsia="Calibri" w:hAnsi="Arial" w:cs="Arial"/>
      <w:sz w:val="20"/>
      <w:szCs w:val="20"/>
    </w:rPr>
  </w:style>
  <w:style w:type="paragraph" w:customStyle="1" w:styleId="110">
    <w:name w:val="Знак Знак11"/>
    <w:basedOn w:val="Normal"/>
    <w:rsid w:val="008568FE"/>
    <w:pPr>
      <w:spacing w:line="240" w:lineRule="exact"/>
    </w:pPr>
    <w:rPr>
      <w:rFonts w:ascii="Arial" w:eastAsia="MS Mincho" w:hAnsi="Arial" w:cs="Arial"/>
      <w:sz w:val="20"/>
      <w:szCs w:val="20"/>
    </w:rPr>
  </w:style>
  <w:style w:type="paragraph" w:customStyle="1" w:styleId="CharCharCharCharChar10">
    <w:name w:val="Char Char Char Char Char Знак Знак1"/>
    <w:basedOn w:val="Normal"/>
    <w:rsid w:val="008568FE"/>
    <w:pPr>
      <w:spacing w:line="240" w:lineRule="exact"/>
    </w:pPr>
    <w:rPr>
      <w:rFonts w:ascii="Arial" w:eastAsia="Calibri" w:hAnsi="Arial" w:cs="Arial"/>
      <w:sz w:val="20"/>
      <w:szCs w:val="20"/>
    </w:rPr>
  </w:style>
  <w:style w:type="paragraph" w:customStyle="1" w:styleId="CharChar1CharCharChar1Char1">
    <w:name w:val="Char Char1 Char Char Char1 Char1"/>
    <w:basedOn w:val="Normal"/>
    <w:autoRedefine/>
    <w:rsid w:val="008568FE"/>
    <w:rPr>
      <w:rFonts w:eastAsia="SimSun"/>
      <w:sz w:val="20"/>
      <w:szCs w:val="20"/>
      <w:lang w:eastAsia="ru-RU"/>
    </w:rPr>
  </w:style>
  <w:style w:type="paragraph" w:customStyle="1" w:styleId="41">
    <w:name w:val="Знак Знак41"/>
    <w:basedOn w:val="Normal"/>
    <w:rsid w:val="008568FE"/>
    <w:pPr>
      <w:tabs>
        <w:tab w:val="left" w:pos="709"/>
      </w:tabs>
    </w:pPr>
    <w:rPr>
      <w:rFonts w:ascii="Tahoma" w:eastAsia="Calibri" w:hAnsi="Tahoma"/>
      <w:lang w:val="pl-PL" w:eastAsia="pl-PL"/>
    </w:rPr>
  </w:style>
  <w:style w:type="paragraph" w:customStyle="1" w:styleId="Char13">
    <w:name w:val="Знак Char Знак1"/>
    <w:basedOn w:val="Normal"/>
    <w:rsid w:val="008568FE"/>
    <w:pPr>
      <w:spacing w:line="240" w:lineRule="exact"/>
    </w:pPr>
    <w:rPr>
      <w:rFonts w:ascii="Arial" w:eastAsia="Batang" w:hAnsi="Arial" w:cs="Arial"/>
      <w:sz w:val="20"/>
      <w:szCs w:val="20"/>
    </w:rPr>
  </w:style>
  <w:style w:type="paragraph" w:customStyle="1" w:styleId="CharCharCharCharCharChar1">
    <w:name w:val="Знак Знак Char Char Знак Знак Char Char Знак Знак Char Char1"/>
    <w:basedOn w:val="Normal"/>
    <w:autoRedefine/>
    <w:rsid w:val="008568FE"/>
    <w:pPr>
      <w:spacing w:line="240" w:lineRule="exact"/>
    </w:pPr>
    <w:rPr>
      <w:rFonts w:eastAsia="Calibri"/>
      <w:sz w:val="28"/>
      <w:szCs w:val="20"/>
    </w:rPr>
  </w:style>
  <w:style w:type="paragraph" w:customStyle="1" w:styleId="212">
    <w:name w:val="Знак Знак21"/>
    <w:basedOn w:val="Normal"/>
    <w:rsid w:val="008568FE"/>
    <w:pPr>
      <w:spacing w:line="240" w:lineRule="exact"/>
    </w:pPr>
    <w:rPr>
      <w:rFonts w:ascii="Arial" w:eastAsia="Calibri" w:hAnsi="Arial" w:cs="Arial"/>
      <w:sz w:val="20"/>
      <w:szCs w:val="20"/>
    </w:rPr>
  </w:style>
  <w:style w:type="paragraph" w:customStyle="1" w:styleId="CharCharCharCharChar11">
    <w:name w:val="Char Char Char Char Char1"/>
    <w:basedOn w:val="Normal"/>
    <w:rsid w:val="008568FE"/>
    <w:pPr>
      <w:spacing w:line="240" w:lineRule="exact"/>
    </w:pPr>
    <w:rPr>
      <w:rFonts w:ascii="Arial" w:eastAsia="Calibri" w:hAnsi="Arial" w:cs="Arial"/>
      <w:sz w:val="20"/>
      <w:szCs w:val="20"/>
    </w:rPr>
  </w:style>
  <w:style w:type="paragraph" w:customStyle="1" w:styleId="CharCharCharCharChar12">
    <w:name w:val="Знак Char Char Знак Char Char Char1"/>
    <w:aliases w:val="Знак Char Char Знак Char Char1 Знак"/>
    <w:basedOn w:val="Normal"/>
    <w:next w:val="Normal"/>
    <w:semiHidden/>
    <w:rsid w:val="008568FE"/>
    <w:pPr>
      <w:spacing w:line="240" w:lineRule="exact"/>
    </w:pPr>
    <w:rPr>
      <w:rFonts w:ascii="Arial" w:eastAsia="Calibri" w:hAnsi="Arial" w:cs="Arial"/>
      <w:b/>
      <w:sz w:val="20"/>
      <w:szCs w:val="20"/>
      <w:lang w:val="en-GB"/>
    </w:rPr>
  </w:style>
  <w:style w:type="paragraph" w:customStyle="1" w:styleId="ListParagraph11">
    <w:name w:val="List Paragraph11"/>
    <w:basedOn w:val="Normal"/>
    <w:rsid w:val="008568FE"/>
    <w:pPr>
      <w:ind w:left="720" w:right="201" w:firstLine="900"/>
      <w:contextualSpacing/>
    </w:pPr>
    <w:rPr>
      <w:rFonts w:ascii="Times Armenian" w:eastAsia="Calibri" w:hAnsi="Times Armenian"/>
      <w:sz w:val="28"/>
      <w:szCs w:val="28"/>
      <w:lang w:val="hy-AM" w:eastAsia="ru-RU"/>
    </w:rPr>
  </w:style>
  <w:style w:type="paragraph" w:customStyle="1" w:styleId="CharCharCharCharCharChar2">
    <w:name w:val="Char Char Char Char Char Char2"/>
    <w:basedOn w:val="Normal"/>
    <w:rsid w:val="008568FE"/>
    <w:pPr>
      <w:spacing w:line="240" w:lineRule="exact"/>
    </w:pPr>
    <w:rPr>
      <w:rFonts w:ascii="Arial" w:eastAsia="Calibri" w:hAnsi="Arial" w:cs="Arial"/>
      <w:sz w:val="20"/>
      <w:szCs w:val="20"/>
    </w:rPr>
  </w:style>
  <w:style w:type="paragraph" w:customStyle="1" w:styleId="CharChar12">
    <w:name w:val="Char Char12"/>
    <w:basedOn w:val="Normal"/>
    <w:rsid w:val="008568FE"/>
    <w:pPr>
      <w:spacing w:line="240" w:lineRule="exact"/>
    </w:pPr>
    <w:rPr>
      <w:rFonts w:ascii="Arial" w:eastAsia="Calibri" w:hAnsi="Arial" w:cs="Arial"/>
      <w:sz w:val="20"/>
      <w:szCs w:val="20"/>
    </w:rPr>
  </w:style>
  <w:style w:type="paragraph" w:customStyle="1" w:styleId="34">
    <w:name w:val="Знак3"/>
    <w:basedOn w:val="Normal"/>
    <w:rsid w:val="008568FE"/>
    <w:pPr>
      <w:spacing w:line="240" w:lineRule="exact"/>
    </w:pPr>
    <w:rPr>
      <w:rFonts w:ascii="Arial" w:eastAsia="Calibri" w:hAnsi="Arial" w:cs="Arial"/>
      <w:sz w:val="20"/>
      <w:szCs w:val="20"/>
      <w:lang w:val="en-GB"/>
    </w:rPr>
  </w:style>
  <w:style w:type="paragraph" w:customStyle="1" w:styleId="BodyText11">
    <w:name w:val="Body Text11"/>
    <w:basedOn w:val="Normal"/>
    <w:rsid w:val="0088001C"/>
    <w:pPr>
      <w:tabs>
        <w:tab w:val="num" w:pos="0"/>
      </w:tabs>
      <w:spacing w:after="240"/>
    </w:pPr>
    <w:rPr>
      <w:rFonts w:ascii="Times Armenian" w:hAnsi="Times Armenian"/>
      <w:lang w:eastAsia="ru-RU"/>
    </w:rPr>
  </w:style>
  <w:style w:type="paragraph" w:styleId="Quote">
    <w:name w:val="Quote"/>
    <w:basedOn w:val="Normal"/>
    <w:next w:val="Normal"/>
    <w:link w:val="QuoteChar"/>
    <w:uiPriority w:val="29"/>
    <w:qFormat/>
    <w:rsid w:val="002E5B73"/>
    <w:pPr>
      <w:spacing w:before="200" w:after="0"/>
      <w:ind w:left="360" w:right="360"/>
    </w:pPr>
    <w:rPr>
      <w:i/>
      <w:iCs/>
    </w:rPr>
  </w:style>
  <w:style w:type="character" w:customStyle="1" w:styleId="QuoteChar">
    <w:name w:val="Quote Char"/>
    <w:basedOn w:val="DefaultParagraphFont"/>
    <w:link w:val="Quote"/>
    <w:uiPriority w:val="29"/>
    <w:rsid w:val="002E5B73"/>
    <w:rPr>
      <w:i/>
      <w:iCs/>
    </w:rPr>
  </w:style>
  <w:style w:type="character" w:styleId="IntenseEmphasis">
    <w:name w:val="Intense Emphasis"/>
    <w:uiPriority w:val="21"/>
    <w:qFormat/>
    <w:rsid w:val="002E5B73"/>
    <w:rPr>
      <w:b/>
      <w:bCs/>
    </w:rPr>
  </w:style>
  <w:style w:type="table" w:styleId="LightList-Accent1">
    <w:name w:val="Light List Accent 1"/>
    <w:basedOn w:val="TableNormal"/>
    <w:uiPriority w:val="61"/>
    <w:rsid w:val="0088001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7">
    <w:name w:val="Table Grid 7"/>
    <w:basedOn w:val="TableNormal"/>
    <w:rsid w:val="0088001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ColorfulGrid-Accent1">
    <w:name w:val="Colorful Grid Accent 1"/>
    <w:basedOn w:val="TableNormal"/>
    <w:uiPriority w:val="73"/>
    <w:rsid w:val="0088001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88001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Simple3">
    <w:name w:val="Table Simple 3"/>
    <w:basedOn w:val="TableNormal"/>
    <w:rsid w:val="0088001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rsid w:val="0088001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3">
    <w:name w:val="Table Grid 3"/>
    <w:basedOn w:val="TableNormal"/>
    <w:rsid w:val="0088001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
    <w:name w:val="Table Grid 1"/>
    <w:basedOn w:val="TableNormal"/>
    <w:rsid w:val="0088001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olumns5">
    <w:name w:val="Table Columns 5"/>
    <w:basedOn w:val="TableNormal"/>
    <w:rsid w:val="0088001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2">
    <w:name w:val="List Paragraph2"/>
    <w:basedOn w:val="Normal"/>
    <w:qFormat/>
    <w:rsid w:val="000E2224"/>
    <w:pPr>
      <w:ind w:left="720"/>
      <w:contextualSpacing/>
    </w:pPr>
    <w:rPr>
      <w:lang w:val="ru-RU" w:eastAsia="ru-RU"/>
    </w:rPr>
  </w:style>
  <w:style w:type="character" w:customStyle="1" w:styleId="A00">
    <w:name w:val="A0"/>
    <w:rsid w:val="000E2224"/>
    <w:rPr>
      <w:color w:val="000000"/>
      <w:sz w:val="56"/>
      <w:szCs w:val="56"/>
    </w:rPr>
  </w:style>
  <w:style w:type="paragraph" w:customStyle="1" w:styleId="1c">
    <w:name w:val="Знак1"/>
    <w:basedOn w:val="Normal"/>
    <w:rsid w:val="000E2224"/>
    <w:pPr>
      <w:spacing w:line="240" w:lineRule="exact"/>
    </w:pPr>
    <w:rPr>
      <w:rFonts w:ascii="Arial" w:hAnsi="Arial" w:cs="Arial"/>
      <w:sz w:val="20"/>
      <w:szCs w:val="20"/>
      <w:lang w:val="en-GB"/>
    </w:rPr>
  </w:style>
  <w:style w:type="character" w:customStyle="1" w:styleId="1d">
    <w:name w:val="Текст сноски Знак1"/>
    <w:semiHidden/>
    <w:rsid w:val="000E2224"/>
    <w:rPr>
      <w:sz w:val="20"/>
      <w:szCs w:val="20"/>
    </w:rPr>
  </w:style>
  <w:style w:type="character" w:customStyle="1" w:styleId="CharChar28">
    <w:name w:val="Char Char28"/>
    <w:rsid w:val="000E2224"/>
    <w:rPr>
      <w:rFonts w:ascii="Arial Armenian" w:hAnsi="Arial Armenian"/>
      <w:i/>
      <w:sz w:val="22"/>
      <w:u w:val="single"/>
      <w:lang w:val="en-GB"/>
    </w:rPr>
  </w:style>
  <w:style w:type="character" w:customStyle="1" w:styleId="CharChar27">
    <w:name w:val="Char Char27"/>
    <w:rsid w:val="000E2224"/>
    <w:rPr>
      <w:rFonts w:ascii="Garamond" w:hAnsi="Garamond"/>
      <w:i/>
      <w:spacing w:val="-5"/>
      <w:sz w:val="28"/>
      <w:shd w:val="pct5" w:color="auto" w:fill="auto"/>
      <w:lang w:val="en-GB"/>
    </w:rPr>
  </w:style>
  <w:style w:type="character" w:customStyle="1" w:styleId="CharChar26">
    <w:name w:val="Char Char26"/>
    <w:rsid w:val="000E2224"/>
    <w:rPr>
      <w:rFonts w:ascii="Arial Black" w:hAnsi="Arial Black"/>
      <w:caps/>
      <w:spacing w:val="60"/>
      <w:position w:val="4"/>
      <w:sz w:val="14"/>
      <w:lang w:val="en-GB"/>
    </w:rPr>
  </w:style>
  <w:style w:type="character" w:customStyle="1" w:styleId="CharChar25">
    <w:name w:val="Char Char25"/>
    <w:rsid w:val="000E2224"/>
    <w:rPr>
      <w:rFonts w:ascii="Garamond" w:hAnsi="Garamond"/>
      <w:b/>
      <w:i/>
      <w:kern w:val="28"/>
      <w:lang w:val="en-GB"/>
    </w:rPr>
  </w:style>
  <w:style w:type="character" w:customStyle="1" w:styleId="CharChar24">
    <w:name w:val="Char Char24"/>
    <w:rsid w:val="000E2224"/>
    <w:rPr>
      <w:rFonts w:ascii="Arial Armenian" w:hAnsi="Arial Armenian"/>
      <w:noProof/>
      <w:lang w:val="en-US" w:eastAsia="en-US" w:bidi="ar-SA"/>
    </w:rPr>
  </w:style>
  <w:style w:type="character" w:customStyle="1" w:styleId="CharChar23">
    <w:name w:val="Char Char23"/>
    <w:rsid w:val="000E2224"/>
    <w:rPr>
      <w:rFonts w:ascii="Arial Armenian" w:hAnsi="Arial Armenian"/>
      <w:lang w:val="en-GB" w:eastAsia="en-US" w:bidi="ar-SA"/>
    </w:rPr>
  </w:style>
  <w:style w:type="character" w:customStyle="1" w:styleId="CharChar22">
    <w:name w:val="Char Char22"/>
    <w:rsid w:val="000E2224"/>
    <w:rPr>
      <w:rFonts w:ascii="Arial Armenian" w:hAnsi="Arial Armenian"/>
      <w:lang w:val="ru-RU" w:eastAsia="ru-RU" w:bidi="ar-SA"/>
    </w:rPr>
  </w:style>
  <w:style w:type="paragraph" w:customStyle="1" w:styleId="Outline">
    <w:name w:val="Outline"/>
    <w:basedOn w:val="Normal"/>
    <w:rsid w:val="000E2224"/>
    <w:pPr>
      <w:spacing w:before="240"/>
    </w:pPr>
    <w:rPr>
      <w:kern w:val="28"/>
      <w:szCs w:val="20"/>
    </w:rPr>
  </w:style>
  <w:style w:type="paragraph" w:customStyle="1" w:styleId="ab">
    <w:name w:val="Îáû÷íûé"/>
    <w:rsid w:val="000E2224"/>
    <w:pPr>
      <w:spacing w:after="160" w:line="259" w:lineRule="auto"/>
    </w:pPr>
    <w:rPr>
      <w:rFonts w:ascii="Times Armenian" w:hAnsi="Times Armenian"/>
      <w:sz w:val="24"/>
    </w:rPr>
  </w:style>
  <w:style w:type="paragraph" w:customStyle="1" w:styleId="Style13">
    <w:name w:val="Style13"/>
    <w:basedOn w:val="Normal"/>
    <w:rsid w:val="000E2224"/>
    <w:pPr>
      <w:widowControl w:val="0"/>
      <w:autoSpaceDE w:val="0"/>
      <w:autoSpaceDN w:val="0"/>
      <w:adjustRightInd w:val="0"/>
    </w:pPr>
    <w:rPr>
      <w:rFonts w:ascii="Tahoma" w:eastAsia="SimSun" w:hAnsi="Tahoma" w:cs="Tahoma"/>
    </w:rPr>
  </w:style>
  <w:style w:type="character" w:customStyle="1" w:styleId="FontStyle27">
    <w:name w:val="Font Style27"/>
    <w:rsid w:val="000E2224"/>
    <w:rPr>
      <w:rFonts w:ascii="Tahoma" w:hAnsi="Tahoma" w:cs="Tahoma" w:hint="default"/>
      <w:sz w:val="14"/>
      <w:szCs w:val="14"/>
    </w:rPr>
  </w:style>
  <w:style w:type="paragraph" w:customStyle="1" w:styleId="Style14">
    <w:name w:val="Style14"/>
    <w:basedOn w:val="Normal"/>
    <w:rsid w:val="000E2224"/>
    <w:pPr>
      <w:widowControl w:val="0"/>
      <w:autoSpaceDE w:val="0"/>
      <w:autoSpaceDN w:val="0"/>
      <w:adjustRightInd w:val="0"/>
      <w:spacing w:line="211" w:lineRule="exact"/>
    </w:pPr>
    <w:rPr>
      <w:rFonts w:ascii="Tahoma" w:eastAsia="SimSun" w:hAnsi="Tahoma" w:cs="Tahoma"/>
    </w:rPr>
  </w:style>
  <w:style w:type="character" w:customStyle="1" w:styleId="FontStyle26">
    <w:name w:val="Font Style26"/>
    <w:rsid w:val="000E2224"/>
    <w:rPr>
      <w:rFonts w:ascii="Tahoma" w:hAnsi="Tahoma" w:cs="Tahoma" w:hint="default"/>
      <w:i/>
      <w:iCs/>
      <w:spacing w:val="10"/>
      <w:sz w:val="16"/>
      <w:szCs w:val="16"/>
    </w:rPr>
  </w:style>
  <w:style w:type="character" w:customStyle="1" w:styleId="FontStyle53">
    <w:name w:val="Font Style53"/>
    <w:rsid w:val="000E2224"/>
    <w:rPr>
      <w:rFonts w:ascii="Sylfaen" w:hAnsi="Sylfaen"/>
      <w:sz w:val="18"/>
    </w:rPr>
  </w:style>
  <w:style w:type="character" w:customStyle="1" w:styleId="shorttext">
    <w:name w:val="short_text"/>
    <w:rsid w:val="000E2224"/>
    <w:rPr>
      <w:rFonts w:cs="Times New Roman"/>
    </w:rPr>
  </w:style>
  <w:style w:type="table" w:customStyle="1" w:styleId="LightList-Accent11">
    <w:name w:val="Light List - Accent 11"/>
    <w:basedOn w:val="TableNormal"/>
    <w:uiPriority w:val="61"/>
    <w:rsid w:val="005F077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e">
    <w:name w:val="Нет списка1"/>
    <w:next w:val="NoList"/>
    <w:semiHidden/>
    <w:unhideWhenUsed/>
    <w:rsid w:val="00E563B1"/>
  </w:style>
  <w:style w:type="paragraph" w:customStyle="1" w:styleId="NoSpacing1">
    <w:name w:val="No Spacing1"/>
    <w:qFormat/>
    <w:rsid w:val="00E563B1"/>
    <w:pPr>
      <w:spacing w:after="160" w:line="259" w:lineRule="auto"/>
    </w:pPr>
  </w:style>
  <w:style w:type="paragraph" w:customStyle="1" w:styleId="26">
    <w:name w:val="Обычный2"/>
    <w:rsid w:val="00E563B1"/>
    <w:pPr>
      <w:autoSpaceDE w:val="0"/>
      <w:autoSpaceDN w:val="0"/>
      <w:spacing w:after="160" w:line="259" w:lineRule="auto"/>
    </w:pPr>
    <w:rPr>
      <w:lang w:val="ru-RU" w:eastAsia="ru-RU"/>
    </w:rPr>
  </w:style>
  <w:style w:type="paragraph" w:customStyle="1" w:styleId="Revision1">
    <w:name w:val="Revision1"/>
    <w:hidden/>
    <w:semiHidden/>
    <w:rsid w:val="00E563B1"/>
    <w:pPr>
      <w:spacing w:after="160" w:line="259" w:lineRule="auto"/>
    </w:pPr>
    <w:rPr>
      <w:rFonts w:ascii="Arial Armenian" w:hAnsi="Arial Armenian" w:cs="Sylfaen"/>
      <w:sz w:val="24"/>
      <w:szCs w:val="24"/>
      <w:lang w:val="ru-RU" w:eastAsia="ru-RU"/>
    </w:rPr>
  </w:style>
  <w:style w:type="paragraph" w:customStyle="1" w:styleId="TOCHeading1">
    <w:name w:val="TOC Heading1"/>
    <w:basedOn w:val="Heading1"/>
    <w:next w:val="Normal"/>
    <w:qFormat/>
    <w:rsid w:val="00E563B1"/>
    <w:pPr>
      <w:spacing w:before="480" w:after="0" w:line="276" w:lineRule="auto"/>
      <w:outlineLvl w:val="9"/>
    </w:pPr>
    <w:rPr>
      <w:rFonts w:ascii="Cambria" w:hAnsi="Cambria"/>
      <w:color w:val="365F91"/>
      <w:sz w:val="28"/>
    </w:rPr>
  </w:style>
  <w:style w:type="character" w:customStyle="1" w:styleId="NoSpacingChar1">
    <w:name w:val="No Spacing Char1"/>
    <w:rsid w:val="00E563B1"/>
    <w:rPr>
      <w:rFonts w:ascii="Calibri" w:eastAsia="Times New Roman" w:hAnsi="Calibri" w:cs="Times New Roman"/>
      <w:lang w:val="en-US"/>
    </w:rPr>
  </w:style>
  <w:style w:type="paragraph" w:customStyle="1" w:styleId="Quote1">
    <w:name w:val="Quote1"/>
    <w:basedOn w:val="Normal"/>
    <w:next w:val="Normal"/>
    <w:qFormat/>
    <w:rsid w:val="00E563B1"/>
    <w:rPr>
      <w:i/>
      <w:iCs/>
      <w:color w:val="000000"/>
    </w:rPr>
  </w:style>
  <w:style w:type="character" w:customStyle="1" w:styleId="IntenseEmphasis1">
    <w:name w:val="Intense Emphasis1"/>
    <w:qFormat/>
    <w:rsid w:val="00E563B1"/>
    <w:rPr>
      <w:b/>
      <w:bCs/>
      <w:i/>
      <w:iCs/>
      <w:color w:val="4F81BD"/>
    </w:rPr>
  </w:style>
  <w:style w:type="table" w:customStyle="1" w:styleId="ColorfulGrid-Accent11">
    <w:name w:val="Colorful Grid - Accent 11"/>
    <w:basedOn w:val="TableNormal"/>
    <w:rsid w:val="00E563B1"/>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E563B1"/>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CE125F"/>
    <w:pPr>
      <w:widowControl w:val="0"/>
      <w:suppressAutoHyphens/>
      <w:autoSpaceDN w:val="0"/>
      <w:spacing w:after="160" w:line="259" w:lineRule="auto"/>
      <w:textAlignment w:val="baseline"/>
    </w:pPr>
    <w:rPr>
      <w:kern w:val="3"/>
      <w:sz w:val="24"/>
      <w:szCs w:val="24"/>
    </w:rPr>
  </w:style>
  <w:style w:type="character" w:customStyle="1" w:styleId="PageNumber1">
    <w:name w:val="Page Number1"/>
    <w:rsid w:val="00CE125F"/>
    <w:rPr>
      <w:rFonts w:cs="Times New Roman"/>
    </w:rPr>
  </w:style>
  <w:style w:type="character" w:customStyle="1" w:styleId="ac">
    <w:name w:val="Основной текст_"/>
    <w:rsid w:val="00CE125F"/>
    <w:rPr>
      <w:rFonts w:ascii="Sylfaen" w:hAnsi="Sylfaen" w:cs="Sylfaen"/>
      <w:spacing w:val="20"/>
      <w:w w:val="80"/>
      <w:shd w:val="clear" w:color="auto" w:fill="FFFFFF"/>
    </w:rPr>
  </w:style>
  <w:style w:type="character" w:customStyle="1" w:styleId="27">
    <w:name w:val="Основной текст (2)_"/>
    <w:rsid w:val="00CE125F"/>
    <w:rPr>
      <w:rFonts w:ascii="Sylfaen" w:hAnsi="Sylfaen" w:cs="Sylfaen"/>
      <w:i/>
      <w:iCs/>
      <w:shd w:val="clear" w:color="auto" w:fill="FFFFFF"/>
    </w:rPr>
  </w:style>
  <w:style w:type="character" w:customStyle="1" w:styleId="35">
    <w:name w:val="Основной текст (3)_"/>
    <w:rsid w:val="00CE125F"/>
    <w:rPr>
      <w:rFonts w:ascii="Sylfaen" w:hAnsi="Sylfaen" w:cs="Sylfaen"/>
      <w:spacing w:val="20"/>
      <w:w w:val="80"/>
      <w:sz w:val="21"/>
      <w:szCs w:val="21"/>
      <w:shd w:val="clear" w:color="auto" w:fill="FFFFFF"/>
    </w:rPr>
  </w:style>
  <w:style w:type="character" w:customStyle="1" w:styleId="311pt">
    <w:name w:val="Основной текст (3) + 11 pt"/>
    <w:rsid w:val="00CE125F"/>
    <w:rPr>
      <w:rFonts w:ascii="Sylfaen" w:hAnsi="Sylfaen" w:cs="Sylfaen"/>
      <w:i/>
      <w:iCs/>
      <w:spacing w:val="0"/>
      <w:w w:val="100"/>
      <w:sz w:val="22"/>
      <w:szCs w:val="22"/>
      <w:shd w:val="clear" w:color="auto" w:fill="FFFFFF"/>
    </w:rPr>
  </w:style>
  <w:style w:type="character" w:customStyle="1" w:styleId="311pt1">
    <w:name w:val="Основной текст (3) + 11 pt1"/>
    <w:rsid w:val="00CE125F"/>
    <w:rPr>
      <w:rFonts w:ascii="Sylfaen" w:hAnsi="Sylfaen" w:cs="Sylfaen"/>
      <w:spacing w:val="0"/>
      <w:w w:val="100"/>
      <w:sz w:val="22"/>
      <w:szCs w:val="22"/>
      <w:shd w:val="clear" w:color="auto" w:fill="FFFFFF"/>
    </w:rPr>
  </w:style>
  <w:style w:type="character" w:customStyle="1" w:styleId="28">
    <w:name w:val="Основной текст2"/>
    <w:rsid w:val="00CE125F"/>
  </w:style>
  <w:style w:type="character" w:customStyle="1" w:styleId="42">
    <w:name w:val="Основной текст (4)_"/>
    <w:rsid w:val="00CE125F"/>
    <w:rPr>
      <w:rFonts w:ascii="Sylfaen" w:hAnsi="Sylfaen" w:cs="Sylfaen"/>
      <w:spacing w:val="20"/>
      <w:w w:val="80"/>
      <w:shd w:val="clear" w:color="auto" w:fill="FFFFFF"/>
    </w:rPr>
  </w:style>
  <w:style w:type="character" w:customStyle="1" w:styleId="4pt">
    <w:name w:val="Основной текст + 4 pt"/>
    <w:rsid w:val="00CE125F"/>
    <w:rPr>
      <w:rFonts w:ascii="Sylfaen" w:hAnsi="Sylfaen" w:cs="Sylfaen"/>
      <w:i/>
      <w:iCs/>
      <w:spacing w:val="0"/>
      <w:w w:val="100"/>
      <w:sz w:val="8"/>
      <w:szCs w:val="8"/>
      <w:shd w:val="clear" w:color="auto" w:fill="FFFFFF"/>
    </w:rPr>
  </w:style>
  <w:style w:type="character" w:customStyle="1" w:styleId="1f">
    <w:name w:val="Заголовок №1_"/>
    <w:rsid w:val="00CE125F"/>
    <w:rPr>
      <w:rFonts w:ascii="Sylfaen" w:hAnsi="Sylfaen" w:cs="Sylfaen"/>
      <w:i/>
      <w:iCs/>
      <w:spacing w:val="-30"/>
      <w:sz w:val="31"/>
      <w:szCs w:val="31"/>
      <w:shd w:val="clear" w:color="auto" w:fill="FFFFFF"/>
    </w:rPr>
  </w:style>
  <w:style w:type="character" w:customStyle="1" w:styleId="111">
    <w:name w:val="Заголовок №1 + 11"/>
    <w:rsid w:val="00CE125F"/>
    <w:rPr>
      <w:rFonts w:ascii="Sylfaen" w:hAnsi="Sylfaen" w:cs="Sylfaen"/>
      <w:i/>
      <w:iCs/>
      <w:spacing w:val="-20"/>
      <w:sz w:val="23"/>
      <w:szCs w:val="23"/>
      <w:shd w:val="clear" w:color="auto" w:fill="FFFFFF"/>
    </w:rPr>
  </w:style>
  <w:style w:type="character" w:customStyle="1" w:styleId="Sylfaen2">
    <w:name w:val="Основной текст + Sylfaen2"/>
    <w:rsid w:val="00CE125F"/>
    <w:rPr>
      <w:rFonts w:ascii="Sylfaen" w:hAnsi="Sylfaen" w:cs="Sylfaen"/>
      <w:spacing w:val="20"/>
      <w:w w:val="80"/>
      <w:sz w:val="22"/>
      <w:szCs w:val="22"/>
      <w:u w:val="none"/>
      <w:shd w:val="clear" w:color="auto" w:fill="FFFFFF"/>
    </w:rPr>
  </w:style>
  <w:style w:type="character" w:customStyle="1" w:styleId="Sylfaen1">
    <w:name w:val="Основной текст + Sylfaen1"/>
    <w:rsid w:val="00CE125F"/>
    <w:rPr>
      <w:rFonts w:ascii="Sylfaen" w:hAnsi="Sylfaen" w:cs="Sylfaen"/>
      <w:spacing w:val="20"/>
      <w:w w:val="80"/>
      <w:sz w:val="20"/>
      <w:szCs w:val="20"/>
      <w:u w:val="none"/>
      <w:shd w:val="clear" w:color="auto" w:fill="FFFFFF"/>
    </w:rPr>
  </w:style>
  <w:style w:type="character" w:customStyle="1" w:styleId="ad">
    <w:name w:val="Основной текст + Полужирный"/>
    <w:rsid w:val="00CE125F"/>
    <w:rPr>
      <w:rFonts w:ascii="Sylfaen" w:hAnsi="Sylfaen" w:cs="Sylfaen"/>
      <w:b/>
      <w:bCs/>
      <w:spacing w:val="20"/>
      <w:w w:val="80"/>
      <w:sz w:val="21"/>
      <w:szCs w:val="21"/>
      <w:u w:val="none"/>
      <w:shd w:val="clear" w:color="auto" w:fill="FFFFFF"/>
    </w:rPr>
  </w:style>
  <w:style w:type="character" w:customStyle="1" w:styleId="ListLabel1">
    <w:name w:val="ListLabel 1"/>
    <w:rsid w:val="00CE125F"/>
    <w:rPr>
      <w:rFonts w:eastAsia="Times New Roman"/>
      <w:color w:val="000000"/>
    </w:rPr>
  </w:style>
  <w:style w:type="character" w:customStyle="1" w:styleId="ListLabel2">
    <w:name w:val="ListLabel 2"/>
    <w:rsid w:val="00CE125F"/>
  </w:style>
  <w:style w:type="character" w:customStyle="1" w:styleId="ListLabel3">
    <w:name w:val="ListLabel 3"/>
    <w:rsid w:val="00CE125F"/>
  </w:style>
  <w:style w:type="character" w:customStyle="1" w:styleId="ListLabel4">
    <w:name w:val="ListLabel 4"/>
    <w:rsid w:val="00CE125F"/>
  </w:style>
  <w:style w:type="character" w:customStyle="1" w:styleId="ListLabel5">
    <w:name w:val="ListLabel 5"/>
    <w:rsid w:val="00CE125F"/>
    <w:rPr>
      <w:color w:val="auto"/>
    </w:rPr>
  </w:style>
  <w:style w:type="character" w:customStyle="1" w:styleId="ListLabel6">
    <w:name w:val="ListLabel 6"/>
    <w:rsid w:val="00CE125F"/>
    <w:rPr>
      <w:b/>
      <w:i/>
    </w:rPr>
  </w:style>
  <w:style w:type="character" w:customStyle="1" w:styleId="ListLabel7">
    <w:name w:val="ListLabel 7"/>
    <w:rsid w:val="00CE125F"/>
    <w:rPr>
      <w:sz w:val="24"/>
    </w:rPr>
  </w:style>
  <w:style w:type="character" w:customStyle="1" w:styleId="ListLabel8">
    <w:name w:val="ListLabel 8"/>
    <w:rsid w:val="00CE125F"/>
    <w:rPr>
      <w:rFonts w:eastAsia="Times New Roman"/>
    </w:rPr>
  </w:style>
  <w:style w:type="paragraph" w:customStyle="1" w:styleId="Heading">
    <w:name w:val="Heading"/>
    <w:basedOn w:val="Normal"/>
    <w:next w:val="BodyText"/>
    <w:rsid w:val="00CE125F"/>
    <w:pPr>
      <w:keepNext/>
      <w:suppressAutoHyphens/>
      <w:spacing w:before="240" w:after="120" w:line="276" w:lineRule="auto"/>
    </w:pPr>
    <w:rPr>
      <w:rFonts w:ascii="Liberation Sans" w:hAnsi="Liberation Sans" w:cs="Liberation Sans"/>
      <w:kern w:val="1"/>
      <w:sz w:val="28"/>
      <w:szCs w:val="28"/>
    </w:rPr>
  </w:style>
  <w:style w:type="paragraph" w:styleId="List">
    <w:name w:val="List"/>
    <w:basedOn w:val="BodyText"/>
    <w:rsid w:val="00CE125F"/>
    <w:pPr>
      <w:suppressAutoHyphens/>
      <w:spacing w:line="288" w:lineRule="auto"/>
    </w:pPr>
    <w:rPr>
      <w:rFonts w:cs="GHEA Grapalat"/>
      <w:kern w:val="1"/>
    </w:rPr>
  </w:style>
  <w:style w:type="paragraph" w:customStyle="1" w:styleId="Index">
    <w:name w:val="Index"/>
    <w:basedOn w:val="Normal"/>
    <w:rsid w:val="00CE125F"/>
    <w:pPr>
      <w:suppressLineNumbers/>
      <w:suppressAutoHyphens/>
      <w:spacing w:after="200" w:line="276" w:lineRule="auto"/>
    </w:pPr>
    <w:rPr>
      <w:rFonts w:cs="Calibri"/>
      <w:kern w:val="1"/>
    </w:rPr>
  </w:style>
  <w:style w:type="paragraph" w:customStyle="1" w:styleId="ae">
    <w:name w:val="Стиль Знак"/>
    <w:basedOn w:val="Normal"/>
    <w:rsid w:val="00CE125F"/>
    <w:pPr>
      <w:suppressAutoHyphens/>
      <w:spacing w:line="240" w:lineRule="exact"/>
    </w:pPr>
    <w:rPr>
      <w:rFonts w:ascii="Arial" w:hAnsi="Arial" w:cs="Arial"/>
      <w:kern w:val="1"/>
      <w:sz w:val="20"/>
      <w:szCs w:val="20"/>
    </w:rPr>
  </w:style>
  <w:style w:type="paragraph" w:customStyle="1" w:styleId="1f0">
    <w:name w:val="Без интервала1"/>
    <w:qFormat/>
    <w:rsid w:val="00CE125F"/>
    <w:pPr>
      <w:suppressAutoHyphens/>
      <w:spacing w:after="160" w:line="259" w:lineRule="auto"/>
    </w:pPr>
    <w:rPr>
      <w:rFonts w:ascii="GHEA Grapalat" w:hAnsi="GHEA Grapalat" w:cs="GHEA Grapalat"/>
      <w:kern w:val="1"/>
    </w:rPr>
  </w:style>
  <w:style w:type="paragraph" w:customStyle="1" w:styleId="Iacaaiea">
    <w:name w:val="Iacaaiea"/>
    <w:basedOn w:val="Normal"/>
    <w:rsid w:val="00CE125F"/>
    <w:pPr>
      <w:widowControl w:val="0"/>
      <w:suppressAutoHyphens/>
      <w:jc w:val="center"/>
    </w:pPr>
    <w:rPr>
      <w:rFonts w:ascii="Times LatArm" w:hAnsi="Times LatArm" w:cs="Times LatArm"/>
      <w:kern w:val="1"/>
    </w:rPr>
  </w:style>
  <w:style w:type="paragraph" w:customStyle="1" w:styleId="1f1">
    <w:name w:val="Основной текст1"/>
    <w:basedOn w:val="Normal"/>
    <w:rsid w:val="00CE125F"/>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29">
    <w:name w:val="Основной текст (2)"/>
    <w:basedOn w:val="Normal"/>
    <w:rsid w:val="00CE125F"/>
    <w:pPr>
      <w:suppressAutoHyphens/>
      <w:spacing w:after="200" w:line="276" w:lineRule="auto"/>
    </w:pPr>
    <w:rPr>
      <w:rFonts w:ascii="Sylfaen" w:hAnsi="Sylfaen" w:cs="Sylfaen"/>
      <w:i/>
      <w:iCs/>
      <w:kern w:val="1"/>
      <w:sz w:val="20"/>
      <w:szCs w:val="20"/>
      <w:shd w:val="clear" w:color="auto" w:fill="FFFFFF"/>
      <w:lang w:val="ru-RU" w:eastAsia="ru-RU"/>
    </w:rPr>
  </w:style>
  <w:style w:type="paragraph" w:customStyle="1" w:styleId="36">
    <w:name w:val="Основной текст (3)"/>
    <w:basedOn w:val="Normal"/>
    <w:rsid w:val="00CE125F"/>
    <w:pPr>
      <w:suppressAutoHyphens/>
      <w:spacing w:after="200" w:line="276" w:lineRule="auto"/>
    </w:pPr>
    <w:rPr>
      <w:rFonts w:ascii="Sylfaen" w:hAnsi="Sylfaen" w:cs="Sylfaen"/>
      <w:spacing w:val="20"/>
      <w:w w:val="80"/>
      <w:kern w:val="1"/>
      <w:sz w:val="21"/>
      <w:szCs w:val="21"/>
      <w:shd w:val="clear" w:color="auto" w:fill="FFFFFF"/>
      <w:lang w:val="ru-RU" w:eastAsia="ru-RU"/>
    </w:rPr>
  </w:style>
  <w:style w:type="paragraph" w:customStyle="1" w:styleId="44">
    <w:name w:val="Основной текст (4)"/>
    <w:basedOn w:val="Normal"/>
    <w:rsid w:val="00CE125F"/>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1f2">
    <w:name w:val="Заголовок №1"/>
    <w:basedOn w:val="Normal"/>
    <w:rsid w:val="00CE125F"/>
    <w:pPr>
      <w:suppressAutoHyphens/>
      <w:spacing w:after="200" w:line="276" w:lineRule="auto"/>
    </w:pPr>
    <w:rPr>
      <w:rFonts w:ascii="Sylfaen" w:hAnsi="Sylfaen" w:cs="Sylfaen"/>
      <w:i/>
      <w:iCs/>
      <w:spacing w:val="-30"/>
      <w:kern w:val="1"/>
      <w:sz w:val="31"/>
      <w:szCs w:val="31"/>
      <w:shd w:val="clear" w:color="auto" w:fill="FFFFFF"/>
      <w:lang w:val="ru-RU" w:eastAsia="ru-RU"/>
    </w:rPr>
  </w:style>
  <w:style w:type="paragraph" w:customStyle="1" w:styleId="CharCharCharCharChar13">
    <w:name w:val="Char Char Char Знак Знак Char Char Знак Знак1"/>
    <w:basedOn w:val="Normal"/>
    <w:rsid w:val="00CE125F"/>
    <w:pPr>
      <w:suppressAutoHyphens/>
      <w:spacing w:line="240" w:lineRule="exact"/>
    </w:pPr>
    <w:rPr>
      <w:rFonts w:ascii="Arial" w:hAnsi="Arial" w:cs="Arial"/>
      <w:kern w:val="1"/>
      <w:sz w:val="20"/>
      <w:szCs w:val="20"/>
    </w:rPr>
  </w:style>
  <w:style w:type="paragraph" w:customStyle="1" w:styleId="FrameContents">
    <w:name w:val="Frame Contents"/>
    <w:basedOn w:val="Normal"/>
    <w:rsid w:val="00CE125F"/>
    <w:pPr>
      <w:suppressAutoHyphens/>
      <w:spacing w:after="200" w:line="276" w:lineRule="auto"/>
    </w:pPr>
    <w:rPr>
      <w:rFonts w:cs="Calibri"/>
      <w:kern w:val="1"/>
    </w:rPr>
  </w:style>
  <w:style w:type="paragraph" w:customStyle="1" w:styleId="NoSpacing2">
    <w:name w:val="No Spacing2"/>
    <w:rsid w:val="00CE125F"/>
    <w:pPr>
      <w:spacing w:after="160" w:line="259" w:lineRule="auto"/>
    </w:pPr>
    <w:rPr>
      <w:rFonts w:ascii="Arial Armenian" w:hAnsi="Arial Armenian" w:cs="Arial Armenian"/>
      <w:sz w:val="24"/>
      <w:szCs w:val="24"/>
      <w:lang w:val="ru-RU"/>
    </w:rPr>
  </w:style>
  <w:style w:type="character" w:customStyle="1" w:styleId="user-name">
    <w:name w:val="user-name"/>
    <w:rsid w:val="00CE125F"/>
    <w:rPr>
      <w:rFonts w:cs="Times New Roman"/>
    </w:rPr>
  </w:style>
  <w:style w:type="paragraph" w:customStyle="1" w:styleId="ModelSingleNoIndent">
    <w:name w:val="ModelSingleNoIndent"/>
    <w:basedOn w:val="Normal"/>
    <w:rsid w:val="00DF5F07"/>
    <w:pPr>
      <w:spacing w:after="240"/>
    </w:pPr>
    <w:rPr>
      <w:szCs w:val="20"/>
    </w:rPr>
  </w:style>
  <w:style w:type="paragraph" w:customStyle="1" w:styleId="Char1CharCharCharCharCharCharCharCharCharCharCharChar2">
    <w:name w:val="Char1 Char Char Char Char Char Char Char Char Char Char Char Char2"/>
    <w:basedOn w:val="Normal"/>
    <w:rsid w:val="00DF5F07"/>
    <w:pPr>
      <w:spacing w:line="240" w:lineRule="exact"/>
    </w:pPr>
    <w:rPr>
      <w:rFonts w:ascii="Arial" w:hAnsi="Arial" w:cs="Arial"/>
      <w:sz w:val="20"/>
      <w:szCs w:val="20"/>
    </w:rPr>
  </w:style>
  <w:style w:type="paragraph" w:customStyle="1" w:styleId="ModelNrmlDouble">
    <w:name w:val="ModelNrmlDouble"/>
    <w:basedOn w:val="Normal"/>
    <w:rsid w:val="00DF5F07"/>
    <w:pPr>
      <w:overflowPunct w:val="0"/>
      <w:autoSpaceDE w:val="0"/>
      <w:autoSpaceDN w:val="0"/>
      <w:adjustRightInd w:val="0"/>
      <w:spacing w:after="360" w:line="480" w:lineRule="auto"/>
      <w:ind w:firstLine="720"/>
      <w:textAlignment w:val="baseline"/>
    </w:pPr>
    <w:rPr>
      <w:szCs w:val="20"/>
    </w:rPr>
  </w:style>
  <w:style w:type="paragraph" w:customStyle="1" w:styleId="subhead3">
    <w:name w:val="sub_head3"/>
    <w:basedOn w:val="Normal"/>
    <w:rsid w:val="00DF5F07"/>
    <w:pPr>
      <w:spacing w:after="120" w:line="360" w:lineRule="auto"/>
    </w:pPr>
    <w:rPr>
      <w:rFonts w:ascii="Times Armenian" w:hAnsi="Times Armenian"/>
      <w:i/>
      <w:u w:val="single"/>
      <w:lang w:eastAsia="ru-RU"/>
    </w:rPr>
  </w:style>
  <w:style w:type="paragraph" w:customStyle="1" w:styleId="StyleHeading2ParanumTextLeft">
    <w:name w:val="Style Heading 2ParanumText + Left"/>
    <w:basedOn w:val="Heading2"/>
    <w:rsid w:val="00DF5F07"/>
    <w:pPr>
      <w:tabs>
        <w:tab w:val="num" w:pos="360"/>
        <w:tab w:val="num" w:pos="1440"/>
      </w:tabs>
      <w:spacing w:before="120" w:after="120"/>
      <w:ind w:left="1440"/>
    </w:pPr>
    <w:rPr>
      <w:rFonts w:ascii="Times Armenian" w:hAnsi="Times Armenian"/>
      <w:b w:val="0"/>
      <w:bCs w:val="0"/>
      <w:kern w:val="28"/>
      <w:sz w:val="28"/>
      <w:szCs w:val="20"/>
      <w:lang w:val="en-GB"/>
    </w:rPr>
  </w:style>
  <w:style w:type="paragraph" w:customStyle="1" w:styleId="annexedhead">
    <w:name w:val="annexed head"/>
    <w:basedOn w:val="Heading2"/>
    <w:rsid w:val="00DF5F07"/>
    <w:pPr>
      <w:numPr>
        <w:ilvl w:val="1"/>
        <w:numId w:val="2"/>
      </w:numPr>
      <w:spacing w:before="120" w:after="120"/>
    </w:pPr>
    <w:rPr>
      <w:rFonts w:ascii="Times Armenian" w:hAnsi="Times Armenian"/>
      <w:b w:val="0"/>
      <w:kern w:val="28"/>
      <w:sz w:val="28"/>
      <w:szCs w:val="20"/>
      <w:lang w:val="en-GB"/>
    </w:rPr>
  </w:style>
  <w:style w:type="paragraph" w:customStyle="1" w:styleId="Tabletitle">
    <w:name w:val="Table_title"/>
    <w:basedOn w:val="Normal"/>
    <w:rsid w:val="00DF5F07"/>
    <w:pPr>
      <w:tabs>
        <w:tab w:val="left" w:pos="9626"/>
        <w:tab w:val="left" w:pos="10916"/>
        <w:tab w:val="left" w:pos="12206"/>
        <w:tab w:val="left" w:pos="13496"/>
      </w:tabs>
      <w:ind w:left="108"/>
    </w:pPr>
    <w:rPr>
      <w:rFonts w:ascii="Times Armenian" w:hAnsi="Times Armenian" w:cs="Arial"/>
      <w:b/>
      <w:bCs/>
      <w:lang w:eastAsia="ru-RU"/>
    </w:rPr>
  </w:style>
  <w:style w:type="paragraph" w:customStyle="1" w:styleId="StyleHeading3CenteredtextLinespacingsingle">
    <w:name w:val="Style Heading 3Centered(text) + Line spacing:  single"/>
    <w:basedOn w:val="Heading3"/>
    <w:rsid w:val="00DF5F07"/>
    <w:pPr>
      <w:numPr>
        <w:ilvl w:val="2"/>
        <w:numId w:val="2"/>
      </w:numPr>
      <w:spacing w:before="0"/>
    </w:pPr>
    <w:rPr>
      <w:rFonts w:ascii="Times Armenian" w:hAnsi="Times Armenian"/>
      <w:bCs/>
      <w:i/>
      <w:iCs/>
      <w:spacing w:val="-5"/>
      <w:lang w:val="en-GB"/>
    </w:rPr>
  </w:style>
  <w:style w:type="paragraph" w:customStyle="1" w:styleId="Titlefigure">
    <w:name w:val="Title_figure"/>
    <w:basedOn w:val="Caption"/>
    <w:next w:val="Normal"/>
    <w:rsid w:val="00DF5F07"/>
    <w:rPr>
      <w:rFonts w:ascii="Times Armenian" w:hAnsi="Times Armenian"/>
      <w:b/>
      <w:bCs/>
      <w:lang w:eastAsia="ru-RU"/>
    </w:rPr>
  </w:style>
  <w:style w:type="character" w:customStyle="1" w:styleId="CharChar152">
    <w:name w:val="Char Char152"/>
    <w:rsid w:val="00DF5F07"/>
    <w:rPr>
      <w:sz w:val="36"/>
      <w:lang w:val="en-GB" w:eastAsia="en-US" w:bidi="ar-SA"/>
    </w:rPr>
  </w:style>
  <w:style w:type="character" w:customStyle="1" w:styleId="CharChar13">
    <w:name w:val="Char Char13"/>
    <w:rsid w:val="00DF5F07"/>
    <w:rPr>
      <w:sz w:val="22"/>
      <w:lang w:val="en-GB" w:eastAsia="en-US" w:bidi="ar-SA"/>
    </w:rPr>
  </w:style>
  <w:style w:type="character" w:customStyle="1" w:styleId="CharChar123">
    <w:name w:val="Char Char123"/>
    <w:rsid w:val="00DF5F07"/>
    <w:rPr>
      <w:sz w:val="22"/>
      <w:lang w:val="en-GB" w:eastAsia="en-US" w:bidi="ar-SA"/>
    </w:rPr>
  </w:style>
  <w:style w:type="character" w:customStyle="1" w:styleId="CharChar102">
    <w:name w:val="Char Char102"/>
    <w:rsid w:val="00DF5F07"/>
    <w:rPr>
      <w:rFonts w:ascii="Times Armenian" w:hAnsi="Times Armenian"/>
      <w:color w:val="993300"/>
      <w:sz w:val="22"/>
      <w:szCs w:val="24"/>
      <w:lang w:val="hy-AM" w:eastAsia="en-US" w:bidi="ar-SA"/>
    </w:rPr>
  </w:style>
  <w:style w:type="character" w:customStyle="1" w:styleId="CharChar9">
    <w:name w:val="Char Char9"/>
    <w:rsid w:val="00DF5F07"/>
    <w:rPr>
      <w:rFonts w:ascii="Times Armenian" w:hAnsi="Times Armenian"/>
      <w:b/>
      <w:i/>
      <w:sz w:val="24"/>
      <w:u w:val="single"/>
      <w:lang w:val="hy-AM" w:eastAsia="en-US" w:bidi="ar-SA"/>
    </w:rPr>
  </w:style>
  <w:style w:type="character" w:customStyle="1" w:styleId="BodyTextIndentChar2">
    <w:name w:val="Body Text Indent Char2"/>
    <w:aliases w:val="(Table Source)1 Char1"/>
    <w:locked/>
    <w:rsid w:val="00DF5F07"/>
    <w:rPr>
      <w:rFonts w:ascii="Times New Roman" w:hAnsi="Times New Roman" w:cs="Times New Roman"/>
      <w:sz w:val="20"/>
      <w:szCs w:val="20"/>
      <w:lang w:val="en-GB"/>
    </w:rPr>
  </w:style>
  <w:style w:type="character" w:customStyle="1" w:styleId="CharChar132">
    <w:name w:val="Char Char132"/>
    <w:rsid w:val="00DF5F07"/>
    <w:rPr>
      <w:sz w:val="22"/>
      <w:lang w:val="en-GB" w:eastAsia="en-US"/>
    </w:rPr>
  </w:style>
  <w:style w:type="character" w:customStyle="1" w:styleId="CharChar92">
    <w:name w:val="Char Char92"/>
    <w:rsid w:val="00DF5F07"/>
    <w:rPr>
      <w:rFonts w:ascii="Times Armenian" w:hAnsi="Times Armenian"/>
      <w:b/>
      <w:i/>
      <w:sz w:val="24"/>
      <w:u w:val="single"/>
      <w:lang w:val="hy-AM" w:eastAsia="en-US"/>
    </w:rPr>
  </w:style>
  <w:style w:type="paragraph" w:customStyle="1" w:styleId="font11">
    <w:name w:val="font11"/>
    <w:basedOn w:val="Normal"/>
    <w:rsid w:val="00DF5F07"/>
    <w:pPr>
      <w:spacing w:before="100" w:after="100"/>
    </w:pPr>
    <w:rPr>
      <w:rFonts w:eastAsia="SimSun"/>
      <w:color w:val="000000"/>
      <w:sz w:val="16"/>
      <w:szCs w:val="16"/>
    </w:rPr>
  </w:style>
  <w:style w:type="paragraph" w:customStyle="1" w:styleId="font12">
    <w:name w:val="font12"/>
    <w:basedOn w:val="Normal"/>
    <w:rsid w:val="00DF5F07"/>
    <w:pPr>
      <w:spacing w:before="100" w:after="100"/>
    </w:pPr>
    <w:rPr>
      <w:rFonts w:eastAsia="SimSun"/>
      <w:color w:val="000000"/>
      <w:sz w:val="16"/>
      <w:szCs w:val="16"/>
    </w:rPr>
  </w:style>
  <w:style w:type="paragraph" w:customStyle="1" w:styleId="font13">
    <w:name w:val="font13"/>
    <w:basedOn w:val="Normal"/>
    <w:rsid w:val="00DF5F07"/>
    <w:pPr>
      <w:spacing w:before="100" w:after="100"/>
    </w:pPr>
    <w:rPr>
      <w:rFonts w:eastAsia="SimSun"/>
      <w:b/>
      <w:bCs/>
      <w:color w:val="000000"/>
      <w:sz w:val="16"/>
      <w:szCs w:val="16"/>
    </w:rPr>
  </w:style>
  <w:style w:type="paragraph" w:customStyle="1" w:styleId="font14">
    <w:name w:val="font14"/>
    <w:basedOn w:val="Normal"/>
    <w:rsid w:val="00DF5F07"/>
    <w:pPr>
      <w:spacing w:before="100" w:after="100"/>
    </w:pPr>
    <w:rPr>
      <w:rFonts w:eastAsia="SimSun"/>
      <w:i/>
      <w:iCs/>
      <w:sz w:val="20"/>
      <w:szCs w:val="20"/>
    </w:rPr>
  </w:style>
  <w:style w:type="paragraph" w:customStyle="1" w:styleId="font15">
    <w:name w:val="font15"/>
    <w:basedOn w:val="Normal"/>
    <w:rsid w:val="00DF5F07"/>
    <w:pPr>
      <w:spacing w:before="100" w:after="100"/>
    </w:pPr>
    <w:rPr>
      <w:rFonts w:eastAsia="SimSun"/>
      <w:i/>
      <w:iCs/>
      <w:sz w:val="28"/>
      <w:szCs w:val="28"/>
    </w:rPr>
  </w:style>
  <w:style w:type="character" w:customStyle="1" w:styleId="Heading2Char2">
    <w:name w:val="Heading 2 Char2"/>
    <w:aliases w:val="Paranum Char2,(Chapter) Char2,(Chapter) Char Char"/>
    <w:locked/>
    <w:rsid w:val="00C3321E"/>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C3321E"/>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C3321E"/>
    <w:rPr>
      <w:rFonts w:ascii="Times New Roman" w:hAnsi="Times New Roman" w:cs="Times New Roman"/>
      <w:sz w:val="24"/>
    </w:rPr>
  </w:style>
  <w:style w:type="character" w:customStyle="1" w:styleId="fsl">
    <w:name w:val="fsl"/>
    <w:rsid w:val="00C3321E"/>
  </w:style>
  <w:style w:type="paragraph" w:styleId="IntenseQuote">
    <w:name w:val="Intense Quote"/>
    <w:basedOn w:val="Normal"/>
    <w:next w:val="Normal"/>
    <w:link w:val="IntenseQuoteChar"/>
    <w:qFormat/>
    <w:rsid w:val="002E5B73"/>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rsid w:val="002E5B73"/>
    <w:rPr>
      <w:b/>
      <w:bCs/>
      <w:i/>
      <w:iCs/>
    </w:rPr>
  </w:style>
  <w:style w:type="character" w:styleId="SubtleEmphasis">
    <w:name w:val="Subtle Emphasis"/>
    <w:qFormat/>
    <w:rsid w:val="002E5B73"/>
    <w:rPr>
      <w:i/>
      <w:iCs/>
    </w:rPr>
  </w:style>
  <w:style w:type="character" w:styleId="SubtleReference">
    <w:name w:val="Subtle Reference"/>
    <w:qFormat/>
    <w:rsid w:val="002E5B73"/>
    <w:rPr>
      <w:smallCaps/>
    </w:rPr>
  </w:style>
  <w:style w:type="character" w:styleId="IntenseReference">
    <w:name w:val="Intense Reference"/>
    <w:qFormat/>
    <w:rsid w:val="002E5B73"/>
    <w:rPr>
      <w:smallCaps/>
      <w:spacing w:val="5"/>
      <w:u w:val="single"/>
    </w:rPr>
  </w:style>
  <w:style w:type="character" w:styleId="BookTitle">
    <w:name w:val="Book Title"/>
    <w:qFormat/>
    <w:rsid w:val="002E5B73"/>
    <w:rPr>
      <w:i/>
      <w:iCs/>
      <w:smallCaps/>
      <w:spacing w:val="5"/>
    </w:rPr>
  </w:style>
  <w:style w:type="paragraph" w:customStyle="1" w:styleId="ColorfulList-Accent11">
    <w:name w:val="Colorful List - Accent 11"/>
    <w:basedOn w:val="Normal"/>
    <w:qFormat/>
    <w:rsid w:val="00C3321E"/>
    <w:pPr>
      <w:spacing w:after="200" w:line="276" w:lineRule="auto"/>
      <w:ind w:left="720"/>
      <w:contextualSpacing/>
    </w:pPr>
    <w:rPr>
      <w:rFonts w:eastAsia="Calibri"/>
      <w:lang w:val="ru-RU"/>
    </w:rPr>
  </w:style>
  <w:style w:type="character" w:customStyle="1" w:styleId="spellingerror">
    <w:name w:val="spellingerror"/>
    <w:rsid w:val="00C3321E"/>
  </w:style>
  <w:style w:type="character" w:customStyle="1" w:styleId="CharChar31">
    <w:name w:val="Char Char31"/>
    <w:locked/>
    <w:rsid w:val="00C3321E"/>
    <w:rPr>
      <w:sz w:val="22"/>
      <w:lang w:val="en-GB" w:eastAsia="en-US"/>
    </w:rPr>
  </w:style>
  <w:style w:type="character" w:customStyle="1" w:styleId="CharChar213">
    <w:name w:val="Char Char213"/>
    <w:locked/>
    <w:rsid w:val="00C3321E"/>
    <w:rPr>
      <w:sz w:val="22"/>
      <w:lang w:val="en-GB" w:eastAsia="en-US"/>
    </w:rPr>
  </w:style>
  <w:style w:type="character" w:customStyle="1" w:styleId="red-block">
    <w:name w:val="red-block"/>
    <w:rsid w:val="00C3321E"/>
    <w:rPr>
      <w:rFonts w:cs="Times New Roman"/>
    </w:rPr>
  </w:style>
  <w:style w:type="character" w:customStyle="1" w:styleId="accent">
    <w:name w:val="accent"/>
    <w:rsid w:val="00C3321E"/>
    <w:rPr>
      <w:rFonts w:cs="Times New Roman"/>
    </w:rPr>
  </w:style>
  <w:style w:type="character" w:customStyle="1" w:styleId="CharChar222">
    <w:name w:val="Char Char222"/>
    <w:rsid w:val="00C3321E"/>
    <w:rPr>
      <w:rFonts w:cs="Times New Roman"/>
      <w:lang w:val="ru-RU" w:eastAsia="ru-RU" w:bidi="ar-SA"/>
    </w:rPr>
  </w:style>
  <w:style w:type="character" w:customStyle="1" w:styleId="FontStyle37">
    <w:name w:val="Font Style37"/>
    <w:rsid w:val="00C3321E"/>
    <w:rPr>
      <w:rFonts w:ascii="Sylfaen" w:hAnsi="Sylfaen"/>
      <w:sz w:val="22"/>
    </w:rPr>
  </w:style>
  <w:style w:type="character" w:customStyle="1" w:styleId="CharChar161">
    <w:name w:val="Char Char161"/>
    <w:locked/>
    <w:rsid w:val="00C3321E"/>
    <w:rPr>
      <w:rFonts w:ascii="Cambria" w:hAnsi="Cambria"/>
      <w:b/>
      <w:kern w:val="32"/>
      <w:sz w:val="32"/>
      <w:lang w:val="fr-FR" w:eastAsia="en-US"/>
    </w:rPr>
  </w:style>
  <w:style w:type="numbering" w:customStyle="1" w:styleId="NoList4">
    <w:name w:val="No List4"/>
    <w:next w:val="NoList"/>
    <w:semiHidden/>
    <w:rsid w:val="00C524BD"/>
  </w:style>
  <w:style w:type="paragraph" w:customStyle="1" w:styleId="StyleHeading3Sub-ChapterCenteredtextHeading3CharCharC1">
    <w:name w:val="Style Heading 3(Sub-Chapter)Centered(text)Heading 3 Char Char C...1"/>
    <w:basedOn w:val="Heading3"/>
    <w:rsid w:val="00040B73"/>
    <w:rPr>
      <w:u w:val="single"/>
    </w:rPr>
  </w:style>
  <w:style w:type="paragraph" w:customStyle="1" w:styleId="1MTEF">
    <w:name w:val="1. MTEF"/>
    <w:basedOn w:val="StyleStyleHeading1SectionSectionHeadingText11Chapterhead31"/>
    <w:rsid w:val="00A6653E"/>
    <w:rPr>
      <w:b w:val="0"/>
      <w:bCs/>
    </w:rPr>
  </w:style>
  <w:style w:type="character" w:customStyle="1" w:styleId="CharChar182">
    <w:name w:val="Char Char182"/>
    <w:rsid w:val="004A19C3"/>
    <w:rPr>
      <w:rFonts w:ascii="Arial Armenian" w:eastAsia="Times New Roman" w:hAnsi="Arial Armenian"/>
      <w:i/>
      <w:sz w:val="22"/>
      <w:u w:val="single"/>
      <w:lang w:val="en-GB"/>
    </w:rPr>
  </w:style>
  <w:style w:type="character" w:customStyle="1" w:styleId="CharChar192">
    <w:name w:val="Char Char192"/>
    <w:rsid w:val="004A19C3"/>
    <w:rPr>
      <w:b/>
      <w:sz w:val="32"/>
      <w:lang w:val="en-GB" w:eastAsia="en-US" w:bidi="ar-SA"/>
    </w:rPr>
  </w:style>
  <w:style w:type="character" w:customStyle="1" w:styleId="CharChar202">
    <w:name w:val="Char Char202"/>
    <w:rsid w:val="004A19C3"/>
    <w:rPr>
      <w:rFonts w:ascii="Garamond" w:hAnsi="Garamond"/>
      <w:i/>
      <w:spacing w:val="-5"/>
      <w:sz w:val="28"/>
      <w:lang w:val="en-GB" w:eastAsia="en-US" w:bidi="ar-SA"/>
    </w:rPr>
  </w:style>
  <w:style w:type="numbering" w:customStyle="1" w:styleId="NoList11">
    <w:name w:val="No List11"/>
    <w:next w:val="NoList"/>
    <w:semiHidden/>
    <w:unhideWhenUsed/>
    <w:rsid w:val="004A19C3"/>
  </w:style>
  <w:style w:type="character" w:customStyle="1" w:styleId="CharChar172">
    <w:name w:val="Char Char172"/>
    <w:rsid w:val="004A19C3"/>
    <w:rPr>
      <w:rFonts w:ascii="Arial Armenian" w:hAnsi="Arial Armenian"/>
      <w:i/>
      <w:sz w:val="22"/>
      <w:u w:val="single"/>
      <w:lang w:val="en-GB" w:eastAsia="en-US" w:bidi="ar-SA"/>
    </w:rPr>
  </w:style>
  <w:style w:type="character" w:customStyle="1" w:styleId="CharChar282">
    <w:name w:val="Char Char282"/>
    <w:rsid w:val="004A19C3"/>
    <w:rPr>
      <w:rFonts w:ascii="Arial Armenian" w:hAnsi="Arial Armenian"/>
      <w:i/>
      <w:sz w:val="22"/>
      <w:u w:val="single"/>
      <w:lang w:val="en-GB"/>
    </w:rPr>
  </w:style>
  <w:style w:type="character" w:customStyle="1" w:styleId="CharChar272">
    <w:name w:val="Char Char272"/>
    <w:rsid w:val="004A19C3"/>
    <w:rPr>
      <w:rFonts w:ascii="Garamond" w:hAnsi="Garamond"/>
      <w:i/>
      <w:spacing w:val="-5"/>
      <w:sz w:val="28"/>
      <w:shd w:val="pct5" w:color="auto" w:fill="auto"/>
      <w:lang w:val="en-GB"/>
    </w:rPr>
  </w:style>
  <w:style w:type="character" w:customStyle="1" w:styleId="CharChar262">
    <w:name w:val="Char Char262"/>
    <w:rsid w:val="004A19C3"/>
    <w:rPr>
      <w:rFonts w:ascii="Arial Black" w:hAnsi="Arial Black"/>
      <w:caps/>
      <w:spacing w:val="60"/>
      <w:position w:val="4"/>
      <w:sz w:val="14"/>
      <w:lang w:val="en-GB"/>
    </w:rPr>
  </w:style>
  <w:style w:type="character" w:customStyle="1" w:styleId="CharChar252">
    <w:name w:val="Char Char252"/>
    <w:rsid w:val="004A19C3"/>
    <w:rPr>
      <w:rFonts w:ascii="Garamond" w:hAnsi="Garamond"/>
      <w:b/>
      <w:i/>
      <w:kern w:val="28"/>
      <w:lang w:val="en-GB"/>
    </w:rPr>
  </w:style>
  <w:style w:type="character" w:customStyle="1" w:styleId="CharChar242">
    <w:name w:val="Char Char242"/>
    <w:rsid w:val="004A19C3"/>
    <w:rPr>
      <w:rFonts w:ascii="Arial Armenian" w:hAnsi="Arial Armenian"/>
      <w:noProof/>
      <w:lang w:val="en-US" w:eastAsia="en-US" w:bidi="ar-SA"/>
    </w:rPr>
  </w:style>
  <w:style w:type="character" w:customStyle="1" w:styleId="CharChar232">
    <w:name w:val="Char Char232"/>
    <w:rsid w:val="004A19C3"/>
    <w:rPr>
      <w:rFonts w:ascii="Arial Armenian" w:hAnsi="Arial Armenian"/>
      <w:lang w:val="en-GB" w:eastAsia="en-US" w:bidi="ar-SA"/>
    </w:rPr>
  </w:style>
  <w:style w:type="character" w:customStyle="1" w:styleId="CharChar35">
    <w:name w:val="Char Char35"/>
    <w:rsid w:val="004A19C3"/>
    <w:rPr>
      <w:rFonts w:ascii="Arial Armenian" w:hAnsi="Arial Armenian"/>
      <w:i/>
      <w:sz w:val="22"/>
      <w:u w:val="single"/>
      <w:lang w:val="en-GB"/>
    </w:rPr>
  </w:style>
  <w:style w:type="character" w:customStyle="1" w:styleId="CharChar34">
    <w:name w:val="Char Char34"/>
    <w:rsid w:val="004A19C3"/>
    <w:rPr>
      <w:rFonts w:ascii="Garamond" w:hAnsi="Garamond"/>
      <w:i/>
      <w:spacing w:val="-5"/>
      <w:sz w:val="28"/>
      <w:shd w:val="pct5" w:color="auto" w:fill="auto"/>
      <w:lang w:val="en-GB"/>
    </w:rPr>
  </w:style>
  <w:style w:type="character" w:customStyle="1" w:styleId="CharChar33">
    <w:name w:val="Char Char33"/>
    <w:rsid w:val="004A19C3"/>
    <w:rPr>
      <w:rFonts w:ascii="Arial Black" w:hAnsi="Arial Black"/>
      <w:caps/>
      <w:spacing w:val="60"/>
      <w:position w:val="4"/>
      <w:sz w:val="14"/>
      <w:lang w:val="en-GB"/>
    </w:rPr>
  </w:style>
  <w:style w:type="character" w:customStyle="1" w:styleId="CharChar32">
    <w:name w:val="Char Char32"/>
    <w:rsid w:val="004A19C3"/>
    <w:rPr>
      <w:rFonts w:ascii="Garamond" w:hAnsi="Garamond"/>
      <w:b/>
      <w:i/>
      <w:kern w:val="28"/>
      <w:lang w:val="en-GB"/>
    </w:rPr>
  </w:style>
  <w:style w:type="character" w:customStyle="1" w:styleId="CharChar312">
    <w:name w:val="Char Char312"/>
    <w:rsid w:val="004A19C3"/>
    <w:rPr>
      <w:rFonts w:ascii="Arial Armenian" w:hAnsi="Arial Armenian"/>
      <w:noProof/>
      <w:lang w:val="en-US" w:eastAsia="en-US" w:bidi="ar-SA"/>
    </w:rPr>
  </w:style>
  <w:style w:type="character" w:customStyle="1" w:styleId="CharChar30">
    <w:name w:val="Char Char30"/>
    <w:rsid w:val="004A19C3"/>
    <w:rPr>
      <w:rFonts w:ascii="Arial Armenian" w:hAnsi="Arial Armenian"/>
      <w:lang w:val="en-GB" w:eastAsia="en-US" w:bidi="ar-SA"/>
    </w:rPr>
  </w:style>
  <w:style w:type="character" w:customStyle="1" w:styleId="CharChar29">
    <w:name w:val="Char Char29"/>
    <w:rsid w:val="004A19C3"/>
    <w:rPr>
      <w:rFonts w:ascii="Arial Armenian" w:hAnsi="Arial Armenian"/>
      <w:lang w:val="ru-RU" w:eastAsia="ru-RU" w:bidi="ar-SA"/>
    </w:rPr>
  </w:style>
  <w:style w:type="paragraph" w:customStyle="1" w:styleId="CharChar5CharCharCharCharCharChar">
    <w:name w:val="Char Char5 Char Char Char Char Char Char"/>
    <w:basedOn w:val="Normal"/>
    <w:rsid w:val="009E559A"/>
    <w:pPr>
      <w:tabs>
        <w:tab w:val="left" w:pos="709"/>
      </w:tabs>
    </w:pPr>
    <w:rPr>
      <w:rFonts w:ascii="Tahoma" w:hAnsi="Tahoma"/>
      <w:lang w:val="pl-PL" w:eastAsia="pl-PL"/>
    </w:rPr>
  </w:style>
  <w:style w:type="paragraph" w:customStyle="1" w:styleId="CharChar5CharCharCharChar">
    <w:name w:val="Char Char5 Char Char Char Char"/>
    <w:basedOn w:val="Normal"/>
    <w:rsid w:val="009E559A"/>
    <w:pPr>
      <w:tabs>
        <w:tab w:val="left" w:pos="709"/>
      </w:tabs>
    </w:pPr>
    <w:rPr>
      <w:rFonts w:ascii="Tahoma" w:hAnsi="Tahoma"/>
      <w:lang w:val="pl-PL" w:eastAsia="pl-PL"/>
    </w:rPr>
  </w:style>
  <w:style w:type="table" w:styleId="Table3Deffects3">
    <w:name w:val="Table 3D effects 3"/>
    <w:basedOn w:val="TableNormal"/>
    <w:rsid w:val="009E559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5CharChar">
    <w:name w:val="Char Char5 Char Char"/>
    <w:basedOn w:val="Normal"/>
    <w:rsid w:val="009E559A"/>
    <w:pPr>
      <w:tabs>
        <w:tab w:val="left" w:pos="709"/>
      </w:tabs>
    </w:pPr>
    <w:rPr>
      <w:rFonts w:ascii="Tahoma" w:hAnsi="Tahoma"/>
      <w:lang w:val="pl-PL" w:eastAsia="pl-PL"/>
    </w:rPr>
  </w:style>
  <w:style w:type="character" w:customStyle="1" w:styleId="tocnumber">
    <w:name w:val="tocnumber"/>
    <w:rsid w:val="009E559A"/>
  </w:style>
  <w:style w:type="character" w:customStyle="1" w:styleId="toctext">
    <w:name w:val="toctext"/>
    <w:rsid w:val="009E559A"/>
  </w:style>
  <w:style w:type="character" w:customStyle="1" w:styleId="mw-editsection">
    <w:name w:val="mw-editsection"/>
    <w:rsid w:val="009E559A"/>
  </w:style>
  <w:style w:type="character" w:customStyle="1" w:styleId="mw-editsection-bracket">
    <w:name w:val="mw-editsection-bracket"/>
    <w:rsid w:val="009E559A"/>
  </w:style>
  <w:style w:type="character" w:customStyle="1" w:styleId="mw-editsection-divider">
    <w:name w:val="mw-editsection-divider"/>
    <w:rsid w:val="009E559A"/>
  </w:style>
  <w:style w:type="character" w:customStyle="1" w:styleId="reference-text">
    <w:name w:val="reference-text"/>
    <w:rsid w:val="009E559A"/>
  </w:style>
  <w:style w:type="paragraph" w:styleId="z-TopofForm">
    <w:name w:val="HTML Top of Form"/>
    <w:basedOn w:val="Normal"/>
    <w:next w:val="Normal"/>
    <w:link w:val="z-TopofFormChar"/>
    <w:hidden/>
    <w:uiPriority w:val="99"/>
    <w:unhideWhenUsed/>
    <w:rsid w:val="009E559A"/>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9E559A"/>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9E559A"/>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9E559A"/>
    <w:rPr>
      <w:rFonts w:ascii="Arial" w:hAnsi="Arial" w:cs="Arial"/>
      <w:vanish/>
      <w:sz w:val="16"/>
      <w:szCs w:val="16"/>
    </w:rPr>
  </w:style>
  <w:style w:type="character" w:customStyle="1" w:styleId="wb-langlinks-edit">
    <w:name w:val="wb-langlinks-edit"/>
    <w:rsid w:val="009E559A"/>
  </w:style>
  <w:style w:type="character" w:customStyle="1" w:styleId="noprint">
    <w:name w:val="noprint"/>
    <w:rsid w:val="009E559A"/>
  </w:style>
  <w:style w:type="character" w:customStyle="1" w:styleId="pg">
    <w:name w:val="pg"/>
    <w:rsid w:val="009E559A"/>
  </w:style>
  <w:style w:type="paragraph" w:customStyle="1" w:styleId="DecimalAligned">
    <w:name w:val="Decimal Aligned"/>
    <w:basedOn w:val="Normal"/>
    <w:uiPriority w:val="40"/>
    <w:qFormat/>
    <w:rsid w:val="009E559A"/>
    <w:pPr>
      <w:tabs>
        <w:tab w:val="decimal" w:pos="360"/>
      </w:tabs>
      <w:spacing w:after="200" w:line="276" w:lineRule="auto"/>
    </w:pPr>
    <w:rPr>
      <w:rFonts w:eastAsia="Calibri"/>
      <w:lang w:eastAsia="ja-JP"/>
    </w:rPr>
  </w:style>
  <w:style w:type="paragraph" w:styleId="HTMLPreformatted">
    <w:name w:val="HTML Preformatted"/>
    <w:basedOn w:val="Normal"/>
    <w:link w:val="HTMLPreformattedChar"/>
    <w:uiPriority w:val="99"/>
    <w:unhideWhenUsed/>
    <w:rsid w:val="009E5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sz w:val="20"/>
      <w:szCs w:val="20"/>
    </w:rPr>
  </w:style>
  <w:style w:type="character" w:customStyle="1" w:styleId="HTMLPreformattedChar">
    <w:name w:val="HTML Preformatted Char"/>
    <w:link w:val="HTMLPreformatted"/>
    <w:uiPriority w:val="99"/>
    <w:rsid w:val="009E559A"/>
    <w:rPr>
      <w:rFonts w:ascii="Arial Unicode" w:hAnsi="Arial Unicode" w:cs="Courier New"/>
    </w:rPr>
  </w:style>
  <w:style w:type="paragraph" w:customStyle="1" w:styleId="paragraph">
    <w:name w:val="paragraph"/>
    <w:basedOn w:val="Normal"/>
    <w:rsid w:val="009E559A"/>
    <w:pPr>
      <w:spacing w:before="100" w:beforeAutospacing="1" w:after="100" w:afterAutospacing="1"/>
    </w:pPr>
  </w:style>
  <w:style w:type="character" w:customStyle="1" w:styleId="normaltextrun">
    <w:name w:val="normaltextrun"/>
    <w:rsid w:val="009E559A"/>
  </w:style>
  <w:style w:type="paragraph" w:customStyle="1" w:styleId="StyleCaption11pt">
    <w:name w:val="Style Caption + 11 pt"/>
    <w:basedOn w:val="Caption"/>
    <w:link w:val="StyleCaption11ptChar"/>
    <w:rsid w:val="00850B5D"/>
    <w:pPr>
      <w:spacing w:before="360" w:after="120"/>
      <w:ind w:left="1350" w:hanging="1350"/>
    </w:pPr>
    <w:rPr>
      <w:bCs/>
      <w:lang w:eastAsia="ru-RU"/>
    </w:rPr>
  </w:style>
  <w:style w:type="character" w:customStyle="1" w:styleId="StyleCaption11ptChar">
    <w:name w:val="Style Caption + 11 pt Char"/>
    <w:link w:val="StyleCaption11pt"/>
    <w:rsid w:val="00850B5D"/>
    <w:rPr>
      <w:rFonts w:ascii="GHEA Grapalat" w:hAnsi="GHEA Grapalat"/>
      <w:b/>
      <w:bCs/>
      <w:lang w:eastAsia="ru-RU"/>
    </w:rPr>
  </w:style>
  <w:style w:type="paragraph" w:customStyle="1" w:styleId="StyleHeading3GHEAGrapalatJustified">
    <w:name w:val="Style Heading 3 + GHEA Grapalat Justified"/>
    <w:basedOn w:val="Heading3"/>
    <w:rsid w:val="00850B5D"/>
    <w:pPr>
      <w:tabs>
        <w:tab w:val="num" w:pos="384"/>
        <w:tab w:val="num" w:pos="737"/>
      </w:tabs>
      <w:spacing w:before="360" w:after="240"/>
      <w:ind w:left="1248" w:hanging="708"/>
    </w:pPr>
    <w:rPr>
      <w:lang w:val="en-GB" w:eastAsia="ru-RU"/>
    </w:rPr>
  </w:style>
  <w:style w:type="paragraph" w:customStyle="1" w:styleId="TitleNew">
    <w:name w:val="Title New"/>
    <w:basedOn w:val="Normal"/>
    <w:rsid w:val="00850B5D"/>
    <w:pPr>
      <w:widowControl w:val="0"/>
      <w:spacing w:line="360" w:lineRule="atLeast"/>
    </w:pPr>
    <w:rPr>
      <w:rFonts w:eastAsia="ヒラギノ角ゴ Pro W3"/>
      <w:b/>
      <w:color w:val="000000"/>
      <w:sz w:val="44"/>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 webb Char"/>
    <w:link w:val="NormalWeb"/>
    <w:uiPriority w:val="99"/>
    <w:locked/>
    <w:rsid w:val="00850B5D"/>
    <w:rPr>
      <w:sz w:val="24"/>
    </w:rPr>
  </w:style>
  <w:style w:type="paragraph" w:customStyle="1" w:styleId="37">
    <w:name w:val="Абзац списка3"/>
    <w:basedOn w:val="Normal"/>
    <w:uiPriority w:val="99"/>
    <w:qFormat/>
    <w:rsid w:val="001716C4"/>
    <w:pPr>
      <w:ind w:left="720"/>
      <w:contextualSpacing/>
    </w:pPr>
    <w:rPr>
      <w:lang w:val="ru-RU" w:eastAsia="ru-RU"/>
    </w:rPr>
  </w:style>
  <w:style w:type="character" w:customStyle="1" w:styleId="38">
    <w:name w:val="Основной текст3"/>
    <w:rsid w:val="001716C4"/>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1716C4"/>
    <w:pPr>
      <w:autoSpaceDE w:val="0"/>
      <w:autoSpaceDN w:val="0"/>
      <w:adjustRightInd w:val="0"/>
      <w:ind w:firstLine="180"/>
    </w:pPr>
    <w:rPr>
      <w:b/>
      <w:i/>
      <w:lang w:val="hy-AM" w:eastAsia="ru-RU"/>
    </w:rPr>
  </w:style>
  <w:style w:type="character" w:customStyle="1" w:styleId="CommentTextChar2">
    <w:name w:val="Comment Text Char2"/>
    <w:rsid w:val="00EF35AD"/>
    <w:rPr>
      <w:rFonts w:ascii="Arial Armenian" w:hAnsi="Arial Armenian"/>
      <w:lang w:val="ru-RU" w:eastAsia="ru-RU" w:bidi="ar-SA"/>
    </w:rPr>
  </w:style>
  <w:style w:type="character" w:customStyle="1" w:styleId="BalloonTextChar2">
    <w:name w:val="Balloon Text Char2"/>
    <w:rsid w:val="00EF35AD"/>
    <w:rPr>
      <w:rFonts w:ascii="Tahoma" w:hAnsi="Tahoma"/>
      <w:sz w:val="16"/>
      <w:szCs w:val="16"/>
      <w:lang w:bidi="ar-SA"/>
    </w:rPr>
  </w:style>
  <w:style w:type="character" w:customStyle="1" w:styleId="Bodytext20">
    <w:name w:val="Body text (2)_"/>
    <w:link w:val="Bodytext23"/>
    <w:uiPriority w:val="99"/>
    <w:locked/>
    <w:rsid w:val="00EF35AD"/>
    <w:rPr>
      <w:rFonts w:ascii="Tahoma" w:hAnsi="Tahoma" w:cs="Tahoma"/>
      <w:sz w:val="21"/>
      <w:szCs w:val="21"/>
      <w:shd w:val="clear" w:color="auto" w:fill="FFFFFF"/>
    </w:rPr>
  </w:style>
  <w:style w:type="paragraph" w:customStyle="1" w:styleId="Bodytext23">
    <w:name w:val="Body text (2)"/>
    <w:basedOn w:val="Normal"/>
    <w:link w:val="Bodytext20"/>
    <w:uiPriority w:val="99"/>
    <w:rsid w:val="00EF35AD"/>
    <w:pPr>
      <w:widowControl w:val="0"/>
      <w:shd w:val="clear" w:color="auto" w:fill="FFFFFF"/>
      <w:spacing w:before="720" w:line="485" w:lineRule="exact"/>
    </w:pPr>
    <w:rPr>
      <w:rFonts w:ascii="Tahoma" w:hAnsi="Tahoma"/>
      <w:sz w:val="21"/>
      <w:szCs w:val="21"/>
    </w:rPr>
  </w:style>
  <w:style w:type="paragraph" w:customStyle="1" w:styleId="Appendix">
    <w:name w:val="Appendix"/>
    <w:basedOn w:val="Normal"/>
    <w:next w:val="Normal"/>
    <w:uiPriority w:val="6"/>
    <w:qFormat/>
    <w:rsid w:val="00BC4108"/>
    <w:pPr>
      <w:spacing w:after="240" w:line="264" w:lineRule="auto"/>
      <w:jc w:val="center"/>
    </w:pPr>
    <w:rPr>
      <w:rFonts w:ascii="Segoe UI" w:eastAsia="SimSun" w:hAnsi="Segoe UI"/>
      <w:b/>
      <w:color w:val="C45911"/>
      <w:sz w:val="32"/>
      <w:szCs w:val="20"/>
    </w:rPr>
  </w:style>
  <w:style w:type="paragraph" w:customStyle="1" w:styleId="dec-date">
    <w:name w:val="dec-date"/>
    <w:basedOn w:val="Normal"/>
    <w:uiPriority w:val="99"/>
    <w:rsid w:val="00BC4108"/>
    <w:pPr>
      <w:spacing w:before="100" w:beforeAutospacing="1" w:after="100" w:afterAutospacing="1"/>
    </w:pPr>
  </w:style>
  <w:style w:type="paragraph" w:customStyle="1" w:styleId="39">
    <w:name w:val="Обычный3"/>
    <w:rsid w:val="006842D6"/>
    <w:pPr>
      <w:autoSpaceDE w:val="0"/>
      <w:autoSpaceDN w:val="0"/>
      <w:spacing w:after="160" w:line="259" w:lineRule="auto"/>
    </w:pPr>
    <w:rPr>
      <w:lang w:val="ru-RU" w:eastAsia="ru-RU"/>
    </w:rPr>
  </w:style>
  <w:style w:type="paragraph" w:customStyle="1" w:styleId="1f3">
    <w:name w:val="Рецензия1"/>
    <w:hidden/>
    <w:uiPriority w:val="99"/>
    <w:semiHidden/>
    <w:rsid w:val="006842D6"/>
    <w:pPr>
      <w:spacing w:after="160" w:line="259" w:lineRule="auto"/>
    </w:pPr>
    <w:rPr>
      <w:rFonts w:ascii="Arial Armenian" w:hAnsi="Arial Armenian" w:cs="Sylfaen"/>
      <w:sz w:val="24"/>
      <w:szCs w:val="24"/>
      <w:lang w:val="ru-RU" w:eastAsia="ru-RU"/>
    </w:rPr>
  </w:style>
  <w:style w:type="paragraph" w:customStyle="1" w:styleId="1f4">
    <w:name w:val="Заголовок оглавления1"/>
    <w:basedOn w:val="Heading1"/>
    <w:next w:val="Normal"/>
    <w:uiPriority w:val="39"/>
    <w:unhideWhenUsed/>
    <w:qFormat/>
    <w:rsid w:val="006842D6"/>
    <w:pPr>
      <w:spacing w:before="480" w:after="0" w:line="276" w:lineRule="auto"/>
      <w:outlineLvl w:val="9"/>
    </w:pPr>
    <w:rPr>
      <w:rFonts w:ascii="Cambria" w:hAnsi="Cambria"/>
      <w:color w:val="365F91"/>
      <w:sz w:val="28"/>
    </w:rPr>
  </w:style>
  <w:style w:type="paragraph" w:customStyle="1" w:styleId="213">
    <w:name w:val="Цитата 21"/>
    <w:basedOn w:val="Normal"/>
    <w:next w:val="Normal"/>
    <w:uiPriority w:val="29"/>
    <w:qFormat/>
    <w:rsid w:val="006842D6"/>
    <w:rPr>
      <w:i/>
      <w:iCs/>
      <w:color w:val="000000"/>
    </w:rPr>
  </w:style>
  <w:style w:type="character" w:customStyle="1" w:styleId="1f5">
    <w:name w:val="Сильное выделение1"/>
    <w:uiPriority w:val="21"/>
    <w:qFormat/>
    <w:rsid w:val="006842D6"/>
    <w:rPr>
      <w:b/>
      <w:bCs/>
      <w:i/>
      <w:iCs/>
      <w:color w:val="4F81BD"/>
    </w:rPr>
  </w:style>
  <w:style w:type="numbering" w:customStyle="1" w:styleId="112">
    <w:name w:val="Нет списка11"/>
    <w:next w:val="NoList"/>
    <w:semiHidden/>
    <w:unhideWhenUsed/>
    <w:rsid w:val="006842D6"/>
  </w:style>
  <w:style w:type="paragraph" w:customStyle="1" w:styleId="1f6">
    <w:name w:val="Выделенная цитата1"/>
    <w:basedOn w:val="Normal"/>
    <w:next w:val="Normal"/>
    <w:qFormat/>
    <w:rsid w:val="006842D6"/>
    <w:pPr>
      <w:pBdr>
        <w:bottom w:val="single" w:sz="4" w:space="4" w:color="4F81BD"/>
      </w:pBdr>
      <w:spacing w:before="200" w:after="280"/>
      <w:ind w:left="936" w:right="936"/>
    </w:pPr>
    <w:rPr>
      <w:b/>
      <w:bCs/>
      <w:i/>
      <w:iCs/>
      <w:color w:val="4F81BD"/>
    </w:rPr>
  </w:style>
  <w:style w:type="character" w:customStyle="1" w:styleId="1f7">
    <w:name w:val="Слабое выделение1"/>
    <w:qFormat/>
    <w:rsid w:val="006842D6"/>
    <w:rPr>
      <w:rFonts w:cs="Times New Roman"/>
      <w:i/>
      <w:iCs/>
      <w:color w:val="808080"/>
    </w:rPr>
  </w:style>
  <w:style w:type="character" w:customStyle="1" w:styleId="1f8">
    <w:name w:val="Слабая ссылка1"/>
    <w:qFormat/>
    <w:rsid w:val="006842D6"/>
    <w:rPr>
      <w:rFonts w:cs="Times New Roman"/>
      <w:smallCaps/>
      <w:color w:val="C0504D"/>
      <w:u w:val="single"/>
    </w:rPr>
  </w:style>
  <w:style w:type="character" w:customStyle="1" w:styleId="1f9">
    <w:name w:val="Сильная ссылка1"/>
    <w:qFormat/>
    <w:rsid w:val="006842D6"/>
    <w:rPr>
      <w:rFonts w:cs="Times New Roman"/>
      <w:b/>
      <w:bCs/>
      <w:smallCaps/>
      <w:color w:val="C0504D"/>
      <w:spacing w:val="5"/>
      <w:u w:val="single"/>
    </w:rPr>
  </w:style>
  <w:style w:type="character" w:customStyle="1" w:styleId="1fa">
    <w:name w:val="Название книги1"/>
    <w:qFormat/>
    <w:rsid w:val="006842D6"/>
    <w:rPr>
      <w:rFonts w:cs="Times New Roman"/>
      <w:b/>
      <w:bCs/>
      <w:smallCaps/>
      <w:spacing w:val="5"/>
    </w:rPr>
  </w:style>
  <w:style w:type="character" w:customStyle="1" w:styleId="CharChar352">
    <w:name w:val="Char Char352"/>
    <w:rsid w:val="006842D6"/>
    <w:rPr>
      <w:rFonts w:ascii="Arial Armenian" w:hAnsi="Arial Armenian"/>
      <w:i/>
      <w:sz w:val="22"/>
      <w:u w:val="single"/>
      <w:lang w:val="en-GB"/>
    </w:rPr>
  </w:style>
  <w:style w:type="character" w:customStyle="1" w:styleId="CharChar342">
    <w:name w:val="Char Char342"/>
    <w:rsid w:val="006842D6"/>
    <w:rPr>
      <w:rFonts w:ascii="Garamond" w:hAnsi="Garamond"/>
      <w:i/>
      <w:spacing w:val="-5"/>
      <w:sz w:val="28"/>
      <w:shd w:val="pct5" w:color="auto" w:fill="auto"/>
      <w:lang w:val="en-GB"/>
    </w:rPr>
  </w:style>
  <w:style w:type="character" w:customStyle="1" w:styleId="CharChar332">
    <w:name w:val="Char Char332"/>
    <w:rsid w:val="006842D6"/>
    <w:rPr>
      <w:rFonts w:ascii="Arial Black" w:hAnsi="Arial Black"/>
      <w:caps/>
      <w:spacing w:val="60"/>
      <w:position w:val="4"/>
      <w:sz w:val="14"/>
      <w:lang w:val="en-GB"/>
    </w:rPr>
  </w:style>
  <w:style w:type="character" w:customStyle="1" w:styleId="CharChar322">
    <w:name w:val="Char Char322"/>
    <w:rsid w:val="006842D6"/>
    <w:rPr>
      <w:rFonts w:ascii="Garamond" w:hAnsi="Garamond"/>
      <w:b/>
      <w:i/>
      <w:kern w:val="28"/>
      <w:lang w:val="en-GB"/>
    </w:rPr>
  </w:style>
  <w:style w:type="character" w:customStyle="1" w:styleId="CharChar302">
    <w:name w:val="Char Char302"/>
    <w:rsid w:val="006842D6"/>
    <w:rPr>
      <w:rFonts w:ascii="Arial Armenian" w:hAnsi="Arial Armenian"/>
      <w:lang w:val="en-GB" w:eastAsia="en-US" w:bidi="ar-SA"/>
    </w:rPr>
  </w:style>
  <w:style w:type="character" w:customStyle="1" w:styleId="CharChar292">
    <w:name w:val="Char Char292"/>
    <w:rsid w:val="006842D6"/>
    <w:rPr>
      <w:rFonts w:ascii="Arial Armenian" w:hAnsi="Arial Armenian"/>
      <w:lang w:val="ru-RU" w:eastAsia="ru-RU" w:bidi="ar-SA"/>
    </w:rPr>
  </w:style>
  <w:style w:type="character" w:customStyle="1" w:styleId="SubtitleChar2">
    <w:name w:val="Subtitle Char2"/>
    <w:rsid w:val="007B4497"/>
    <w:rPr>
      <w:rFonts w:ascii="Times Armenian" w:hAnsi="Times Armenian"/>
      <w:b/>
      <w:sz w:val="28"/>
      <w:szCs w:val="24"/>
      <w:lang w:eastAsia="ru-RU"/>
    </w:rPr>
  </w:style>
  <w:style w:type="paragraph" w:customStyle="1" w:styleId="msonormal0">
    <w:name w:val="msonormal"/>
    <w:basedOn w:val="Normal"/>
    <w:rsid w:val="00C6712C"/>
    <w:pPr>
      <w:spacing w:before="100" w:beforeAutospacing="1" w:after="100" w:afterAutospacing="1"/>
    </w:pPr>
  </w:style>
  <w:style w:type="paragraph" w:customStyle="1" w:styleId="textbox">
    <w:name w:val="textbox"/>
    <w:basedOn w:val="Normal"/>
    <w:rsid w:val="00C6712C"/>
    <w:pPr>
      <w:spacing w:line="160" w:lineRule="exact"/>
    </w:pPr>
    <w:rPr>
      <w:smallCaps/>
      <w:sz w:val="16"/>
      <w:szCs w:val="20"/>
      <w:lang w:val="hy-AM"/>
    </w:rPr>
  </w:style>
  <w:style w:type="character" w:customStyle="1" w:styleId="t121">
    <w:name w:val="t121"/>
    <w:rsid w:val="00C6712C"/>
    <w:rPr>
      <w:b/>
      <w:bCs/>
      <w:color w:val="191970"/>
    </w:rPr>
  </w:style>
  <w:style w:type="character" w:customStyle="1" w:styleId="t61">
    <w:name w:val="t61"/>
    <w:rsid w:val="00C6712C"/>
    <w:rPr>
      <w:b/>
      <w:bCs/>
      <w:color w:val="191970"/>
    </w:rPr>
  </w:style>
  <w:style w:type="table" w:customStyle="1" w:styleId="TableGrid10">
    <w:name w:val="Table Grid1"/>
    <w:basedOn w:val="TableNormal"/>
    <w:next w:val="TableGrid"/>
    <w:rsid w:val="00C671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3">
    <w:name w:val="Char Char Char Char Знак Char Знак Char Char Char Char Char Char Char Char Char Char3"/>
    <w:basedOn w:val="Normal"/>
    <w:rsid w:val="00C6712C"/>
    <w:pPr>
      <w:tabs>
        <w:tab w:val="left" w:pos="709"/>
      </w:tabs>
    </w:pPr>
    <w:rPr>
      <w:rFonts w:ascii="Tahoma" w:hAnsi="Tahoma" w:cs="Tahoma"/>
      <w:lang w:val="pl-PL" w:eastAsia="pl-PL"/>
    </w:rPr>
  </w:style>
  <w:style w:type="paragraph" w:customStyle="1" w:styleId="CharCharCharCharCharCharCharCharCharCharCharCharCharCharChar4">
    <w:name w:val="Char Char Char Char Знак Char Знак Char Char Char Char Char Char Char Char Char Char4"/>
    <w:basedOn w:val="Normal"/>
    <w:rsid w:val="00C6712C"/>
    <w:pPr>
      <w:tabs>
        <w:tab w:val="left" w:pos="709"/>
      </w:tabs>
    </w:pPr>
    <w:rPr>
      <w:rFonts w:ascii="Tahoma" w:hAnsi="Tahoma" w:cs="Tahoma"/>
      <w:lang w:val="pl-PL" w:eastAsia="pl-PL"/>
    </w:rPr>
  </w:style>
  <w:style w:type="character" w:customStyle="1" w:styleId="CharChar62">
    <w:name w:val="Char Char62"/>
    <w:locked/>
    <w:rsid w:val="00C6712C"/>
    <w:rPr>
      <w:rFonts w:ascii="Times LatArm" w:eastAsia="Calibri" w:hAnsi="Times LatArm" w:cs="Times LatArm"/>
      <w:sz w:val="22"/>
      <w:szCs w:val="22"/>
      <w:lang w:val="en-GB" w:eastAsia="en-US" w:bidi="ar-SA"/>
    </w:rPr>
  </w:style>
  <w:style w:type="character" w:customStyle="1" w:styleId="CentredCharChar">
    <w:name w:val="Centred Char Char"/>
    <w:locked/>
    <w:rsid w:val="00C6712C"/>
    <w:rPr>
      <w:rFonts w:eastAsia="Calibri"/>
      <w:b/>
      <w:bCs/>
      <w:i/>
      <w:iCs/>
      <w:sz w:val="24"/>
      <w:szCs w:val="24"/>
      <w:lang w:val="en-GB" w:eastAsia="en-US" w:bidi="ar-SA"/>
    </w:rPr>
  </w:style>
  <w:style w:type="character" w:customStyle="1" w:styleId="SideCharChar">
    <w:name w:val="Side Char Char"/>
    <w:locked/>
    <w:rsid w:val="00C6712C"/>
    <w:rPr>
      <w:rFonts w:eastAsia="Calibri"/>
      <w:sz w:val="22"/>
      <w:szCs w:val="22"/>
      <w:lang w:val="en-GB" w:eastAsia="en-US" w:bidi="ar-SA"/>
    </w:rPr>
  </w:style>
  <w:style w:type="character" w:customStyle="1" w:styleId="CharChar8">
    <w:name w:val="Char Char8"/>
    <w:locked/>
    <w:rsid w:val="00C6712C"/>
    <w:rPr>
      <w:rFonts w:ascii="Times Armenian" w:eastAsia="Calibri" w:hAnsi="Times Armenian" w:cs="Times Armenian"/>
      <w:color w:val="993300"/>
      <w:sz w:val="22"/>
      <w:szCs w:val="22"/>
      <w:lang w:val="hy-AM" w:eastAsia="en-US" w:bidi="ar-SA"/>
    </w:rPr>
  </w:style>
  <w:style w:type="character" w:customStyle="1" w:styleId="CharChar7">
    <w:name w:val="Char Char7"/>
    <w:locked/>
    <w:rsid w:val="00C6712C"/>
    <w:rPr>
      <w:rFonts w:ascii="Courier New" w:eastAsia="Calibri" w:hAnsi="Courier New" w:cs="Courier New"/>
      <w:lang w:val="en-US" w:eastAsia="en-US" w:bidi="ar-SA"/>
    </w:rPr>
  </w:style>
  <w:style w:type="character" w:customStyle="1" w:styleId="CharChar42">
    <w:name w:val="Char Char42"/>
    <w:locked/>
    <w:rsid w:val="00C6712C"/>
    <w:rPr>
      <w:rFonts w:eastAsia="Calibri"/>
      <w:sz w:val="22"/>
      <w:szCs w:val="22"/>
      <w:lang w:val="en-GB" w:eastAsia="en-US" w:bidi="ar-SA"/>
    </w:rPr>
  </w:style>
  <w:style w:type="character" w:customStyle="1" w:styleId="CharChar38">
    <w:name w:val="Char Char38"/>
    <w:uiPriority w:val="99"/>
    <w:locked/>
    <w:rsid w:val="00C6712C"/>
    <w:rPr>
      <w:rFonts w:eastAsia="Calibri"/>
      <w:sz w:val="22"/>
      <w:szCs w:val="22"/>
      <w:lang w:val="en-GB" w:eastAsia="en-US" w:bidi="ar-SA"/>
    </w:rPr>
  </w:style>
  <w:style w:type="character" w:customStyle="1" w:styleId="CharChar212">
    <w:name w:val="Char Char212"/>
    <w:locked/>
    <w:rsid w:val="00C6712C"/>
    <w:rPr>
      <w:rFonts w:ascii="Times Armenian" w:eastAsia="Calibri" w:hAnsi="Times Armenian" w:cs="Times Armenian"/>
      <w:b/>
      <w:bCs/>
      <w:sz w:val="22"/>
      <w:szCs w:val="22"/>
      <w:lang w:val="en-US" w:eastAsia="en-US" w:bidi="ar-SA"/>
    </w:rPr>
  </w:style>
  <w:style w:type="numbering" w:customStyle="1" w:styleId="NoList5">
    <w:name w:val="No List5"/>
    <w:next w:val="NoList"/>
    <w:uiPriority w:val="99"/>
    <w:semiHidden/>
    <w:rsid w:val="00C6712C"/>
  </w:style>
  <w:style w:type="numbering" w:customStyle="1" w:styleId="NoList6">
    <w:name w:val="No List6"/>
    <w:next w:val="NoList"/>
    <w:uiPriority w:val="99"/>
    <w:semiHidden/>
    <w:unhideWhenUsed/>
    <w:rsid w:val="00B528FC"/>
  </w:style>
  <w:style w:type="table" w:customStyle="1" w:styleId="TableGrid2">
    <w:name w:val="Table Grid2"/>
    <w:basedOn w:val="TableNormal"/>
    <w:next w:val="TableGrid"/>
    <w:rsid w:val="00B528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B528FC"/>
    <w:rPr>
      <w:rFonts w:ascii="GHEA Grapalat" w:hAnsi="GHEA Grapalat"/>
      <w:spacing w:val="-4"/>
      <w:sz w:val="24"/>
      <w:szCs w:val="24"/>
    </w:rPr>
  </w:style>
  <w:style w:type="paragraph" w:customStyle="1" w:styleId="namak0">
    <w:name w:val="namak"/>
    <w:basedOn w:val="Normal"/>
    <w:link w:val="namak"/>
    <w:rsid w:val="00B528FC"/>
    <w:pPr>
      <w:spacing w:line="400" w:lineRule="exact"/>
      <w:ind w:firstLine="397"/>
    </w:pPr>
    <w:rPr>
      <w:spacing w:val="-4"/>
    </w:rPr>
  </w:style>
  <w:style w:type="numbering" w:customStyle="1" w:styleId="NoList7">
    <w:name w:val="No List7"/>
    <w:next w:val="NoList"/>
    <w:uiPriority w:val="99"/>
    <w:semiHidden/>
    <w:unhideWhenUsed/>
    <w:rsid w:val="00433F56"/>
  </w:style>
  <w:style w:type="numbering" w:customStyle="1" w:styleId="NoList12">
    <w:name w:val="No List12"/>
    <w:next w:val="NoList"/>
    <w:uiPriority w:val="99"/>
    <w:semiHidden/>
    <w:unhideWhenUsed/>
    <w:rsid w:val="00433F56"/>
  </w:style>
  <w:style w:type="table" w:customStyle="1" w:styleId="TableGrid30">
    <w:name w:val="Table Grid3"/>
    <w:basedOn w:val="TableNormal"/>
    <w:next w:val="TableGrid"/>
    <w:rsid w:val="00433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next w:val="TableWeb2"/>
    <w:rsid w:val="00654F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654F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654F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654F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
    <w:name w:val="Colorful Grid - Accent 12"/>
    <w:basedOn w:val="TableNormal"/>
    <w:next w:val="ColorfulGrid-Accent1"/>
    <w:rsid w:val="00654F9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next w:val="LightList-Accent5"/>
    <w:rsid w:val="00654F9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Bullet2">
    <w:name w:val="Bullet 2"/>
    <w:basedOn w:val="Normal"/>
    <w:autoRedefine/>
    <w:qFormat/>
    <w:rsid w:val="00654F98"/>
    <w:pPr>
      <w:widowControl w:val="0"/>
      <w:tabs>
        <w:tab w:val="left" w:pos="851"/>
        <w:tab w:val="left" w:pos="993"/>
      </w:tabs>
      <w:spacing w:line="360" w:lineRule="auto"/>
      <w:ind w:left="567"/>
      <w:contextualSpacing/>
    </w:pPr>
    <w:rPr>
      <w:rFonts w:cs="Sylfaen"/>
      <w:b/>
      <w:lang w:val="ro-RO" w:eastAsia="ru-RU"/>
    </w:rPr>
  </w:style>
  <w:style w:type="paragraph" w:customStyle="1" w:styleId="CharChar5CharCharCharCharCharChar2">
    <w:name w:val="Char Char5 Char Char Char Char Char Char2"/>
    <w:basedOn w:val="Normal"/>
    <w:rsid w:val="0003671D"/>
    <w:pPr>
      <w:tabs>
        <w:tab w:val="left" w:pos="709"/>
      </w:tabs>
    </w:pPr>
    <w:rPr>
      <w:rFonts w:ascii="Tahoma" w:hAnsi="Tahoma"/>
      <w:lang w:val="pl-PL" w:eastAsia="pl-PL"/>
    </w:rPr>
  </w:style>
  <w:style w:type="paragraph" w:customStyle="1" w:styleId="CharChar5CharCharCharChar2">
    <w:name w:val="Char Char5 Char Char Char Char2"/>
    <w:basedOn w:val="Normal"/>
    <w:rsid w:val="0003671D"/>
    <w:pPr>
      <w:tabs>
        <w:tab w:val="left" w:pos="709"/>
      </w:tabs>
    </w:pPr>
    <w:rPr>
      <w:rFonts w:ascii="Tahoma" w:hAnsi="Tahoma"/>
      <w:lang w:val="pl-PL" w:eastAsia="pl-PL"/>
    </w:rPr>
  </w:style>
  <w:style w:type="paragraph" w:customStyle="1" w:styleId="CharChar5CharChar2">
    <w:name w:val="Char Char5 Char Char2"/>
    <w:basedOn w:val="Normal"/>
    <w:rsid w:val="0003671D"/>
    <w:pPr>
      <w:tabs>
        <w:tab w:val="left" w:pos="709"/>
      </w:tabs>
    </w:pPr>
    <w:rPr>
      <w:rFonts w:ascii="Tahoma" w:hAnsi="Tahoma"/>
      <w:lang w:val="pl-PL" w:eastAsia="pl-PL"/>
    </w:rPr>
  </w:style>
  <w:style w:type="numbering" w:customStyle="1" w:styleId="NoList8">
    <w:name w:val="No List8"/>
    <w:next w:val="NoList"/>
    <w:uiPriority w:val="99"/>
    <w:semiHidden/>
    <w:unhideWhenUsed/>
    <w:rsid w:val="004336B6"/>
  </w:style>
  <w:style w:type="numbering" w:customStyle="1" w:styleId="120">
    <w:name w:val="Нет списка12"/>
    <w:next w:val="NoList"/>
    <w:uiPriority w:val="99"/>
    <w:semiHidden/>
    <w:unhideWhenUsed/>
    <w:rsid w:val="004336B6"/>
  </w:style>
  <w:style w:type="paragraph" w:customStyle="1" w:styleId="2a">
    <w:name w:val="Абзац списка2"/>
    <w:basedOn w:val="Normal"/>
    <w:uiPriority w:val="99"/>
    <w:qFormat/>
    <w:rsid w:val="004336B6"/>
    <w:pPr>
      <w:spacing w:after="200" w:line="276" w:lineRule="auto"/>
      <w:ind w:left="720"/>
      <w:contextualSpacing/>
    </w:pPr>
    <w:rPr>
      <w:lang w:val="ru-RU" w:eastAsia="ru-RU"/>
    </w:rPr>
  </w:style>
  <w:style w:type="paragraph" w:customStyle="1" w:styleId="45">
    <w:name w:val="Обычный4"/>
    <w:rsid w:val="004336B6"/>
    <w:pPr>
      <w:autoSpaceDE w:val="0"/>
      <w:autoSpaceDN w:val="0"/>
      <w:spacing w:after="160" w:line="259" w:lineRule="auto"/>
    </w:pPr>
    <w:rPr>
      <w:lang w:val="ru-RU" w:eastAsia="ru-RU"/>
    </w:rPr>
  </w:style>
  <w:style w:type="numbering" w:customStyle="1" w:styleId="NoList13">
    <w:name w:val="No List13"/>
    <w:next w:val="NoList"/>
    <w:semiHidden/>
    <w:unhideWhenUsed/>
    <w:rsid w:val="004336B6"/>
  </w:style>
  <w:style w:type="numbering" w:customStyle="1" w:styleId="NoList21">
    <w:name w:val="No List21"/>
    <w:next w:val="NoList"/>
    <w:semiHidden/>
    <w:unhideWhenUsed/>
    <w:rsid w:val="004336B6"/>
  </w:style>
  <w:style w:type="numbering" w:customStyle="1" w:styleId="NoList31">
    <w:name w:val="No List31"/>
    <w:next w:val="NoList"/>
    <w:semiHidden/>
    <w:unhideWhenUsed/>
    <w:rsid w:val="004336B6"/>
  </w:style>
  <w:style w:type="paragraph" w:customStyle="1" w:styleId="2b">
    <w:name w:val="Без интервала2"/>
    <w:uiPriority w:val="1"/>
    <w:qFormat/>
    <w:rsid w:val="004336B6"/>
    <w:pPr>
      <w:spacing w:after="160" w:line="259" w:lineRule="auto"/>
    </w:pPr>
  </w:style>
  <w:style w:type="paragraph" w:customStyle="1" w:styleId="2c">
    <w:name w:val="Рецензия2"/>
    <w:hidden/>
    <w:semiHidden/>
    <w:rsid w:val="004336B6"/>
    <w:pPr>
      <w:spacing w:after="160" w:line="259" w:lineRule="auto"/>
    </w:pPr>
    <w:rPr>
      <w:rFonts w:ascii="Arial Armenian" w:hAnsi="Arial Armenian" w:cs="Sylfaen"/>
      <w:sz w:val="24"/>
      <w:szCs w:val="24"/>
      <w:lang w:val="ru-RU" w:eastAsia="ru-RU"/>
    </w:rPr>
  </w:style>
  <w:style w:type="numbering" w:customStyle="1" w:styleId="1110">
    <w:name w:val="Нет списка111"/>
    <w:next w:val="NoList"/>
    <w:semiHidden/>
    <w:unhideWhenUsed/>
    <w:rsid w:val="004336B6"/>
  </w:style>
  <w:style w:type="numbering" w:customStyle="1" w:styleId="NoList41">
    <w:name w:val="No List41"/>
    <w:next w:val="NoList"/>
    <w:semiHidden/>
    <w:rsid w:val="004336B6"/>
  </w:style>
  <w:style w:type="numbering" w:customStyle="1" w:styleId="NoList111">
    <w:name w:val="No List111"/>
    <w:next w:val="NoList"/>
    <w:semiHidden/>
    <w:unhideWhenUsed/>
    <w:rsid w:val="004336B6"/>
  </w:style>
  <w:style w:type="character" w:customStyle="1" w:styleId="3a">
    <w:name w:val="Основной текст3"/>
    <w:rsid w:val="004336B6"/>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numbering" w:customStyle="1" w:styleId="1111">
    <w:name w:val="Нет списка1111"/>
    <w:next w:val="NoList"/>
    <w:semiHidden/>
    <w:unhideWhenUsed/>
    <w:rsid w:val="004336B6"/>
  </w:style>
  <w:style w:type="character" w:customStyle="1" w:styleId="CharChar121">
    <w:name w:val="Char Char121"/>
    <w:rsid w:val="00BF7F3E"/>
    <w:rPr>
      <w:sz w:val="22"/>
      <w:lang w:val="en-GB" w:eastAsia="en-US" w:bidi="ar-SA"/>
    </w:rPr>
  </w:style>
  <w:style w:type="paragraph" w:styleId="ListParagraph">
    <w:name w:val="List Paragraph"/>
    <w:aliases w:val="lp1,List Paragraph4,List Paragraph41,List Paragraph5,Paragraphe de liste PBLH,PDP DOCUMENT SUBTITLE,Bullet Points,Table of contents numbered,List Paragraph in table,Liste 1,Варианты ответов,Table no. List Paragraph,List Paragraph111"/>
    <w:basedOn w:val="Normal"/>
    <w:uiPriority w:val="34"/>
    <w:qFormat/>
    <w:rsid w:val="008367F2"/>
    <w:pPr>
      <w:ind w:left="567" w:firstLine="0"/>
      <w:contextualSpacing/>
    </w:pPr>
  </w:style>
  <w:style w:type="numbering" w:customStyle="1" w:styleId="NoList9">
    <w:name w:val="No List9"/>
    <w:next w:val="NoList"/>
    <w:uiPriority w:val="99"/>
    <w:semiHidden/>
    <w:unhideWhenUsed/>
    <w:rsid w:val="00BE7F97"/>
  </w:style>
  <w:style w:type="character" w:styleId="PlaceholderText">
    <w:name w:val="Placeholder Text"/>
    <w:uiPriority w:val="99"/>
    <w:semiHidden/>
    <w:rsid w:val="005D18BE"/>
    <w:rPr>
      <w:color w:val="808080"/>
    </w:rPr>
  </w:style>
  <w:style w:type="character" w:customStyle="1" w:styleId="newstext">
    <w:name w:val="news_text"/>
    <w:rsid w:val="005D18BE"/>
  </w:style>
  <w:style w:type="table" w:customStyle="1" w:styleId="TableGrid4">
    <w:name w:val="Table Grid4"/>
    <w:basedOn w:val="TableNormal"/>
    <w:next w:val="TableGrid"/>
    <w:uiPriority w:val="39"/>
    <w:rsid w:val="00476B56"/>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B45ADF"/>
    <w:rPr>
      <w:rFonts w:ascii="Times Armenian" w:hAnsi="Times Armenian" w:cs="Times Armenian"/>
      <w:color w:val="000000"/>
      <w:sz w:val="24"/>
      <w:szCs w:val="24"/>
      <w:lang w:val="ru-RU" w:eastAsia="ru-RU"/>
    </w:rPr>
  </w:style>
  <w:style w:type="table" w:customStyle="1" w:styleId="GridTable1Light-Accent51">
    <w:name w:val="Grid Table 1 Light - Accent 51"/>
    <w:basedOn w:val="TableNormal"/>
    <w:uiPriority w:val="46"/>
    <w:rsid w:val="00D051A3"/>
    <w:rPr>
      <w:rFonts w:eastAsia="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D051A3"/>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
    <w:name w:val="Grid Table 4 - Accent 11"/>
    <w:basedOn w:val="TableNormal"/>
    <w:uiPriority w:val="49"/>
    <w:rsid w:val="00D051A3"/>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D051A3"/>
  </w:style>
  <w:style w:type="numbering" w:customStyle="1" w:styleId="NoList10">
    <w:name w:val="No List10"/>
    <w:next w:val="NoList"/>
    <w:uiPriority w:val="99"/>
    <w:semiHidden/>
    <w:unhideWhenUsed/>
    <w:rsid w:val="009E1493"/>
  </w:style>
  <w:style w:type="table" w:customStyle="1" w:styleId="TableGrid50">
    <w:name w:val="Table Grid5"/>
    <w:basedOn w:val="TableNormal"/>
    <w:next w:val="TableGrid"/>
    <w:uiPriority w:val="39"/>
    <w:rsid w:val="009E14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
    <w:name w:val="Table List 71"/>
    <w:basedOn w:val="TableNormal"/>
    <w:next w:val="TableList7"/>
    <w:rsid w:val="009E1493"/>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
    <w:name w:val="Table Web 31"/>
    <w:basedOn w:val="TableNormal"/>
    <w:next w:val="TableWeb3"/>
    <w:rsid w:val="009E1493"/>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
    <w:name w:val="Table Elegant1"/>
    <w:basedOn w:val="TableNormal"/>
    <w:next w:val="TableElegant"/>
    <w:rsid w:val="009E1493"/>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9E1493"/>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9E1493"/>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9E1493"/>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rsid w:val="009E1493"/>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
    <w:name w:val="No List14"/>
    <w:next w:val="NoList"/>
    <w:semiHidden/>
    <w:unhideWhenUsed/>
    <w:rsid w:val="009E1493"/>
  </w:style>
  <w:style w:type="numbering" w:customStyle="1" w:styleId="NoList22">
    <w:name w:val="No List22"/>
    <w:next w:val="NoList"/>
    <w:semiHidden/>
    <w:unhideWhenUsed/>
    <w:rsid w:val="009E1493"/>
  </w:style>
  <w:style w:type="numbering" w:customStyle="1" w:styleId="NoList32">
    <w:name w:val="No List32"/>
    <w:next w:val="NoList"/>
    <w:semiHidden/>
    <w:unhideWhenUsed/>
    <w:rsid w:val="009E1493"/>
  </w:style>
  <w:style w:type="table" w:customStyle="1" w:styleId="LightList-Accent12">
    <w:name w:val="Light List - Accent 12"/>
    <w:basedOn w:val="TableNormal"/>
    <w:uiPriority w:val="61"/>
    <w:rsid w:val="009E1493"/>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next w:val="TableGrid7"/>
    <w:rsid w:val="009E1493"/>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
    <w:name w:val="Colorful Grid - Accent 13"/>
    <w:basedOn w:val="TableNormal"/>
    <w:next w:val="ColorfulGrid-Accent1"/>
    <w:uiPriority w:val="73"/>
    <w:rsid w:val="009E1493"/>
    <w:rPr>
      <w:rFonts w:ascii="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next w:val="LightList-Accent5"/>
    <w:uiPriority w:val="61"/>
    <w:rsid w:val="009E1493"/>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next w:val="TableSimple3"/>
    <w:rsid w:val="009E1493"/>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
    <w:name w:val="Table Grid 51"/>
    <w:basedOn w:val="TableNormal"/>
    <w:next w:val="TableGrid5"/>
    <w:rsid w:val="009E1493"/>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
    <w:name w:val="Table Grid 31"/>
    <w:basedOn w:val="TableNormal"/>
    <w:next w:val="TableGrid3"/>
    <w:rsid w:val="009E1493"/>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9E1493"/>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
    <w:name w:val="Table Columns 51"/>
    <w:basedOn w:val="TableNormal"/>
    <w:next w:val="TableColumns5"/>
    <w:rsid w:val="009E1493"/>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9E1493"/>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
    <w:name w:val="Нет списка13"/>
    <w:next w:val="NoList"/>
    <w:semiHidden/>
    <w:unhideWhenUsed/>
    <w:rsid w:val="009E1493"/>
  </w:style>
  <w:style w:type="table" w:customStyle="1" w:styleId="ColorfulGrid-Accent111">
    <w:name w:val="Colorful Grid - Accent 111"/>
    <w:basedOn w:val="TableNormal"/>
    <w:rsid w:val="009E1493"/>
    <w:rPr>
      <w:rFonts w:ascii="Times New Roman" w:hAnsi="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9E1493"/>
    <w:rPr>
      <w:rFonts w:ascii="Times New Roman" w:hAnsi="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
    <w:name w:val="No List42"/>
    <w:next w:val="NoList"/>
    <w:semiHidden/>
    <w:rsid w:val="009E1493"/>
  </w:style>
  <w:style w:type="numbering" w:customStyle="1" w:styleId="NoList112">
    <w:name w:val="No List112"/>
    <w:next w:val="NoList"/>
    <w:semiHidden/>
    <w:unhideWhenUsed/>
    <w:rsid w:val="009E1493"/>
  </w:style>
  <w:style w:type="table" w:customStyle="1" w:styleId="Table3Deffects31">
    <w:name w:val="Table 3D effects 31"/>
    <w:basedOn w:val="TableNormal"/>
    <w:next w:val="Table3Deffects3"/>
    <w:rsid w:val="009E1493"/>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9E1493"/>
  </w:style>
  <w:style w:type="table" w:customStyle="1" w:styleId="TableGrid110">
    <w:name w:val="Table Grid11"/>
    <w:basedOn w:val="TableNormal"/>
    <w:next w:val="TableGrid"/>
    <w:rsid w:val="009E149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
    <w:name w:val="No List51"/>
    <w:next w:val="NoList"/>
    <w:uiPriority w:val="99"/>
    <w:semiHidden/>
    <w:rsid w:val="009E1493"/>
  </w:style>
  <w:style w:type="numbering" w:customStyle="1" w:styleId="NoList61">
    <w:name w:val="No List61"/>
    <w:next w:val="NoList"/>
    <w:uiPriority w:val="99"/>
    <w:semiHidden/>
    <w:unhideWhenUsed/>
    <w:rsid w:val="009E1493"/>
  </w:style>
  <w:style w:type="table" w:customStyle="1" w:styleId="TableGrid21">
    <w:name w:val="Table Grid21"/>
    <w:basedOn w:val="TableNormal"/>
    <w:next w:val="TableGrid"/>
    <w:rsid w:val="009E149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
    <w:name w:val="No List71"/>
    <w:next w:val="NoList"/>
    <w:uiPriority w:val="99"/>
    <w:semiHidden/>
    <w:unhideWhenUsed/>
    <w:rsid w:val="009E1493"/>
  </w:style>
  <w:style w:type="numbering" w:customStyle="1" w:styleId="NoList121">
    <w:name w:val="No List121"/>
    <w:next w:val="NoList"/>
    <w:uiPriority w:val="99"/>
    <w:semiHidden/>
    <w:unhideWhenUsed/>
    <w:rsid w:val="009E1493"/>
  </w:style>
  <w:style w:type="table" w:customStyle="1" w:styleId="TableGrid310">
    <w:name w:val="Table Grid31"/>
    <w:basedOn w:val="TableNormal"/>
    <w:next w:val="TableGrid"/>
    <w:rsid w:val="009E14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
    <w:name w:val="Table Web 211"/>
    <w:basedOn w:val="TableNormal"/>
    <w:next w:val="TableWeb2"/>
    <w:rsid w:val="009E1493"/>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
    <w:name w:val="Table Web 111"/>
    <w:basedOn w:val="TableNormal"/>
    <w:next w:val="TableWeb1"/>
    <w:rsid w:val="009E1493"/>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9E1493"/>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9E1493"/>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
    <w:name w:val="Colorful Grid - Accent 121"/>
    <w:basedOn w:val="TableNormal"/>
    <w:next w:val="ColorfulGrid-Accent1"/>
    <w:rsid w:val="009E1493"/>
    <w:rPr>
      <w:rFonts w:ascii="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next w:val="LightList-Accent5"/>
    <w:rsid w:val="009E1493"/>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
    <w:name w:val="No List81"/>
    <w:next w:val="NoList"/>
    <w:uiPriority w:val="99"/>
    <w:semiHidden/>
    <w:unhideWhenUsed/>
    <w:rsid w:val="009E1493"/>
  </w:style>
  <w:style w:type="numbering" w:customStyle="1" w:styleId="121">
    <w:name w:val="Нет списка121"/>
    <w:next w:val="NoList"/>
    <w:uiPriority w:val="99"/>
    <w:semiHidden/>
    <w:unhideWhenUsed/>
    <w:rsid w:val="009E1493"/>
  </w:style>
  <w:style w:type="numbering" w:customStyle="1" w:styleId="NoList131">
    <w:name w:val="No List131"/>
    <w:next w:val="NoList"/>
    <w:semiHidden/>
    <w:unhideWhenUsed/>
    <w:rsid w:val="009E1493"/>
  </w:style>
  <w:style w:type="numbering" w:customStyle="1" w:styleId="NoList211">
    <w:name w:val="No List211"/>
    <w:next w:val="NoList"/>
    <w:semiHidden/>
    <w:unhideWhenUsed/>
    <w:rsid w:val="009E1493"/>
  </w:style>
  <w:style w:type="numbering" w:customStyle="1" w:styleId="NoList311">
    <w:name w:val="No List311"/>
    <w:next w:val="NoList"/>
    <w:semiHidden/>
    <w:unhideWhenUsed/>
    <w:rsid w:val="009E1493"/>
  </w:style>
  <w:style w:type="numbering" w:customStyle="1" w:styleId="1112">
    <w:name w:val="Нет списка1112"/>
    <w:next w:val="NoList"/>
    <w:semiHidden/>
    <w:unhideWhenUsed/>
    <w:rsid w:val="009E1493"/>
  </w:style>
  <w:style w:type="numbering" w:customStyle="1" w:styleId="NoList411">
    <w:name w:val="No List411"/>
    <w:next w:val="NoList"/>
    <w:semiHidden/>
    <w:rsid w:val="009E1493"/>
  </w:style>
  <w:style w:type="numbering" w:customStyle="1" w:styleId="NoList1111">
    <w:name w:val="No List1111"/>
    <w:next w:val="NoList"/>
    <w:semiHidden/>
    <w:unhideWhenUsed/>
    <w:rsid w:val="009E1493"/>
  </w:style>
  <w:style w:type="numbering" w:customStyle="1" w:styleId="11111">
    <w:name w:val="Нет списка11111"/>
    <w:next w:val="NoList"/>
    <w:semiHidden/>
    <w:unhideWhenUsed/>
    <w:rsid w:val="009E1493"/>
  </w:style>
  <w:style w:type="paragraph" w:customStyle="1" w:styleId="CharChar37">
    <w:name w:val="Char Char37"/>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Char20">
    <w:name w:val="Char Char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BodyText24">
    <w:name w:val="Body Text2"/>
    <w:basedOn w:val="Normal"/>
    <w:rsid w:val="007A551B"/>
    <w:pPr>
      <w:tabs>
        <w:tab w:val="num"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Char6">
    <w:name w:val="Char6"/>
    <w:basedOn w:val="Normal"/>
    <w:next w:val="Normal"/>
    <w:rsid w:val="007A551B"/>
    <w:pPr>
      <w:spacing w:before="0" w:after="160" w:line="240" w:lineRule="exact"/>
      <w:ind w:firstLine="0"/>
      <w:jc w:val="left"/>
    </w:pPr>
    <w:rPr>
      <w:rFonts w:ascii="Tahoma" w:eastAsia="Times New Roman" w:hAnsi="Tahoma" w:cs="Times New Roman"/>
      <w:sz w:val="24"/>
      <w:szCs w:val="20"/>
    </w:rPr>
  </w:style>
  <w:style w:type="paragraph" w:customStyle="1" w:styleId="Znak2">
    <w:name w:val="Znak2"/>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Char2">
    <w:name w:val="Char Char Char Char Char Char Char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CharChar5">
    <w:name w:val="Char Char Char Char Знак Char Знак Char Char Char Char Char Char Char Char Char Char5"/>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5">
    <w:name w:val="Знак Знак5"/>
    <w:basedOn w:val="Normal"/>
    <w:link w:val="Char21"/>
    <w:rsid w:val="007A551B"/>
    <w:pPr>
      <w:spacing w:before="0" w:after="160" w:line="240" w:lineRule="exact"/>
      <w:ind w:firstLine="0"/>
      <w:jc w:val="left"/>
    </w:pPr>
    <w:rPr>
      <w:rFonts w:ascii="Arial" w:eastAsia="Times New Roman" w:hAnsi="Arial" w:cs="Arial"/>
      <w:sz w:val="20"/>
      <w:szCs w:val="20"/>
      <w:lang w:val="en-GB"/>
    </w:rPr>
  </w:style>
  <w:style w:type="character" w:customStyle="1" w:styleId="Char21">
    <w:name w:val="Знак Знак Char2"/>
    <w:link w:val="5"/>
    <w:rsid w:val="007A551B"/>
    <w:rPr>
      <w:rFonts w:ascii="Arial" w:eastAsia="Times New Roman" w:hAnsi="Arial" w:cs="Arial"/>
      <w:sz w:val="20"/>
      <w:szCs w:val="20"/>
      <w:lang w:val="en-GB"/>
    </w:rPr>
  </w:style>
  <w:style w:type="paragraph" w:customStyle="1" w:styleId="CharCharChar21">
    <w:name w:val="Char Char Char Знак Знак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2">
    <w:name w:val="Char Char Char Char Char Char Char Char Char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2">
    <w:name w:val="Char Char Char Char Char Char Char Char Char Char Char Char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1CharChar2">
    <w:name w:val="Знак Знак1 Char Char Знак Знак2"/>
    <w:basedOn w:val="Normal"/>
    <w:rsid w:val="007A551B"/>
    <w:pPr>
      <w:tabs>
        <w:tab w:val="num" w:pos="840"/>
      </w:tabs>
      <w:spacing w:before="0" w:after="160" w:line="240" w:lineRule="exact"/>
      <w:ind w:left="840" w:hanging="360"/>
    </w:pPr>
    <w:rPr>
      <w:rFonts w:ascii="Verdana" w:eastAsia="Times New Roman" w:hAnsi="Verdana" w:cs="Times New Roman"/>
      <w:sz w:val="20"/>
      <w:szCs w:val="20"/>
      <w:lang w:val="ru-RU"/>
    </w:rPr>
  </w:style>
  <w:style w:type="paragraph" w:customStyle="1" w:styleId="CharCharCharChar2">
    <w:name w:val="Знак Знак Char Char Знак Знак Char Char Знак Знак2"/>
    <w:basedOn w:val="Normal"/>
    <w:autoRedefine/>
    <w:rsid w:val="007A551B"/>
    <w:pPr>
      <w:spacing w:before="0" w:after="160" w:line="240" w:lineRule="exact"/>
      <w:ind w:firstLine="0"/>
      <w:jc w:val="left"/>
    </w:pPr>
    <w:rPr>
      <w:rFonts w:ascii="Times New Roman" w:eastAsia="Times New Roman" w:hAnsi="Times New Roman" w:cs="Times New Roman"/>
      <w:sz w:val="28"/>
      <w:szCs w:val="20"/>
    </w:rPr>
  </w:style>
  <w:style w:type="paragraph" w:customStyle="1" w:styleId="Char22">
    <w:name w:val="Знак Знак Знак Знак Знак Знак Знак Знак Знак Знак Знак Знак Знак Знак Знак Знак Знак Знак Char Знак Знак2"/>
    <w:basedOn w:val="Normal"/>
    <w:autoRedefine/>
    <w:rsid w:val="007A551B"/>
    <w:pPr>
      <w:spacing w:before="0" w:after="160" w:line="240" w:lineRule="exact"/>
      <w:ind w:firstLine="0"/>
      <w:jc w:val="left"/>
    </w:pPr>
    <w:rPr>
      <w:rFonts w:ascii="Times New Roman" w:eastAsia="Times New Roman" w:hAnsi="Times New Roman" w:cs="Times New Roman"/>
      <w:sz w:val="28"/>
      <w:szCs w:val="20"/>
    </w:rPr>
  </w:style>
  <w:style w:type="paragraph" w:customStyle="1" w:styleId="CharCharChar22">
    <w:name w:val="Char Char Char Знак2"/>
    <w:basedOn w:val="Normal"/>
    <w:next w:val="Normal"/>
    <w:rsid w:val="007A551B"/>
    <w:pPr>
      <w:spacing w:before="0" w:after="160" w:line="240" w:lineRule="exact"/>
      <w:ind w:firstLine="0"/>
      <w:jc w:val="left"/>
    </w:pPr>
    <w:rPr>
      <w:rFonts w:ascii="Tahoma" w:eastAsia="Times New Roman" w:hAnsi="Tahoma" w:cs="Times New Roman"/>
      <w:sz w:val="24"/>
      <w:szCs w:val="20"/>
    </w:rPr>
  </w:style>
  <w:style w:type="paragraph" w:customStyle="1" w:styleId="CharCharChar1Char2">
    <w:name w:val="Char Char Char1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122">
    <w:name w:val="Знак Знак12"/>
    <w:basedOn w:val="Normal"/>
    <w:rsid w:val="007A551B"/>
    <w:pPr>
      <w:spacing w:before="0" w:after="160" w:line="240" w:lineRule="exact"/>
      <w:ind w:firstLine="0"/>
      <w:jc w:val="left"/>
    </w:pPr>
    <w:rPr>
      <w:rFonts w:ascii="Arial" w:eastAsia="MS Mincho" w:hAnsi="Arial" w:cs="Arial"/>
      <w:sz w:val="20"/>
      <w:szCs w:val="20"/>
    </w:rPr>
  </w:style>
  <w:style w:type="paragraph" w:customStyle="1" w:styleId="CharCharCharCharChar20">
    <w:name w:val="Char Char Char Char Char Знак Знак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1CharCharChar1Char2">
    <w:name w:val="Char Char1 Char Char Char1 Char2"/>
    <w:basedOn w:val="Normal"/>
    <w:autoRedefine/>
    <w:rsid w:val="007A551B"/>
    <w:pPr>
      <w:spacing w:before="0" w:after="0" w:line="240" w:lineRule="auto"/>
      <w:ind w:firstLine="0"/>
      <w:jc w:val="left"/>
    </w:pPr>
    <w:rPr>
      <w:rFonts w:ascii="Times New Roman" w:eastAsia="SimSun" w:hAnsi="Times New Roman" w:cs="Times New Roman"/>
      <w:sz w:val="20"/>
      <w:szCs w:val="20"/>
      <w:lang w:eastAsia="ru-RU"/>
    </w:rPr>
  </w:style>
  <w:style w:type="paragraph" w:customStyle="1" w:styleId="420">
    <w:name w:val="Знак Знак42"/>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23">
    <w:name w:val="Знак Char Знак2"/>
    <w:basedOn w:val="Normal"/>
    <w:rsid w:val="007A551B"/>
    <w:pPr>
      <w:spacing w:before="0" w:after="160" w:line="240" w:lineRule="exact"/>
      <w:ind w:firstLine="0"/>
      <w:jc w:val="left"/>
    </w:pPr>
    <w:rPr>
      <w:rFonts w:ascii="Arial" w:eastAsia="Batang" w:hAnsi="Arial" w:cs="Arial"/>
      <w:sz w:val="20"/>
      <w:szCs w:val="20"/>
    </w:rPr>
  </w:style>
  <w:style w:type="paragraph" w:customStyle="1" w:styleId="CharCharCharCharCharChar20">
    <w:name w:val="Знак Знак Char Char Знак Знак Char Char Знак Знак Char Char2"/>
    <w:basedOn w:val="Normal"/>
    <w:autoRedefine/>
    <w:rsid w:val="007A551B"/>
    <w:pPr>
      <w:spacing w:before="0" w:after="160" w:line="240" w:lineRule="exact"/>
      <w:ind w:firstLine="0"/>
      <w:jc w:val="left"/>
    </w:pPr>
    <w:rPr>
      <w:rFonts w:ascii="Times New Roman" w:eastAsia="Times New Roman" w:hAnsi="Times New Roman" w:cs="Times New Roman"/>
      <w:sz w:val="28"/>
      <w:szCs w:val="20"/>
    </w:rPr>
  </w:style>
  <w:style w:type="paragraph" w:customStyle="1" w:styleId="220">
    <w:name w:val="Знак Знак2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CharCharChar21">
    <w:name w:val="Char Char Char Char Char2"/>
    <w:basedOn w:val="Normal"/>
    <w:rsid w:val="007A551B"/>
    <w:pPr>
      <w:spacing w:before="0" w:after="160" w:line="240" w:lineRule="exact"/>
      <w:ind w:firstLine="0"/>
      <w:jc w:val="left"/>
    </w:pPr>
    <w:rPr>
      <w:rFonts w:ascii="Arial" w:eastAsia="Times New Roman" w:hAnsi="Arial" w:cs="Arial"/>
      <w:sz w:val="20"/>
      <w:szCs w:val="20"/>
    </w:rPr>
  </w:style>
  <w:style w:type="character" w:customStyle="1" w:styleId="CharChar181">
    <w:name w:val="Char Char181"/>
    <w:rsid w:val="007A551B"/>
    <w:rPr>
      <w:rFonts w:ascii="Arial Armenian" w:eastAsia="Times New Roman" w:hAnsi="Arial Armenian"/>
      <w:i/>
      <w:sz w:val="22"/>
      <w:u w:val="single"/>
      <w:lang w:val="en-GB"/>
    </w:rPr>
  </w:style>
  <w:style w:type="character" w:customStyle="1" w:styleId="CharChar191">
    <w:name w:val="Char Char191"/>
    <w:rsid w:val="007A551B"/>
    <w:rPr>
      <w:b/>
      <w:sz w:val="32"/>
      <w:lang w:val="en-GB" w:eastAsia="en-US" w:bidi="ar-SA"/>
    </w:rPr>
  </w:style>
  <w:style w:type="character" w:customStyle="1" w:styleId="CharChar211">
    <w:name w:val="Char Char211"/>
    <w:rsid w:val="007A551B"/>
    <w:rPr>
      <w:rFonts w:ascii="Arial Armenian" w:hAnsi="Arial Armenian"/>
      <w:i/>
      <w:sz w:val="22"/>
      <w:u w:val="single"/>
      <w:lang w:val="en-GB" w:eastAsia="en-US" w:bidi="ar-SA"/>
    </w:rPr>
  </w:style>
  <w:style w:type="character" w:customStyle="1" w:styleId="CharChar201">
    <w:name w:val="Char Char201"/>
    <w:rsid w:val="007A551B"/>
    <w:rPr>
      <w:rFonts w:ascii="Garamond" w:hAnsi="Garamond"/>
      <w:i/>
      <w:spacing w:val="-5"/>
      <w:sz w:val="28"/>
      <w:lang w:val="en-GB" w:eastAsia="en-US" w:bidi="ar-SA"/>
    </w:rPr>
  </w:style>
  <w:style w:type="character" w:customStyle="1" w:styleId="CharChar141">
    <w:name w:val="Char Char141"/>
    <w:rsid w:val="007A551B"/>
    <w:rPr>
      <w:sz w:val="36"/>
      <w:lang w:val="en-GB"/>
    </w:rPr>
  </w:style>
  <w:style w:type="character" w:customStyle="1" w:styleId="CharChar52">
    <w:name w:val="Char Char52"/>
    <w:rsid w:val="007A551B"/>
    <w:rPr>
      <w:rFonts w:ascii="Arial Armenian" w:hAnsi="Arial Armenian" w:cs="Sylfaen"/>
      <w:sz w:val="24"/>
      <w:szCs w:val="24"/>
      <w:lang w:val="ru-RU" w:eastAsia="ru-RU"/>
    </w:rPr>
  </w:style>
  <w:style w:type="character" w:customStyle="1" w:styleId="CharChar162">
    <w:name w:val="Char Char162"/>
    <w:rsid w:val="007A551B"/>
    <w:rPr>
      <w:rFonts w:ascii="Times New Roman" w:hAnsi="Times New Roman"/>
      <w:b/>
      <w:sz w:val="32"/>
      <w:lang w:val="en-GB"/>
    </w:rPr>
  </w:style>
  <w:style w:type="character" w:customStyle="1" w:styleId="CharChar171">
    <w:name w:val="Char Char171"/>
    <w:rsid w:val="007A551B"/>
    <w:rPr>
      <w:rFonts w:ascii="Arial Armenian" w:hAnsi="Arial Armenian"/>
      <w:i/>
      <w:sz w:val="22"/>
      <w:u w:val="single"/>
      <w:lang w:val="en-GB" w:eastAsia="en-US" w:bidi="ar-SA"/>
    </w:rPr>
  </w:style>
  <w:style w:type="paragraph" w:customStyle="1" w:styleId="CharCharCharCharCharChar10">
    <w:name w:val="Char Char Char Char Char Char1"/>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110">
    <w:name w:val="Char Char110"/>
    <w:basedOn w:val="Normal"/>
    <w:rsid w:val="007A551B"/>
    <w:pPr>
      <w:spacing w:before="0" w:after="160" w:line="240" w:lineRule="exact"/>
      <w:ind w:firstLine="0"/>
      <w:jc w:val="left"/>
    </w:pPr>
    <w:rPr>
      <w:rFonts w:ascii="Arial" w:eastAsia="Times New Roman" w:hAnsi="Arial" w:cs="Arial"/>
      <w:sz w:val="20"/>
      <w:szCs w:val="20"/>
    </w:rPr>
  </w:style>
  <w:style w:type="character" w:customStyle="1" w:styleId="CharChar111">
    <w:name w:val="Char Char111"/>
    <w:rsid w:val="007A551B"/>
    <w:rPr>
      <w:rFonts w:ascii="Arial Armenian" w:hAnsi="Arial Armenian"/>
      <w:lang w:val="ru-RU" w:eastAsia="ru-RU" w:bidi="ar-SA"/>
    </w:rPr>
  </w:style>
  <w:style w:type="paragraph" w:customStyle="1" w:styleId="2d">
    <w:name w:val="Знак2"/>
    <w:basedOn w:val="Normal"/>
    <w:rsid w:val="007A551B"/>
    <w:pPr>
      <w:spacing w:before="0" w:after="160" w:line="240" w:lineRule="exact"/>
      <w:ind w:firstLine="0"/>
      <w:jc w:val="left"/>
    </w:pPr>
    <w:rPr>
      <w:rFonts w:ascii="Arial" w:eastAsia="Times New Roman" w:hAnsi="Arial" w:cs="Arial"/>
      <w:sz w:val="20"/>
      <w:szCs w:val="20"/>
      <w:lang w:val="en-GB"/>
    </w:rPr>
  </w:style>
  <w:style w:type="character" w:customStyle="1" w:styleId="CharChar281">
    <w:name w:val="Char Char281"/>
    <w:rsid w:val="007A551B"/>
    <w:rPr>
      <w:rFonts w:ascii="Arial Armenian" w:hAnsi="Arial Armenian"/>
      <w:i/>
      <w:sz w:val="22"/>
      <w:u w:val="single"/>
      <w:lang w:val="en-GB"/>
    </w:rPr>
  </w:style>
  <w:style w:type="character" w:customStyle="1" w:styleId="CharChar271">
    <w:name w:val="Char Char271"/>
    <w:rsid w:val="007A551B"/>
    <w:rPr>
      <w:rFonts w:ascii="Garamond" w:hAnsi="Garamond"/>
      <w:i/>
      <w:spacing w:val="-5"/>
      <w:sz w:val="28"/>
      <w:shd w:val="pct5" w:color="auto" w:fill="auto"/>
      <w:lang w:val="en-GB"/>
    </w:rPr>
  </w:style>
  <w:style w:type="character" w:customStyle="1" w:styleId="CharChar261">
    <w:name w:val="Char Char261"/>
    <w:rsid w:val="007A551B"/>
    <w:rPr>
      <w:rFonts w:ascii="Arial Black" w:hAnsi="Arial Black"/>
      <w:caps/>
      <w:spacing w:val="60"/>
      <w:position w:val="4"/>
      <w:sz w:val="14"/>
      <w:lang w:val="en-GB"/>
    </w:rPr>
  </w:style>
  <w:style w:type="character" w:customStyle="1" w:styleId="CharChar251">
    <w:name w:val="Char Char251"/>
    <w:rsid w:val="007A551B"/>
    <w:rPr>
      <w:rFonts w:ascii="Garamond" w:hAnsi="Garamond"/>
      <w:b/>
      <w:i/>
      <w:kern w:val="28"/>
      <w:lang w:val="en-GB"/>
    </w:rPr>
  </w:style>
  <w:style w:type="character" w:customStyle="1" w:styleId="CharChar241">
    <w:name w:val="Char Char241"/>
    <w:rsid w:val="007A551B"/>
    <w:rPr>
      <w:rFonts w:ascii="Arial Armenian" w:hAnsi="Arial Armenian"/>
      <w:noProof/>
      <w:lang w:val="en-US" w:eastAsia="en-US" w:bidi="ar-SA"/>
    </w:rPr>
  </w:style>
  <w:style w:type="character" w:customStyle="1" w:styleId="CharChar231">
    <w:name w:val="Char Char231"/>
    <w:rsid w:val="007A551B"/>
    <w:rPr>
      <w:rFonts w:ascii="Arial Armenian" w:hAnsi="Arial Armenian"/>
      <w:lang w:val="en-GB" w:eastAsia="en-US" w:bidi="ar-SA"/>
    </w:rPr>
  </w:style>
  <w:style w:type="character" w:customStyle="1" w:styleId="CharChar221">
    <w:name w:val="Char Char221"/>
    <w:rsid w:val="007A551B"/>
    <w:rPr>
      <w:rFonts w:ascii="Arial Armenian" w:hAnsi="Arial Armenian"/>
      <w:lang w:val="ru-RU" w:eastAsia="ru-RU" w:bidi="ar-SA"/>
    </w:rPr>
  </w:style>
  <w:style w:type="paragraph" w:customStyle="1" w:styleId="Char1CharCharCharCharCharCharCharCharCharCharCharChar1">
    <w:name w:val="Char1 Char Char Char Char Char Char Char Char Char Char Char Char1"/>
    <w:basedOn w:val="Normal"/>
    <w:rsid w:val="007A551B"/>
    <w:pPr>
      <w:spacing w:before="0" w:after="160" w:line="240" w:lineRule="exact"/>
      <w:ind w:firstLine="0"/>
      <w:jc w:val="left"/>
    </w:pPr>
    <w:rPr>
      <w:rFonts w:ascii="Arial" w:eastAsia="Times New Roman" w:hAnsi="Arial" w:cs="Arial"/>
      <w:sz w:val="20"/>
      <w:szCs w:val="20"/>
    </w:rPr>
  </w:style>
  <w:style w:type="character" w:customStyle="1" w:styleId="CharChar151">
    <w:name w:val="Char Char151"/>
    <w:rsid w:val="007A551B"/>
    <w:rPr>
      <w:sz w:val="36"/>
      <w:lang w:val="en-GB" w:eastAsia="en-US" w:bidi="ar-SA"/>
    </w:rPr>
  </w:style>
  <w:style w:type="character" w:customStyle="1" w:styleId="CharChar131">
    <w:name w:val="Char Char131"/>
    <w:rsid w:val="007A551B"/>
    <w:rPr>
      <w:sz w:val="22"/>
      <w:lang w:val="en-GB" w:eastAsia="en-US" w:bidi="ar-SA"/>
    </w:rPr>
  </w:style>
  <w:style w:type="character" w:customStyle="1" w:styleId="CharChar122">
    <w:name w:val="Char Char122"/>
    <w:rsid w:val="007A551B"/>
    <w:rPr>
      <w:sz w:val="22"/>
      <w:lang w:val="en-GB" w:eastAsia="en-US" w:bidi="ar-SA"/>
    </w:rPr>
  </w:style>
  <w:style w:type="character" w:customStyle="1" w:styleId="CharChar101">
    <w:name w:val="Char Char101"/>
    <w:rsid w:val="007A551B"/>
    <w:rPr>
      <w:rFonts w:ascii="Times Armenian" w:hAnsi="Times Armenian"/>
      <w:color w:val="993300"/>
      <w:sz w:val="22"/>
      <w:szCs w:val="24"/>
      <w:lang w:val="hy-AM" w:eastAsia="en-US" w:bidi="ar-SA"/>
    </w:rPr>
  </w:style>
  <w:style w:type="character" w:customStyle="1" w:styleId="CharChar91">
    <w:name w:val="Char Char91"/>
    <w:rsid w:val="007A551B"/>
    <w:rPr>
      <w:rFonts w:ascii="Times Armenian" w:hAnsi="Times Armenian"/>
      <w:b/>
      <w:i/>
      <w:sz w:val="24"/>
      <w:u w:val="single"/>
      <w:lang w:val="hy-AM" w:eastAsia="en-US" w:bidi="ar-SA"/>
    </w:rPr>
  </w:style>
  <w:style w:type="character" w:customStyle="1" w:styleId="CharChar351">
    <w:name w:val="Char Char351"/>
    <w:rsid w:val="007A551B"/>
    <w:rPr>
      <w:rFonts w:ascii="Arial Armenian" w:hAnsi="Arial Armenian"/>
      <w:i/>
      <w:sz w:val="22"/>
      <w:u w:val="single"/>
      <w:lang w:val="en-GB"/>
    </w:rPr>
  </w:style>
  <w:style w:type="character" w:customStyle="1" w:styleId="CharChar341">
    <w:name w:val="Char Char341"/>
    <w:rsid w:val="007A551B"/>
    <w:rPr>
      <w:rFonts w:ascii="Garamond" w:hAnsi="Garamond"/>
      <w:i/>
      <w:spacing w:val="-5"/>
      <w:sz w:val="28"/>
      <w:shd w:val="pct5" w:color="auto" w:fill="auto"/>
      <w:lang w:val="en-GB"/>
    </w:rPr>
  </w:style>
  <w:style w:type="character" w:customStyle="1" w:styleId="CharChar331">
    <w:name w:val="Char Char331"/>
    <w:rsid w:val="007A551B"/>
    <w:rPr>
      <w:rFonts w:ascii="Arial Black" w:hAnsi="Arial Black"/>
      <w:caps/>
      <w:spacing w:val="60"/>
      <w:position w:val="4"/>
      <w:sz w:val="14"/>
      <w:lang w:val="en-GB"/>
    </w:rPr>
  </w:style>
  <w:style w:type="character" w:customStyle="1" w:styleId="CharChar321">
    <w:name w:val="Char Char321"/>
    <w:rsid w:val="007A551B"/>
    <w:rPr>
      <w:rFonts w:ascii="Garamond" w:hAnsi="Garamond"/>
      <w:b/>
      <w:i/>
      <w:kern w:val="28"/>
      <w:lang w:val="en-GB"/>
    </w:rPr>
  </w:style>
  <w:style w:type="character" w:customStyle="1" w:styleId="CharChar311">
    <w:name w:val="Char Char311"/>
    <w:rsid w:val="007A551B"/>
    <w:rPr>
      <w:rFonts w:ascii="Arial Armenian" w:hAnsi="Arial Armenian"/>
      <w:noProof/>
      <w:lang w:val="en-US" w:eastAsia="en-US" w:bidi="ar-SA"/>
    </w:rPr>
  </w:style>
  <w:style w:type="character" w:customStyle="1" w:styleId="CharChar301">
    <w:name w:val="Char Char301"/>
    <w:rsid w:val="007A551B"/>
    <w:rPr>
      <w:rFonts w:ascii="Arial Armenian" w:hAnsi="Arial Armenian"/>
      <w:lang w:val="en-GB" w:eastAsia="en-US" w:bidi="ar-SA"/>
    </w:rPr>
  </w:style>
  <w:style w:type="character" w:customStyle="1" w:styleId="CharChar291">
    <w:name w:val="Char Char291"/>
    <w:rsid w:val="007A551B"/>
    <w:rPr>
      <w:rFonts w:ascii="Arial Armenian" w:hAnsi="Arial Armenian"/>
      <w:lang w:val="ru-RU" w:eastAsia="ru-RU" w:bidi="ar-SA"/>
    </w:rPr>
  </w:style>
  <w:style w:type="paragraph" w:customStyle="1" w:styleId="CharChar5CharCharCharCharCharChar1">
    <w:name w:val="Char Char5 Char Char Char Char Char Char1"/>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CharChar1">
    <w:name w:val="Char Char5 Char Char Char Char1"/>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1">
    <w:name w:val="Char Char5 Char Char1"/>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character" w:customStyle="1" w:styleId="CharChar61">
    <w:name w:val="Char Char61"/>
    <w:locked/>
    <w:rsid w:val="007A551B"/>
    <w:rPr>
      <w:rFonts w:ascii="Times LatArm" w:eastAsia="Calibri" w:hAnsi="Times LatArm" w:cs="Times LatArm"/>
      <w:sz w:val="22"/>
      <w:szCs w:val="22"/>
      <w:lang w:val="en-GB" w:eastAsia="en-US" w:bidi="ar-SA"/>
    </w:rPr>
  </w:style>
  <w:style w:type="character" w:customStyle="1" w:styleId="CharChar81">
    <w:name w:val="Char Char81"/>
    <w:locked/>
    <w:rsid w:val="007A551B"/>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7A551B"/>
    <w:rPr>
      <w:rFonts w:ascii="Courier New" w:eastAsia="Calibri" w:hAnsi="Courier New" w:cs="Courier New"/>
      <w:lang w:val="en-US" w:eastAsia="en-US" w:bidi="ar-SA"/>
    </w:rPr>
  </w:style>
  <w:style w:type="character" w:customStyle="1" w:styleId="CharChar41">
    <w:name w:val="Char Char41"/>
    <w:locked/>
    <w:rsid w:val="007A551B"/>
    <w:rPr>
      <w:rFonts w:eastAsia="Calibri"/>
      <w:sz w:val="22"/>
      <w:szCs w:val="22"/>
      <w:lang w:val="en-GB" w:eastAsia="en-US" w:bidi="ar-SA"/>
    </w:rPr>
  </w:style>
  <w:style w:type="character" w:customStyle="1" w:styleId="CharChar36">
    <w:name w:val="Char Char36"/>
    <w:locked/>
    <w:rsid w:val="007A551B"/>
    <w:rPr>
      <w:rFonts w:eastAsia="Calibri"/>
      <w:sz w:val="22"/>
      <w:szCs w:val="22"/>
      <w:lang w:val="en-GB" w:eastAsia="en-US" w:bidi="ar-SA"/>
    </w:rPr>
  </w:style>
  <w:style w:type="character" w:customStyle="1" w:styleId="CharChar210">
    <w:name w:val="Char Char210"/>
    <w:locked/>
    <w:rsid w:val="007A551B"/>
    <w:rPr>
      <w:rFonts w:ascii="Times Armenian" w:eastAsia="Calibri" w:hAnsi="Times Armenian" w:cs="Times Armenian"/>
      <w:b/>
      <w:bCs/>
      <w:sz w:val="22"/>
      <w:szCs w:val="22"/>
      <w:lang w:val="en-US" w:eastAsia="en-US" w:bidi="ar-SA"/>
    </w:rPr>
  </w:style>
  <w:style w:type="table" w:customStyle="1" w:styleId="TableGrid6">
    <w:name w:val="Table Grid6"/>
    <w:basedOn w:val="TableNormal"/>
    <w:next w:val="TableGrid"/>
    <w:uiPriority w:val="39"/>
    <w:rsid w:val="00B35CA4"/>
    <w:pPr>
      <w:spacing w:after="0" w:line="240" w:lineRule="auto"/>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D10C58"/>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
    <w:name w:val="Table Grid22"/>
    <w:basedOn w:val="TableNormal"/>
    <w:next w:val="TableGrid"/>
    <w:uiPriority w:val="39"/>
    <w:rsid w:val="002F5D7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C23C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B614A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B614A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B614A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35FD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EA45B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7695C"/>
    <w:rPr>
      <w:color w:val="605E5C"/>
      <w:shd w:val="clear" w:color="auto" w:fill="E1DFDD"/>
    </w:rPr>
  </w:style>
  <w:style w:type="table" w:customStyle="1" w:styleId="GridTable1Light-Accent11">
    <w:name w:val="Grid Table 1 Light - Accent 11"/>
    <w:basedOn w:val="TableNormal"/>
    <w:uiPriority w:val="46"/>
    <w:rsid w:val="00800B4C"/>
    <w:pPr>
      <w:spacing w:after="0" w:line="240" w:lineRule="auto"/>
    </w:pPr>
    <w:rPr>
      <w:rFonts w:eastAsiaTheme="minorHAns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86357">
      <w:bodyDiv w:val="1"/>
      <w:marLeft w:val="0"/>
      <w:marRight w:val="0"/>
      <w:marTop w:val="0"/>
      <w:marBottom w:val="0"/>
      <w:divBdr>
        <w:top w:val="none" w:sz="0" w:space="0" w:color="auto"/>
        <w:left w:val="none" w:sz="0" w:space="0" w:color="auto"/>
        <w:bottom w:val="none" w:sz="0" w:space="0" w:color="auto"/>
        <w:right w:val="none" w:sz="0" w:space="0" w:color="auto"/>
      </w:divBdr>
    </w:div>
    <w:div w:id="46104144">
      <w:bodyDiv w:val="1"/>
      <w:marLeft w:val="0"/>
      <w:marRight w:val="0"/>
      <w:marTop w:val="0"/>
      <w:marBottom w:val="0"/>
      <w:divBdr>
        <w:top w:val="none" w:sz="0" w:space="0" w:color="auto"/>
        <w:left w:val="none" w:sz="0" w:space="0" w:color="auto"/>
        <w:bottom w:val="none" w:sz="0" w:space="0" w:color="auto"/>
        <w:right w:val="none" w:sz="0" w:space="0" w:color="auto"/>
      </w:divBdr>
    </w:div>
    <w:div w:id="74788116">
      <w:bodyDiv w:val="1"/>
      <w:marLeft w:val="0"/>
      <w:marRight w:val="0"/>
      <w:marTop w:val="0"/>
      <w:marBottom w:val="0"/>
      <w:divBdr>
        <w:top w:val="none" w:sz="0" w:space="0" w:color="auto"/>
        <w:left w:val="none" w:sz="0" w:space="0" w:color="auto"/>
        <w:bottom w:val="none" w:sz="0" w:space="0" w:color="auto"/>
        <w:right w:val="none" w:sz="0" w:space="0" w:color="auto"/>
      </w:divBdr>
    </w:div>
    <w:div w:id="172648138">
      <w:bodyDiv w:val="1"/>
      <w:marLeft w:val="0"/>
      <w:marRight w:val="0"/>
      <w:marTop w:val="0"/>
      <w:marBottom w:val="0"/>
      <w:divBdr>
        <w:top w:val="none" w:sz="0" w:space="0" w:color="auto"/>
        <w:left w:val="none" w:sz="0" w:space="0" w:color="auto"/>
        <w:bottom w:val="none" w:sz="0" w:space="0" w:color="auto"/>
        <w:right w:val="none" w:sz="0" w:space="0" w:color="auto"/>
      </w:divBdr>
    </w:div>
    <w:div w:id="174198398">
      <w:bodyDiv w:val="1"/>
      <w:marLeft w:val="0"/>
      <w:marRight w:val="0"/>
      <w:marTop w:val="0"/>
      <w:marBottom w:val="0"/>
      <w:divBdr>
        <w:top w:val="none" w:sz="0" w:space="0" w:color="auto"/>
        <w:left w:val="none" w:sz="0" w:space="0" w:color="auto"/>
        <w:bottom w:val="none" w:sz="0" w:space="0" w:color="auto"/>
        <w:right w:val="none" w:sz="0" w:space="0" w:color="auto"/>
      </w:divBdr>
    </w:div>
    <w:div w:id="238440791">
      <w:bodyDiv w:val="1"/>
      <w:marLeft w:val="0"/>
      <w:marRight w:val="0"/>
      <w:marTop w:val="0"/>
      <w:marBottom w:val="0"/>
      <w:divBdr>
        <w:top w:val="none" w:sz="0" w:space="0" w:color="auto"/>
        <w:left w:val="none" w:sz="0" w:space="0" w:color="auto"/>
        <w:bottom w:val="none" w:sz="0" w:space="0" w:color="auto"/>
        <w:right w:val="none" w:sz="0" w:space="0" w:color="auto"/>
      </w:divBdr>
    </w:div>
    <w:div w:id="293294304">
      <w:bodyDiv w:val="1"/>
      <w:marLeft w:val="0"/>
      <w:marRight w:val="0"/>
      <w:marTop w:val="0"/>
      <w:marBottom w:val="0"/>
      <w:divBdr>
        <w:top w:val="none" w:sz="0" w:space="0" w:color="auto"/>
        <w:left w:val="none" w:sz="0" w:space="0" w:color="auto"/>
        <w:bottom w:val="none" w:sz="0" w:space="0" w:color="auto"/>
        <w:right w:val="none" w:sz="0" w:space="0" w:color="auto"/>
      </w:divBdr>
    </w:div>
    <w:div w:id="304966530">
      <w:bodyDiv w:val="1"/>
      <w:marLeft w:val="0"/>
      <w:marRight w:val="0"/>
      <w:marTop w:val="0"/>
      <w:marBottom w:val="0"/>
      <w:divBdr>
        <w:top w:val="none" w:sz="0" w:space="0" w:color="auto"/>
        <w:left w:val="none" w:sz="0" w:space="0" w:color="auto"/>
        <w:bottom w:val="none" w:sz="0" w:space="0" w:color="auto"/>
        <w:right w:val="none" w:sz="0" w:space="0" w:color="auto"/>
      </w:divBdr>
    </w:div>
    <w:div w:id="324091424">
      <w:bodyDiv w:val="1"/>
      <w:marLeft w:val="0"/>
      <w:marRight w:val="0"/>
      <w:marTop w:val="0"/>
      <w:marBottom w:val="0"/>
      <w:divBdr>
        <w:top w:val="none" w:sz="0" w:space="0" w:color="auto"/>
        <w:left w:val="none" w:sz="0" w:space="0" w:color="auto"/>
        <w:bottom w:val="none" w:sz="0" w:space="0" w:color="auto"/>
        <w:right w:val="none" w:sz="0" w:space="0" w:color="auto"/>
      </w:divBdr>
    </w:div>
    <w:div w:id="335962125">
      <w:bodyDiv w:val="1"/>
      <w:marLeft w:val="0"/>
      <w:marRight w:val="0"/>
      <w:marTop w:val="0"/>
      <w:marBottom w:val="0"/>
      <w:divBdr>
        <w:top w:val="none" w:sz="0" w:space="0" w:color="auto"/>
        <w:left w:val="none" w:sz="0" w:space="0" w:color="auto"/>
        <w:bottom w:val="none" w:sz="0" w:space="0" w:color="auto"/>
        <w:right w:val="none" w:sz="0" w:space="0" w:color="auto"/>
      </w:divBdr>
    </w:div>
    <w:div w:id="350764242">
      <w:bodyDiv w:val="1"/>
      <w:marLeft w:val="0"/>
      <w:marRight w:val="0"/>
      <w:marTop w:val="0"/>
      <w:marBottom w:val="0"/>
      <w:divBdr>
        <w:top w:val="none" w:sz="0" w:space="0" w:color="auto"/>
        <w:left w:val="none" w:sz="0" w:space="0" w:color="auto"/>
        <w:bottom w:val="none" w:sz="0" w:space="0" w:color="auto"/>
        <w:right w:val="none" w:sz="0" w:space="0" w:color="auto"/>
      </w:divBdr>
    </w:div>
    <w:div w:id="423919255">
      <w:bodyDiv w:val="1"/>
      <w:marLeft w:val="0"/>
      <w:marRight w:val="0"/>
      <w:marTop w:val="0"/>
      <w:marBottom w:val="0"/>
      <w:divBdr>
        <w:top w:val="none" w:sz="0" w:space="0" w:color="auto"/>
        <w:left w:val="none" w:sz="0" w:space="0" w:color="auto"/>
        <w:bottom w:val="none" w:sz="0" w:space="0" w:color="auto"/>
        <w:right w:val="none" w:sz="0" w:space="0" w:color="auto"/>
      </w:divBdr>
    </w:div>
    <w:div w:id="483938361">
      <w:bodyDiv w:val="1"/>
      <w:marLeft w:val="0"/>
      <w:marRight w:val="0"/>
      <w:marTop w:val="0"/>
      <w:marBottom w:val="0"/>
      <w:divBdr>
        <w:top w:val="none" w:sz="0" w:space="0" w:color="auto"/>
        <w:left w:val="none" w:sz="0" w:space="0" w:color="auto"/>
        <w:bottom w:val="none" w:sz="0" w:space="0" w:color="auto"/>
        <w:right w:val="none" w:sz="0" w:space="0" w:color="auto"/>
      </w:divBdr>
    </w:div>
    <w:div w:id="535777476">
      <w:bodyDiv w:val="1"/>
      <w:marLeft w:val="0"/>
      <w:marRight w:val="0"/>
      <w:marTop w:val="0"/>
      <w:marBottom w:val="0"/>
      <w:divBdr>
        <w:top w:val="none" w:sz="0" w:space="0" w:color="auto"/>
        <w:left w:val="none" w:sz="0" w:space="0" w:color="auto"/>
        <w:bottom w:val="none" w:sz="0" w:space="0" w:color="auto"/>
        <w:right w:val="none" w:sz="0" w:space="0" w:color="auto"/>
      </w:divBdr>
    </w:div>
    <w:div w:id="538056703">
      <w:bodyDiv w:val="1"/>
      <w:marLeft w:val="0"/>
      <w:marRight w:val="0"/>
      <w:marTop w:val="0"/>
      <w:marBottom w:val="0"/>
      <w:divBdr>
        <w:top w:val="none" w:sz="0" w:space="0" w:color="auto"/>
        <w:left w:val="none" w:sz="0" w:space="0" w:color="auto"/>
        <w:bottom w:val="none" w:sz="0" w:space="0" w:color="auto"/>
        <w:right w:val="none" w:sz="0" w:space="0" w:color="auto"/>
      </w:divBdr>
    </w:div>
    <w:div w:id="552816326">
      <w:bodyDiv w:val="1"/>
      <w:marLeft w:val="0"/>
      <w:marRight w:val="0"/>
      <w:marTop w:val="0"/>
      <w:marBottom w:val="0"/>
      <w:divBdr>
        <w:top w:val="none" w:sz="0" w:space="0" w:color="auto"/>
        <w:left w:val="none" w:sz="0" w:space="0" w:color="auto"/>
        <w:bottom w:val="none" w:sz="0" w:space="0" w:color="auto"/>
        <w:right w:val="none" w:sz="0" w:space="0" w:color="auto"/>
      </w:divBdr>
    </w:div>
    <w:div w:id="560678338">
      <w:bodyDiv w:val="1"/>
      <w:marLeft w:val="0"/>
      <w:marRight w:val="0"/>
      <w:marTop w:val="0"/>
      <w:marBottom w:val="0"/>
      <w:divBdr>
        <w:top w:val="none" w:sz="0" w:space="0" w:color="auto"/>
        <w:left w:val="none" w:sz="0" w:space="0" w:color="auto"/>
        <w:bottom w:val="none" w:sz="0" w:space="0" w:color="auto"/>
        <w:right w:val="none" w:sz="0" w:space="0" w:color="auto"/>
      </w:divBdr>
    </w:div>
    <w:div w:id="571934389">
      <w:bodyDiv w:val="1"/>
      <w:marLeft w:val="0"/>
      <w:marRight w:val="0"/>
      <w:marTop w:val="0"/>
      <w:marBottom w:val="0"/>
      <w:divBdr>
        <w:top w:val="none" w:sz="0" w:space="0" w:color="auto"/>
        <w:left w:val="none" w:sz="0" w:space="0" w:color="auto"/>
        <w:bottom w:val="none" w:sz="0" w:space="0" w:color="auto"/>
        <w:right w:val="none" w:sz="0" w:space="0" w:color="auto"/>
      </w:divBdr>
    </w:div>
    <w:div w:id="598486525">
      <w:bodyDiv w:val="1"/>
      <w:marLeft w:val="0"/>
      <w:marRight w:val="0"/>
      <w:marTop w:val="0"/>
      <w:marBottom w:val="0"/>
      <w:divBdr>
        <w:top w:val="none" w:sz="0" w:space="0" w:color="auto"/>
        <w:left w:val="none" w:sz="0" w:space="0" w:color="auto"/>
        <w:bottom w:val="none" w:sz="0" w:space="0" w:color="auto"/>
        <w:right w:val="none" w:sz="0" w:space="0" w:color="auto"/>
      </w:divBdr>
    </w:div>
    <w:div w:id="604963628">
      <w:bodyDiv w:val="1"/>
      <w:marLeft w:val="0"/>
      <w:marRight w:val="0"/>
      <w:marTop w:val="0"/>
      <w:marBottom w:val="0"/>
      <w:divBdr>
        <w:top w:val="none" w:sz="0" w:space="0" w:color="auto"/>
        <w:left w:val="none" w:sz="0" w:space="0" w:color="auto"/>
        <w:bottom w:val="none" w:sz="0" w:space="0" w:color="auto"/>
        <w:right w:val="none" w:sz="0" w:space="0" w:color="auto"/>
      </w:divBdr>
    </w:div>
    <w:div w:id="614563203">
      <w:bodyDiv w:val="1"/>
      <w:marLeft w:val="0"/>
      <w:marRight w:val="0"/>
      <w:marTop w:val="0"/>
      <w:marBottom w:val="0"/>
      <w:divBdr>
        <w:top w:val="none" w:sz="0" w:space="0" w:color="auto"/>
        <w:left w:val="none" w:sz="0" w:space="0" w:color="auto"/>
        <w:bottom w:val="none" w:sz="0" w:space="0" w:color="auto"/>
        <w:right w:val="none" w:sz="0" w:space="0" w:color="auto"/>
      </w:divBdr>
    </w:div>
    <w:div w:id="619722069">
      <w:bodyDiv w:val="1"/>
      <w:marLeft w:val="0"/>
      <w:marRight w:val="0"/>
      <w:marTop w:val="0"/>
      <w:marBottom w:val="0"/>
      <w:divBdr>
        <w:top w:val="none" w:sz="0" w:space="0" w:color="auto"/>
        <w:left w:val="none" w:sz="0" w:space="0" w:color="auto"/>
        <w:bottom w:val="none" w:sz="0" w:space="0" w:color="auto"/>
        <w:right w:val="none" w:sz="0" w:space="0" w:color="auto"/>
      </w:divBdr>
    </w:div>
    <w:div w:id="631715992">
      <w:bodyDiv w:val="1"/>
      <w:marLeft w:val="0"/>
      <w:marRight w:val="0"/>
      <w:marTop w:val="0"/>
      <w:marBottom w:val="0"/>
      <w:divBdr>
        <w:top w:val="none" w:sz="0" w:space="0" w:color="auto"/>
        <w:left w:val="none" w:sz="0" w:space="0" w:color="auto"/>
        <w:bottom w:val="none" w:sz="0" w:space="0" w:color="auto"/>
        <w:right w:val="none" w:sz="0" w:space="0" w:color="auto"/>
      </w:divBdr>
    </w:div>
    <w:div w:id="664818208">
      <w:bodyDiv w:val="1"/>
      <w:marLeft w:val="0"/>
      <w:marRight w:val="0"/>
      <w:marTop w:val="0"/>
      <w:marBottom w:val="0"/>
      <w:divBdr>
        <w:top w:val="none" w:sz="0" w:space="0" w:color="auto"/>
        <w:left w:val="none" w:sz="0" w:space="0" w:color="auto"/>
        <w:bottom w:val="none" w:sz="0" w:space="0" w:color="auto"/>
        <w:right w:val="none" w:sz="0" w:space="0" w:color="auto"/>
      </w:divBdr>
    </w:div>
    <w:div w:id="694693675">
      <w:bodyDiv w:val="1"/>
      <w:marLeft w:val="0"/>
      <w:marRight w:val="0"/>
      <w:marTop w:val="0"/>
      <w:marBottom w:val="0"/>
      <w:divBdr>
        <w:top w:val="none" w:sz="0" w:space="0" w:color="auto"/>
        <w:left w:val="none" w:sz="0" w:space="0" w:color="auto"/>
        <w:bottom w:val="none" w:sz="0" w:space="0" w:color="auto"/>
        <w:right w:val="none" w:sz="0" w:space="0" w:color="auto"/>
      </w:divBdr>
    </w:div>
    <w:div w:id="698776124">
      <w:bodyDiv w:val="1"/>
      <w:marLeft w:val="0"/>
      <w:marRight w:val="0"/>
      <w:marTop w:val="0"/>
      <w:marBottom w:val="0"/>
      <w:divBdr>
        <w:top w:val="none" w:sz="0" w:space="0" w:color="auto"/>
        <w:left w:val="none" w:sz="0" w:space="0" w:color="auto"/>
        <w:bottom w:val="none" w:sz="0" w:space="0" w:color="auto"/>
        <w:right w:val="none" w:sz="0" w:space="0" w:color="auto"/>
      </w:divBdr>
    </w:div>
    <w:div w:id="712268624">
      <w:bodyDiv w:val="1"/>
      <w:marLeft w:val="0"/>
      <w:marRight w:val="0"/>
      <w:marTop w:val="0"/>
      <w:marBottom w:val="0"/>
      <w:divBdr>
        <w:top w:val="none" w:sz="0" w:space="0" w:color="auto"/>
        <w:left w:val="none" w:sz="0" w:space="0" w:color="auto"/>
        <w:bottom w:val="none" w:sz="0" w:space="0" w:color="auto"/>
        <w:right w:val="none" w:sz="0" w:space="0" w:color="auto"/>
      </w:divBdr>
    </w:div>
    <w:div w:id="721444035">
      <w:bodyDiv w:val="1"/>
      <w:marLeft w:val="0"/>
      <w:marRight w:val="0"/>
      <w:marTop w:val="0"/>
      <w:marBottom w:val="0"/>
      <w:divBdr>
        <w:top w:val="none" w:sz="0" w:space="0" w:color="auto"/>
        <w:left w:val="none" w:sz="0" w:space="0" w:color="auto"/>
        <w:bottom w:val="none" w:sz="0" w:space="0" w:color="auto"/>
        <w:right w:val="none" w:sz="0" w:space="0" w:color="auto"/>
      </w:divBdr>
    </w:div>
    <w:div w:id="826870809">
      <w:bodyDiv w:val="1"/>
      <w:marLeft w:val="0"/>
      <w:marRight w:val="0"/>
      <w:marTop w:val="0"/>
      <w:marBottom w:val="0"/>
      <w:divBdr>
        <w:top w:val="none" w:sz="0" w:space="0" w:color="auto"/>
        <w:left w:val="none" w:sz="0" w:space="0" w:color="auto"/>
        <w:bottom w:val="none" w:sz="0" w:space="0" w:color="auto"/>
        <w:right w:val="none" w:sz="0" w:space="0" w:color="auto"/>
      </w:divBdr>
    </w:div>
    <w:div w:id="842547898">
      <w:bodyDiv w:val="1"/>
      <w:marLeft w:val="0"/>
      <w:marRight w:val="0"/>
      <w:marTop w:val="0"/>
      <w:marBottom w:val="0"/>
      <w:divBdr>
        <w:top w:val="none" w:sz="0" w:space="0" w:color="auto"/>
        <w:left w:val="none" w:sz="0" w:space="0" w:color="auto"/>
        <w:bottom w:val="none" w:sz="0" w:space="0" w:color="auto"/>
        <w:right w:val="none" w:sz="0" w:space="0" w:color="auto"/>
      </w:divBdr>
    </w:div>
    <w:div w:id="928657253">
      <w:bodyDiv w:val="1"/>
      <w:marLeft w:val="0"/>
      <w:marRight w:val="0"/>
      <w:marTop w:val="0"/>
      <w:marBottom w:val="0"/>
      <w:divBdr>
        <w:top w:val="none" w:sz="0" w:space="0" w:color="auto"/>
        <w:left w:val="none" w:sz="0" w:space="0" w:color="auto"/>
        <w:bottom w:val="none" w:sz="0" w:space="0" w:color="auto"/>
        <w:right w:val="none" w:sz="0" w:space="0" w:color="auto"/>
      </w:divBdr>
    </w:div>
    <w:div w:id="959457230">
      <w:bodyDiv w:val="1"/>
      <w:marLeft w:val="0"/>
      <w:marRight w:val="0"/>
      <w:marTop w:val="0"/>
      <w:marBottom w:val="0"/>
      <w:divBdr>
        <w:top w:val="none" w:sz="0" w:space="0" w:color="auto"/>
        <w:left w:val="none" w:sz="0" w:space="0" w:color="auto"/>
        <w:bottom w:val="none" w:sz="0" w:space="0" w:color="auto"/>
        <w:right w:val="none" w:sz="0" w:space="0" w:color="auto"/>
      </w:divBdr>
    </w:div>
    <w:div w:id="1091001957">
      <w:bodyDiv w:val="1"/>
      <w:marLeft w:val="0"/>
      <w:marRight w:val="0"/>
      <w:marTop w:val="0"/>
      <w:marBottom w:val="0"/>
      <w:divBdr>
        <w:top w:val="none" w:sz="0" w:space="0" w:color="auto"/>
        <w:left w:val="none" w:sz="0" w:space="0" w:color="auto"/>
        <w:bottom w:val="none" w:sz="0" w:space="0" w:color="auto"/>
        <w:right w:val="none" w:sz="0" w:space="0" w:color="auto"/>
      </w:divBdr>
      <w:divsChild>
        <w:div w:id="2782632">
          <w:marLeft w:val="274"/>
          <w:marRight w:val="0"/>
          <w:marTop w:val="150"/>
          <w:marBottom w:val="0"/>
          <w:divBdr>
            <w:top w:val="none" w:sz="0" w:space="0" w:color="auto"/>
            <w:left w:val="none" w:sz="0" w:space="0" w:color="auto"/>
            <w:bottom w:val="none" w:sz="0" w:space="0" w:color="auto"/>
            <w:right w:val="none" w:sz="0" w:space="0" w:color="auto"/>
          </w:divBdr>
        </w:div>
        <w:div w:id="30540549">
          <w:marLeft w:val="274"/>
          <w:marRight w:val="0"/>
          <w:marTop w:val="150"/>
          <w:marBottom w:val="0"/>
          <w:divBdr>
            <w:top w:val="none" w:sz="0" w:space="0" w:color="auto"/>
            <w:left w:val="none" w:sz="0" w:space="0" w:color="auto"/>
            <w:bottom w:val="none" w:sz="0" w:space="0" w:color="auto"/>
            <w:right w:val="none" w:sz="0" w:space="0" w:color="auto"/>
          </w:divBdr>
        </w:div>
        <w:div w:id="1322809040">
          <w:marLeft w:val="274"/>
          <w:marRight w:val="0"/>
          <w:marTop w:val="150"/>
          <w:marBottom w:val="0"/>
          <w:divBdr>
            <w:top w:val="none" w:sz="0" w:space="0" w:color="auto"/>
            <w:left w:val="none" w:sz="0" w:space="0" w:color="auto"/>
            <w:bottom w:val="none" w:sz="0" w:space="0" w:color="auto"/>
            <w:right w:val="none" w:sz="0" w:space="0" w:color="auto"/>
          </w:divBdr>
        </w:div>
      </w:divsChild>
    </w:div>
    <w:div w:id="1163928673">
      <w:bodyDiv w:val="1"/>
      <w:marLeft w:val="0"/>
      <w:marRight w:val="0"/>
      <w:marTop w:val="0"/>
      <w:marBottom w:val="0"/>
      <w:divBdr>
        <w:top w:val="none" w:sz="0" w:space="0" w:color="auto"/>
        <w:left w:val="none" w:sz="0" w:space="0" w:color="auto"/>
        <w:bottom w:val="none" w:sz="0" w:space="0" w:color="auto"/>
        <w:right w:val="none" w:sz="0" w:space="0" w:color="auto"/>
      </w:divBdr>
    </w:div>
    <w:div w:id="1191600518">
      <w:bodyDiv w:val="1"/>
      <w:marLeft w:val="0"/>
      <w:marRight w:val="0"/>
      <w:marTop w:val="0"/>
      <w:marBottom w:val="0"/>
      <w:divBdr>
        <w:top w:val="none" w:sz="0" w:space="0" w:color="auto"/>
        <w:left w:val="none" w:sz="0" w:space="0" w:color="auto"/>
        <w:bottom w:val="none" w:sz="0" w:space="0" w:color="auto"/>
        <w:right w:val="none" w:sz="0" w:space="0" w:color="auto"/>
      </w:divBdr>
    </w:div>
    <w:div w:id="1204908525">
      <w:bodyDiv w:val="1"/>
      <w:marLeft w:val="0"/>
      <w:marRight w:val="0"/>
      <w:marTop w:val="0"/>
      <w:marBottom w:val="0"/>
      <w:divBdr>
        <w:top w:val="none" w:sz="0" w:space="0" w:color="auto"/>
        <w:left w:val="none" w:sz="0" w:space="0" w:color="auto"/>
        <w:bottom w:val="none" w:sz="0" w:space="0" w:color="auto"/>
        <w:right w:val="none" w:sz="0" w:space="0" w:color="auto"/>
      </w:divBdr>
    </w:div>
    <w:div w:id="1208252067">
      <w:bodyDiv w:val="1"/>
      <w:marLeft w:val="0"/>
      <w:marRight w:val="0"/>
      <w:marTop w:val="0"/>
      <w:marBottom w:val="0"/>
      <w:divBdr>
        <w:top w:val="none" w:sz="0" w:space="0" w:color="auto"/>
        <w:left w:val="none" w:sz="0" w:space="0" w:color="auto"/>
        <w:bottom w:val="none" w:sz="0" w:space="0" w:color="auto"/>
        <w:right w:val="none" w:sz="0" w:space="0" w:color="auto"/>
      </w:divBdr>
    </w:div>
    <w:div w:id="1213729869">
      <w:bodyDiv w:val="1"/>
      <w:marLeft w:val="0"/>
      <w:marRight w:val="0"/>
      <w:marTop w:val="0"/>
      <w:marBottom w:val="0"/>
      <w:divBdr>
        <w:top w:val="none" w:sz="0" w:space="0" w:color="auto"/>
        <w:left w:val="none" w:sz="0" w:space="0" w:color="auto"/>
        <w:bottom w:val="none" w:sz="0" w:space="0" w:color="auto"/>
        <w:right w:val="none" w:sz="0" w:space="0" w:color="auto"/>
      </w:divBdr>
    </w:div>
    <w:div w:id="1233344571">
      <w:bodyDiv w:val="1"/>
      <w:marLeft w:val="0"/>
      <w:marRight w:val="0"/>
      <w:marTop w:val="0"/>
      <w:marBottom w:val="0"/>
      <w:divBdr>
        <w:top w:val="none" w:sz="0" w:space="0" w:color="auto"/>
        <w:left w:val="none" w:sz="0" w:space="0" w:color="auto"/>
        <w:bottom w:val="none" w:sz="0" w:space="0" w:color="auto"/>
        <w:right w:val="none" w:sz="0" w:space="0" w:color="auto"/>
      </w:divBdr>
    </w:div>
    <w:div w:id="1284533250">
      <w:bodyDiv w:val="1"/>
      <w:marLeft w:val="0"/>
      <w:marRight w:val="0"/>
      <w:marTop w:val="0"/>
      <w:marBottom w:val="0"/>
      <w:divBdr>
        <w:top w:val="none" w:sz="0" w:space="0" w:color="auto"/>
        <w:left w:val="none" w:sz="0" w:space="0" w:color="auto"/>
        <w:bottom w:val="none" w:sz="0" w:space="0" w:color="auto"/>
        <w:right w:val="none" w:sz="0" w:space="0" w:color="auto"/>
      </w:divBdr>
    </w:div>
    <w:div w:id="1411929002">
      <w:bodyDiv w:val="1"/>
      <w:marLeft w:val="0"/>
      <w:marRight w:val="0"/>
      <w:marTop w:val="0"/>
      <w:marBottom w:val="0"/>
      <w:divBdr>
        <w:top w:val="none" w:sz="0" w:space="0" w:color="auto"/>
        <w:left w:val="none" w:sz="0" w:space="0" w:color="auto"/>
        <w:bottom w:val="none" w:sz="0" w:space="0" w:color="auto"/>
        <w:right w:val="none" w:sz="0" w:space="0" w:color="auto"/>
      </w:divBdr>
    </w:div>
    <w:div w:id="1434059824">
      <w:bodyDiv w:val="1"/>
      <w:marLeft w:val="0"/>
      <w:marRight w:val="0"/>
      <w:marTop w:val="0"/>
      <w:marBottom w:val="0"/>
      <w:divBdr>
        <w:top w:val="none" w:sz="0" w:space="0" w:color="auto"/>
        <w:left w:val="none" w:sz="0" w:space="0" w:color="auto"/>
        <w:bottom w:val="none" w:sz="0" w:space="0" w:color="auto"/>
        <w:right w:val="none" w:sz="0" w:space="0" w:color="auto"/>
      </w:divBdr>
    </w:div>
    <w:div w:id="1477380982">
      <w:bodyDiv w:val="1"/>
      <w:marLeft w:val="0"/>
      <w:marRight w:val="0"/>
      <w:marTop w:val="0"/>
      <w:marBottom w:val="0"/>
      <w:divBdr>
        <w:top w:val="none" w:sz="0" w:space="0" w:color="auto"/>
        <w:left w:val="none" w:sz="0" w:space="0" w:color="auto"/>
        <w:bottom w:val="none" w:sz="0" w:space="0" w:color="auto"/>
        <w:right w:val="none" w:sz="0" w:space="0" w:color="auto"/>
      </w:divBdr>
    </w:div>
    <w:div w:id="1499420687">
      <w:bodyDiv w:val="1"/>
      <w:marLeft w:val="0"/>
      <w:marRight w:val="0"/>
      <w:marTop w:val="0"/>
      <w:marBottom w:val="0"/>
      <w:divBdr>
        <w:top w:val="none" w:sz="0" w:space="0" w:color="auto"/>
        <w:left w:val="none" w:sz="0" w:space="0" w:color="auto"/>
        <w:bottom w:val="none" w:sz="0" w:space="0" w:color="auto"/>
        <w:right w:val="none" w:sz="0" w:space="0" w:color="auto"/>
      </w:divBdr>
    </w:div>
    <w:div w:id="1529946282">
      <w:bodyDiv w:val="1"/>
      <w:marLeft w:val="0"/>
      <w:marRight w:val="0"/>
      <w:marTop w:val="0"/>
      <w:marBottom w:val="0"/>
      <w:divBdr>
        <w:top w:val="none" w:sz="0" w:space="0" w:color="auto"/>
        <w:left w:val="none" w:sz="0" w:space="0" w:color="auto"/>
        <w:bottom w:val="none" w:sz="0" w:space="0" w:color="auto"/>
        <w:right w:val="none" w:sz="0" w:space="0" w:color="auto"/>
      </w:divBdr>
    </w:div>
    <w:div w:id="1533228046">
      <w:bodyDiv w:val="1"/>
      <w:marLeft w:val="0"/>
      <w:marRight w:val="0"/>
      <w:marTop w:val="0"/>
      <w:marBottom w:val="0"/>
      <w:divBdr>
        <w:top w:val="none" w:sz="0" w:space="0" w:color="auto"/>
        <w:left w:val="none" w:sz="0" w:space="0" w:color="auto"/>
        <w:bottom w:val="none" w:sz="0" w:space="0" w:color="auto"/>
        <w:right w:val="none" w:sz="0" w:space="0" w:color="auto"/>
      </w:divBdr>
    </w:div>
    <w:div w:id="1537813865">
      <w:bodyDiv w:val="1"/>
      <w:marLeft w:val="0"/>
      <w:marRight w:val="0"/>
      <w:marTop w:val="0"/>
      <w:marBottom w:val="0"/>
      <w:divBdr>
        <w:top w:val="none" w:sz="0" w:space="0" w:color="auto"/>
        <w:left w:val="none" w:sz="0" w:space="0" w:color="auto"/>
        <w:bottom w:val="none" w:sz="0" w:space="0" w:color="auto"/>
        <w:right w:val="none" w:sz="0" w:space="0" w:color="auto"/>
      </w:divBdr>
      <w:divsChild>
        <w:div w:id="1341350337">
          <w:marLeft w:val="547"/>
          <w:marRight w:val="0"/>
          <w:marTop w:val="96"/>
          <w:marBottom w:val="0"/>
          <w:divBdr>
            <w:top w:val="none" w:sz="0" w:space="0" w:color="auto"/>
            <w:left w:val="none" w:sz="0" w:space="0" w:color="auto"/>
            <w:bottom w:val="none" w:sz="0" w:space="0" w:color="auto"/>
            <w:right w:val="none" w:sz="0" w:space="0" w:color="auto"/>
          </w:divBdr>
        </w:div>
        <w:div w:id="1414550410">
          <w:marLeft w:val="547"/>
          <w:marRight w:val="0"/>
          <w:marTop w:val="96"/>
          <w:marBottom w:val="0"/>
          <w:divBdr>
            <w:top w:val="none" w:sz="0" w:space="0" w:color="auto"/>
            <w:left w:val="none" w:sz="0" w:space="0" w:color="auto"/>
            <w:bottom w:val="none" w:sz="0" w:space="0" w:color="auto"/>
            <w:right w:val="none" w:sz="0" w:space="0" w:color="auto"/>
          </w:divBdr>
        </w:div>
      </w:divsChild>
    </w:div>
    <w:div w:id="1540320300">
      <w:bodyDiv w:val="1"/>
      <w:marLeft w:val="0"/>
      <w:marRight w:val="0"/>
      <w:marTop w:val="0"/>
      <w:marBottom w:val="0"/>
      <w:divBdr>
        <w:top w:val="none" w:sz="0" w:space="0" w:color="auto"/>
        <w:left w:val="none" w:sz="0" w:space="0" w:color="auto"/>
        <w:bottom w:val="none" w:sz="0" w:space="0" w:color="auto"/>
        <w:right w:val="none" w:sz="0" w:space="0" w:color="auto"/>
      </w:divBdr>
    </w:div>
    <w:div w:id="1580675401">
      <w:bodyDiv w:val="1"/>
      <w:marLeft w:val="0"/>
      <w:marRight w:val="0"/>
      <w:marTop w:val="0"/>
      <w:marBottom w:val="0"/>
      <w:divBdr>
        <w:top w:val="none" w:sz="0" w:space="0" w:color="auto"/>
        <w:left w:val="none" w:sz="0" w:space="0" w:color="auto"/>
        <w:bottom w:val="none" w:sz="0" w:space="0" w:color="auto"/>
        <w:right w:val="none" w:sz="0" w:space="0" w:color="auto"/>
      </w:divBdr>
    </w:div>
    <w:div w:id="1602028417">
      <w:bodyDiv w:val="1"/>
      <w:marLeft w:val="0"/>
      <w:marRight w:val="0"/>
      <w:marTop w:val="0"/>
      <w:marBottom w:val="0"/>
      <w:divBdr>
        <w:top w:val="none" w:sz="0" w:space="0" w:color="auto"/>
        <w:left w:val="none" w:sz="0" w:space="0" w:color="auto"/>
        <w:bottom w:val="none" w:sz="0" w:space="0" w:color="auto"/>
        <w:right w:val="none" w:sz="0" w:space="0" w:color="auto"/>
      </w:divBdr>
    </w:div>
    <w:div w:id="1681925765">
      <w:bodyDiv w:val="1"/>
      <w:marLeft w:val="0"/>
      <w:marRight w:val="0"/>
      <w:marTop w:val="0"/>
      <w:marBottom w:val="0"/>
      <w:divBdr>
        <w:top w:val="none" w:sz="0" w:space="0" w:color="auto"/>
        <w:left w:val="none" w:sz="0" w:space="0" w:color="auto"/>
        <w:bottom w:val="none" w:sz="0" w:space="0" w:color="auto"/>
        <w:right w:val="none" w:sz="0" w:space="0" w:color="auto"/>
      </w:divBdr>
    </w:div>
    <w:div w:id="1725325704">
      <w:bodyDiv w:val="1"/>
      <w:marLeft w:val="0"/>
      <w:marRight w:val="0"/>
      <w:marTop w:val="0"/>
      <w:marBottom w:val="0"/>
      <w:divBdr>
        <w:top w:val="none" w:sz="0" w:space="0" w:color="auto"/>
        <w:left w:val="none" w:sz="0" w:space="0" w:color="auto"/>
        <w:bottom w:val="none" w:sz="0" w:space="0" w:color="auto"/>
        <w:right w:val="none" w:sz="0" w:space="0" w:color="auto"/>
      </w:divBdr>
    </w:div>
    <w:div w:id="1728264406">
      <w:bodyDiv w:val="1"/>
      <w:marLeft w:val="0"/>
      <w:marRight w:val="0"/>
      <w:marTop w:val="0"/>
      <w:marBottom w:val="0"/>
      <w:divBdr>
        <w:top w:val="none" w:sz="0" w:space="0" w:color="auto"/>
        <w:left w:val="none" w:sz="0" w:space="0" w:color="auto"/>
        <w:bottom w:val="none" w:sz="0" w:space="0" w:color="auto"/>
        <w:right w:val="none" w:sz="0" w:space="0" w:color="auto"/>
      </w:divBdr>
    </w:div>
    <w:div w:id="1728647761">
      <w:bodyDiv w:val="1"/>
      <w:marLeft w:val="0"/>
      <w:marRight w:val="0"/>
      <w:marTop w:val="0"/>
      <w:marBottom w:val="0"/>
      <w:divBdr>
        <w:top w:val="none" w:sz="0" w:space="0" w:color="auto"/>
        <w:left w:val="none" w:sz="0" w:space="0" w:color="auto"/>
        <w:bottom w:val="none" w:sz="0" w:space="0" w:color="auto"/>
        <w:right w:val="none" w:sz="0" w:space="0" w:color="auto"/>
      </w:divBdr>
    </w:div>
    <w:div w:id="1805544749">
      <w:bodyDiv w:val="1"/>
      <w:marLeft w:val="0"/>
      <w:marRight w:val="0"/>
      <w:marTop w:val="0"/>
      <w:marBottom w:val="0"/>
      <w:divBdr>
        <w:top w:val="none" w:sz="0" w:space="0" w:color="auto"/>
        <w:left w:val="none" w:sz="0" w:space="0" w:color="auto"/>
        <w:bottom w:val="none" w:sz="0" w:space="0" w:color="auto"/>
        <w:right w:val="none" w:sz="0" w:space="0" w:color="auto"/>
      </w:divBdr>
    </w:div>
    <w:div w:id="1849831677">
      <w:bodyDiv w:val="1"/>
      <w:marLeft w:val="0"/>
      <w:marRight w:val="0"/>
      <w:marTop w:val="0"/>
      <w:marBottom w:val="0"/>
      <w:divBdr>
        <w:top w:val="none" w:sz="0" w:space="0" w:color="auto"/>
        <w:left w:val="none" w:sz="0" w:space="0" w:color="auto"/>
        <w:bottom w:val="none" w:sz="0" w:space="0" w:color="auto"/>
        <w:right w:val="none" w:sz="0" w:space="0" w:color="auto"/>
      </w:divBdr>
    </w:div>
    <w:div w:id="1875381944">
      <w:bodyDiv w:val="1"/>
      <w:marLeft w:val="0"/>
      <w:marRight w:val="0"/>
      <w:marTop w:val="0"/>
      <w:marBottom w:val="0"/>
      <w:divBdr>
        <w:top w:val="none" w:sz="0" w:space="0" w:color="auto"/>
        <w:left w:val="none" w:sz="0" w:space="0" w:color="auto"/>
        <w:bottom w:val="none" w:sz="0" w:space="0" w:color="auto"/>
        <w:right w:val="none" w:sz="0" w:space="0" w:color="auto"/>
      </w:divBdr>
    </w:div>
    <w:div w:id="1892306218">
      <w:bodyDiv w:val="1"/>
      <w:marLeft w:val="0"/>
      <w:marRight w:val="0"/>
      <w:marTop w:val="0"/>
      <w:marBottom w:val="0"/>
      <w:divBdr>
        <w:top w:val="none" w:sz="0" w:space="0" w:color="auto"/>
        <w:left w:val="none" w:sz="0" w:space="0" w:color="auto"/>
        <w:bottom w:val="none" w:sz="0" w:space="0" w:color="auto"/>
        <w:right w:val="none" w:sz="0" w:space="0" w:color="auto"/>
      </w:divBdr>
    </w:div>
    <w:div w:id="1938439738">
      <w:bodyDiv w:val="1"/>
      <w:marLeft w:val="0"/>
      <w:marRight w:val="0"/>
      <w:marTop w:val="0"/>
      <w:marBottom w:val="0"/>
      <w:divBdr>
        <w:top w:val="none" w:sz="0" w:space="0" w:color="auto"/>
        <w:left w:val="none" w:sz="0" w:space="0" w:color="auto"/>
        <w:bottom w:val="none" w:sz="0" w:space="0" w:color="auto"/>
        <w:right w:val="none" w:sz="0" w:space="0" w:color="auto"/>
      </w:divBdr>
    </w:div>
    <w:div w:id="1948197992">
      <w:bodyDiv w:val="1"/>
      <w:marLeft w:val="0"/>
      <w:marRight w:val="0"/>
      <w:marTop w:val="0"/>
      <w:marBottom w:val="0"/>
      <w:divBdr>
        <w:top w:val="none" w:sz="0" w:space="0" w:color="auto"/>
        <w:left w:val="none" w:sz="0" w:space="0" w:color="auto"/>
        <w:bottom w:val="none" w:sz="0" w:space="0" w:color="auto"/>
        <w:right w:val="none" w:sz="0" w:space="0" w:color="auto"/>
      </w:divBdr>
    </w:div>
    <w:div w:id="1982423157">
      <w:bodyDiv w:val="1"/>
      <w:marLeft w:val="0"/>
      <w:marRight w:val="0"/>
      <w:marTop w:val="0"/>
      <w:marBottom w:val="0"/>
      <w:divBdr>
        <w:top w:val="none" w:sz="0" w:space="0" w:color="auto"/>
        <w:left w:val="none" w:sz="0" w:space="0" w:color="auto"/>
        <w:bottom w:val="none" w:sz="0" w:space="0" w:color="auto"/>
        <w:right w:val="none" w:sz="0" w:space="0" w:color="auto"/>
      </w:divBdr>
    </w:div>
    <w:div w:id="2016028635">
      <w:bodyDiv w:val="1"/>
      <w:marLeft w:val="0"/>
      <w:marRight w:val="0"/>
      <w:marTop w:val="0"/>
      <w:marBottom w:val="0"/>
      <w:divBdr>
        <w:top w:val="none" w:sz="0" w:space="0" w:color="auto"/>
        <w:left w:val="none" w:sz="0" w:space="0" w:color="auto"/>
        <w:bottom w:val="none" w:sz="0" w:space="0" w:color="auto"/>
        <w:right w:val="none" w:sz="0" w:space="0" w:color="auto"/>
      </w:divBdr>
    </w:div>
    <w:div w:id="2057503138">
      <w:bodyDiv w:val="1"/>
      <w:marLeft w:val="0"/>
      <w:marRight w:val="0"/>
      <w:marTop w:val="0"/>
      <w:marBottom w:val="0"/>
      <w:divBdr>
        <w:top w:val="none" w:sz="0" w:space="0" w:color="auto"/>
        <w:left w:val="none" w:sz="0" w:space="0" w:color="auto"/>
        <w:bottom w:val="none" w:sz="0" w:space="0" w:color="auto"/>
        <w:right w:val="none" w:sz="0" w:space="0" w:color="auto"/>
      </w:divBdr>
    </w:div>
    <w:div w:id="2090033611">
      <w:bodyDiv w:val="1"/>
      <w:marLeft w:val="0"/>
      <w:marRight w:val="0"/>
      <w:marTop w:val="0"/>
      <w:marBottom w:val="0"/>
      <w:divBdr>
        <w:top w:val="none" w:sz="0" w:space="0" w:color="auto"/>
        <w:left w:val="none" w:sz="0" w:space="0" w:color="auto"/>
        <w:bottom w:val="none" w:sz="0" w:space="0" w:color="auto"/>
        <w:right w:val="none" w:sz="0" w:space="0" w:color="auto"/>
      </w:divBdr>
    </w:div>
    <w:div w:id="2092046699">
      <w:bodyDiv w:val="1"/>
      <w:marLeft w:val="0"/>
      <w:marRight w:val="0"/>
      <w:marTop w:val="0"/>
      <w:marBottom w:val="0"/>
      <w:divBdr>
        <w:top w:val="none" w:sz="0" w:space="0" w:color="auto"/>
        <w:left w:val="none" w:sz="0" w:space="0" w:color="auto"/>
        <w:bottom w:val="none" w:sz="0" w:space="0" w:color="auto"/>
        <w:right w:val="none" w:sz="0" w:space="0" w:color="auto"/>
      </w:divBdr>
    </w:div>
    <w:div w:id="214257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chart" Target="charts/chart39.xml"/><Relationship Id="rId50" Type="http://schemas.openxmlformats.org/officeDocument/2006/relationships/image" Target="media/image3.emf"/><Relationship Id="rId55" Type="http://schemas.openxmlformats.org/officeDocument/2006/relationships/chart" Target="charts/chart44.xml"/><Relationship Id="rId63" Type="http://schemas.openxmlformats.org/officeDocument/2006/relationships/image" Target="media/image4.png"/><Relationship Id="rId68" Type="http://schemas.openxmlformats.org/officeDocument/2006/relationships/chart" Target="charts/chart56.xml"/><Relationship Id="rId76" Type="http://schemas.openxmlformats.org/officeDocument/2006/relationships/image" Target="media/image6.png"/><Relationship Id="rId84" Type="http://schemas.openxmlformats.org/officeDocument/2006/relationships/image" Target="media/image13.jpeg"/><Relationship Id="rId89" Type="http://schemas.openxmlformats.org/officeDocument/2006/relationships/chart" Target="charts/chart60.xml"/><Relationship Id="rId7" Type="http://schemas.openxmlformats.org/officeDocument/2006/relationships/endnotes" Target="endnotes.xml"/><Relationship Id="rId71" Type="http://schemas.openxmlformats.org/officeDocument/2006/relationships/chart" Target="charts/chart57.xml"/><Relationship Id="rId92" Type="http://schemas.openxmlformats.org/officeDocument/2006/relationships/chart" Target="charts/chart63.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1.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3" Type="http://schemas.openxmlformats.org/officeDocument/2006/relationships/chart" Target="charts/chart42.xml"/><Relationship Id="rId58" Type="http://schemas.openxmlformats.org/officeDocument/2006/relationships/chart" Target="charts/chart47.xml"/><Relationship Id="rId66" Type="http://schemas.openxmlformats.org/officeDocument/2006/relationships/chart" Target="charts/chart54.xml"/><Relationship Id="rId74" Type="http://schemas.openxmlformats.org/officeDocument/2006/relationships/footer" Target="footer2.xml"/><Relationship Id="rId79" Type="http://schemas.openxmlformats.org/officeDocument/2006/relationships/image" Target="media/image9.jpeg"/><Relationship Id="rId87" Type="http://schemas.openxmlformats.org/officeDocument/2006/relationships/image" Target="media/image16.jpeg"/><Relationship Id="rId5" Type="http://schemas.openxmlformats.org/officeDocument/2006/relationships/webSettings" Target="webSettings.xml"/><Relationship Id="rId61" Type="http://schemas.openxmlformats.org/officeDocument/2006/relationships/chart" Target="charts/chart50.xml"/><Relationship Id="rId82" Type="http://schemas.openxmlformats.org/officeDocument/2006/relationships/hyperlink" Target="https://tradingeconomics.com/country-list/rating" TargetMode="External"/><Relationship Id="rId90" Type="http://schemas.openxmlformats.org/officeDocument/2006/relationships/chart" Target="charts/chart61.xml"/><Relationship Id="rId95" Type="http://schemas.openxmlformats.org/officeDocument/2006/relationships/fontTable" Target="fontTable.xml"/><Relationship Id="rId19" Type="http://schemas.openxmlformats.org/officeDocument/2006/relationships/chart" Target="charts/chart1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hyperlink" Target="http://www.centralbanknews.info/" TargetMode="External"/><Relationship Id="rId56" Type="http://schemas.openxmlformats.org/officeDocument/2006/relationships/chart" Target="charts/chart45.xml"/><Relationship Id="rId64" Type="http://schemas.openxmlformats.org/officeDocument/2006/relationships/chart" Target="charts/chart52.xml"/><Relationship Id="rId69" Type="http://schemas.openxmlformats.org/officeDocument/2006/relationships/image" Target="media/image5.png"/><Relationship Id="rId77" Type="http://schemas.openxmlformats.org/officeDocument/2006/relationships/image" Target="media/image7.png"/><Relationship Id="rId8" Type="http://schemas.openxmlformats.org/officeDocument/2006/relationships/footer" Target="footer1.xml"/><Relationship Id="rId51" Type="http://schemas.openxmlformats.org/officeDocument/2006/relationships/chart" Target="charts/chart40.xml"/><Relationship Id="rId72" Type="http://schemas.openxmlformats.org/officeDocument/2006/relationships/chart" Target="charts/chart58.xml"/><Relationship Id="rId80" Type="http://schemas.openxmlformats.org/officeDocument/2006/relationships/image" Target="media/image10.png"/><Relationship Id="rId85" Type="http://schemas.openxmlformats.org/officeDocument/2006/relationships/image" Target="media/image14.jpeg"/><Relationship Id="rId93" Type="http://schemas.openxmlformats.org/officeDocument/2006/relationships/chart" Target="charts/chart64.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59" Type="http://schemas.openxmlformats.org/officeDocument/2006/relationships/chart" Target="charts/chart48.xml"/><Relationship Id="rId67" Type="http://schemas.openxmlformats.org/officeDocument/2006/relationships/chart" Target="charts/chart55.xml"/><Relationship Id="rId20" Type="http://schemas.openxmlformats.org/officeDocument/2006/relationships/chart" Target="charts/chart12.xml"/><Relationship Id="rId41" Type="http://schemas.openxmlformats.org/officeDocument/2006/relationships/chart" Target="charts/chart33.xml"/><Relationship Id="rId54" Type="http://schemas.openxmlformats.org/officeDocument/2006/relationships/chart" Target="charts/chart43.xml"/><Relationship Id="rId62" Type="http://schemas.openxmlformats.org/officeDocument/2006/relationships/chart" Target="charts/chart51.xml"/><Relationship Id="rId70" Type="http://schemas.openxmlformats.org/officeDocument/2006/relationships/oleObject" Target="embeddings/oleObject1.bin"/><Relationship Id="rId75" Type="http://schemas.openxmlformats.org/officeDocument/2006/relationships/footer" Target="footer3.xml"/><Relationship Id="rId83" Type="http://schemas.openxmlformats.org/officeDocument/2006/relationships/image" Target="media/image12.jpeg"/><Relationship Id="rId88" Type="http://schemas.openxmlformats.org/officeDocument/2006/relationships/image" Target="media/image17.jpeg"/><Relationship Id="rId91" Type="http://schemas.openxmlformats.org/officeDocument/2006/relationships/chart" Target="charts/chart62.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image" Target="media/image2.emf"/><Relationship Id="rId57" Type="http://schemas.openxmlformats.org/officeDocument/2006/relationships/chart" Target="charts/chart46.xml"/><Relationship Id="rId10" Type="http://schemas.openxmlformats.org/officeDocument/2006/relationships/chart" Target="charts/chart2.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chart" Target="charts/chart41.xml"/><Relationship Id="rId60" Type="http://schemas.openxmlformats.org/officeDocument/2006/relationships/chart" Target="charts/chart49.xml"/><Relationship Id="rId65" Type="http://schemas.openxmlformats.org/officeDocument/2006/relationships/chart" Target="charts/chart53.xml"/><Relationship Id="rId73" Type="http://schemas.openxmlformats.org/officeDocument/2006/relationships/chart" Target="charts/chart59.xml"/><Relationship Id="rId78" Type="http://schemas.openxmlformats.org/officeDocument/2006/relationships/image" Target="media/image8.jpeg"/><Relationship Id="rId81" Type="http://schemas.openxmlformats.org/officeDocument/2006/relationships/image" Target="media/image11.jpeg"/><Relationship Id="rId86" Type="http://schemas.openxmlformats.org/officeDocument/2006/relationships/image" Target="media/image15.jpeg"/><Relationship Id="rId9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www.gov.am/am/covid19./" TargetMode="External"/><Relationship Id="rId2" Type="http://schemas.openxmlformats.org/officeDocument/2006/relationships/hyperlink" Target="https://www.cba.am/Storage/AM/downloads/parberakan/DVQ/Gnach_II_20.pdf" TargetMode="External"/><Relationship Id="rId1" Type="http://schemas.openxmlformats.org/officeDocument/2006/relationships/hyperlink" Target="https://www.imf.org/en/Publications/WEO/Issues/2020/06/24/WEOUpdateJune2020" TargetMode="External"/><Relationship Id="rId5" Type="http://schemas.openxmlformats.org/officeDocument/2006/relationships/hyperlink" Target="http://www.minfin.am/website/images/files/DSA_MoF_2019_last.pdf" TargetMode="External"/><Relationship Id="rId4" Type="http://schemas.openxmlformats.org/officeDocument/2006/relationships/hyperlink" Target="https://www.gov.am/am/covid-19-cragr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Book1" TargetMode="External"/><Relationship Id="rId1" Type="http://schemas.openxmlformats.org/officeDocument/2006/relationships/themeOverride" Target="../theme/themeOverride12.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15.xlsx"/><Relationship Id="rId1" Type="http://schemas.openxmlformats.org/officeDocument/2006/relationships/themeOverride" Target="../theme/themeOverride13.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16.xlsx"/><Relationship Id="rId1" Type="http://schemas.openxmlformats.org/officeDocument/2006/relationships/themeOverride" Target="../theme/themeOverride14.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6.xml"/></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Worksheet21.xlsx"/><Relationship Id="rId1" Type="http://schemas.openxmlformats.org/officeDocument/2006/relationships/themeOverride" Target="../theme/themeOverride17.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package" Target="../embeddings/Microsoft_Excel_Worksheet22.xlsx"/><Relationship Id="rId1" Type="http://schemas.openxmlformats.org/officeDocument/2006/relationships/themeOverride" Target="../theme/themeOverride18.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19.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0.xm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package" Target="../embeddings/Microsoft_Excel_Worksheet25.xlsx"/><Relationship Id="rId1" Type="http://schemas.openxmlformats.org/officeDocument/2006/relationships/themeOverride" Target="../theme/themeOverride21.xml"/></Relationships>
</file>

<file path=word/charts/_rels/chart28.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package" Target="../embeddings/Microsoft_Excel_Worksheet26.xlsx"/><Relationship Id="rId1" Type="http://schemas.openxmlformats.org/officeDocument/2006/relationships/themeOverride" Target="../theme/themeOverride22.xml"/></Relationships>
</file>

<file path=word/charts/_rels/chart29.xml.rels><?xml version="1.0" encoding="UTF-8" standalone="yes"?>
<Relationships xmlns="http://schemas.openxmlformats.org/package/2006/relationships"><Relationship Id="rId3" Type="http://schemas.openxmlformats.org/officeDocument/2006/relationships/chartUserShapes" Target="../drawings/drawing18.xml"/><Relationship Id="rId2" Type="http://schemas.openxmlformats.org/officeDocument/2006/relationships/package" Target="../embeddings/Microsoft_Excel_Worksheet27.xlsx"/><Relationship Id="rId1" Type="http://schemas.openxmlformats.org/officeDocument/2006/relationships/themeOverride" Target="../theme/themeOverride23.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3" Type="http://schemas.openxmlformats.org/officeDocument/2006/relationships/chartUserShapes" Target="../drawings/drawing19.xml"/><Relationship Id="rId2" Type="http://schemas.openxmlformats.org/officeDocument/2006/relationships/package" Target="../embeddings/Microsoft_Excel_Worksheet28.xlsx"/><Relationship Id="rId1" Type="http://schemas.openxmlformats.org/officeDocument/2006/relationships/themeOverride" Target="../theme/themeOverride24.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5.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6.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27.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28.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29.xml"/></Relationships>
</file>

<file path=word/charts/_rels/chart36.xml.rels><?xml version="1.0" encoding="UTF-8" standalone="yes"?>
<Relationships xmlns="http://schemas.openxmlformats.org/package/2006/relationships"><Relationship Id="rId3" Type="http://schemas.openxmlformats.org/officeDocument/2006/relationships/chartUserShapes" Target="../drawings/drawing20.xml"/><Relationship Id="rId2" Type="http://schemas.openxmlformats.org/officeDocument/2006/relationships/package" Target="../embeddings/Microsoft_Excel_Worksheet34.xlsx"/><Relationship Id="rId1" Type="http://schemas.openxmlformats.org/officeDocument/2006/relationships/themeOverride" Target="../theme/themeOverride30.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31.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32.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37.xlsx"/><Relationship Id="rId1" Type="http://schemas.openxmlformats.org/officeDocument/2006/relationships/themeOverride" Target="../theme/themeOverride3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oleObject" Target="file:///C:\Users\Admin\Downloads\Copy%20of%20&#1356;&#1387;&#1405;&#1391;&#1381;&#1408;-2020-2023%20(4).xlsx" TargetMode="External"/><Relationship Id="rId1" Type="http://schemas.openxmlformats.org/officeDocument/2006/relationships/themeOverride" Target="../theme/themeOverride34.xml"/></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35.xml"/></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36.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41.xlsx"/><Relationship Id="rId1" Type="http://schemas.openxmlformats.org/officeDocument/2006/relationships/themeOverride" Target="../theme/themeOverride37.xml"/></Relationships>
</file>

<file path=word/charts/_rels/chart45.xml.rels><?xml version="1.0" encoding="UTF-8" standalone="yes"?>
<Relationships xmlns="http://schemas.openxmlformats.org/package/2006/relationships"><Relationship Id="rId3" Type="http://schemas.openxmlformats.org/officeDocument/2006/relationships/chartUserShapes" Target="../drawings/drawing21.xml"/><Relationship Id="rId2" Type="http://schemas.openxmlformats.org/officeDocument/2006/relationships/package" Target="../embeddings/Microsoft_Excel_Worksheet42.xlsx"/><Relationship Id="rId1" Type="http://schemas.openxmlformats.org/officeDocument/2006/relationships/themeOverride" Target="../theme/themeOverride38.xml"/></Relationships>
</file>

<file path=word/charts/_rels/chart46.xml.rels><?xml version="1.0" encoding="UTF-8" standalone="yes"?>
<Relationships xmlns="http://schemas.openxmlformats.org/package/2006/relationships"><Relationship Id="rId3" Type="http://schemas.openxmlformats.org/officeDocument/2006/relationships/chartUserShapes" Target="../drawings/drawing22.xml"/><Relationship Id="rId2" Type="http://schemas.openxmlformats.org/officeDocument/2006/relationships/package" Target="../embeddings/Microsoft_Excel_Worksheet43.xlsx"/><Relationship Id="rId1" Type="http://schemas.openxmlformats.org/officeDocument/2006/relationships/themeOverride" Target="../theme/themeOverride39.xml"/></Relationships>
</file>

<file path=word/charts/_rels/chart47.xml.rels><?xml version="1.0" encoding="UTF-8" standalone="yes"?>
<Relationships xmlns="http://schemas.openxmlformats.org/package/2006/relationships"><Relationship Id="rId2" Type="http://schemas.openxmlformats.org/officeDocument/2006/relationships/chartUserShapes" Target="../drawings/drawing23.xml"/><Relationship Id="rId1" Type="http://schemas.openxmlformats.org/officeDocument/2006/relationships/package" Target="../embeddings/Microsoft_Excel_Worksheet44.xlsx"/></Relationships>
</file>

<file path=word/charts/_rels/chart48.xml.rels><?xml version="1.0" encoding="UTF-8" standalone="yes"?>
<Relationships xmlns="http://schemas.openxmlformats.org/package/2006/relationships"><Relationship Id="rId3" Type="http://schemas.openxmlformats.org/officeDocument/2006/relationships/chartUserShapes" Target="../drawings/drawing24.xml"/><Relationship Id="rId2" Type="http://schemas.openxmlformats.org/officeDocument/2006/relationships/package" Target="../embeddings/Microsoft_Excel_Worksheet45.xlsx"/><Relationship Id="rId1" Type="http://schemas.openxmlformats.org/officeDocument/2006/relationships/themeOverride" Target="../theme/themeOverride40.xml"/></Relationships>
</file>

<file path=word/charts/_rels/chart49.xml.rels><?xml version="1.0" encoding="UTF-8" standalone="yes"?>
<Relationships xmlns="http://schemas.openxmlformats.org/package/2006/relationships"><Relationship Id="rId2" Type="http://schemas.openxmlformats.org/officeDocument/2006/relationships/chartUserShapes" Target="../drawings/drawing25.xml"/><Relationship Id="rId1" Type="http://schemas.openxmlformats.org/officeDocument/2006/relationships/package" Target="../embeddings/Microsoft_Excel_Worksheet46.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2" Type="http://schemas.openxmlformats.org/officeDocument/2006/relationships/chartUserShapes" Target="../drawings/drawing26.xml"/><Relationship Id="rId1" Type="http://schemas.openxmlformats.org/officeDocument/2006/relationships/package" Target="../embeddings/Microsoft_Excel_Worksheet47.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52.xml.rels><?xml version="1.0" encoding="UTF-8" standalone="yes"?>
<Relationships xmlns="http://schemas.openxmlformats.org/package/2006/relationships"><Relationship Id="rId1" Type="http://schemas.openxmlformats.org/officeDocument/2006/relationships/oleObject" Target="file:///C:\Users\Ruzanna.Gabrielyan\Downloads\&#1406;&#1377;&#1408;&#1391;,%20&#1379;&#1408;&#1377;&#1398;&#1407;%20&#1379;&#1408;&#1377;&#1414;&#1387;&#1391;%2017.07%20(1)%20(1)%20(1).xlsx" TargetMode="External"/></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4.xml.rels><?xml version="1.0" encoding="UTF-8" standalone="yes"?>
<Relationships xmlns="http://schemas.openxmlformats.org/package/2006/relationships"><Relationship Id="rId1" Type="http://schemas.openxmlformats.org/officeDocument/2006/relationships/oleObject" Target="file:///C:\Users\User\Desktop\Sveta\3.&#1344;&#1377;&#1406;&#1381;&#1388;&#1406;&#1377;&#1390;_N3_&#1379;&#1400;&#1408;&#1390;&#1377;&#1404;&#1377;&#1391;&#1377;&#1398;%2015.07.2020%20(1).xls"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C:\Users\User\Desktop\Sveta\3.&#1344;&#1377;&#1406;&#1381;&#1388;&#1406;&#1377;&#1390;_N3_&#1379;&#1400;&#1408;&#1390;&#1377;&#1404;&#1377;&#1391;&#1377;&#1398;%2015.07.2020%20(1).xls"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User\Desktop\Sveta\3.&#1344;&#1377;&#1406;&#1381;&#1388;&#1406;&#1377;&#1390;_N3_&#1379;&#1400;&#1408;&#1390;&#1377;&#1404;&#1377;&#1391;&#1377;&#1398;%2015.07.2020%20(1).xls" TargetMode="External"/></Relationships>
</file>

<file path=word/charts/_rels/chart57.xml.rels><?xml version="1.0" encoding="UTF-8" standalone="yes"?>
<Relationships xmlns="http://schemas.openxmlformats.org/package/2006/relationships"><Relationship Id="rId3" Type="http://schemas.openxmlformats.org/officeDocument/2006/relationships/chartUserShapes" Target="../drawings/drawing27.xml"/><Relationship Id="rId2" Type="http://schemas.openxmlformats.org/officeDocument/2006/relationships/package" Target="../embeddings/Microsoft_Excel_Worksheet50.xlsx"/><Relationship Id="rId1" Type="http://schemas.openxmlformats.org/officeDocument/2006/relationships/themeOverride" Target="../theme/themeOverride41.xml"/></Relationships>
</file>

<file path=word/charts/_rels/chart58.xml.rels><?xml version="1.0" encoding="UTF-8" standalone="yes"?>
<Relationships xmlns="http://schemas.openxmlformats.org/package/2006/relationships"><Relationship Id="rId3" Type="http://schemas.openxmlformats.org/officeDocument/2006/relationships/chartUserShapes" Target="../drawings/drawing28.xml"/><Relationship Id="rId2" Type="http://schemas.openxmlformats.org/officeDocument/2006/relationships/package" Target="../embeddings/Microsoft_Excel_Worksheet51.xlsx"/><Relationship Id="rId1" Type="http://schemas.openxmlformats.org/officeDocument/2006/relationships/themeOverride" Target="../theme/themeOverride42.xml"/></Relationships>
</file>

<file path=word/charts/_rels/chart59.xml.rels><?xml version="1.0" encoding="UTF-8" standalone="yes"?>
<Relationships xmlns="http://schemas.openxmlformats.org/package/2006/relationships"><Relationship Id="rId3" Type="http://schemas.openxmlformats.org/officeDocument/2006/relationships/chartUserShapes" Target="../drawings/drawing29.xml"/><Relationship Id="rId2" Type="http://schemas.openxmlformats.org/officeDocument/2006/relationships/package" Target="../embeddings/Microsoft_Excel_Worksheet52.xlsx"/><Relationship Id="rId1" Type="http://schemas.openxmlformats.org/officeDocument/2006/relationships/themeOverride" Target="../theme/themeOverride4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1" Type="http://schemas.openxmlformats.org/officeDocument/2006/relationships/oleObject" Target="file:///D:\Armine%202020\MTEF21-23\MTEF_risc_21-23\Risks_for_MTEF_2020-2023.xlsx" TargetMode="External"/></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64.xml.rels><?xml version="1.0" encoding="UTF-8" standalone="yes"?>
<Relationships xmlns="http://schemas.openxmlformats.org/package/2006/relationships"><Relationship Id="rId1" Type="http://schemas.openxmlformats.org/officeDocument/2006/relationships/oleObject" Target="file:///C:\Users\karap\Desktop\July\MTEF\DSA_MTEF.xlsm" TargetMode="Externa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84258002232482"/>
          <c:y val="7.1301466104615782E-2"/>
          <c:w val="0.83276495610462564"/>
          <c:h val="0.67818924149632864"/>
        </c:manualLayout>
      </c:layout>
      <c:barChart>
        <c:barDir val="col"/>
        <c:grouping val="clustered"/>
        <c:varyColors val="0"/>
        <c:ser>
          <c:idx val="1"/>
          <c:order val="1"/>
          <c:tx>
            <c:strRef>
              <c:f>Sheet1!$C$1</c:f>
              <c:strCache>
                <c:ptCount val="1"/>
                <c:pt idx="0">
                  <c:v>ՌԴ</c:v>
                </c:pt>
              </c:strCache>
            </c:strRef>
          </c:tx>
          <c:spPr>
            <a:solidFill>
              <a:schemeClr val="accent2"/>
            </a:solidFill>
            <a:ln>
              <a:noFill/>
            </a:ln>
            <a:effectLst/>
          </c:spPr>
          <c:invertIfNegative val="0"/>
          <c:cat>
            <c:numRef>
              <c:f>Sheet1!$A$2:$A$6</c:f>
              <c:numCache>
                <c:formatCode>General</c:formatCode>
                <c:ptCount val="5"/>
                <c:pt idx="0">
                  <c:v>2017</c:v>
                </c:pt>
                <c:pt idx="1">
                  <c:v>2018</c:v>
                </c:pt>
                <c:pt idx="2">
                  <c:v>2019</c:v>
                </c:pt>
                <c:pt idx="3">
                  <c:v>2020</c:v>
                </c:pt>
                <c:pt idx="4">
                  <c:v>2021</c:v>
                </c:pt>
              </c:numCache>
            </c:numRef>
          </c:cat>
          <c:val>
            <c:numRef>
              <c:f>Sheet1!$C$2:$C$6</c:f>
              <c:numCache>
                <c:formatCode>#,##0.0;"–"#,##0.0</c:formatCode>
                <c:ptCount val="5"/>
                <c:pt idx="0">
                  <c:v>1.7940000000000005</c:v>
                </c:pt>
                <c:pt idx="1">
                  <c:v>2.5</c:v>
                </c:pt>
                <c:pt idx="2">
                  <c:v>1.3</c:v>
                </c:pt>
                <c:pt idx="3">
                  <c:v>-6.6</c:v>
                </c:pt>
                <c:pt idx="4">
                  <c:v>4.0999999999999996</c:v>
                </c:pt>
              </c:numCache>
            </c:numRef>
          </c:val>
          <c:extLst>
            <c:ext xmlns:c16="http://schemas.microsoft.com/office/drawing/2014/chart" uri="{C3380CC4-5D6E-409C-BE32-E72D297353CC}">
              <c16:uniqueId val="{00000000-6F04-498C-B27D-E03BBEC900B3}"/>
            </c:ext>
          </c:extLst>
        </c:ser>
        <c:ser>
          <c:idx val="2"/>
          <c:order val="2"/>
          <c:tx>
            <c:strRef>
              <c:f>Sheet1!$D$1</c:f>
              <c:strCache>
                <c:ptCount val="1"/>
                <c:pt idx="0">
                  <c:v>Եվրոգոտի</c:v>
                </c:pt>
              </c:strCache>
            </c:strRef>
          </c:tx>
          <c:spPr>
            <a:solidFill>
              <a:schemeClr val="accent3"/>
            </a:solidFill>
            <a:ln>
              <a:noFill/>
            </a:ln>
            <a:effectLst/>
          </c:spPr>
          <c:invertIfNegative val="0"/>
          <c:cat>
            <c:numRef>
              <c:f>Sheet1!$A$2:$A$6</c:f>
              <c:numCache>
                <c:formatCode>General</c:formatCode>
                <c:ptCount val="5"/>
                <c:pt idx="0">
                  <c:v>2017</c:v>
                </c:pt>
                <c:pt idx="1">
                  <c:v>2018</c:v>
                </c:pt>
                <c:pt idx="2">
                  <c:v>2019</c:v>
                </c:pt>
                <c:pt idx="3">
                  <c:v>2020</c:v>
                </c:pt>
                <c:pt idx="4">
                  <c:v>2021</c:v>
                </c:pt>
              </c:numCache>
            </c:numRef>
          </c:cat>
          <c:val>
            <c:numRef>
              <c:f>Sheet1!$D$2:$D$6</c:f>
              <c:numCache>
                <c:formatCode>#,##0.0;"–"#,##0.0</c:formatCode>
                <c:ptCount val="5"/>
                <c:pt idx="0">
                  <c:v>2.5419999999999998</c:v>
                </c:pt>
                <c:pt idx="1">
                  <c:v>1.9245307253744459</c:v>
                </c:pt>
                <c:pt idx="2">
                  <c:v>1.2783448122809822</c:v>
                </c:pt>
                <c:pt idx="3">
                  <c:v>-10.238572826134414</c:v>
                </c:pt>
                <c:pt idx="4">
                  <c:v>6.0264375781711408</c:v>
                </c:pt>
              </c:numCache>
            </c:numRef>
          </c:val>
          <c:extLst>
            <c:ext xmlns:c16="http://schemas.microsoft.com/office/drawing/2014/chart" uri="{C3380CC4-5D6E-409C-BE32-E72D297353CC}">
              <c16:uniqueId val="{00000001-6F04-498C-B27D-E03BBEC900B3}"/>
            </c:ext>
          </c:extLst>
        </c:ser>
        <c:ser>
          <c:idx val="3"/>
          <c:order val="3"/>
          <c:tx>
            <c:strRef>
              <c:f>Sheet1!$E$1</c:f>
              <c:strCache>
                <c:ptCount val="1"/>
                <c:pt idx="0">
                  <c:v>Չինաստան</c:v>
                </c:pt>
              </c:strCache>
            </c:strRef>
          </c:tx>
          <c:spPr>
            <a:solidFill>
              <a:schemeClr val="accent4"/>
            </a:solidFill>
            <a:ln>
              <a:noFill/>
            </a:ln>
            <a:effectLst/>
          </c:spPr>
          <c:invertIfNegative val="0"/>
          <c:cat>
            <c:numRef>
              <c:f>Sheet1!$A$2:$A$6</c:f>
              <c:numCache>
                <c:formatCode>General</c:formatCode>
                <c:ptCount val="5"/>
                <c:pt idx="0">
                  <c:v>2017</c:v>
                </c:pt>
                <c:pt idx="1">
                  <c:v>2018</c:v>
                </c:pt>
                <c:pt idx="2">
                  <c:v>2019</c:v>
                </c:pt>
                <c:pt idx="3">
                  <c:v>2020</c:v>
                </c:pt>
                <c:pt idx="4">
                  <c:v>2021</c:v>
                </c:pt>
              </c:numCache>
            </c:numRef>
          </c:cat>
          <c:val>
            <c:numRef>
              <c:f>Sheet1!$E$2:$E$6</c:f>
              <c:numCache>
                <c:formatCode>#,##0.0;"–"#,##0.0</c:formatCode>
                <c:ptCount val="5"/>
                <c:pt idx="0">
                  <c:v>6.7569999999999997</c:v>
                </c:pt>
                <c:pt idx="1">
                  <c:v>6.7</c:v>
                </c:pt>
                <c:pt idx="2">
                  <c:v>6.1</c:v>
                </c:pt>
                <c:pt idx="3">
                  <c:v>1</c:v>
                </c:pt>
                <c:pt idx="4">
                  <c:v>8.2000000000000011</c:v>
                </c:pt>
              </c:numCache>
            </c:numRef>
          </c:val>
          <c:extLst>
            <c:ext xmlns:c16="http://schemas.microsoft.com/office/drawing/2014/chart" uri="{C3380CC4-5D6E-409C-BE32-E72D297353CC}">
              <c16:uniqueId val="{00000002-6F04-498C-B27D-E03BBEC900B3}"/>
            </c:ext>
          </c:extLst>
        </c:ser>
        <c:ser>
          <c:idx val="4"/>
          <c:order val="4"/>
          <c:tx>
            <c:strRef>
              <c:f>Sheet1!$F$1</c:f>
              <c:strCache>
                <c:ptCount val="1"/>
                <c:pt idx="0">
                  <c:v>ԱՄՆ</c:v>
                </c:pt>
              </c:strCache>
            </c:strRef>
          </c:tx>
          <c:spPr>
            <a:solidFill>
              <a:schemeClr val="accent5"/>
            </a:solidFill>
            <a:ln>
              <a:noFill/>
            </a:ln>
            <a:effectLst/>
          </c:spPr>
          <c:invertIfNegative val="0"/>
          <c:cat>
            <c:numRef>
              <c:f>Sheet1!$A$2:$A$6</c:f>
              <c:numCache>
                <c:formatCode>General</c:formatCode>
                <c:ptCount val="5"/>
                <c:pt idx="0">
                  <c:v>2017</c:v>
                </c:pt>
                <c:pt idx="1">
                  <c:v>2018</c:v>
                </c:pt>
                <c:pt idx="2">
                  <c:v>2019</c:v>
                </c:pt>
                <c:pt idx="3">
                  <c:v>2020</c:v>
                </c:pt>
                <c:pt idx="4">
                  <c:v>2021</c:v>
                </c:pt>
              </c:numCache>
            </c:numRef>
          </c:cat>
          <c:val>
            <c:numRef>
              <c:f>Sheet1!$F$2:$F$6</c:f>
              <c:numCache>
                <c:formatCode>#,##0.0;"–"#,##0.0</c:formatCode>
                <c:ptCount val="5"/>
                <c:pt idx="0">
                  <c:v>2.3699999999999997</c:v>
                </c:pt>
                <c:pt idx="1">
                  <c:v>2.9</c:v>
                </c:pt>
                <c:pt idx="2">
                  <c:v>2.2999999999999998</c:v>
                </c:pt>
                <c:pt idx="3">
                  <c:v>-8</c:v>
                </c:pt>
                <c:pt idx="4">
                  <c:v>4.5</c:v>
                </c:pt>
              </c:numCache>
            </c:numRef>
          </c:val>
          <c:extLst>
            <c:ext xmlns:c16="http://schemas.microsoft.com/office/drawing/2014/chart" uri="{C3380CC4-5D6E-409C-BE32-E72D297353CC}">
              <c16:uniqueId val="{00000003-6F04-498C-B27D-E03BBEC900B3}"/>
            </c:ext>
          </c:extLst>
        </c:ser>
        <c:dLbls>
          <c:showLegendKey val="0"/>
          <c:showVal val="0"/>
          <c:showCatName val="0"/>
          <c:showSerName val="0"/>
          <c:showPercent val="0"/>
          <c:showBubbleSize val="0"/>
        </c:dLbls>
        <c:gapWidth val="150"/>
        <c:axId val="-889819888"/>
        <c:axId val="-889817168"/>
      </c:barChart>
      <c:lineChart>
        <c:grouping val="standard"/>
        <c:varyColors val="0"/>
        <c:ser>
          <c:idx val="0"/>
          <c:order val="0"/>
          <c:tx>
            <c:strRef>
              <c:f>Sheet1!$B$1</c:f>
              <c:strCache>
                <c:ptCount val="1"/>
                <c:pt idx="0">
                  <c:v>Աշխարը</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Sheet1!$B$2:$B$6</c:f>
              <c:numCache>
                <c:formatCode>#,##0.0;"–"#,##0.0</c:formatCode>
                <c:ptCount val="5"/>
                <c:pt idx="0">
                  <c:v>3.8699999999999997</c:v>
                </c:pt>
                <c:pt idx="1">
                  <c:v>3.5852566282283198</c:v>
                </c:pt>
                <c:pt idx="2">
                  <c:v>2.8916152191117521</c:v>
                </c:pt>
                <c:pt idx="3">
                  <c:v>-4.9445396076434296</c:v>
                </c:pt>
                <c:pt idx="4">
                  <c:v>5.4473037587325033</c:v>
                </c:pt>
              </c:numCache>
            </c:numRef>
          </c:val>
          <c:smooth val="0"/>
          <c:extLst>
            <c:ext xmlns:c16="http://schemas.microsoft.com/office/drawing/2014/chart" uri="{C3380CC4-5D6E-409C-BE32-E72D297353CC}">
              <c16:uniqueId val="{00000004-6F04-498C-B27D-E03BBEC900B3}"/>
            </c:ext>
          </c:extLst>
        </c:ser>
        <c:dLbls>
          <c:showLegendKey val="0"/>
          <c:showVal val="0"/>
          <c:showCatName val="0"/>
          <c:showSerName val="0"/>
          <c:showPercent val="0"/>
          <c:showBubbleSize val="0"/>
        </c:dLbls>
        <c:marker val="1"/>
        <c:smooth val="0"/>
        <c:axId val="-889819888"/>
        <c:axId val="-889817168"/>
      </c:lineChart>
      <c:catAx>
        <c:axId val="-8898198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817168"/>
        <c:crosses val="autoZero"/>
        <c:auto val="1"/>
        <c:lblAlgn val="ctr"/>
        <c:lblOffset val="100"/>
        <c:noMultiLvlLbl val="0"/>
      </c:catAx>
      <c:valAx>
        <c:axId val="-889817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hy-AM" sz="800" b="0" i="0" u="none" strike="noStrike" kern="1200" baseline="0">
                    <a:solidFill>
                      <a:sysClr val="windowText" lastClr="000000">
                        <a:lumMod val="65000"/>
                        <a:lumOff val="35000"/>
                      </a:sysClr>
                    </a:solidFill>
                    <a:latin typeface="+mn-lt"/>
                    <a:ea typeface="+mn-ea"/>
                    <a:cs typeface="+mn-cs"/>
                  </a:rPr>
                  <a:t>%</a:t>
                </a:r>
                <a:endParaRPr lang="en-US" sz="800"/>
              </a:p>
            </c:rich>
          </c:tx>
          <c:overlay val="0"/>
          <c:spPr>
            <a:noFill/>
            <a:ln>
              <a:noFill/>
            </a:ln>
            <a:effectLst/>
          </c:spPr>
        </c:title>
        <c:numFmt formatCode="#,##0.0;&quot;–&quot;#,##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9819888"/>
        <c:crosses val="autoZero"/>
        <c:crossBetween val="between"/>
      </c:valAx>
      <c:spPr>
        <a:noFill/>
        <a:ln>
          <a:noFill/>
        </a:ln>
        <a:effectLst/>
      </c:spPr>
    </c:plotArea>
    <c:legend>
      <c:legendPos val="b"/>
      <c:layout>
        <c:manualLayout>
          <c:xMode val="edge"/>
          <c:yMode val="edge"/>
          <c:x val="9.0876097384378726E-2"/>
          <c:y val="0.83979280367731934"/>
          <c:w val="0.8424169184290029"/>
          <c:h val="0.1417672790901139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45793248931685E-2"/>
          <c:y val="0.13604805675441231"/>
          <c:w val="0.87658476118247253"/>
          <c:h val="0.52148264912506548"/>
        </c:manualLayout>
      </c:layout>
      <c:barChart>
        <c:barDir val="col"/>
        <c:grouping val="clustered"/>
        <c:varyColors val="0"/>
        <c:ser>
          <c:idx val="1"/>
          <c:order val="1"/>
          <c:tx>
            <c:strRef>
              <c:f>Sheet1!$A$3</c:f>
              <c:strCache>
                <c:ptCount val="1"/>
                <c:pt idx="0">
                  <c:v>արդյունաբերություն</c:v>
                </c:pt>
              </c:strCache>
            </c:strRef>
          </c:tx>
          <c:spPr>
            <a:solidFill>
              <a:schemeClr val="accent2"/>
            </a:solidFill>
            <a:ln>
              <a:noFill/>
            </a:ln>
            <a:effectLst/>
          </c:spPr>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Sheet1!$B$3:$F$3</c:f>
              <c:numCache>
                <c:formatCode>0.0</c:formatCode>
                <c:ptCount val="5"/>
                <c:pt idx="0">
                  <c:v>14</c:v>
                </c:pt>
                <c:pt idx="1">
                  <c:v>15.3</c:v>
                </c:pt>
                <c:pt idx="2">
                  <c:v>8.7000000000000011</c:v>
                </c:pt>
                <c:pt idx="3">
                  <c:v>4.2000000000000028</c:v>
                </c:pt>
                <c:pt idx="4">
                  <c:v>2.4000000000000057</c:v>
                </c:pt>
              </c:numCache>
            </c:numRef>
          </c:val>
          <c:extLst>
            <c:ext xmlns:c16="http://schemas.microsoft.com/office/drawing/2014/chart" uri="{C3380CC4-5D6E-409C-BE32-E72D297353CC}">
              <c16:uniqueId val="{00000000-1F15-42A1-976A-5ED6F2C6F1AD}"/>
            </c:ext>
          </c:extLst>
        </c:ser>
        <c:ser>
          <c:idx val="2"/>
          <c:order val="2"/>
          <c:tx>
            <c:strRef>
              <c:f>Sheet1!$A$4</c:f>
              <c:strCache>
                <c:ptCount val="1"/>
                <c:pt idx="0">
                  <c:v>գյուղատնտեսություն*</c:v>
                </c:pt>
              </c:strCache>
            </c:strRef>
          </c:tx>
          <c:spPr>
            <a:solidFill>
              <a:schemeClr val="accent3"/>
            </a:solidFill>
            <a:ln>
              <a:noFill/>
            </a:ln>
            <a:effectLst/>
          </c:spPr>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Sheet1!$B$4:$F$4</c:f>
              <c:numCache>
                <c:formatCode>0.0</c:formatCode>
                <c:ptCount val="5"/>
                <c:pt idx="0">
                  <c:v>0</c:v>
                </c:pt>
                <c:pt idx="1">
                  <c:v>0</c:v>
                </c:pt>
                <c:pt idx="2">
                  <c:v>4.5</c:v>
                </c:pt>
                <c:pt idx="3">
                  <c:v>0</c:v>
                </c:pt>
                <c:pt idx="4">
                  <c:v>0</c:v>
                </c:pt>
              </c:numCache>
            </c:numRef>
          </c:val>
          <c:extLst>
            <c:ext xmlns:c16="http://schemas.microsoft.com/office/drawing/2014/chart" uri="{C3380CC4-5D6E-409C-BE32-E72D297353CC}">
              <c16:uniqueId val="{00000001-1F15-42A1-976A-5ED6F2C6F1AD}"/>
            </c:ext>
          </c:extLst>
        </c:ser>
        <c:ser>
          <c:idx val="3"/>
          <c:order val="3"/>
          <c:tx>
            <c:strRef>
              <c:f>Sheet1!$A$5</c:f>
              <c:strCache>
                <c:ptCount val="1"/>
                <c:pt idx="0">
                  <c:v>շինարարություն</c:v>
                </c:pt>
              </c:strCache>
            </c:strRef>
          </c:tx>
          <c:spPr>
            <a:solidFill>
              <a:schemeClr val="accent4"/>
            </a:solidFill>
            <a:ln>
              <a:noFill/>
            </a:ln>
            <a:effectLst/>
          </c:spPr>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Sheet1!$B$5:$F$5</c:f>
              <c:numCache>
                <c:formatCode>0.0</c:formatCode>
                <c:ptCount val="5"/>
                <c:pt idx="0">
                  <c:v>7.7000000000000028</c:v>
                </c:pt>
                <c:pt idx="1">
                  <c:v>5.7999999999999972</c:v>
                </c:pt>
                <c:pt idx="2">
                  <c:v>-9.4000000000000057</c:v>
                </c:pt>
                <c:pt idx="3">
                  <c:v>-21.900000000000006</c:v>
                </c:pt>
                <c:pt idx="4">
                  <c:v>-23.400000000000006</c:v>
                </c:pt>
              </c:numCache>
            </c:numRef>
          </c:val>
          <c:extLst>
            <c:ext xmlns:c16="http://schemas.microsoft.com/office/drawing/2014/chart" uri="{C3380CC4-5D6E-409C-BE32-E72D297353CC}">
              <c16:uniqueId val="{00000002-1F15-42A1-976A-5ED6F2C6F1AD}"/>
            </c:ext>
          </c:extLst>
        </c:ser>
        <c:ser>
          <c:idx val="4"/>
          <c:order val="4"/>
          <c:tx>
            <c:strRef>
              <c:f>Sheet1!$A$6</c:f>
              <c:strCache>
                <c:ptCount val="1"/>
                <c:pt idx="0">
                  <c:v>ծառայություններ</c:v>
                </c:pt>
              </c:strCache>
            </c:strRef>
          </c:tx>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Sheet1!$B$6:$F$6</c:f>
              <c:numCache>
                <c:formatCode>0.0</c:formatCode>
                <c:ptCount val="5"/>
                <c:pt idx="0">
                  <c:v>12.100000000000001</c:v>
                </c:pt>
                <c:pt idx="1">
                  <c:v>11.227526579989419</c:v>
                </c:pt>
                <c:pt idx="2">
                  <c:v>5.9690717020815871</c:v>
                </c:pt>
                <c:pt idx="3">
                  <c:v>9.9999999999994579E-2</c:v>
                </c:pt>
                <c:pt idx="4">
                  <c:v>-4.2000000000000028</c:v>
                </c:pt>
              </c:numCache>
            </c:numRef>
          </c:val>
          <c:extLst>
            <c:ext xmlns:c16="http://schemas.microsoft.com/office/drawing/2014/chart" uri="{C3380CC4-5D6E-409C-BE32-E72D297353CC}">
              <c16:uniqueId val="{00000003-1F15-42A1-976A-5ED6F2C6F1AD}"/>
            </c:ext>
          </c:extLst>
        </c:ser>
        <c:ser>
          <c:idx val="5"/>
          <c:order val="5"/>
          <c:tx>
            <c:strRef>
              <c:f>Sheet1!$A$7</c:f>
              <c:strCache>
                <c:ptCount val="1"/>
                <c:pt idx="0">
                  <c:v>առևտուր</c:v>
                </c:pt>
              </c:strCache>
            </c:strRef>
          </c:tx>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Sheet1!$B$7:$F$7</c:f>
              <c:numCache>
                <c:formatCode>0.0</c:formatCode>
                <c:ptCount val="5"/>
                <c:pt idx="0">
                  <c:v>10.3</c:v>
                </c:pt>
                <c:pt idx="1">
                  <c:v>6.2999999999999972</c:v>
                </c:pt>
                <c:pt idx="2">
                  <c:v>0.20000000000000284</c:v>
                </c:pt>
                <c:pt idx="3">
                  <c:v>-8.6000000000000014</c:v>
                </c:pt>
                <c:pt idx="4">
                  <c:v>-10.8</c:v>
                </c:pt>
              </c:numCache>
            </c:numRef>
          </c:val>
          <c:extLst>
            <c:ext xmlns:c16="http://schemas.microsoft.com/office/drawing/2014/chart" uri="{C3380CC4-5D6E-409C-BE32-E72D297353CC}">
              <c16:uniqueId val="{00000004-1F15-42A1-976A-5ED6F2C6F1AD}"/>
            </c:ext>
          </c:extLst>
        </c:ser>
        <c:dLbls>
          <c:showLegendKey val="0"/>
          <c:showVal val="0"/>
          <c:showCatName val="0"/>
          <c:showSerName val="0"/>
          <c:showPercent val="0"/>
          <c:showBubbleSize val="0"/>
        </c:dLbls>
        <c:gapWidth val="150"/>
        <c:axId val="-603800896"/>
        <c:axId val="-603808512"/>
      </c:barChart>
      <c:lineChart>
        <c:grouping val="standard"/>
        <c:varyColors val="0"/>
        <c:ser>
          <c:idx val="0"/>
          <c:order val="0"/>
          <c:tx>
            <c:strRef>
              <c:f>Sheet1!$A$2</c:f>
              <c:strCache>
                <c:ptCount val="1"/>
                <c:pt idx="0">
                  <c:v>ՏԱՑ</c:v>
                </c:pt>
              </c:strCache>
            </c:strRef>
          </c:tx>
          <c:spPr>
            <a:effectLst/>
          </c:spPr>
          <c:dLbls>
            <c:dLbl>
              <c:idx val="0"/>
              <c:layout>
                <c:manualLayout>
                  <c:x val="-5.3619302949061684E-2"/>
                  <c:y val="-5.2083333333333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15-42A1-976A-5ED6F2C6F1AD}"/>
                </c:ext>
              </c:extLst>
            </c:dLbl>
            <c:dLbl>
              <c:idx val="1"/>
              <c:layout>
                <c:manualLayout>
                  <c:x val="-5.7743864714374107E-2"/>
                  <c:y val="-5.2083333333333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15-42A1-976A-5ED6F2C6F1AD}"/>
                </c:ext>
              </c:extLst>
            </c:dLbl>
            <c:dLbl>
              <c:idx val="2"/>
              <c:layout>
                <c:manualLayout>
                  <c:x val="-6.5992988244999023E-2"/>
                  <c:y val="5.2083333333333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15-42A1-976A-5ED6F2C6F1AD}"/>
                </c:ext>
              </c:extLst>
            </c:dLbl>
            <c:dLbl>
              <c:idx val="3"/>
              <c:layout>
                <c:manualLayout>
                  <c:x val="-6.1868426479686718E-2"/>
                  <c:y val="5.9523809523809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15-42A1-976A-5ED6F2C6F1AD}"/>
                </c:ext>
              </c:extLst>
            </c:dLbl>
            <c:dLbl>
              <c:idx val="4"/>
              <c:layout>
                <c:manualLayout>
                  <c:x val="-6.5992988244999023E-2"/>
                  <c:y val="5.95238095238095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15-42A1-976A-5ED6F2C6F1A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Sheet1!$B$2:$F$2</c:f>
              <c:numCache>
                <c:formatCode>0.0</c:formatCode>
                <c:ptCount val="5"/>
                <c:pt idx="0">
                  <c:v>9.3000000000000025</c:v>
                </c:pt>
                <c:pt idx="1">
                  <c:v>9.247853589583011</c:v>
                </c:pt>
                <c:pt idx="2">
                  <c:v>4.2569902280407348</c:v>
                </c:pt>
                <c:pt idx="3">
                  <c:v>-1.3316377163155977</c:v>
                </c:pt>
                <c:pt idx="4">
                  <c:v>-3.9000000000000057</c:v>
                </c:pt>
              </c:numCache>
            </c:numRef>
          </c:val>
          <c:smooth val="0"/>
          <c:extLst>
            <c:ext xmlns:c16="http://schemas.microsoft.com/office/drawing/2014/chart" uri="{C3380CC4-5D6E-409C-BE32-E72D297353CC}">
              <c16:uniqueId val="{0000000A-1F15-42A1-976A-5ED6F2C6F1AD}"/>
            </c:ext>
          </c:extLst>
        </c:ser>
        <c:dLbls>
          <c:showLegendKey val="0"/>
          <c:showVal val="0"/>
          <c:showCatName val="0"/>
          <c:showSerName val="0"/>
          <c:showPercent val="0"/>
          <c:showBubbleSize val="0"/>
        </c:dLbls>
        <c:marker val="1"/>
        <c:smooth val="0"/>
        <c:axId val="-603793824"/>
        <c:axId val="-603813952"/>
      </c:lineChart>
      <c:catAx>
        <c:axId val="-6038008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808512"/>
        <c:crosses val="autoZero"/>
        <c:auto val="1"/>
        <c:lblAlgn val="ctr"/>
        <c:lblOffset val="100"/>
        <c:noMultiLvlLbl val="0"/>
      </c:catAx>
      <c:valAx>
        <c:axId val="-603808512"/>
        <c:scaling>
          <c:orientation val="minMax"/>
          <c:max val="30"/>
          <c:min val="-5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800896"/>
        <c:crosses val="autoZero"/>
        <c:crossBetween val="between"/>
      </c:valAx>
      <c:valAx>
        <c:axId val="-603813952"/>
        <c:scaling>
          <c:orientation val="minMax"/>
        </c:scaling>
        <c:delete val="0"/>
        <c:axPos val="r"/>
        <c:numFmt formatCode="0.0" sourceLinked="1"/>
        <c:majorTickMark val="out"/>
        <c:minorTickMark val="none"/>
        <c:tickLblPos val="nextTo"/>
        <c:crossAx val="-603793824"/>
        <c:crosses val="max"/>
        <c:crossBetween val="between"/>
      </c:valAx>
      <c:catAx>
        <c:axId val="-603793824"/>
        <c:scaling>
          <c:orientation val="minMax"/>
        </c:scaling>
        <c:delete val="1"/>
        <c:axPos val="b"/>
        <c:numFmt formatCode="General" sourceLinked="1"/>
        <c:majorTickMark val="out"/>
        <c:minorTickMark val="none"/>
        <c:tickLblPos val="none"/>
        <c:crossAx val="-603813952"/>
        <c:crosses val="autoZero"/>
        <c:auto val="1"/>
        <c:lblAlgn val="ctr"/>
        <c:lblOffset val="100"/>
        <c:noMultiLvlLbl val="0"/>
      </c:catAx>
      <c:spPr>
        <a:noFill/>
        <a:ln>
          <a:noFill/>
        </a:ln>
        <a:effectLst/>
      </c:spPr>
    </c:plotArea>
    <c:legend>
      <c:legendPos val="b"/>
      <c:layout>
        <c:manualLayout>
          <c:xMode val="edge"/>
          <c:yMode val="edge"/>
          <c:x val="3.9212662156607202E-2"/>
          <c:y val="0.82064339658692165"/>
          <c:w val="0.89647382445930079"/>
          <c:h val="0.165724803001654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45793248931685E-2"/>
          <c:y val="6.746374940837313E-2"/>
          <c:w val="0.87658476118247253"/>
          <c:h val="0.62133489719661383"/>
        </c:manualLayout>
      </c:layout>
      <c:barChart>
        <c:barDir val="col"/>
        <c:grouping val="clustered"/>
        <c:varyColors val="0"/>
        <c:ser>
          <c:idx val="1"/>
          <c:order val="1"/>
          <c:tx>
            <c:strRef>
              <c:f>Sheet1!$A$3</c:f>
              <c:strCache>
                <c:ptCount val="1"/>
                <c:pt idx="0">
                  <c:v>Արդյունաբերություն</c:v>
                </c:pt>
              </c:strCache>
            </c:strRef>
          </c:tx>
          <c:spPr>
            <a:solidFill>
              <a:schemeClr val="accent2"/>
            </a:solidFill>
            <a:ln>
              <a:noFill/>
            </a:ln>
            <a:effectLst/>
          </c:spPr>
          <c:invertIfNegative val="0"/>
          <c:cat>
            <c:strRef>
              <c:f>Sheet1!$B$1:$F$1</c:f>
              <c:strCache>
                <c:ptCount val="5"/>
                <c:pt idx="0">
                  <c:v>հունվար</c:v>
                </c:pt>
                <c:pt idx="1">
                  <c:v>փետրվար</c:v>
                </c:pt>
                <c:pt idx="2">
                  <c:v>մարտ</c:v>
                </c:pt>
                <c:pt idx="3">
                  <c:v>ապրիլ</c:v>
                </c:pt>
                <c:pt idx="4">
                  <c:v>մայիս</c:v>
                </c:pt>
              </c:strCache>
            </c:strRef>
          </c:cat>
          <c:val>
            <c:numRef>
              <c:f>Sheet1!$B$3:$F$3</c:f>
              <c:numCache>
                <c:formatCode>General</c:formatCode>
                <c:ptCount val="5"/>
                <c:pt idx="0">
                  <c:v>14</c:v>
                </c:pt>
                <c:pt idx="1">
                  <c:v>16.5</c:v>
                </c:pt>
                <c:pt idx="2">
                  <c:v>-1.9000000000000061</c:v>
                </c:pt>
                <c:pt idx="3">
                  <c:v>-8.6000000000000014</c:v>
                </c:pt>
                <c:pt idx="4">
                  <c:v>-3.9000000000000057</c:v>
                </c:pt>
              </c:numCache>
            </c:numRef>
          </c:val>
          <c:extLst>
            <c:ext xmlns:c16="http://schemas.microsoft.com/office/drawing/2014/chart" uri="{C3380CC4-5D6E-409C-BE32-E72D297353CC}">
              <c16:uniqueId val="{00000000-8B5B-4DF6-8D67-3B7074C3B4E7}"/>
            </c:ext>
          </c:extLst>
        </c:ser>
        <c:ser>
          <c:idx val="2"/>
          <c:order val="2"/>
          <c:tx>
            <c:strRef>
              <c:f>Sheet1!$A$4</c:f>
              <c:strCache>
                <c:ptCount val="1"/>
                <c:pt idx="0">
                  <c:v>Շինարարություն</c:v>
                </c:pt>
              </c:strCache>
            </c:strRef>
          </c:tx>
          <c:spPr>
            <a:solidFill>
              <a:schemeClr val="accent3"/>
            </a:solidFill>
            <a:ln>
              <a:noFill/>
            </a:ln>
            <a:effectLst/>
          </c:spPr>
          <c:invertIfNegative val="0"/>
          <c:cat>
            <c:strRef>
              <c:f>Sheet1!$B$1:$F$1</c:f>
              <c:strCache>
                <c:ptCount val="5"/>
                <c:pt idx="0">
                  <c:v>հունվար</c:v>
                </c:pt>
                <c:pt idx="1">
                  <c:v>փետրվար</c:v>
                </c:pt>
                <c:pt idx="2">
                  <c:v>մարտ</c:v>
                </c:pt>
                <c:pt idx="3">
                  <c:v>ապրիլ</c:v>
                </c:pt>
                <c:pt idx="4">
                  <c:v>մայիս</c:v>
                </c:pt>
              </c:strCache>
            </c:strRef>
          </c:cat>
          <c:val>
            <c:numRef>
              <c:f>Sheet1!$B$4:$F$4</c:f>
              <c:numCache>
                <c:formatCode>General</c:formatCode>
                <c:ptCount val="5"/>
                <c:pt idx="0">
                  <c:v>7.7000000000000028</c:v>
                </c:pt>
                <c:pt idx="1">
                  <c:v>4.2999999999999972</c:v>
                </c:pt>
                <c:pt idx="2">
                  <c:v>-26.200000000000003</c:v>
                </c:pt>
                <c:pt idx="3">
                  <c:v>-51</c:v>
                </c:pt>
                <c:pt idx="4">
                  <c:v>-27</c:v>
                </c:pt>
              </c:numCache>
            </c:numRef>
          </c:val>
          <c:extLst>
            <c:ext xmlns:c16="http://schemas.microsoft.com/office/drawing/2014/chart" uri="{C3380CC4-5D6E-409C-BE32-E72D297353CC}">
              <c16:uniqueId val="{00000001-8B5B-4DF6-8D67-3B7074C3B4E7}"/>
            </c:ext>
          </c:extLst>
        </c:ser>
        <c:ser>
          <c:idx val="3"/>
          <c:order val="3"/>
          <c:tx>
            <c:strRef>
              <c:f>Sheet1!$A$5</c:f>
              <c:strCache>
                <c:ptCount val="1"/>
                <c:pt idx="0">
                  <c:v>Ծառայություններ</c:v>
                </c:pt>
              </c:strCache>
            </c:strRef>
          </c:tx>
          <c:spPr>
            <a:solidFill>
              <a:schemeClr val="accent4"/>
            </a:solidFill>
            <a:ln>
              <a:noFill/>
            </a:ln>
            <a:effectLst/>
          </c:spPr>
          <c:invertIfNegative val="0"/>
          <c:cat>
            <c:strRef>
              <c:f>Sheet1!$B$1:$F$1</c:f>
              <c:strCache>
                <c:ptCount val="5"/>
                <c:pt idx="0">
                  <c:v>հունվար</c:v>
                </c:pt>
                <c:pt idx="1">
                  <c:v>փետրվար</c:v>
                </c:pt>
                <c:pt idx="2">
                  <c:v>մարտ</c:v>
                </c:pt>
                <c:pt idx="3">
                  <c:v>ապրիլ</c:v>
                </c:pt>
                <c:pt idx="4">
                  <c:v>մայիս</c:v>
                </c:pt>
              </c:strCache>
            </c:strRef>
          </c:cat>
          <c:val>
            <c:numRef>
              <c:f>Sheet1!$B$5:$F$5</c:f>
              <c:numCache>
                <c:formatCode>General</c:formatCode>
                <c:ptCount val="5"/>
                <c:pt idx="0">
                  <c:v>12.100000000000001</c:v>
                </c:pt>
                <c:pt idx="1">
                  <c:v>10.400000000000006</c:v>
                </c:pt>
                <c:pt idx="2">
                  <c:v>-3.4000000000000057</c:v>
                </c:pt>
                <c:pt idx="3">
                  <c:v>-15.900000000000006</c:v>
                </c:pt>
                <c:pt idx="4">
                  <c:v>-19.400000000000006</c:v>
                </c:pt>
              </c:numCache>
            </c:numRef>
          </c:val>
          <c:extLst>
            <c:ext xmlns:c16="http://schemas.microsoft.com/office/drawing/2014/chart" uri="{C3380CC4-5D6E-409C-BE32-E72D297353CC}">
              <c16:uniqueId val="{00000002-8B5B-4DF6-8D67-3B7074C3B4E7}"/>
            </c:ext>
          </c:extLst>
        </c:ser>
        <c:ser>
          <c:idx val="4"/>
          <c:order val="4"/>
          <c:tx>
            <c:strRef>
              <c:f>Sheet1!$A$6</c:f>
              <c:strCache>
                <c:ptCount val="1"/>
                <c:pt idx="0">
                  <c:v>Առևտուր</c:v>
                </c:pt>
              </c:strCache>
            </c:strRef>
          </c:tx>
          <c:invertIfNegative val="0"/>
          <c:cat>
            <c:strRef>
              <c:f>Sheet1!$B$1:$F$1</c:f>
              <c:strCache>
                <c:ptCount val="5"/>
                <c:pt idx="0">
                  <c:v>հունվար</c:v>
                </c:pt>
                <c:pt idx="1">
                  <c:v>փետրվար</c:v>
                </c:pt>
                <c:pt idx="2">
                  <c:v>մարտ</c:v>
                </c:pt>
                <c:pt idx="3">
                  <c:v>ապրիլ</c:v>
                </c:pt>
                <c:pt idx="4">
                  <c:v>մայիս</c:v>
                </c:pt>
              </c:strCache>
            </c:strRef>
          </c:cat>
          <c:val>
            <c:numRef>
              <c:f>Sheet1!$B$6:$F$6</c:f>
              <c:numCache>
                <c:formatCode>General</c:formatCode>
                <c:ptCount val="5"/>
                <c:pt idx="0">
                  <c:v>10.3</c:v>
                </c:pt>
                <c:pt idx="1">
                  <c:v>2.7999999999999972</c:v>
                </c:pt>
                <c:pt idx="2">
                  <c:v>-9.9000000000000057</c:v>
                </c:pt>
                <c:pt idx="3">
                  <c:v>-33.100000000000009</c:v>
                </c:pt>
                <c:pt idx="4">
                  <c:v>-18.400000000000006</c:v>
                </c:pt>
              </c:numCache>
            </c:numRef>
          </c:val>
          <c:extLst>
            <c:ext xmlns:c16="http://schemas.microsoft.com/office/drawing/2014/chart" uri="{C3380CC4-5D6E-409C-BE32-E72D297353CC}">
              <c16:uniqueId val="{00000003-8B5B-4DF6-8D67-3B7074C3B4E7}"/>
            </c:ext>
          </c:extLst>
        </c:ser>
        <c:dLbls>
          <c:showLegendKey val="0"/>
          <c:showVal val="0"/>
          <c:showCatName val="0"/>
          <c:showSerName val="0"/>
          <c:showPercent val="0"/>
          <c:showBubbleSize val="0"/>
        </c:dLbls>
        <c:gapWidth val="219"/>
        <c:overlap val="-27"/>
        <c:axId val="-603794368"/>
        <c:axId val="-603807968"/>
      </c:barChart>
      <c:lineChart>
        <c:grouping val="standard"/>
        <c:varyColors val="0"/>
        <c:ser>
          <c:idx val="0"/>
          <c:order val="0"/>
          <c:tx>
            <c:strRef>
              <c:f>Sheet1!$A$2</c:f>
              <c:strCache>
                <c:ptCount val="1"/>
                <c:pt idx="0">
                  <c:v>ՏԱՑ</c:v>
                </c:pt>
              </c:strCache>
            </c:strRef>
          </c:tx>
          <c:spPr>
            <a:effectLst/>
          </c:spPr>
          <c:dLbls>
            <c:dLbl>
              <c:idx val="0"/>
              <c:layout>
                <c:manualLayout>
                  <c:x val="-5.3619302949061684E-2"/>
                  <c:y val="-5.2083333333333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5B-4DF6-8D67-3B7074C3B4E7}"/>
                </c:ext>
              </c:extLst>
            </c:dLbl>
            <c:dLbl>
              <c:idx val="1"/>
              <c:layout>
                <c:manualLayout>
                  <c:x val="-5.7743864714374107E-2"/>
                  <c:y val="-5.2083333333333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5B-4DF6-8D67-3B7074C3B4E7}"/>
                </c:ext>
              </c:extLst>
            </c:dLbl>
            <c:dLbl>
              <c:idx val="2"/>
              <c:layout>
                <c:manualLayout>
                  <c:x val="-6.5992988244999023E-2"/>
                  <c:y val="5.2083333333333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5B-4DF6-8D67-3B7074C3B4E7}"/>
                </c:ext>
              </c:extLst>
            </c:dLbl>
            <c:dLbl>
              <c:idx val="3"/>
              <c:layout>
                <c:manualLayout>
                  <c:x val="-6.1868426479686718E-2"/>
                  <c:y val="5.9523809523809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5B-4DF6-8D67-3B7074C3B4E7}"/>
                </c:ext>
              </c:extLst>
            </c:dLbl>
            <c:dLbl>
              <c:idx val="4"/>
              <c:layout>
                <c:manualLayout>
                  <c:x val="-6.5992988244999023E-2"/>
                  <c:y val="5.95238095238095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B5B-4DF6-8D67-3B7074C3B4E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Sheet1!$B$1:$F$1</c:f>
              <c:strCache>
                <c:ptCount val="5"/>
                <c:pt idx="0">
                  <c:v>հունվար</c:v>
                </c:pt>
                <c:pt idx="1">
                  <c:v>փետրվար</c:v>
                </c:pt>
                <c:pt idx="2">
                  <c:v>մարտ</c:v>
                </c:pt>
                <c:pt idx="3">
                  <c:v>ապրիլ</c:v>
                </c:pt>
                <c:pt idx="4">
                  <c:v>մայիս</c:v>
                </c:pt>
              </c:strCache>
            </c:strRef>
          </c:cat>
          <c:val>
            <c:numRef>
              <c:f>Sheet1!$B$2:$F$2</c:f>
              <c:numCache>
                <c:formatCode>General</c:formatCode>
                <c:ptCount val="5"/>
                <c:pt idx="0">
                  <c:v>9.3000000000000025</c:v>
                </c:pt>
                <c:pt idx="1">
                  <c:v>9.2000000000000011</c:v>
                </c:pt>
                <c:pt idx="2">
                  <c:v>-4.0999999999999943</c:v>
                </c:pt>
                <c:pt idx="3">
                  <c:v>-16.299999999999986</c:v>
                </c:pt>
                <c:pt idx="4">
                  <c:v>-12.8</c:v>
                </c:pt>
              </c:numCache>
            </c:numRef>
          </c:val>
          <c:smooth val="0"/>
          <c:extLst>
            <c:ext xmlns:c16="http://schemas.microsoft.com/office/drawing/2014/chart" uri="{C3380CC4-5D6E-409C-BE32-E72D297353CC}">
              <c16:uniqueId val="{00000009-8B5B-4DF6-8D67-3B7074C3B4E7}"/>
            </c:ext>
          </c:extLst>
        </c:ser>
        <c:dLbls>
          <c:showLegendKey val="0"/>
          <c:showVal val="0"/>
          <c:showCatName val="0"/>
          <c:showSerName val="0"/>
          <c:showPercent val="0"/>
          <c:showBubbleSize val="0"/>
        </c:dLbls>
        <c:marker val="1"/>
        <c:smooth val="0"/>
        <c:axId val="-603813408"/>
        <c:axId val="-603807424"/>
      </c:lineChart>
      <c:catAx>
        <c:axId val="-6037943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807968"/>
        <c:crosses val="autoZero"/>
        <c:auto val="1"/>
        <c:lblAlgn val="ctr"/>
        <c:lblOffset val="100"/>
        <c:noMultiLvlLbl val="0"/>
      </c:catAx>
      <c:valAx>
        <c:axId val="-603807968"/>
        <c:scaling>
          <c:orientation val="minMax"/>
          <c:max val="30"/>
          <c:min val="-5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794368"/>
        <c:crosses val="autoZero"/>
        <c:crossBetween val="between"/>
      </c:valAx>
      <c:valAx>
        <c:axId val="-603807424"/>
        <c:scaling>
          <c:orientation val="minMax"/>
        </c:scaling>
        <c:delete val="0"/>
        <c:axPos val="r"/>
        <c:numFmt formatCode="General" sourceLinked="1"/>
        <c:majorTickMark val="out"/>
        <c:minorTickMark val="none"/>
        <c:tickLblPos val="nextTo"/>
        <c:crossAx val="-603813408"/>
        <c:crosses val="max"/>
        <c:crossBetween val="between"/>
      </c:valAx>
      <c:catAx>
        <c:axId val="-603813408"/>
        <c:scaling>
          <c:orientation val="minMax"/>
        </c:scaling>
        <c:delete val="1"/>
        <c:axPos val="b"/>
        <c:numFmt formatCode="General" sourceLinked="1"/>
        <c:majorTickMark val="out"/>
        <c:minorTickMark val="none"/>
        <c:tickLblPos val="none"/>
        <c:crossAx val="-603807424"/>
        <c:crosses val="autoZero"/>
        <c:auto val="1"/>
        <c:lblAlgn val="ctr"/>
        <c:lblOffset val="100"/>
        <c:noMultiLvlLbl val="0"/>
      </c:catAx>
      <c:spPr>
        <a:noFill/>
        <a:ln>
          <a:noFill/>
        </a:ln>
        <a:effectLst/>
      </c:spPr>
    </c:plotArea>
    <c:legend>
      <c:legendPos val="b"/>
      <c:layout>
        <c:manualLayout>
          <c:xMode val="edge"/>
          <c:yMode val="edge"/>
          <c:x val="3.9212598425196851E-2"/>
          <c:y val="0.79446551510904051"/>
          <c:w val="0.92687606666201161"/>
          <c:h val="0.2055344848909597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45793248931685E-2"/>
          <c:y val="7.1054857812194963E-2"/>
          <c:w val="0.87658476118247253"/>
          <c:h val="0.55264186996053377"/>
        </c:manualLayout>
      </c:layout>
      <c:barChart>
        <c:barDir val="col"/>
        <c:grouping val="stacked"/>
        <c:varyColors val="0"/>
        <c:ser>
          <c:idx val="1"/>
          <c:order val="1"/>
          <c:tx>
            <c:strRef>
              <c:f>Sheet1!$A$3</c:f>
              <c:strCache>
                <c:ptCount val="1"/>
                <c:pt idx="0">
                  <c:v>արդյունաբերություն</c:v>
                </c:pt>
              </c:strCache>
            </c:strRef>
          </c:tx>
          <c:spPr>
            <a:solidFill>
              <a:schemeClr val="accent2"/>
            </a:solidFill>
            <a:ln>
              <a:noFill/>
            </a:ln>
            <a:effectLst/>
          </c:spPr>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Sheet1!$B$3:$F$3</c:f>
              <c:numCache>
                <c:formatCode>0.0</c:formatCode>
                <c:ptCount val="5"/>
                <c:pt idx="0">
                  <c:v>2.8042477978390465</c:v>
                </c:pt>
                <c:pt idx="1">
                  <c:v>3.0646422362098127</c:v>
                </c:pt>
                <c:pt idx="2">
                  <c:v>1.7426397029428358</c:v>
                </c:pt>
                <c:pt idx="3">
                  <c:v>0.8412743393517147</c:v>
                </c:pt>
                <c:pt idx="4">
                  <c:v>0.48072819391526739</c:v>
                </c:pt>
              </c:numCache>
            </c:numRef>
          </c:val>
          <c:extLst>
            <c:ext xmlns:c16="http://schemas.microsoft.com/office/drawing/2014/chart" uri="{C3380CC4-5D6E-409C-BE32-E72D297353CC}">
              <c16:uniqueId val="{00000000-AE01-40C9-B708-CA622CA46EDB}"/>
            </c:ext>
          </c:extLst>
        </c:ser>
        <c:ser>
          <c:idx val="2"/>
          <c:order val="2"/>
          <c:tx>
            <c:strRef>
              <c:f>Sheet1!$A$4</c:f>
              <c:strCache>
                <c:ptCount val="1"/>
                <c:pt idx="0">
                  <c:v>գյուղատնտեսություն</c:v>
                </c:pt>
              </c:strCache>
            </c:strRef>
          </c:tx>
          <c:spPr>
            <a:solidFill>
              <a:schemeClr val="accent3"/>
            </a:solidFill>
            <a:ln>
              <a:noFill/>
            </a:ln>
            <a:effectLst/>
          </c:spPr>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Sheet1!$B$4:$F$4</c:f>
              <c:numCache>
                <c:formatCode>0.0</c:formatCode>
                <c:ptCount val="5"/>
                <c:pt idx="0">
                  <c:v>0</c:v>
                </c:pt>
                <c:pt idx="1">
                  <c:v>0</c:v>
                </c:pt>
                <c:pt idx="2">
                  <c:v>0.5960429144690137</c:v>
                </c:pt>
                <c:pt idx="3">
                  <c:v>0</c:v>
                </c:pt>
                <c:pt idx="4">
                  <c:v>0</c:v>
                </c:pt>
              </c:numCache>
            </c:numRef>
          </c:val>
          <c:extLst>
            <c:ext xmlns:c16="http://schemas.microsoft.com/office/drawing/2014/chart" uri="{C3380CC4-5D6E-409C-BE32-E72D297353CC}">
              <c16:uniqueId val="{00000001-AE01-40C9-B708-CA622CA46EDB}"/>
            </c:ext>
          </c:extLst>
        </c:ser>
        <c:ser>
          <c:idx val="3"/>
          <c:order val="3"/>
          <c:tx>
            <c:strRef>
              <c:f>Sheet1!$A$5</c:f>
              <c:strCache>
                <c:ptCount val="1"/>
                <c:pt idx="0">
                  <c:v>շինարարություն</c:v>
                </c:pt>
              </c:strCache>
            </c:strRef>
          </c:tx>
          <c:spPr>
            <a:solidFill>
              <a:schemeClr val="accent4"/>
            </a:solidFill>
            <a:ln>
              <a:noFill/>
            </a:ln>
            <a:effectLst/>
          </c:spPr>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Sheet1!$B$5:$F$5</c:f>
              <c:numCache>
                <c:formatCode>0.0</c:formatCode>
                <c:ptCount val="5"/>
                <c:pt idx="0">
                  <c:v>0.52388645653121413</c:v>
                </c:pt>
                <c:pt idx="1">
                  <c:v>0.39461577245208368</c:v>
                </c:pt>
                <c:pt idx="2">
                  <c:v>-0.63954970018096291</c:v>
                </c:pt>
                <c:pt idx="3">
                  <c:v>-1.4900147270173492</c:v>
                </c:pt>
                <c:pt idx="4">
                  <c:v>-1.5920705302377185</c:v>
                </c:pt>
              </c:numCache>
            </c:numRef>
          </c:val>
          <c:extLst>
            <c:ext xmlns:c16="http://schemas.microsoft.com/office/drawing/2014/chart" uri="{C3380CC4-5D6E-409C-BE32-E72D297353CC}">
              <c16:uniqueId val="{00000002-AE01-40C9-B708-CA622CA46EDB}"/>
            </c:ext>
          </c:extLst>
        </c:ser>
        <c:ser>
          <c:idx val="4"/>
          <c:order val="4"/>
          <c:tx>
            <c:strRef>
              <c:f>Sheet1!$A$6</c:f>
              <c:strCache>
                <c:ptCount val="1"/>
                <c:pt idx="0">
                  <c:v>ծառայություններ</c:v>
                </c:pt>
              </c:strCache>
            </c:strRef>
          </c:tx>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Sheet1!$B$6:$F$6</c:f>
              <c:numCache>
                <c:formatCode>0.0</c:formatCode>
                <c:ptCount val="5"/>
                <c:pt idx="0">
                  <c:v>5.7124775180502665</c:v>
                </c:pt>
                <c:pt idx="1">
                  <c:v>5.3005779480579465</c:v>
                </c:pt>
                <c:pt idx="2">
                  <c:v>2.8180320579976152</c:v>
                </c:pt>
                <c:pt idx="3">
                  <c:v>4.7210558000412788E-2</c:v>
                </c:pt>
                <c:pt idx="4">
                  <c:v>-1.9828434360174521</c:v>
                </c:pt>
              </c:numCache>
            </c:numRef>
          </c:val>
          <c:extLst>
            <c:ext xmlns:c16="http://schemas.microsoft.com/office/drawing/2014/chart" uri="{C3380CC4-5D6E-409C-BE32-E72D297353CC}">
              <c16:uniqueId val="{00000003-AE01-40C9-B708-CA622CA46EDB}"/>
            </c:ext>
          </c:extLst>
        </c:ser>
        <c:ser>
          <c:idx val="5"/>
          <c:order val="5"/>
          <c:tx>
            <c:strRef>
              <c:f>Sheet1!$A$7</c:f>
              <c:strCache>
                <c:ptCount val="1"/>
                <c:pt idx="0">
                  <c:v>առևտուր</c:v>
                </c:pt>
              </c:strCache>
            </c:strRef>
          </c:tx>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Sheet1!$B$7:$F$7</c:f>
              <c:numCache>
                <c:formatCode>0.0</c:formatCode>
                <c:ptCount val="5"/>
                <c:pt idx="0">
                  <c:v>1.309128174061938</c:v>
                </c:pt>
                <c:pt idx="1">
                  <c:v>0.80072888316409974</c:v>
                </c:pt>
                <c:pt idx="2">
                  <c:v>2.5419964544892381E-2</c:v>
                </c:pt>
                <c:pt idx="3">
                  <c:v>-1.0930584754303561</c:v>
                </c:pt>
                <c:pt idx="4">
                  <c:v>-1.3726780854241678</c:v>
                </c:pt>
              </c:numCache>
            </c:numRef>
          </c:val>
          <c:extLst>
            <c:ext xmlns:c16="http://schemas.microsoft.com/office/drawing/2014/chart" uri="{C3380CC4-5D6E-409C-BE32-E72D297353CC}">
              <c16:uniqueId val="{00000004-AE01-40C9-B708-CA622CA46EDB}"/>
            </c:ext>
          </c:extLst>
        </c:ser>
        <c:ser>
          <c:idx val="6"/>
          <c:order val="6"/>
          <c:tx>
            <c:strRef>
              <c:f>Sheet1!$A$8</c:f>
              <c:strCache>
                <c:ptCount val="1"/>
                <c:pt idx="0">
                  <c:v>այլ </c:v>
                </c:pt>
              </c:strCache>
            </c:strRef>
          </c:tx>
          <c:invertIfNegative val="0"/>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Sheet1!$B$8:$F$8</c:f>
              <c:numCache>
                <c:formatCode>0.0</c:formatCode>
                <c:ptCount val="5"/>
                <c:pt idx="0">
                  <c:v>-1.0497399464824695</c:v>
                </c:pt>
                <c:pt idx="1">
                  <c:v>-0.31271125030094132</c:v>
                </c:pt>
                <c:pt idx="2">
                  <c:v>-0.28559471173265666</c:v>
                </c:pt>
                <c:pt idx="3">
                  <c:v>0.36295058877998077</c:v>
                </c:pt>
                <c:pt idx="4">
                  <c:v>0.56686385776406389</c:v>
                </c:pt>
              </c:numCache>
            </c:numRef>
          </c:val>
          <c:extLst>
            <c:ext xmlns:c16="http://schemas.microsoft.com/office/drawing/2014/chart" uri="{C3380CC4-5D6E-409C-BE32-E72D297353CC}">
              <c16:uniqueId val="{00000005-AE01-40C9-B708-CA622CA46EDB}"/>
            </c:ext>
          </c:extLst>
        </c:ser>
        <c:dLbls>
          <c:showLegendKey val="0"/>
          <c:showVal val="0"/>
          <c:showCatName val="0"/>
          <c:showSerName val="0"/>
          <c:showPercent val="0"/>
          <c:showBubbleSize val="0"/>
        </c:dLbls>
        <c:gapWidth val="150"/>
        <c:overlap val="100"/>
        <c:axId val="-603806880"/>
        <c:axId val="-603812320"/>
      </c:barChart>
      <c:lineChart>
        <c:grouping val="standard"/>
        <c:varyColors val="0"/>
        <c:ser>
          <c:idx val="0"/>
          <c:order val="0"/>
          <c:tx>
            <c:strRef>
              <c:f>Sheet1!$A$2</c:f>
              <c:strCache>
                <c:ptCount val="1"/>
                <c:pt idx="0">
                  <c:v>ՏԱՑ</c:v>
                </c:pt>
              </c:strCache>
            </c:strRef>
          </c:tx>
          <c:spPr>
            <a:effectLst/>
          </c:spPr>
          <c:dLbls>
            <c:dLbl>
              <c:idx val="0"/>
              <c:layout>
                <c:manualLayout>
                  <c:x val="-4.5370179418436803E-2"/>
                  <c:y val="-5.2083333333333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E01-40C9-B708-CA622CA46EDB}"/>
                </c:ext>
              </c:extLst>
            </c:dLbl>
            <c:dLbl>
              <c:idx val="1"/>
              <c:layout>
                <c:manualLayout>
                  <c:x val="-5.7743864714374107E-2"/>
                  <c:y val="-5.2083333333333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E01-40C9-B708-CA622CA46EDB}"/>
                </c:ext>
              </c:extLst>
            </c:dLbl>
            <c:dLbl>
              <c:idx val="2"/>
              <c:layout>
                <c:manualLayout>
                  <c:x val="0"/>
                  <c:y val="-3.7202380952380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E01-40C9-B708-CA622CA46EDB}"/>
                </c:ext>
              </c:extLst>
            </c:dLbl>
            <c:dLbl>
              <c:idx val="3"/>
              <c:layout>
                <c:manualLayout>
                  <c:x val="-4.9494741183749275E-2"/>
                  <c:y val="-6.6964285714285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E01-40C9-B708-CA622CA46EDB}"/>
                </c:ext>
              </c:extLst>
            </c:dLbl>
            <c:dLbl>
              <c:idx val="4"/>
              <c:layout>
                <c:manualLayout>
                  <c:x val="-4.1245617653125864E-3"/>
                  <c:y val="-2.45981648988091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E01-40C9-B708-CA622CA46ED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Sheet1!$B$1:$F$1</c:f>
              <c:strCache>
                <c:ptCount val="5"/>
                <c:pt idx="0">
                  <c:v>հունվար</c:v>
                </c:pt>
                <c:pt idx="1">
                  <c:v>հունվար - փետրվար</c:v>
                </c:pt>
                <c:pt idx="2">
                  <c:v>հունվար - մարտ</c:v>
                </c:pt>
                <c:pt idx="3">
                  <c:v>հունվար - ապրիլ</c:v>
                </c:pt>
                <c:pt idx="4">
                  <c:v>հունվար - մայիս</c:v>
                </c:pt>
              </c:strCache>
            </c:strRef>
          </c:cat>
          <c:val>
            <c:numRef>
              <c:f>Sheet1!$B$2:$F$2</c:f>
              <c:numCache>
                <c:formatCode>0.0</c:formatCode>
                <c:ptCount val="5"/>
                <c:pt idx="0">
                  <c:v>9.3000000000000025</c:v>
                </c:pt>
                <c:pt idx="1">
                  <c:v>9.247853589583011</c:v>
                </c:pt>
                <c:pt idx="2">
                  <c:v>4.2569902280407348</c:v>
                </c:pt>
                <c:pt idx="3">
                  <c:v>-1.3316377163155977</c:v>
                </c:pt>
                <c:pt idx="4">
                  <c:v>-3.9000000000000057</c:v>
                </c:pt>
              </c:numCache>
            </c:numRef>
          </c:val>
          <c:smooth val="0"/>
          <c:extLst>
            <c:ext xmlns:c16="http://schemas.microsoft.com/office/drawing/2014/chart" uri="{C3380CC4-5D6E-409C-BE32-E72D297353CC}">
              <c16:uniqueId val="{0000000B-AE01-40C9-B708-CA622CA46EDB}"/>
            </c:ext>
          </c:extLst>
        </c:ser>
        <c:dLbls>
          <c:showLegendKey val="0"/>
          <c:showVal val="0"/>
          <c:showCatName val="0"/>
          <c:showSerName val="0"/>
          <c:showPercent val="0"/>
          <c:showBubbleSize val="0"/>
        </c:dLbls>
        <c:marker val="1"/>
        <c:smooth val="0"/>
        <c:axId val="-603806880"/>
        <c:axId val="-603812320"/>
      </c:lineChart>
      <c:catAx>
        <c:axId val="-6038068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812320"/>
        <c:crosses val="autoZero"/>
        <c:auto val="1"/>
        <c:lblAlgn val="ctr"/>
        <c:lblOffset val="100"/>
        <c:noMultiLvlLbl val="0"/>
      </c:catAx>
      <c:valAx>
        <c:axId val="-603812320"/>
        <c:scaling>
          <c:orientation val="minMax"/>
          <c:max val="11"/>
          <c:min val="-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806880"/>
        <c:crosses val="autoZero"/>
        <c:crossBetween val="between"/>
      </c:valAx>
      <c:spPr>
        <a:noFill/>
        <a:ln>
          <a:noFill/>
        </a:ln>
        <a:effectLst/>
      </c:spPr>
    </c:plotArea>
    <c:legend>
      <c:legendPos val="b"/>
      <c:layout>
        <c:manualLayout>
          <c:xMode val="edge"/>
          <c:yMode val="edge"/>
          <c:x val="3.9212662156607202E-2"/>
          <c:y val="0.77063982271677356"/>
          <c:w val="0.93458477517078753"/>
          <c:h val="0.22936017728322886"/>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45793248931685E-2"/>
          <c:y val="8.1124951594165523E-2"/>
          <c:w val="0.87658476118247253"/>
          <c:h val="0.56153951611461161"/>
        </c:manualLayout>
      </c:layout>
      <c:barChart>
        <c:barDir val="col"/>
        <c:grouping val="stacked"/>
        <c:varyColors val="0"/>
        <c:ser>
          <c:idx val="1"/>
          <c:order val="1"/>
          <c:tx>
            <c:strRef>
              <c:f>Sheet1!$A$3</c:f>
              <c:strCache>
                <c:ptCount val="1"/>
                <c:pt idx="0">
                  <c:v>արդյունաբերություն</c:v>
                </c:pt>
              </c:strCache>
            </c:strRef>
          </c:tx>
          <c:spPr>
            <a:solidFill>
              <a:schemeClr val="accent2"/>
            </a:solidFill>
            <a:ln>
              <a:noFill/>
            </a:ln>
            <a:effectLst/>
          </c:spPr>
          <c:invertIfNegative val="0"/>
          <c:cat>
            <c:strRef>
              <c:f>Sheet1!$B$1:$F$1</c:f>
              <c:strCache>
                <c:ptCount val="5"/>
                <c:pt idx="0">
                  <c:v>հունվար</c:v>
                </c:pt>
                <c:pt idx="1">
                  <c:v>փետրվար</c:v>
                </c:pt>
                <c:pt idx="2">
                  <c:v>մարտ</c:v>
                </c:pt>
                <c:pt idx="3">
                  <c:v>ապրիլ</c:v>
                </c:pt>
                <c:pt idx="4">
                  <c:v>մայիս</c:v>
                </c:pt>
              </c:strCache>
            </c:strRef>
          </c:cat>
          <c:val>
            <c:numRef>
              <c:f>Sheet1!$B$3:$F$3</c:f>
              <c:numCache>
                <c:formatCode>0.0</c:formatCode>
                <c:ptCount val="5"/>
                <c:pt idx="0">
                  <c:v>2.8042477978390465</c:v>
                </c:pt>
                <c:pt idx="1">
                  <c:v>3.3050063331674431</c:v>
                </c:pt>
                <c:pt idx="2">
                  <c:v>-0.38057648684958723</c:v>
                </c:pt>
                <c:pt idx="3">
                  <c:v>-1.7226093615296978</c:v>
                </c:pt>
                <c:pt idx="4">
                  <c:v>-0.78118331511230577</c:v>
                </c:pt>
              </c:numCache>
            </c:numRef>
          </c:val>
          <c:extLst>
            <c:ext xmlns:c16="http://schemas.microsoft.com/office/drawing/2014/chart" uri="{C3380CC4-5D6E-409C-BE32-E72D297353CC}">
              <c16:uniqueId val="{00000000-88C6-4648-AE3C-1CE3C30B8600}"/>
            </c:ext>
          </c:extLst>
        </c:ser>
        <c:ser>
          <c:idx val="2"/>
          <c:order val="2"/>
          <c:tx>
            <c:strRef>
              <c:f>Sheet1!$A$4</c:f>
              <c:strCache>
                <c:ptCount val="1"/>
                <c:pt idx="0">
                  <c:v>շինարարություն</c:v>
                </c:pt>
              </c:strCache>
            </c:strRef>
          </c:tx>
          <c:spPr>
            <a:solidFill>
              <a:schemeClr val="accent3"/>
            </a:solidFill>
            <a:ln>
              <a:noFill/>
            </a:ln>
            <a:effectLst/>
          </c:spPr>
          <c:invertIfNegative val="0"/>
          <c:cat>
            <c:strRef>
              <c:f>Sheet1!$B$1:$F$1</c:f>
              <c:strCache>
                <c:ptCount val="5"/>
                <c:pt idx="0">
                  <c:v>հունվար</c:v>
                </c:pt>
                <c:pt idx="1">
                  <c:v>փետրվար</c:v>
                </c:pt>
                <c:pt idx="2">
                  <c:v>մարտ</c:v>
                </c:pt>
                <c:pt idx="3">
                  <c:v>ապրիլ</c:v>
                </c:pt>
                <c:pt idx="4">
                  <c:v>մայիս</c:v>
                </c:pt>
              </c:strCache>
            </c:strRef>
          </c:cat>
          <c:val>
            <c:numRef>
              <c:f>Sheet1!$B$4:$F$4</c:f>
              <c:numCache>
                <c:formatCode>0.0</c:formatCode>
                <c:ptCount val="5"/>
                <c:pt idx="0">
                  <c:v>0.52388645653121413</c:v>
                </c:pt>
                <c:pt idx="1">
                  <c:v>0.29255996923171734</c:v>
                </c:pt>
                <c:pt idx="2">
                  <c:v>-1.782574696249063</c:v>
                </c:pt>
                <c:pt idx="3">
                  <c:v>-3.4698973094924592</c:v>
                </c:pt>
                <c:pt idx="4">
                  <c:v>-1.8370044579665938</c:v>
                </c:pt>
              </c:numCache>
            </c:numRef>
          </c:val>
          <c:extLst>
            <c:ext xmlns:c16="http://schemas.microsoft.com/office/drawing/2014/chart" uri="{C3380CC4-5D6E-409C-BE32-E72D297353CC}">
              <c16:uniqueId val="{00000001-88C6-4648-AE3C-1CE3C30B8600}"/>
            </c:ext>
          </c:extLst>
        </c:ser>
        <c:ser>
          <c:idx val="3"/>
          <c:order val="3"/>
          <c:tx>
            <c:strRef>
              <c:f>Sheet1!$A$5</c:f>
              <c:strCache>
                <c:ptCount val="1"/>
                <c:pt idx="0">
                  <c:v>ծառայություններ</c:v>
                </c:pt>
              </c:strCache>
            </c:strRef>
          </c:tx>
          <c:spPr>
            <a:solidFill>
              <a:schemeClr val="accent4"/>
            </a:solidFill>
            <a:ln>
              <a:noFill/>
            </a:ln>
            <a:effectLst/>
          </c:spPr>
          <c:invertIfNegative val="0"/>
          <c:cat>
            <c:strRef>
              <c:f>Sheet1!$B$1:$F$1</c:f>
              <c:strCache>
                <c:ptCount val="5"/>
                <c:pt idx="0">
                  <c:v>հունվար</c:v>
                </c:pt>
                <c:pt idx="1">
                  <c:v>փետրվար</c:v>
                </c:pt>
                <c:pt idx="2">
                  <c:v>մարտ</c:v>
                </c:pt>
                <c:pt idx="3">
                  <c:v>ապրիլ</c:v>
                </c:pt>
                <c:pt idx="4">
                  <c:v>մայիս</c:v>
                </c:pt>
              </c:strCache>
            </c:strRef>
          </c:cat>
          <c:val>
            <c:numRef>
              <c:f>Sheet1!$B$5:$F$5</c:f>
              <c:numCache>
                <c:formatCode>0.0</c:formatCode>
                <c:ptCount val="5"/>
                <c:pt idx="0">
                  <c:v>5.7124775180502665</c:v>
                </c:pt>
                <c:pt idx="1">
                  <c:v>4.9098980320432233</c:v>
                </c:pt>
                <c:pt idx="2">
                  <c:v>-1.6051589720141293</c:v>
                </c:pt>
                <c:pt idx="3">
                  <c:v>-7.5064787220660714</c:v>
                </c:pt>
                <c:pt idx="4">
                  <c:v>-9.1588482520806078</c:v>
                </c:pt>
              </c:numCache>
            </c:numRef>
          </c:val>
          <c:extLst>
            <c:ext xmlns:c16="http://schemas.microsoft.com/office/drawing/2014/chart" uri="{C3380CC4-5D6E-409C-BE32-E72D297353CC}">
              <c16:uniqueId val="{00000002-88C6-4648-AE3C-1CE3C30B8600}"/>
            </c:ext>
          </c:extLst>
        </c:ser>
        <c:ser>
          <c:idx val="4"/>
          <c:order val="4"/>
          <c:tx>
            <c:strRef>
              <c:f>Sheet1!$A$6</c:f>
              <c:strCache>
                <c:ptCount val="1"/>
                <c:pt idx="0">
                  <c:v>առևտուր</c:v>
                </c:pt>
              </c:strCache>
            </c:strRef>
          </c:tx>
          <c:invertIfNegative val="0"/>
          <c:cat>
            <c:strRef>
              <c:f>Sheet1!$B$1:$F$1</c:f>
              <c:strCache>
                <c:ptCount val="5"/>
                <c:pt idx="0">
                  <c:v>հունվար</c:v>
                </c:pt>
                <c:pt idx="1">
                  <c:v>փետրվար</c:v>
                </c:pt>
                <c:pt idx="2">
                  <c:v>մարտ</c:v>
                </c:pt>
                <c:pt idx="3">
                  <c:v>ապրիլ</c:v>
                </c:pt>
                <c:pt idx="4">
                  <c:v>մայիս</c:v>
                </c:pt>
              </c:strCache>
            </c:strRef>
          </c:cat>
          <c:val>
            <c:numRef>
              <c:f>Sheet1!$B$6:$F$6</c:f>
              <c:numCache>
                <c:formatCode>0.0</c:formatCode>
                <c:ptCount val="5"/>
                <c:pt idx="0">
                  <c:v>1.309128174061938</c:v>
                </c:pt>
                <c:pt idx="1">
                  <c:v>0.35587950362848852</c:v>
                </c:pt>
                <c:pt idx="2">
                  <c:v>-1.2582882449721553</c:v>
                </c:pt>
                <c:pt idx="3">
                  <c:v>-4.2070041321796294</c:v>
                </c:pt>
                <c:pt idx="4">
                  <c:v>-2.3386367381300657</c:v>
                </c:pt>
              </c:numCache>
            </c:numRef>
          </c:val>
          <c:extLst>
            <c:ext xmlns:c16="http://schemas.microsoft.com/office/drawing/2014/chart" uri="{C3380CC4-5D6E-409C-BE32-E72D297353CC}">
              <c16:uniqueId val="{00000003-88C6-4648-AE3C-1CE3C30B8600}"/>
            </c:ext>
          </c:extLst>
        </c:ser>
        <c:ser>
          <c:idx val="5"/>
          <c:order val="5"/>
          <c:tx>
            <c:strRef>
              <c:f>Sheet1!$A$7</c:f>
              <c:strCache>
                <c:ptCount val="1"/>
                <c:pt idx="0">
                  <c:v>այլ </c:v>
                </c:pt>
              </c:strCache>
            </c:strRef>
          </c:tx>
          <c:invertIfNegative val="0"/>
          <c:cat>
            <c:strRef>
              <c:f>Sheet1!$B$1:$F$1</c:f>
              <c:strCache>
                <c:ptCount val="5"/>
                <c:pt idx="0">
                  <c:v>հունվար</c:v>
                </c:pt>
                <c:pt idx="1">
                  <c:v>փետրվար</c:v>
                </c:pt>
                <c:pt idx="2">
                  <c:v>մարտ</c:v>
                </c:pt>
                <c:pt idx="3">
                  <c:v>ապրիլ</c:v>
                </c:pt>
                <c:pt idx="4">
                  <c:v>մայիս</c:v>
                </c:pt>
              </c:strCache>
            </c:strRef>
          </c:cat>
          <c:val>
            <c:numRef>
              <c:f>Sheet1!$B$7:$F$7</c:f>
              <c:numCache>
                <c:formatCode>0.0</c:formatCode>
                <c:ptCount val="5"/>
                <c:pt idx="0">
                  <c:v>-1.0497399464824695</c:v>
                </c:pt>
                <c:pt idx="1">
                  <c:v>0.3366561619291375</c:v>
                </c:pt>
                <c:pt idx="2">
                  <c:v>0.92659840008494143</c:v>
                </c:pt>
                <c:pt idx="3">
                  <c:v>0.60598952526785155</c:v>
                </c:pt>
                <c:pt idx="4">
                  <c:v>1.3156727632895766</c:v>
                </c:pt>
              </c:numCache>
            </c:numRef>
          </c:val>
          <c:extLst>
            <c:ext xmlns:c16="http://schemas.microsoft.com/office/drawing/2014/chart" uri="{C3380CC4-5D6E-409C-BE32-E72D297353CC}">
              <c16:uniqueId val="{00000004-88C6-4648-AE3C-1CE3C30B8600}"/>
            </c:ext>
          </c:extLst>
        </c:ser>
        <c:dLbls>
          <c:showLegendKey val="0"/>
          <c:showVal val="0"/>
          <c:showCatName val="0"/>
          <c:showSerName val="0"/>
          <c:showPercent val="0"/>
          <c:showBubbleSize val="0"/>
        </c:dLbls>
        <c:gapWidth val="219"/>
        <c:overlap val="100"/>
        <c:axId val="-603796000"/>
        <c:axId val="-603792736"/>
      </c:barChart>
      <c:lineChart>
        <c:grouping val="standard"/>
        <c:varyColors val="0"/>
        <c:ser>
          <c:idx val="0"/>
          <c:order val="0"/>
          <c:tx>
            <c:strRef>
              <c:f>Sheet1!$A$2</c:f>
              <c:strCache>
                <c:ptCount val="1"/>
                <c:pt idx="0">
                  <c:v>ՏԱՑ</c:v>
                </c:pt>
              </c:strCache>
            </c:strRef>
          </c:tx>
          <c:spPr>
            <a:effectLst/>
          </c:spPr>
          <c:dLbls>
            <c:dLbl>
              <c:idx val="0"/>
              <c:layout>
                <c:manualLayout>
                  <c:x val="-5.3619302949061684E-2"/>
                  <c:y val="-5.2083333333333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C6-4648-AE3C-1CE3C30B8600}"/>
                </c:ext>
              </c:extLst>
            </c:dLbl>
            <c:dLbl>
              <c:idx val="1"/>
              <c:layout>
                <c:manualLayout>
                  <c:x val="-5.7743864714374107E-2"/>
                  <c:y val="-5.20833333333335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C6-4648-AE3C-1CE3C30B8600}"/>
                </c:ext>
              </c:extLst>
            </c:dLbl>
            <c:dLbl>
              <c:idx val="2"/>
              <c:layout>
                <c:manualLayout>
                  <c:x val="-6.5992988244999023E-2"/>
                  <c:y val="5.2083333333333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C6-4648-AE3C-1CE3C30B8600}"/>
                </c:ext>
              </c:extLst>
            </c:dLbl>
            <c:dLbl>
              <c:idx val="3"/>
              <c:layout>
                <c:manualLayout>
                  <c:x val="-6.1868426479686718E-2"/>
                  <c:y val="5.9523809523809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8C6-4648-AE3C-1CE3C30B8600}"/>
                </c:ext>
              </c:extLst>
            </c:dLbl>
            <c:dLbl>
              <c:idx val="4"/>
              <c:layout>
                <c:manualLayout>
                  <c:x val="-6.5992988244999023E-2"/>
                  <c:y val="5.95238095238095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8C6-4648-AE3C-1CE3C30B860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Sheet1!$B$1:$F$1</c:f>
              <c:strCache>
                <c:ptCount val="5"/>
                <c:pt idx="0">
                  <c:v>հունվար</c:v>
                </c:pt>
                <c:pt idx="1">
                  <c:v>փետրվար</c:v>
                </c:pt>
                <c:pt idx="2">
                  <c:v>մարտ</c:v>
                </c:pt>
                <c:pt idx="3">
                  <c:v>ապրիլ</c:v>
                </c:pt>
                <c:pt idx="4">
                  <c:v>մայիս</c:v>
                </c:pt>
              </c:strCache>
            </c:strRef>
          </c:cat>
          <c:val>
            <c:numRef>
              <c:f>Sheet1!$B$2:$F$2</c:f>
              <c:numCache>
                <c:formatCode>0.0</c:formatCode>
                <c:ptCount val="5"/>
                <c:pt idx="0">
                  <c:v>9.3000000000000025</c:v>
                </c:pt>
                <c:pt idx="1">
                  <c:v>9.2000000000000011</c:v>
                </c:pt>
                <c:pt idx="2">
                  <c:v>-4.0999999999999943</c:v>
                </c:pt>
                <c:pt idx="3">
                  <c:v>-16.299999999999986</c:v>
                </c:pt>
                <c:pt idx="4">
                  <c:v>-12.8</c:v>
                </c:pt>
              </c:numCache>
            </c:numRef>
          </c:val>
          <c:smooth val="0"/>
          <c:extLst>
            <c:ext xmlns:c16="http://schemas.microsoft.com/office/drawing/2014/chart" uri="{C3380CC4-5D6E-409C-BE32-E72D297353CC}">
              <c16:uniqueId val="{0000000A-88C6-4648-AE3C-1CE3C30B8600}"/>
            </c:ext>
          </c:extLst>
        </c:ser>
        <c:dLbls>
          <c:showLegendKey val="0"/>
          <c:showVal val="0"/>
          <c:showCatName val="0"/>
          <c:showSerName val="0"/>
          <c:showPercent val="0"/>
          <c:showBubbleSize val="0"/>
        </c:dLbls>
        <c:marker val="1"/>
        <c:smooth val="0"/>
        <c:axId val="-603796000"/>
        <c:axId val="-603792736"/>
      </c:lineChart>
      <c:catAx>
        <c:axId val="-6037960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792736"/>
        <c:crosses val="autoZero"/>
        <c:auto val="1"/>
        <c:lblAlgn val="ctr"/>
        <c:lblOffset val="100"/>
        <c:noMultiLvlLbl val="0"/>
      </c:catAx>
      <c:valAx>
        <c:axId val="-603792736"/>
        <c:scaling>
          <c:orientation val="minMax"/>
          <c:max val="15"/>
          <c:min val="-1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796000"/>
        <c:crosses val="autoZero"/>
        <c:crossBetween val="between"/>
      </c:valAx>
      <c:spPr>
        <a:noFill/>
        <a:ln>
          <a:noFill/>
        </a:ln>
        <a:effectLst/>
      </c:spPr>
    </c:plotArea>
    <c:legend>
      <c:legendPos val="b"/>
      <c:layout>
        <c:manualLayout>
          <c:xMode val="edge"/>
          <c:yMode val="edge"/>
          <c:x val="3.9212432830754193E-2"/>
          <c:y val="0.77158400988919762"/>
          <c:w val="0.96078743405166744"/>
          <c:h val="0.22233012665423688"/>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cap="none" spc="20" baseline="0">
                <a:solidFill>
                  <a:schemeClr val="dk1">
                    <a:lumMod val="50000"/>
                    <a:lumOff val="50000"/>
                  </a:schemeClr>
                </a:solidFill>
                <a:latin typeface="+mn-lt"/>
                <a:ea typeface="+mn-ea"/>
                <a:cs typeface="+mn-cs"/>
              </a:defRPr>
            </a:pPr>
            <a:r>
              <a:rPr lang="en-US" sz="900" i="1"/>
              <a:t>....</a:t>
            </a:r>
            <a:r>
              <a:rPr lang="hy-AM" sz="800" i="1"/>
              <a:t>կորոնավիրուսն արագ տարածվում է</a:t>
            </a:r>
          </a:p>
        </c:rich>
      </c:tx>
      <c:overlay val="0"/>
      <c:spPr>
        <a:noFill/>
        <a:ln>
          <a:noFill/>
        </a:ln>
        <a:effectLst/>
      </c:spPr>
    </c:title>
    <c:autoTitleDeleted val="0"/>
    <c:plotArea>
      <c:layout/>
      <c:lineChart>
        <c:grouping val="standard"/>
        <c:varyColors val="0"/>
        <c:ser>
          <c:idx val="0"/>
          <c:order val="0"/>
          <c:tx>
            <c:strRef>
              <c:f>Sheet1!$B$1</c:f>
              <c:strCache>
                <c:ptCount val="1"/>
                <c:pt idx="0">
                  <c:v>Կորոնավիրուսի հաստատված դեպքերը</c:v>
                </c:pt>
              </c:strCache>
            </c:strRef>
          </c:tx>
          <c:spPr>
            <a:ln w="22225" cap="rnd" cmpd="sng" algn="ctr">
              <a:solidFill>
                <a:schemeClr val="accent1"/>
              </a:solidFill>
              <a:round/>
            </a:ln>
            <a:effectLst/>
          </c:spPr>
          <c:marker>
            <c:symbol val="none"/>
          </c:marker>
          <c:cat>
            <c:strRef>
              <c:f>Sheet1!$A$2:$A$118</c:f>
              <c:strCache>
                <c:ptCount val="117"/>
                <c:pt idx="0">
                  <c:v>01.03.2020</c:v>
                </c:pt>
                <c:pt idx="1">
                  <c:v>02.03.2020</c:v>
                </c:pt>
                <c:pt idx="2">
                  <c:v>03.03.2020</c:v>
                </c:pt>
                <c:pt idx="3">
                  <c:v>04.03.2020</c:v>
                </c:pt>
                <c:pt idx="4">
                  <c:v>05.03.2020</c:v>
                </c:pt>
                <c:pt idx="5">
                  <c:v>06.03.2020</c:v>
                </c:pt>
                <c:pt idx="6">
                  <c:v>07.03.2020</c:v>
                </c:pt>
                <c:pt idx="7">
                  <c:v>08.03.2020</c:v>
                </c:pt>
                <c:pt idx="8">
                  <c:v>09.03.2020</c:v>
                </c:pt>
                <c:pt idx="9">
                  <c:v>10.03.2020</c:v>
                </c:pt>
                <c:pt idx="10">
                  <c:v>11.03.2020</c:v>
                </c:pt>
                <c:pt idx="11">
                  <c:v>12.03.2020</c:v>
                </c:pt>
                <c:pt idx="12">
                  <c:v>13.03.2020</c:v>
                </c:pt>
                <c:pt idx="13">
                  <c:v>14.03.2020</c:v>
                </c:pt>
                <c:pt idx="14">
                  <c:v>15.03.2020</c:v>
                </c:pt>
                <c:pt idx="15">
                  <c:v>16.03.2020</c:v>
                </c:pt>
                <c:pt idx="16">
                  <c:v>17.03.2020</c:v>
                </c:pt>
                <c:pt idx="17">
                  <c:v>18.03.2020</c:v>
                </c:pt>
                <c:pt idx="18">
                  <c:v>19.03.2020</c:v>
                </c:pt>
                <c:pt idx="19">
                  <c:v>20.03.2020</c:v>
                </c:pt>
                <c:pt idx="20">
                  <c:v>21.03.2020</c:v>
                </c:pt>
                <c:pt idx="21">
                  <c:v>22.03.2020</c:v>
                </c:pt>
                <c:pt idx="22">
                  <c:v>23.03.2020</c:v>
                </c:pt>
                <c:pt idx="23">
                  <c:v>24.03.2020</c:v>
                </c:pt>
                <c:pt idx="24">
                  <c:v>25.03.2020</c:v>
                </c:pt>
                <c:pt idx="25">
                  <c:v>26.03.2020</c:v>
                </c:pt>
                <c:pt idx="26">
                  <c:v>27.03.2020</c:v>
                </c:pt>
                <c:pt idx="27">
                  <c:v>28.03.2020</c:v>
                </c:pt>
                <c:pt idx="28">
                  <c:v>29.03.2020</c:v>
                </c:pt>
                <c:pt idx="29">
                  <c:v>30.03.2020</c:v>
                </c:pt>
                <c:pt idx="30">
                  <c:v>31.03.2020</c:v>
                </c:pt>
                <c:pt idx="31">
                  <c:v>01.04.2020</c:v>
                </c:pt>
                <c:pt idx="32">
                  <c:v>02.04.2020</c:v>
                </c:pt>
                <c:pt idx="33">
                  <c:v>03.04.2020</c:v>
                </c:pt>
                <c:pt idx="34">
                  <c:v>04.04.2020</c:v>
                </c:pt>
                <c:pt idx="35">
                  <c:v>05.04.2020</c:v>
                </c:pt>
                <c:pt idx="36">
                  <c:v>06.04.2020</c:v>
                </c:pt>
                <c:pt idx="37">
                  <c:v>07.04.2020</c:v>
                </c:pt>
                <c:pt idx="38">
                  <c:v>08.04.2020</c:v>
                </c:pt>
                <c:pt idx="39">
                  <c:v>09.04.2020</c:v>
                </c:pt>
                <c:pt idx="40">
                  <c:v>10.04.2020</c:v>
                </c:pt>
                <c:pt idx="41">
                  <c:v>11.04.2020</c:v>
                </c:pt>
                <c:pt idx="42">
                  <c:v>12.04.2020</c:v>
                </c:pt>
                <c:pt idx="43">
                  <c:v>13.04.2020</c:v>
                </c:pt>
                <c:pt idx="44">
                  <c:v>14.04.2020</c:v>
                </c:pt>
                <c:pt idx="45">
                  <c:v>15.04.2020</c:v>
                </c:pt>
                <c:pt idx="46">
                  <c:v>16.04.2020</c:v>
                </c:pt>
                <c:pt idx="47">
                  <c:v>17.04.2020</c:v>
                </c:pt>
                <c:pt idx="48">
                  <c:v>18.04.2020</c:v>
                </c:pt>
                <c:pt idx="49">
                  <c:v>19.04.2020</c:v>
                </c:pt>
                <c:pt idx="50">
                  <c:v>20.04.2020</c:v>
                </c:pt>
                <c:pt idx="51">
                  <c:v>21.04.2020</c:v>
                </c:pt>
                <c:pt idx="52">
                  <c:v>22.04.2020</c:v>
                </c:pt>
                <c:pt idx="53">
                  <c:v>23.04.2020</c:v>
                </c:pt>
                <c:pt idx="54">
                  <c:v>24.04.2020</c:v>
                </c:pt>
                <c:pt idx="55">
                  <c:v>25.04.2020</c:v>
                </c:pt>
                <c:pt idx="56">
                  <c:v>26.04.2020</c:v>
                </c:pt>
                <c:pt idx="57">
                  <c:v>27.04.2020</c:v>
                </c:pt>
                <c:pt idx="58">
                  <c:v>28.04.2020</c:v>
                </c:pt>
                <c:pt idx="59">
                  <c:v>29.04.2020</c:v>
                </c:pt>
                <c:pt idx="60">
                  <c:v>30.04.2020</c:v>
                </c:pt>
                <c:pt idx="61">
                  <c:v>01.05.2020</c:v>
                </c:pt>
                <c:pt idx="62">
                  <c:v>02.05.2020</c:v>
                </c:pt>
                <c:pt idx="63">
                  <c:v>03.05.2020</c:v>
                </c:pt>
                <c:pt idx="64">
                  <c:v>04.05.2020</c:v>
                </c:pt>
                <c:pt idx="65">
                  <c:v>05.05.2020</c:v>
                </c:pt>
                <c:pt idx="66">
                  <c:v>06.05.2020</c:v>
                </c:pt>
                <c:pt idx="67">
                  <c:v>07.05.2020</c:v>
                </c:pt>
                <c:pt idx="68">
                  <c:v>08.05.2020</c:v>
                </c:pt>
                <c:pt idx="69">
                  <c:v>09.05.2020</c:v>
                </c:pt>
                <c:pt idx="70">
                  <c:v>10.05.2020</c:v>
                </c:pt>
                <c:pt idx="71">
                  <c:v>11.05.2020</c:v>
                </c:pt>
                <c:pt idx="72">
                  <c:v>12.05.2020</c:v>
                </c:pt>
                <c:pt idx="73">
                  <c:v>13.05.2020</c:v>
                </c:pt>
                <c:pt idx="74">
                  <c:v>14.05.2020</c:v>
                </c:pt>
                <c:pt idx="75">
                  <c:v>15.05.2020</c:v>
                </c:pt>
                <c:pt idx="76">
                  <c:v>16.05.2020</c:v>
                </c:pt>
                <c:pt idx="77">
                  <c:v>17.05.2020</c:v>
                </c:pt>
                <c:pt idx="78">
                  <c:v>18.05.2020</c:v>
                </c:pt>
                <c:pt idx="79">
                  <c:v>19.05.2020</c:v>
                </c:pt>
                <c:pt idx="80">
                  <c:v>20.05.2020</c:v>
                </c:pt>
                <c:pt idx="81">
                  <c:v>21.05.2020</c:v>
                </c:pt>
                <c:pt idx="82">
                  <c:v>22.05.2020</c:v>
                </c:pt>
                <c:pt idx="83">
                  <c:v>23.05.2020</c:v>
                </c:pt>
                <c:pt idx="84">
                  <c:v>24.05.2020</c:v>
                </c:pt>
                <c:pt idx="85">
                  <c:v>25.05.2020</c:v>
                </c:pt>
                <c:pt idx="86">
                  <c:v>26.05.2020</c:v>
                </c:pt>
                <c:pt idx="87">
                  <c:v>27.05.2020</c:v>
                </c:pt>
                <c:pt idx="88">
                  <c:v>28.05.2020</c:v>
                </c:pt>
                <c:pt idx="89">
                  <c:v>29.05.2020</c:v>
                </c:pt>
                <c:pt idx="90">
                  <c:v>30.05.2020</c:v>
                </c:pt>
                <c:pt idx="91">
                  <c:v>31.05.2020</c:v>
                </c:pt>
                <c:pt idx="92">
                  <c:v>01.06.2020</c:v>
                </c:pt>
                <c:pt idx="93">
                  <c:v>02.06.2020</c:v>
                </c:pt>
                <c:pt idx="94">
                  <c:v>03.06.2020</c:v>
                </c:pt>
                <c:pt idx="95">
                  <c:v>04.06.2020</c:v>
                </c:pt>
                <c:pt idx="96">
                  <c:v>05.06.2020</c:v>
                </c:pt>
                <c:pt idx="97">
                  <c:v>06.06.2020</c:v>
                </c:pt>
                <c:pt idx="98">
                  <c:v>07.06.2020</c:v>
                </c:pt>
                <c:pt idx="99">
                  <c:v>08.06.2020</c:v>
                </c:pt>
                <c:pt idx="100">
                  <c:v>09.06.2020</c:v>
                </c:pt>
                <c:pt idx="101">
                  <c:v>10.06.2020</c:v>
                </c:pt>
                <c:pt idx="102">
                  <c:v>11.06.2020</c:v>
                </c:pt>
                <c:pt idx="103">
                  <c:v>12.06.2020</c:v>
                </c:pt>
                <c:pt idx="104">
                  <c:v>13.06.2020</c:v>
                </c:pt>
                <c:pt idx="105">
                  <c:v>14.06.2020</c:v>
                </c:pt>
                <c:pt idx="106">
                  <c:v>15.06.2020</c:v>
                </c:pt>
                <c:pt idx="107">
                  <c:v>16.06.2020</c:v>
                </c:pt>
                <c:pt idx="108">
                  <c:v>17.06.2020</c:v>
                </c:pt>
                <c:pt idx="109">
                  <c:v>18.06.2020</c:v>
                </c:pt>
                <c:pt idx="110">
                  <c:v>19.06.2020</c:v>
                </c:pt>
                <c:pt idx="111">
                  <c:v>20.06.2020</c:v>
                </c:pt>
                <c:pt idx="112">
                  <c:v>21.06.2020</c:v>
                </c:pt>
                <c:pt idx="113">
                  <c:v>22.06.2020</c:v>
                </c:pt>
                <c:pt idx="114">
                  <c:v>23.06.2020</c:v>
                </c:pt>
                <c:pt idx="115">
                  <c:v>24.06.2020</c:v>
                </c:pt>
                <c:pt idx="116">
                  <c:v>25.06.2020</c:v>
                </c:pt>
              </c:strCache>
            </c:strRef>
          </c:cat>
          <c:val>
            <c:numRef>
              <c:f>Sheet1!$B$2:$B$118</c:f>
              <c:numCache>
                <c:formatCode>General</c:formatCode>
                <c:ptCount val="117"/>
                <c:pt idx="0">
                  <c:v>1</c:v>
                </c:pt>
                <c:pt idx="1">
                  <c:v>1</c:v>
                </c:pt>
                <c:pt idx="2">
                  <c:v>1</c:v>
                </c:pt>
                <c:pt idx="3">
                  <c:v>1</c:v>
                </c:pt>
                <c:pt idx="4">
                  <c:v>1</c:v>
                </c:pt>
                <c:pt idx="5">
                  <c:v>1</c:v>
                </c:pt>
                <c:pt idx="6">
                  <c:v>1</c:v>
                </c:pt>
                <c:pt idx="7">
                  <c:v>1</c:v>
                </c:pt>
                <c:pt idx="8">
                  <c:v>1</c:v>
                </c:pt>
                <c:pt idx="9">
                  <c:v>1</c:v>
                </c:pt>
                <c:pt idx="10">
                  <c:v>4</c:v>
                </c:pt>
                <c:pt idx="11">
                  <c:v>6</c:v>
                </c:pt>
                <c:pt idx="12">
                  <c:v>13</c:v>
                </c:pt>
                <c:pt idx="13">
                  <c:v>20</c:v>
                </c:pt>
                <c:pt idx="14">
                  <c:v>28</c:v>
                </c:pt>
                <c:pt idx="15">
                  <c:v>45</c:v>
                </c:pt>
                <c:pt idx="16">
                  <c:v>78</c:v>
                </c:pt>
                <c:pt idx="17">
                  <c:v>110</c:v>
                </c:pt>
                <c:pt idx="18">
                  <c:v>136</c:v>
                </c:pt>
                <c:pt idx="19">
                  <c:v>160</c:v>
                </c:pt>
                <c:pt idx="20">
                  <c:v>190</c:v>
                </c:pt>
                <c:pt idx="21">
                  <c:v>194</c:v>
                </c:pt>
                <c:pt idx="22">
                  <c:v>235</c:v>
                </c:pt>
                <c:pt idx="23">
                  <c:v>265</c:v>
                </c:pt>
                <c:pt idx="24">
                  <c:v>290</c:v>
                </c:pt>
                <c:pt idx="25">
                  <c:v>329</c:v>
                </c:pt>
                <c:pt idx="26">
                  <c:v>372</c:v>
                </c:pt>
                <c:pt idx="27">
                  <c:v>424</c:v>
                </c:pt>
                <c:pt idx="28">
                  <c:v>482</c:v>
                </c:pt>
                <c:pt idx="29">
                  <c:v>532</c:v>
                </c:pt>
                <c:pt idx="30">
                  <c:v>571</c:v>
                </c:pt>
                <c:pt idx="31">
                  <c:v>663</c:v>
                </c:pt>
                <c:pt idx="32">
                  <c:v>736</c:v>
                </c:pt>
                <c:pt idx="33">
                  <c:v>770</c:v>
                </c:pt>
                <c:pt idx="34">
                  <c:v>822</c:v>
                </c:pt>
                <c:pt idx="35">
                  <c:v>833</c:v>
                </c:pt>
                <c:pt idx="36">
                  <c:v>853</c:v>
                </c:pt>
                <c:pt idx="37">
                  <c:v>881</c:v>
                </c:pt>
                <c:pt idx="38">
                  <c:v>921</c:v>
                </c:pt>
                <c:pt idx="39">
                  <c:v>937</c:v>
                </c:pt>
                <c:pt idx="40">
                  <c:v>967</c:v>
                </c:pt>
                <c:pt idx="41">
                  <c:v>1013</c:v>
                </c:pt>
                <c:pt idx="42">
                  <c:v>1039</c:v>
                </c:pt>
                <c:pt idx="43">
                  <c:v>1067</c:v>
                </c:pt>
                <c:pt idx="44">
                  <c:v>1111</c:v>
                </c:pt>
                <c:pt idx="45">
                  <c:v>1159</c:v>
                </c:pt>
                <c:pt idx="46">
                  <c:v>1201</c:v>
                </c:pt>
                <c:pt idx="47">
                  <c:v>1248</c:v>
                </c:pt>
                <c:pt idx="48">
                  <c:v>1291</c:v>
                </c:pt>
                <c:pt idx="49">
                  <c:v>1339</c:v>
                </c:pt>
                <c:pt idx="50">
                  <c:v>1401</c:v>
                </c:pt>
                <c:pt idx="51">
                  <c:v>1473</c:v>
                </c:pt>
                <c:pt idx="52">
                  <c:v>1523</c:v>
                </c:pt>
                <c:pt idx="53">
                  <c:v>1596</c:v>
                </c:pt>
                <c:pt idx="54">
                  <c:v>1677</c:v>
                </c:pt>
                <c:pt idx="55">
                  <c:v>1746</c:v>
                </c:pt>
                <c:pt idx="56">
                  <c:v>1808</c:v>
                </c:pt>
                <c:pt idx="57">
                  <c:v>1867</c:v>
                </c:pt>
                <c:pt idx="58">
                  <c:v>1932</c:v>
                </c:pt>
                <c:pt idx="59">
                  <c:v>2066</c:v>
                </c:pt>
                <c:pt idx="60">
                  <c:v>2148</c:v>
                </c:pt>
                <c:pt idx="61">
                  <c:v>2273</c:v>
                </c:pt>
                <c:pt idx="62">
                  <c:v>2386</c:v>
                </c:pt>
                <c:pt idx="63">
                  <c:v>2507</c:v>
                </c:pt>
                <c:pt idx="64">
                  <c:v>2619</c:v>
                </c:pt>
                <c:pt idx="65">
                  <c:v>2782</c:v>
                </c:pt>
                <c:pt idx="66">
                  <c:v>2884</c:v>
                </c:pt>
                <c:pt idx="67">
                  <c:v>3029</c:v>
                </c:pt>
                <c:pt idx="68">
                  <c:v>3175</c:v>
                </c:pt>
                <c:pt idx="69">
                  <c:v>3313</c:v>
                </c:pt>
                <c:pt idx="70">
                  <c:v>3392</c:v>
                </c:pt>
                <c:pt idx="71">
                  <c:v>3538</c:v>
                </c:pt>
                <c:pt idx="72">
                  <c:v>3718</c:v>
                </c:pt>
                <c:pt idx="73">
                  <c:v>3860</c:v>
                </c:pt>
                <c:pt idx="74">
                  <c:v>4044</c:v>
                </c:pt>
                <c:pt idx="75">
                  <c:v>4283</c:v>
                </c:pt>
                <c:pt idx="76">
                  <c:v>4472</c:v>
                </c:pt>
                <c:pt idx="77">
                  <c:v>4823</c:v>
                </c:pt>
                <c:pt idx="78">
                  <c:v>5041</c:v>
                </c:pt>
                <c:pt idx="79">
                  <c:v>5271</c:v>
                </c:pt>
                <c:pt idx="80">
                  <c:v>5606</c:v>
                </c:pt>
                <c:pt idx="81">
                  <c:v>5928</c:v>
                </c:pt>
                <c:pt idx="82">
                  <c:v>6302</c:v>
                </c:pt>
                <c:pt idx="83">
                  <c:v>6661</c:v>
                </c:pt>
                <c:pt idx="84">
                  <c:v>7113</c:v>
                </c:pt>
                <c:pt idx="85">
                  <c:v>7402</c:v>
                </c:pt>
                <c:pt idx="86">
                  <c:v>7774</c:v>
                </c:pt>
                <c:pt idx="87">
                  <c:v>8216</c:v>
                </c:pt>
                <c:pt idx="88">
                  <c:v>8676</c:v>
                </c:pt>
                <c:pt idx="89">
                  <c:v>8927</c:v>
                </c:pt>
                <c:pt idx="90">
                  <c:v>9282</c:v>
                </c:pt>
                <c:pt idx="91">
                  <c:v>9492</c:v>
                </c:pt>
                <c:pt idx="92">
                  <c:v>10009</c:v>
                </c:pt>
                <c:pt idx="93">
                  <c:v>10524</c:v>
                </c:pt>
                <c:pt idx="94">
                  <c:v>11221</c:v>
                </c:pt>
                <c:pt idx="95">
                  <c:v>11817</c:v>
                </c:pt>
                <c:pt idx="96">
                  <c:v>12364</c:v>
                </c:pt>
                <c:pt idx="97">
                  <c:v>13130</c:v>
                </c:pt>
                <c:pt idx="98">
                  <c:v>13325</c:v>
                </c:pt>
                <c:pt idx="99">
                  <c:v>13675</c:v>
                </c:pt>
                <c:pt idx="100">
                  <c:v>14103</c:v>
                </c:pt>
                <c:pt idx="101">
                  <c:v>14669</c:v>
                </c:pt>
                <c:pt idx="102">
                  <c:v>15281</c:v>
                </c:pt>
                <c:pt idx="103">
                  <c:v>16004</c:v>
                </c:pt>
                <c:pt idx="104">
                  <c:v>16667</c:v>
                </c:pt>
                <c:pt idx="105">
                  <c:v>17064</c:v>
                </c:pt>
                <c:pt idx="106">
                  <c:v>17489</c:v>
                </c:pt>
                <c:pt idx="107">
                  <c:v>18033</c:v>
                </c:pt>
                <c:pt idx="108">
                  <c:v>18698</c:v>
                </c:pt>
                <c:pt idx="109">
                  <c:v>19157</c:v>
                </c:pt>
                <c:pt idx="110">
                  <c:v>19708</c:v>
                </c:pt>
                <c:pt idx="111">
                  <c:v>20268</c:v>
                </c:pt>
                <c:pt idx="112">
                  <c:v>20588</c:v>
                </c:pt>
                <c:pt idx="113">
                  <c:v>21006</c:v>
                </c:pt>
                <c:pt idx="114">
                  <c:v>21717</c:v>
                </c:pt>
                <c:pt idx="115">
                  <c:v>22488</c:v>
                </c:pt>
                <c:pt idx="116">
                  <c:v>23247</c:v>
                </c:pt>
              </c:numCache>
            </c:numRef>
          </c:val>
          <c:smooth val="0"/>
          <c:extLst>
            <c:ext xmlns:c16="http://schemas.microsoft.com/office/drawing/2014/chart" uri="{C3380CC4-5D6E-409C-BE32-E72D297353CC}">
              <c16:uniqueId val="{00000000-F779-4CC1-B549-2EDF1FF11DE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03788928"/>
        <c:axId val="-603805792"/>
      </c:lineChart>
      <c:catAx>
        <c:axId val="-60378892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400" b="0" i="0" u="none" strike="noStrike" kern="1200" spc="20" baseline="0">
                <a:solidFill>
                  <a:schemeClr val="dk1">
                    <a:lumMod val="65000"/>
                    <a:lumOff val="35000"/>
                  </a:schemeClr>
                </a:solidFill>
                <a:latin typeface="+mn-lt"/>
                <a:ea typeface="+mn-ea"/>
                <a:cs typeface="+mn-cs"/>
              </a:defRPr>
            </a:pPr>
            <a:endParaRPr lang="en-US"/>
          </a:p>
        </c:txPr>
        <c:crossAx val="-603805792"/>
        <c:crosses val="autoZero"/>
        <c:auto val="1"/>
        <c:lblAlgn val="ctr"/>
        <c:lblOffset val="100"/>
        <c:noMultiLvlLbl val="0"/>
      </c:catAx>
      <c:valAx>
        <c:axId val="-6038057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spc="20" baseline="0">
                <a:solidFill>
                  <a:schemeClr val="dk1">
                    <a:lumMod val="65000"/>
                    <a:lumOff val="35000"/>
                  </a:schemeClr>
                </a:solidFill>
                <a:latin typeface="+mn-lt"/>
                <a:ea typeface="+mn-ea"/>
                <a:cs typeface="+mn-cs"/>
              </a:defRPr>
            </a:pPr>
            <a:endParaRPr lang="en-US"/>
          </a:p>
        </c:txPr>
        <c:crossAx val="-603788928"/>
        <c:crosses val="autoZero"/>
        <c:crossBetween val="between"/>
      </c:valAx>
      <c:spPr>
        <a:solidFill>
          <a:schemeClr val="bg1">
            <a:lumMod val="85000"/>
          </a:schemeClr>
        </a:solidFill>
        <a:ln>
          <a:solidFill>
            <a:schemeClr val="bg1">
              <a:lumMod val="7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bg1">
          <a:lumMod val="7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Sheet1!$A$3</c:f>
              <c:strCache>
                <c:ptCount val="1"/>
                <c:pt idx="0">
                  <c:v>Անվանական ՀՆԱ, մլրդ դրամ</c:v>
                </c:pt>
              </c:strCache>
            </c:strRef>
          </c:tx>
          <c:spPr>
            <a:solidFill>
              <a:schemeClr val="accent2"/>
            </a:solidFill>
            <a:ln>
              <a:noFill/>
            </a:ln>
            <a:effectLst/>
          </c:spPr>
          <c:invertIfNegative val="0"/>
          <c:cat>
            <c:numRef>
              <c:f>Sheet1!$B$1:$Y$1</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Sheet1!$B$3:$Y$3</c:f>
              <c:numCache>
                <c:formatCode>_(* #,##0_);_(* \(#,##0\);_(* "-"??_);_(@_)</c:formatCode>
                <c:ptCount val="24"/>
                <c:pt idx="0">
                  <c:v>1031.3382999999999</c:v>
                </c:pt>
                <c:pt idx="1">
                  <c:v>1175.8768043886819</c:v>
                </c:pt>
                <c:pt idx="2">
                  <c:v>1362.4717000000001</c:v>
                </c:pt>
                <c:pt idx="3">
                  <c:v>1624.6426999999999</c:v>
                </c:pt>
                <c:pt idx="4">
                  <c:v>1907.9454000000001</c:v>
                </c:pt>
                <c:pt idx="5">
                  <c:v>2242.8809000000001</c:v>
                </c:pt>
                <c:pt idx="6">
                  <c:v>2656.1897999999997</c:v>
                </c:pt>
                <c:pt idx="7">
                  <c:v>3149.2834000000007</c:v>
                </c:pt>
                <c:pt idx="8">
                  <c:v>3568.2275999999997</c:v>
                </c:pt>
                <c:pt idx="9">
                  <c:v>3141.6510000000012</c:v>
                </c:pt>
                <c:pt idx="10">
                  <c:v>3460.2027000000007</c:v>
                </c:pt>
                <c:pt idx="11">
                  <c:v>3777.9456</c:v>
                </c:pt>
                <c:pt idx="12">
                  <c:v>4266.4605000000001</c:v>
                </c:pt>
                <c:pt idx="13">
                  <c:v>4555.6382000000012</c:v>
                </c:pt>
                <c:pt idx="14">
                  <c:v>4828.6263000000044</c:v>
                </c:pt>
                <c:pt idx="15">
                  <c:v>5043.6332000000002</c:v>
                </c:pt>
                <c:pt idx="16">
                  <c:v>5067.2935000000016</c:v>
                </c:pt>
                <c:pt idx="17">
                  <c:v>5564.4932999999992</c:v>
                </c:pt>
                <c:pt idx="18">
                  <c:v>6017.0352000000012</c:v>
                </c:pt>
                <c:pt idx="19">
                  <c:v>6569.0307999999995</c:v>
                </c:pt>
                <c:pt idx="20">
                  <c:v>6505.0510022928438</c:v>
                </c:pt>
                <c:pt idx="21">
                  <c:v>7142.9647000000004</c:v>
                </c:pt>
                <c:pt idx="22">
                  <c:v>7853.4975999999997</c:v>
                </c:pt>
                <c:pt idx="23">
                  <c:v>8582.486392999981</c:v>
                </c:pt>
              </c:numCache>
            </c:numRef>
          </c:val>
          <c:extLst>
            <c:ext xmlns:c16="http://schemas.microsoft.com/office/drawing/2014/chart" uri="{C3380CC4-5D6E-409C-BE32-E72D297353CC}">
              <c16:uniqueId val="{00000000-74DC-4FDD-967F-268317BA60A4}"/>
            </c:ext>
          </c:extLst>
        </c:ser>
        <c:dLbls>
          <c:showLegendKey val="0"/>
          <c:showVal val="0"/>
          <c:showCatName val="0"/>
          <c:showSerName val="0"/>
          <c:showPercent val="0"/>
          <c:showBubbleSize val="0"/>
        </c:dLbls>
        <c:gapWidth val="219"/>
        <c:axId val="-603801984"/>
        <c:axId val="-603787840"/>
      </c:barChart>
      <c:lineChart>
        <c:grouping val="standard"/>
        <c:varyColors val="0"/>
        <c:ser>
          <c:idx val="0"/>
          <c:order val="0"/>
          <c:tx>
            <c:strRef>
              <c:f>Sheet1!$A$2</c:f>
              <c:strCache>
                <c:ptCount val="1"/>
                <c:pt idx="0">
                  <c:v>Տնտեսական աճ, %</c:v>
                </c:pt>
              </c:strCache>
            </c:strRef>
          </c:tx>
          <c:spPr>
            <a:ln w="28575" cap="rnd">
              <a:solidFill>
                <a:schemeClr val="accent1"/>
              </a:solidFill>
              <a:round/>
            </a:ln>
            <a:effectLst/>
          </c:spPr>
          <c:marker>
            <c:symbol val="none"/>
          </c:marker>
          <c:cat>
            <c:numRef>
              <c:f>Sheet1!$B$1:$Y$1</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Sheet1!$B$2:$Y$2</c:f>
              <c:numCache>
                <c:formatCode>0.0</c:formatCode>
                <c:ptCount val="24"/>
                <c:pt idx="0">
                  <c:v>5.8956981547403826</c:v>
                </c:pt>
                <c:pt idx="1">
                  <c:v>9.5566411137839644</c:v>
                </c:pt>
                <c:pt idx="2">
                  <c:v>13.196463821262512</c:v>
                </c:pt>
                <c:pt idx="3">
                  <c:v>14.040798058411053</c:v>
                </c:pt>
                <c:pt idx="4">
                  <c:v>10.46784009801047</c:v>
                </c:pt>
                <c:pt idx="5">
                  <c:v>13.865711251485516</c:v>
                </c:pt>
                <c:pt idx="6">
                  <c:v>13.198003514141135</c:v>
                </c:pt>
                <c:pt idx="7">
                  <c:v>13.749201958384148</c:v>
                </c:pt>
                <c:pt idx="8">
                  <c:v>6.9476535519159768</c:v>
                </c:pt>
                <c:pt idx="9">
                  <c:v>-14.149988638617103</c:v>
                </c:pt>
                <c:pt idx="10">
                  <c:v>2.2151091894039183</c:v>
                </c:pt>
                <c:pt idx="11">
                  <c:v>4.6507622226871224</c:v>
                </c:pt>
                <c:pt idx="12">
                  <c:v>7.1590508979271865</c:v>
                </c:pt>
                <c:pt idx="13">
                  <c:v>3.2517472785696682</c:v>
                </c:pt>
                <c:pt idx="14">
                  <c:v>3.6442053914641397</c:v>
                </c:pt>
                <c:pt idx="15">
                  <c:v>3.2356846565243744</c:v>
                </c:pt>
                <c:pt idx="16">
                  <c:v>0.15570806832249731</c:v>
                </c:pt>
                <c:pt idx="17">
                  <c:v>7.5388635432307094</c:v>
                </c:pt>
                <c:pt idx="18">
                  <c:v>5.1947356482574829</c:v>
                </c:pt>
                <c:pt idx="19">
                  <c:v>7.5894978676541598</c:v>
                </c:pt>
                <c:pt idx="20">
                  <c:v>-2.5999999999999943</c:v>
                </c:pt>
                <c:pt idx="21">
                  <c:v>6.9540724416690693</c:v>
                </c:pt>
                <c:pt idx="22">
                  <c:v>6.3580000000000041</c:v>
                </c:pt>
                <c:pt idx="23">
                  <c:v>5.0791785114953001</c:v>
                </c:pt>
              </c:numCache>
            </c:numRef>
          </c:val>
          <c:smooth val="0"/>
          <c:extLst>
            <c:ext xmlns:c16="http://schemas.microsoft.com/office/drawing/2014/chart" uri="{C3380CC4-5D6E-409C-BE32-E72D297353CC}">
              <c16:uniqueId val="{00000001-74DC-4FDD-967F-268317BA60A4}"/>
            </c:ext>
          </c:extLst>
        </c:ser>
        <c:dLbls>
          <c:showLegendKey val="0"/>
          <c:showVal val="0"/>
          <c:showCatName val="0"/>
          <c:showSerName val="0"/>
          <c:showPercent val="0"/>
          <c:showBubbleSize val="0"/>
        </c:dLbls>
        <c:marker val="1"/>
        <c:smooth val="0"/>
        <c:axId val="-603799264"/>
        <c:axId val="-603799808"/>
      </c:lineChart>
      <c:catAx>
        <c:axId val="-603801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787840"/>
        <c:crosses val="autoZero"/>
        <c:auto val="1"/>
        <c:lblAlgn val="ctr"/>
        <c:lblOffset val="100"/>
        <c:noMultiLvlLbl val="0"/>
      </c:catAx>
      <c:valAx>
        <c:axId val="-603787840"/>
        <c:scaling>
          <c:orientation val="minMax"/>
          <c:max val="9500"/>
          <c:min val="5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801984"/>
        <c:crosses val="autoZero"/>
        <c:crossBetween val="between"/>
      </c:valAx>
      <c:valAx>
        <c:axId val="-60379980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799264"/>
        <c:crosses val="max"/>
        <c:crossBetween val="between"/>
      </c:valAx>
      <c:catAx>
        <c:axId val="-603799264"/>
        <c:scaling>
          <c:orientation val="minMax"/>
        </c:scaling>
        <c:delete val="1"/>
        <c:axPos val="b"/>
        <c:numFmt formatCode="General" sourceLinked="1"/>
        <c:majorTickMark val="out"/>
        <c:minorTickMark val="none"/>
        <c:tickLblPos val="none"/>
        <c:crossAx val="-6037998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GHEA Grapalat" panose="02000506050000020003" pitchFamily="50" charset="0"/>
        </a:defRPr>
      </a:pPr>
      <a:endParaRPr lang="en-US"/>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Sheet1!$B$9</c:f>
              <c:strCache>
                <c:ptCount val="1"/>
                <c:pt idx="0">
                  <c:v>Տնտեսական աճ/անկում</c:v>
                </c:pt>
              </c:strCache>
            </c:strRef>
          </c:tx>
          <c:spPr>
            <a:solidFill>
              <a:schemeClr val="accent1"/>
            </a:solidFill>
            <a:ln>
              <a:noFill/>
            </a:ln>
            <a:effectLst/>
          </c:spPr>
          <c:invertIfNegative val="0"/>
          <c:dLbls>
            <c:dLbl>
              <c:idx val="1"/>
              <c:layout>
                <c:manualLayout>
                  <c:x val="3.333333333333334E-2"/>
                  <c:y val="0.175925925925925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21-4BDB-B5BD-32038AC4997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chemeClr val="dk1">
                        <a:lumMod val="65000"/>
                        <a:lumOff val="3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c15:spPr>
                <c15:showLeaderLines val="0"/>
              </c:ext>
            </c:extLst>
          </c:dLbls>
          <c:cat>
            <c:numRef>
              <c:f>Sheet1!$A$10:$A$12</c:f>
              <c:numCache>
                <c:formatCode>General</c:formatCode>
                <c:ptCount val="3"/>
                <c:pt idx="0">
                  <c:v>2009</c:v>
                </c:pt>
                <c:pt idx="1">
                  <c:v>2016</c:v>
                </c:pt>
                <c:pt idx="2">
                  <c:v>2020</c:v>
                </c:pt>
              </c:numCache>
            </c:numRef>
          </c:cat>
          <c:val>
            <c:numRef>
              <c:f>Sheet1!$B$10:$B$12</c:f>
              <c:numCache>
                <c:formatCode>General</c:formatCode>
                <c:ptCount val="3"/>
                <c:pt idx="0">
                  <c:v>-14.1</c:v>
                </c:pt>
                <c:pt idx="1">
                  <c:v>0.2</c:v>
                </c:pt>
                <c:pt idx="2">
                  <c:v>-2.6</c:v>
                </c:pt>
              </c:numCache>
            </c:numRef>
          </c:val>
          <c:extLst>
            <c:ext xmlns:c16="http://schemas.microsoft.com/office/drawing/2014/chart" uri="{C3380CC4-5D6E-409C-BE32-E72D297353CC}">
              <c16:uniqueId val="{00000001-2321-4BDB-B5BD-32038AC4997C}"/>
            </c:ext>
          </c:extLst>
        </c:ser>
        <c:dLbls>
          <c:showLegendKey val="0"/>
          <c:showVal val="0"/>
          <c:showCatName val="0"/>
          <c:showSerName val="0"/>
          <c:showPercent val="0"/>
          <c:showBubbleSize val="0"/>
        </c:dLbls>
        <c:gapWidth val="219"/>
        <c:overlap val="-27"/>
        <c:axId val="-603797632"/>
        <c:axId val="-601126944"/>
      </c:barChart>
      <c:catAx>
        <c:axId val="-6037976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6944"/>
        <c:crosses val="autoZero"/>
        <c:auto val="1"/>
        <c:lblAlgn val="ctr"/>
        <c:lblOffset val="100"/>
        <c:noMultiLvlLbl val="0"/>
      </c:catAx>
      <c:valAx>
        <c:axId val="-601126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3797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GHEA Grapalat" panose="02000506050000020003" pitchFamily="50" charset="0"/>
        </a:defRPr>
      </a:pPr>
      <a:endParaRPr lang="en-US"/>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157794177073183E-2"/>
          <c:y val="4.1115590668506716E-2"/>
          <c:w val="0.91791893726288765"/>
          <c:h val="0.57079207993394554"/>
        </c:manualLayout>
      </c:layout>
      <c:barChart>
        <c:barDir val="col"/>
        <c:grouping val="stacked"/>
        <c:varyColors val="0"/>
        <c:ser>
          <c:idx val="1"/>
          <c:order val="1"/>
          <c:tx>
            <c:strRef>
              <c:f>Sheet1!$D$4</c:f>
              <c:strCache>
                <c:ptCount val="1"/>
                <c:pt idx="0">
                  <c:v>արդյունաբերություն</c:v>
                </c:pt>
              </c:strCache>
            </c:strRef>
          </c:tx>
          <c:spPr>
            <a:solidFill>
              <a:schemeClr val="accent2"/>
            </a:solidFill>
            <a:ln>
              <a:noFill/>
            </a:ln>
            <a:effectLst/>
          </c:spPr>
          <c:invertIfNegative val="0"/>
          <c:val>
            <c:numRef>
              <c:f>Sheet1!$E$4:$K$4</c:f>
              <c:numCache>
                <c:formatCode>0.0</c:formatCode>
                <c:ptCount val="7"/>
                <c:pt idx="0">
                  <c:v>2.0948895026506751</c:v>
                </c:pt>
                <c:pt idx="1">
                  <c:v>0.90972491062214378</c:v>
                </c:pt>
                <c:pt idx="2">
                  <c:v>1.5067347204483752</c:v>
                </c:pt>
                <c:pt idx="3">
                  <c:v>-0.90646903345315544</c:v>
                </c:pt>
                <c:pt idx="4">
                  <c:v>1.8640697801843618</c:v>
                </c:pt>
                <c:pt idx="5">
                  <c:v>1.6436082065476256</c:v>
                </c:pt>
                <c:pt idx="6">
                  <c:v>0.95474724153477908</c:v>
                </c:pt>
              </c:numCache>
            </c:numRef>
          </c:val>
          <c:extLst>
            <c:ext xmlns:c16="http://schemas.microsoft.com/office/drawing/2014/chart" uri="{C3380CC4-5D6E-409C-BE32-E72D297353CC}">
              <c16:uniqueId val="{00000000-5728-4478-AD79-02A0E8C43429}"/>
            </c:ext>
          </c:extLst>
        </c:ser>
        <c:ser>
          <c:idx val="2"/>
          <c:order val="2"/>
          <c:tx>
            <c:strRef>
              <c:f>Sheet1!$D$5</c:f>
              <c:strCache>
                <c:ptCount val="1"/>
                <c:pt idx="0">
                  <c:v>գյուղատնտեսություն </c:v>
                </c:pt>
              </c:strCache>
            </c:strRef>
          </c:tx>
          <c:spPr>
            <a:solidFill>
              <a:schemeClr val="accent3"/>
            </a:solidFill>
            <a:ln>
              <a:noFill/>
            </a:ln>
            <a:effectLst/>
          </c:spPr>
          <c:invertIfNegative val="0"/>
          <c:val>
            <c:numRef>
              <c:f>Sheet1!$E$5:$K$5</c:f>
              <c:numCache>
                <c:formatCode>0.0</c:formatCode>
                <c:ptCount val="7"/>
                <c:pt idx="0">
                  <c:v>-0.83591415022634752</c:v>
                </c:pt>
                <c:pt idx="1">
                  <c:v>-1.034603948575157</c:v>
                </c:pt>
                <c:pt idx="2">
                  <c:v>-0.36250010304077984</c:v>
                </c:pt>
                <c:pt idx="3">
                  <c:v>0</c:v>
                </c:pt>
                <c:pt idx="4">
                  <c:v>0.24599933206303323</c:v>
                </c:pt>
                <c:pt idx="5">
                  <c:v>0.29335044972713931</c:v>
                </c:pt>
                <c:pt idx="6">
                  <c:v>0.33933431137739312</c:v>
                </c:pt>
              </c:numCache>
            </c:numRef>
          </c:val>
          <c:extLst>
            <c:ext xmlns:c16="http://schemas.microsoft.com/office/drawing/2014/chart" uri="{C3380CC4-5D6E-409C-BE32-E72D297353CC}">
              <c16:uniqueId val="{00000001-5728-4478-AD79-02A0E8C43429}"/>
            </c:ext>
          </c:extLst>
        </c:ser>
        <c:ser>
          <c:idx val="3"/>
          <c:order val="3"/>
          <c:tx>
            <c:strRef>
              <c:f>Sheet1!$D$6</c:f>
              <c:strCache>
                <c:ptCount val="1"/>
                <c:pt idx="0">
                  <c:v>շինարարություն</c:v>
                </c:pt>
              </c:strCache>
            </c:strRef>
          </c:tx>
          <c:spPr>
            <a:solidFill>
              <a:schemeClr val="accent4"/>
            </a:solidFill>
            <a:ln>
              <a:noFill/>
            </a:ln>
            <a:effectLst/>
          </c:spPr>
          <c:invertIfNegative val="0"/>
          <c:val>
            <c:numRef>
              <c:f>Sheet1!$E$6:$K$6</c:f>
              <c:numCache>
                <c:formatCode>0.0</c:formatCode>
                <c:ptCount val="7"/>
                <c:pt idx="0">
                  <c:v>0.21725481659982801</c:v>
                </c:pt>
                <c:pt idx="1">
                  <c:v>4.3605339591297046E-2</c:v>
                </c:pt>
                <c:pt idx="2">
                  <c:v>0.24434184795860939</c:v>
                </c:pt>
                <c:pt idx="3">
                  <c:v>6.1580195361544056E-2</c:v>
                </c:pt>
                <c:pt idx="4">
                  <c:v>0.25525057411890401</c:v>
                </c:pt>
                <c:pt idx="5">
                  <c:v>0.24828055788274941</c:v>
                </c:pt>
                <c:pt idx="6">
                  <c:v>0.27318982054568908</c:v>
                </c:pt>
              </c:numCache>
            </c:numRef>
          </c:val>
          <c:extLst>
            <c:ext xmlns:c16="http://schemas.microsoft.com/office/drawing/2014/chart" uri="{C3380CC4-5D6E-409C-BE32-E72D297353CC}">
              <c16:uniqueId val="{00000002-5728-4478-AD79-02A0E8C43429}"/>
            </c:ext>
          </c:extLst>
        </c:ser>
        <c:ser>
          <c:idx val="4"/>
          <c:order val="4"/>
          <c:tx>
            <c:strRef>
              <c:f>Sheet1!$D$7</c:f>
              <c:strCache>
                <c:ptCount val="1"/>
                <c:pt idx="0">
                  <c:v>ծառայություններ</c:v>
                </c:pt>
              </c:strCache>
            </c:strRef>
          </c:tx>
          <c:spPr>
            <a:solidFill>
              <a:schemeClr val="accent5"/>
            </a:solidFill>
            <a:ln>
              <a:noFill/>
            </a:ln>
            <a:effectLst/>
          </c:spPr>
          <c:invertIfNegative val="0"/>
          <c:val>
            <c:numRef>
              <c:f>Sheet1!$E$7:$K$7</c:f>
              <c:numCache>
                <c:formatCode>0.0</c:formatCode>
                <c:ptCount val="7"/>
                <c:pt idx="0">
                  <c:v>5.0886627683989714</c:v>
                </c:pt>
                <c:pt idx="1">
                  <c:v>4.4535445230925115</c:v>
                </c:pt>
                <c:pt idx="2">
                  <c:v>5.4466469250503913</c:v>
                </c:pt>
                <c:pt idx="3">
                  <c:v>-1.1141805408988985</c:v>
                </c:pt>
                <c:pt idx="4">
                  <c:v>3.7651646966898604</c:v>
                </c:pt>
                <c:pt idx="5">
                  <c:v>3.4551098092247603</c:v>
                </c:pt>
                <c:pt idx="6">
                  <c:v>2.9589959103062529</c:v>
                </c:pt>
              </c:numCache>
            </c:numRef>
          </c:val>
          <c:extLst>
            <c:ext xmlns:c16="http://schemas.microsoft.com/office/drawing/2014/chart" uri="{C3380CC4-5D6E-409C-BE32-E72D297353CC}">
              <c16:uniqueId val="{00000003-5728-4478-AD79-02A0E8C43429}"/>
            </c:ext>
          </c:extLst>
        </c:ser>
        <c:ser>
          <c:idx val="5"/>
          <c:order val="5"/>
          <c:tx>
            <c:strRef>
              <c:f>Sheet1!$D$8</c:f>
              <c:strCache>
                <c:ptCount val="1"/>
                <c:pt idx="0">
                  <c:v>զուտ հարկեր</c:v>
                </c:pt>
              </c:strCache>
            </c:strRef>
          </c:tx>
          <c:spPr>
            <a:solidFill>
              <a:schemeClr val="accent6"/>
            </a:solidFill>
            <a:ln>
              <a:noFill/>
            </a:ln>
            <a:effectLst/>
          </c:spPr>
          <c:invertIfNegative val="0"/>
          <c:val>
            <c:numRef>
              <c:f>Sheet1!$E$8:$K$8</c:f>
              <c:numCache>
                <c:formatCode>0.0</c:formatCode>
                <c:ptCount val="7"/>
                <c:pt idx="0">
                  <c:v>0.97397060580761696</c:v>
                </c:pt>
                <c:pt idx="1">
                  <c:v>0.82246482352669914</c:v>
                </c:pt>
                <c:pt idx="2">
                  <c:v>0.75427447723756125</c:v>
                </c:pt>
                <c:pt idx="3">
                  <c:v>-0.6409306210094986</c:v>
                </c:pt>
                <c:pt idx="4">
                  <c:v>0.82358805861290907</c:v>
                </c:pt>
                <c:pt idx="5">
                  <c:v>0.71765097661773736</c:v>
                </c:pt>
                <c:pt idx="6">
                  <c:v>0.55291122773119583</c:v>
                </c:pt>
              </c:numCache>
            </c:numRef>
          </c:val>
          <c:extLst>
            <c:ext xmlns:c16="http://schemas.microsoft.com/office/drawing/2014/chart" uri="{C3380CC4-5D6E-409C-BE32-E72D297353CC}">
              <c16:uniqueId val="{00000004-5728-4478-AD79-02A0E8C43429}"/>
            </c:ext>
          </c:extLst>
        </c:ser>
        <c:dLbls>
          <c:showLegendKey val="0"/>
          <c:showVal val="0"/>
          <c:showCatName val="0"/>
          <c:showSerName val="0"/>
          <c:showPercent val="0"/>
          <c:showBubbleSize val="0"/>
        </c:dLbls>
        <c:gapWidth val="150"/>
        <c:overlap val="100"/>
        <c:axId val="-601119328"/>
        <c:axId val="-601124768"/>
      </c:barChart>
      <c:lineChart>
        <c:grouping val="standard"/>
        <c:varyColors val="0"/>
        <c:ser>
          <c:idx val="0"/>
          <c:order val="0"/>
          <c:tx>
            <c:strRef>
              <c:f>Sheet1!$D$3</c:f>
              <c:strCache>
                <c:ptCount val="1"/>
                <c:pt idx="0">
                  <c:v>ՀՆԱ</c:v>
                </c:pt>
              </c:strCache>
            </c:strRef>
          </c:tx>
          <c:spPr>
            <a:ln w="28575" cap="rnd">
              <a:solidFill>
                <a:schemeClr val="accent1"/>
              </a:solidFill>
              <a:round/>
            </a:ln>
            <a:effectLst/>
          </c:spPr>
          <c:marker>
            <c:symbol val="none"/>
          </c:marker>
          <c:dLbls>
            <c:dLbl>
              <c:idx val="3"/>
              <c:layout>
                <c:manualLayout>
                  <c:x val="-4.4621057881783471E-2"/>
                  <c:y val="3.338617874851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28-4478-AD79-02A0E8C43429}"/>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Sheet1!$E$2:$K$2</c:f>
              <c:numCache>
                <c:formatCode>General</c:formatCode>
                <c:ptCount val="7"/>
                <c:pt idx="0">
                  <c:v>2017</c:v>
                </c:pt>
                <c:pt idx="1">
                  <c:v>2018</c:v>
                </c:pt>
                <c:pt idx="2">
                  <c:v>2019</c:v>
                </c:pt>
                <c:pt idx="3">
                  <c:v>2020</c:v>
                </c:pt>
                <c:pt idx="4">
                  <c:v>2021</c:v>
                </c:pt>
                <c:pt idx="5">
                  <c:v>2022</c:v>
                </c:pt>
                <c:pt idx="6">
                  <c:v>2023</c:v>
                </c:pt>
              </c:numCache>
            </c:numRef>
          </c:cat>
          <c:val>
            <c:numRef>
              <c:f>Sheet1!$E$3:$K$3</c:f>
              <c:numCache>
                <c:formatCode>0.0</c:formatCode>
                <c:ptCount val="7"/>
                <c:pt idx="0">
                  <c:v>7.5388635432307414</c:v>
                </c:pt>
                <c:pt idx="1">
                  <c:v>5.1947356482574722</c:v>
                </c:pt>
                <c:pt idx="2">
                  <c:v>7.5894978676541403</c:v>
                </c:pt>
                <c:pt idx="3">
                  <c:v>-2.6000000000000032</c:v>
                </c:pt>
                <c:pt idx="4">
                  <c:v>6.9540724416690693</c:v>
                </c:pt>
                <c:pt idx="5">
                  <c:v>6.3580000000000156</c:v>
                </c:pt>
                <c:pt idx="6">
                  <c:v>5.0791785114953063</c:v>
                </c:pt>
              </c:numCache>
            </c:numRef>
          </c:val>
          <c:smooth val="0"/>
          <c:extLst>
            <c:ext xmlns:c16="http://schemas.microsoft.com/office/drawing/2014/chart" uri="{C3380CC4-5D6E-409C-BE32-E72D297353CC}">
              <c16:uniqueId val="{00000006-5728-4478-AD79-02A0E8C43429}"/>
            </c:ext>
          </c:extLst>
        </c:ser>
        <c:dLbls>
          <c:showLegendKey val="0"/>
          <c:showVal val="0"/>
          <c:showCatName val="0"/>
          <c:showSerName val="0"/>
          <c:showPercent val="0"/>
          <c:showBubbleSize val="0"/>
        </c:dLbls>
        <c:marker val="1"/>
        <c:smooth val="0"/>
        <c:axId val="-601119328"/>
        <c:axId val="-601124768"/>
      </c:lineChart>
      <c:catAx>
        <c:axId val="-601119328"/>
        <c:scaling>
          <c:orientation val="minMax"/>
        </c:scaling>
        <c:delete val="0"/>
        <c:axPos val="b"/>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4768"/>
        <c:crosses val="autoZero"/>
        <c:auto val="1"/>
        <c:lblAlgn val="ctr"/>
        <c:lblOffset val="100"/>
        <c:noMultiLvlLbl val="0"/>
      </c:catAx>
      <c:valAx>
        <c:axId val="-6011247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19328"/>
        <c:crosses val="autoZero"/>
        <c:crossBetween val="between"/>
      </c:valAx>
      <c:spPr>
        <a:noFill/>
        <a:ln>
          <a:noFill/>
        </a:ln>
        <a:effectLst/>
      </c:spPr>
    </c:plotArea>
    <c:legend>
      <c:legendPos val="b"/>
      <c:layout>
        <c:manualLayout>
          <c:xMode val="edge"/>
          <c:yMode val="edge"/>
          <c:x val="0"/>
          <c:y val="0.77835400008346001"/>
          <c:w val="1"/>
          <c:h val="0.1581293808862133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GHEA Grapalat" panose="02000506050000020003" pitchFamily="50" charset="0"/>
        </a:defRPr>
      </a:pPr>
      <a:endParaRPr lang="en-US"/>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30597210264042"/>
          <c:y val="7.201309328968912E-2"/>
          <c:w val="0.81369779122581465"/>
          <c:h val="0.58559531940667808"/>
        </c:manualLayout>
      </c:layout>
      <c:barChart>
        <c:barDir val="col"/>
        <c:grouping val="stacked"/>
        <c:varyColors val="0"/>
        <c:ser>
          <c:idx val="1"/>
          <c:order val="1"/>
          <c:tx>
            <c:strRef>
              <c:f>Sheet1!$A$3</c:f>
              <c:strCache>
                <c:ptCount val="1"/>
                <c:pt idx="0">
                  <c:v>Սպառում</c:v>
                </c:pt>
              </c:strCache>
            </c:strRef>
          </c:tx>
          <c:spPr>
            <a:solidFill>
              <a:schemeClr val="accent2"/>
            </a:solidFill>
            <a:ln>
              <a:noFill/>
            </a:ln>
            <a:effectLst/>
          </c:spPr>
          <c:invertIfNegative val="0"/>
          <c:cat>
            <c:strRef>
              <c:f>Sheet1!$B$1:$H$1</c:f>
              <c:strCache>
                <c:ptCount val="7"/>
                <c:pt idx="0">
                  <c:v>2017</c:v>
                </c:pt>
                <c:pt idx="1">
                  <c:v>2018</c:v>
                </c:pt>
                <c:pt idx="2">
                  <c:v>2019</c:v>
                </c:pt>
                <c:pt idx="3">
                  <c:v>2020</c:v>
                </c:pt>
                <c:pt idx="4">
                  <c:v>2021</c:v>
                </c:pt>
                <c:pt idx="5">
                  <c:v>2022</c:v>
                </c:pt>
                <c:pt idx="6">
                  <c:v>2023</c:v>
                </c:pt>
              </c:strCache>
            </c:strRef>
          </c:cat>
          <c:val>
            <c:numRef>
              <c:f>Sheet1!$B$3:$H$3</c:f>
              <c:numCache>
                <c:formatCode>0.0</c:formatCode>
                <c:ptCount val="7"/>
                <c:pt idx="0">
                  <c:v>9.5287992100714085</c:v>
                </c:pt>
                <c:pt idx="1">
                  <c:v>5.5409127008922781</c:v>
                </c:pt>
                <c:pt idx="2">
                  <c:v>9.8847416581508387</c:v>
                </c:pt>
                <c:pt idx="3">
                  <c:v>-1.034957668450724</c:v>
                </c:pt>
                <c:pt idx="4">
                  <c:v>4.6752788716914795</c:v>
                </c:pt>
                <c:pt idx="5">
                  <c:v>4.7134341682611689</c:v>
                </c:pt>
                <c:pt idx="6">
                  <c:v>3.3288806908594037</c:v>
                </c:pt>
              </c:numCache>
            </c:numRef>
          </c:val>
          <c:extLst>
            <c:ext xmlns:c16="http://schemas.microsoft.com/office/drawing/2014/chart" uri="{C3380CC4-5D6E-409C-BE32-E72D297353CC}">
              <c16:uniqueId val="{00000000-C300-4FDF-88BE-35E846C879B9}"/>
            </c:ext>
          </c:extLst>
        </c:ser>
        <c:ser>
          <c:idx val="2"/>
          <c:order val="2"/>
          <c:tx>
            <c:strRef>
              <c:f>Sheet1!$A$4</c:f>
              <c:strCache>
                <c:ptCount val="1"/>
                <c:pt idx="0">
                  <c:v>Հիմնական միջոցներում կապիտալ ներդրումներ</c:v>
                </c:pt>
              </c:strCache>
            </c:strRef>
          </c:tx>
          <c:spPr>
            <a:solidFill>
              <a:schemeClr val="accent3"/>
            </a:solidFill>
            <a:ln>
              <a:noFill/>
            </a:ln>
            <a:effectLst/>
          </c:spPr>
          <c:invertIfNegative val="0"/>
          <c:cat>
            <c:strRef>
              <c:f>Sheet1!$B$1:$H$1</c:f>
              <c:strCache>
                <c:ptCount val="7"/>
                <c:pt idx="0">
                  <c:v>2017</c:v>
                </c:pt>
                <c:pt idx="1">
                  <c:v>2018</c:v>
                </c:pt>
                <c:pt idx="2">
                  <c:v>2019</c:v>
                </c:pt>
                <c:pt idx="3">
                  <c:v>2020</c:v>
                </c:pt>
                <c:pt idx="4">
                  <c:v>2021</c:v>
                </c:pt>
                <c:pt idx="5">
                  <c:v>2022</c:v>
                </c:pt>
                <c:pt idx="6">
                  <c:v>2023</c:v>
                </c:pt>
              </c:strCache>
            </c:strRef>
          </c:cat>
          <c:val>
            <c:numRef>
              <c:f>Sheet1!$B$4:$H$4</c:f>
              <c:numCache>
                <c:formatCode>0.0</c:formatCode>
                <c:ptCount val="7"/>
                <c:pt idx="0">
                  <c:v>1.7475043413214546</c:v>
                </c:pt>
                <c:pt idx="1">
                  <c:v>0.8471220479320184</c:v>
                </c:pt>
                <c:pt idx="2">
                  <c:v>0.73660007839076824</c:v>
                </c:pt>
                <c:pt idx="3">
                  <c:v>-0.33782841871232555</c:v>
                </c:pt>
                <c:pt idx="4">
                  <c:v>1.0402577320200119</c:v>
                </c:pt>
                <c:pt idx="5">
                  <c:v>1.260786660623626</c:v>
                </c:pt>
                <c:pt idx="6">
                  <c:v>0.7362636089035367</c:v>
                </c:pt>
              </c:numCache>
            </c:numRef>
          </c:val>
          <c:extLst>
            <c:ext xmlns:c16="http://schemas.microsoft.com/office/drawing/2014/chart" uri="{C3380CC4-5D6E-409C-BE32-E72D297353CC}">
              <c16:uniqueId val="{00000001-C300-4FDF-88BE-35E846C879B9}"/>
            </c:ext>
          </c:extLst>
        </c:ser>
        <c:ser>
          <c:idx val="3"/>
          <c:order val="3"/>
          <c:tx>
            <c:strRef>
              <c:f>Sheet1!$A$5</c:f>
              <c:strCache>
                <c:ptCount val="1"/>
                <c:pt idx="0">
                  <c:v>Զուտ արտահանում</c:v>
                </c:pt>
              </c:strCache>
            </c:strRef>
          </c:tx>
          <c:spPr>
            <a:solidFill>
              <a:schemeClr val="accent4"/>
            </a:solidFill>
            <a:ln>
              <a:noFill/>
            </a:ln>
            <a:effectLst/>
          </c:spPr>
          <c:invertIfNegative val="0"/>
          <c:cat>
            <c:strRef>
              <c:f>Sheet1!$B$1:$H$1</c:f>
              <c:strCache>
                <c:ptCount val="7"/>
                <c:pt idx="0">
                  <c:v>2017</c:v>
                </c:pt>
                <c:pt idx="1">
                  <c:v>2018</c:v>
                </c:pt>
                <c:pt idx="2">
                  <c:v>2019</c:v>
                </c:pt>
                <c:pt idx="3">
                  <c:v>2020</c:v>
                </c:pt>
                <c:pt idx="4">
                  <c:v>2021</c:v>
                </c:pt>
                <c:pt idx="5">
                  <c:v>2022</c:v>
                </c:pt>
                <c:pt idx="6">
                  <c:v>2023</c:v>
                </c:pt>
              </c:strCache>
            </c:strRef>
          </c:cat>
          <c:val>
            <c:numRef>
              <c:f>Sheet1!$B$5:$H$5</c:f>
              <c:numCache>
                <c:formatCode>0.0</c:formatCode>
                <c:ptCount val="7"/>
                <c:pt idx="0">
                  <c:v>-4.3227123453575285</c:v>
                </c:pt>
                <c:pt idx="1">
                  <c:v>-5.3030267463885687</c:v>
                </c:pt>
                <c:pt idx="2">
                  <c:v>0.8166302832996587</c:v>
                </c:pt>
                <c:pt idx="3">
                  <c:v>-1.2272139128369484</c:v>
                </c:pt>
                <c:pt idx="4">
                  <c:v>1.238535837957579</c:v>
                </c:pt>
                <c:pt idx="5">
                  <c:v>0.38377917111521054</c:v>
                </c:pt>
                <c:pt idx="6">
                  <c:v>1.014034211732358</c:v>
                </c:pt>
              </c:numCache>
            </c:numRef>
          </c:val>
          <c:extLst>
            <c:ext xmlns:c16="http://schemas.microsoft.com/office/drawing/2014/chart" uri="{C3380CC4-5D6E-409C-BE32-E72D297353CC}">
              <c16:uniqueId val="{00000002-C300-4FDF-88BE-35E846C879B9}"/>
            </c:ext>
          </c:extLst>
        </c:ser>
        <c:dLbls>
          <c:showLegendKey val="0"/>
          <c:showVal val="0"/>
          <c:showCatName val="0"/>
          <c:showSerName val="0"/>
          <c:showPercent val="0"/>
          <c:showBubbleSize val="0"/>
        </c:dLbls>
        <c:gapWidth val="150"/>
        <c:overlap val="100"/>
        <c:axId val="-601117696"/>
        <c:axId val="-601128576"/>
      </c:barChart>
      <c:lineChart>
        <c:grouping val="standard"/>
        <c:varyColors val="0"/>
        <c:ser>
          <c:idx val="0"/>
          <c:order val="0"/>
          <c:tx>
            <c:strRef>
              <c:f>Sheet1!$A$2</c:f>
              <c:strCache>
                <c:ptCount val="1"/>
                <c:pt idx="0">
                  <c:v>ՀՆԱ</c:v>
                </c:pt>
              </c:strCache>
            </c:strRef>
          </c:tx>
          <c:spPr>
            <a:ln w="28575" cap="rnd">
              <a:solidFill>
                <a:schemeClr val="accent1"/>
              </a:solidFill>
              <a:round/>
            </a:ln>
            <a:effectLst/>
          </c:spPr>
          <c:marker>
            <c:symbol val="none"/>
          </c:marker>
          <c:dLbls>
            <c:dLbl>
              <c:idx val="4"/>
              <c:layout>
                <c:manualLayout>
                  <c:x val="-3.4722222222222314E-2"/>
                  <c:y val="-3.82043935052531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00-4FDF-88BE-35E846C879B9}"/>
                </c:ext>
              </c:extLst>
            </c:dLbl>
            <c:dLbl>
              <c:idx val="5"/>
              <c:layout>
                <c:manualLayout>
                  <c:x val="-1.3888888888888926E-2"/>
                  <c:y val="-2.38777459407832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00-4FDF-88BE-35E846C879B9}"/>
                </c:ext>
              </c:extLst>
            </c:dLbl>
            <c:dLbl>
              <c:idx val="6"/>
              <c:layout>
                <c:manualLayout>
                  <c:x val="-3.2407407407407669E-2"/>
                  <c:y val="-4.77554918815665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00-4FDF-88BE-35E846C879B9}"/>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2017</c:v>
                </c:pt>
                <c:pt idx="1">
                  <c:v>2018</c:v>
                </c:pt>
                <c:pt idx="2">
                  <c:v>2019</c:v>
                </c:pt>
                <c:pt idx="3">
                  <c:v>2020</c:v>
                </c:pt>
                <c:pt idx="4">
                  <c:v>2021</c:v>
                </c:pt>
                <c:pt idx="5">
                  <c:v>2022</c:v>
                </c:pt>
                <c:pt idx="6">
                  <c:v>2023</c:v>
                </c:pt>
              </c:strCache>
            </c:strRef>
          </c:cat>
          <c:val>
            <c:numRef>
              <c:f>Sheet1!$B$2:$H$2</c:f>
              <c:numCache>
                <c:formatCode>0.0</c:formatCode>
                <c:ptCount val="7"/>
                <c:pt idx="0">
                  <c:v>7.5388635432307094</c:v>
                </c:pt>
                <c:pt idx="1">
                  <c:v>5.1947356482574829</c:v>
                </c:pt>
                <c:pt idx="2">
                  <c:v>7.5894978676541598</c:v>
                </c:pt>
                <c:pt idx="3">
                  <c:v>-2.5999999999999943</c:v>
                </c:pt>
                <c:pt idx="4">
                  <c:v>6.9540724416690693</c:v>
                </c:pt>
                <c:pt idx="5">
                  <c:v>6.3580000000000041</c:v>
                </c:pt>
                <c:pt idx="6">
                  <c:v>5.0791785114953001</c:v>
                </c:pt>
              </c:numCache>
            </c:numRef>
          </c:val>
          <c:smooth val="0"/>
          <c:extLst>
            <c:ext xmlns:c16="http://schemas.microsoft.com/office/drawing/2014/chart" uri="{C3380CC4-5D6E-409C-BE32-E72D297353CC}">
              <c16:uniqueId val="{00000006-C300-4FDF-88BE-35E846C879B9}"/>
            </c:ext>
          </c:extLst>
        </c:ser>
        <c:dLbls>
          <c:showLegendKey val="0"/>
          <c:showVal val="0"/>
          <c:showCatName val="0"/>
          <c:showSerName val="0"/>
          <c:showPercent val="0"/>
          <c:showBubbleSize val="0"/>
        </c:dLbls>
        <c:marker val="1"/>
        <c:smooth val="0"/>
        <c:axId val="-601117696"/>
        <c:axId val="-601128576"/>
      </c:lineChart>
      <c:catAx>
        <c:axId val="-6011176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8576"/>
        <c:crosses val="autoZero"/>
        <c:auto val="1"/>
        <c:lblAlgn val="ctr"/>
        <c:lblOffset val="100"/>
        <c:noMultiLvlLbl val="0"/>
      </c:catAx>
      <c:valAx>
        <c:axId val="-6011285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17696"/>
        <c:crosses val="autoZero"/>
        <c:crossBetween val="between"/>
      </c:valAx>
      <c:spPr>
        <a:noFill/>
        <a:ln>
          <a:noFill/>
        </a:ln>
        <a:effectLst/>
      </c:spPr>
    </c:plotArea>
    <c:legend>
      <c:legendPos val="b"/>
      <c:layout>
        <c:manualLayout>
          <c:xMode val="edge"/>
          <c:yMode val="edge"/>
          <c:x val="2.091774131948677E-2"/>
          <c:y val="0.76103826800655461"/>
          <c:w val="0.97908241294216225"/>
          <c:h val="0.2389618731869046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GHEA Grapalat" panose="02000506050000020003" pitchFamily="50" charset="0"/>
        </a:defRPr>
      </a:pPr>
      <a:endParaRPr lang="en-US"/>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36046999039115"/>
          <c:y val="8.6819258089976328E-2"/>
          <c:w val="0.84559448496456369"/>
          <c:h val="0.6190958864948537"/>
        </c:manualLayout>
      </c:layout>
      <c:barChart>
        <c:barDir val="col"/>
        <c:grouping val="percentStacked"/>
        <c:varyColors val="0"/>
        <c:ser>
          <c:idx val="0"/>
          <c:order val="0"/>
          <c:tx>
            <c:strRef>
              <c:f>Sheet1!$A$2</c:f>
              <c:strCache>
                <c:ptCount val="1"/>
                <c:pt idx="0">
                  <c:v>Սպառում</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2017 </c:v>
                </c:pt>
                <c:pt idx="1">
                  <c:v>2018 </c:v>
                </c:pt>
                <c:pt idx="2">
                  <c:v>2019</c:v>
                </c:pt>
                <c:pt idx="3">
                  <c:v>2020</c:v>
                </c:pt>
                <c:pt idx="4">
                  <c:v>2021</c:v>
                </c:pt>
                <c:pt idx="5">
                  <c:v>2022</c:v>
                </c:pt>
                <c:pt idx="6">
                  <c:v>2023</c:v>
                </c:pt>
              </c:strCache>
            </c:strRef>
          </c:cat>
          <c:val>
            <c:numRef>
              <c:f>Sheet1!$B$2:$H$2</c:f>
              <c:numCache>
                <c:formatCode>0.0</c:formatCode>
                <c:ptCount val="7"/>
                <c:pt idx="0">
                  <c:v>92.348545014871249</c:v>
                </c:pt>
                <c:pt idx="1">
                  <c:v>93.252279793875886</c:v>
                </c:pt>
                <c:pt idx="2">
                  <c:v>96.940025003384065</c:v>
                </c:pt>
                <c:pt idx="3">
                  <c:v>98.404230810809779</c:v>
                </c:pt>
                <c:pt idx="4">
                  <c:v>96.672022302387248</c:v>
                </c:pt>
                <c:pt idx="5">
                  <c:v>95.054730375025088</c:v>
                </c:pt>
                <c:pt idx="6">
                  <c:v>93.929646306582598</c:v>
                </c:pt>
              </c:numCache>
            </c:numRef>
          </c:val>
          <c:extLst>
            <c:ext xmlns:c16="http://schemas.microsoft.com/office/drawing/2014/chart" uri="{C3380CC4-5D6E-409C-BE32-E72D297353CC}">
              <c16:uniqueId val="{00000000-54C1-4768-B188-0BA667B80653}"/>
            </c:ext>
          </c:extLst>
        </c:ser>
        <c:ser>
          <c:idx val="1"/>
          <c:order val="1"/>
          <c:tx>
            <c:strRef>
              <c:f>Sheet1!$A$3</c:f>
              <c:strCache>
                <c:ptCount val="1"/>
                <c:pt idx="0">
                  <c:v>Հիմնական միջոցներում կապիտալ ներդրումներ</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2017 </c:v>
                </c:pt>
                <c:pt idx="1">
                  <c:v>2018 </c:v>
                </c:pt>
                <c:pt idx="2">
                  <c:v>2019</c:v>
                </c:pt>
                <c:pt idx="3">
                  <c:v>2020</c:v>
                </c:pt>
                <c:pt idx="4">
                  <c:v>2021</c:v>
                </c:pt>
                <c:pt idx="5">
                  <c:v>2022</c:v>
                </c:pt>
                <c:pt idx="6">
                  <c:v>2023</c:v>
                </c:pt>
              </c:strCache>
            </c:strRef>
          </c:cat>
          <c:val>
            <c:numRef>
              <c:f>Sheet1!$B$3:$H$3</c:f>
              <c:numCache>
                <c:formatCode>0.0</c:formatCode>
                <c:ptCount val="7"/>
                <c:pt idx="0">
                  <c:v>17.648375998583727</c:v>
                </c:pt>
                <c:pt idx="1">
                  <c:v>16.740910872517368</c:v>
                </c:pt>
                <c:pt idx="2">
                  <c:v>15.753701444054718</c:v>
                </c:pt>
                <c:pt idx="3">
                  <c:v>15.9862767944457</c:v>
                </c:pt>
                <c:pt idx="4">
                  <c:v>16.034680216619993</c:v>
                </c:pt>
                <c:pt idx="5">
                  <c:v>16.269930071478029</c:v>
                </c:pt>
                <c:pt idx="6">
                  <c:v>16.354467258328253</c:v>
                </c:pt>
              </c:numCache>
            </c:numRef>
          </c:val>
          <c:extLst>
            <c:ext xmlns:c16="http://schemas.microsoft.com/office/drawing/2014/chart" uri="{C3380CC4-5D6E-409C-BE32-E72D297353CC}">
              <c16:uniqueId val="{00000001-54C1-4768-B188-0BA667B80653}"/>
            </c:ext>
          </c:extLst>
        </c:ser>
        <c:ser>
          <c:idx val="2"/>
          <c:order val="2"/>
          <c:tx>
            <c:strRef>
              <c:f>Sheet1!$A$4</c:f>
              <c:strCache>
                <c:ptCount val="1"/>
                <c:pt idx="0">
                  <c:v>Ապրանք. և ծառ. արտահանում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2017 </c:v>
                </c:pt>
                <c:pt idx="1">
                  <c:v>2018 </c:v>
                </c:pt>
                <c:pt idx="2">
                  <c:v>2019</c:v>
                </c:pt>
                <c:pt idx="3">
                  <c:v>2020</c:v>
                </c:pt>
                <c:pt idx="4">
                  <c:v>2021</c:v>
                </c:pt>
                <c:pt idx="5">
                  <c:v>2022</c:v>
                </c:pt>
                <c:pt idx="6">
                  <c:v>2023</c:v>
                </c:pt>
              </c:strCache>
            </c:strRef>
          </c:cat>
          <c:val>
            <c:numRef>
              <c:f>Sheet1!$B$4:$H$4</c:f>
              <c:numCache>
                <c:formatCode>0.0</c:formatCode>
                <c:ptCount val="7"/>
                <c:pt idx="0">
                  <c:v>37.329503119358577</c:v>
                </c:pt>
                <c:pt idx="1">
                  <c:v>37.731255087223005</c:v>
                </c:pt>
                <c:pt idx="2">
                  <c:v>38.522337267774816</c:v>
                </c:pt>
                <c:pt idx="3">
                  <c:v>32.020534368114063</c:v>
                </c:pt>
                <c:pt idx="4">
                  <c:v>34.279489570409893</c:v>
                </c:pt>
                <c:pt idx="5">
                  <c:v>35.490861638944864</c:v>
                </c:pt>
                <c:pt idx="6">
                  <c:v>36.856442721489145</c:v>
                </c:pt>
              </c:numCache>
            </c:numRef>
          </c:val>
          <c:extLst>
            <c:ext xmlns:c16="http://schemas.microsoft.com/office/drawing/2014/chart" uri="{C3380CC4-5D6E-409C-BE32-E72D297353CC}">
              <c16:uniqueId val="{00000002-54C1-4768-B188-0BA667B80653}"/>
            </c:ext>
          </c:extLst>
        </c:ser>
        <c:ser>
          <c:idx val="3"/>
          <c:order val="3"/>
          <c:tx>
            <c:strRef>
              <c:f>Sheet1!$A$5</c:f>
              <c:strCache>
                <c:ptCount val="1"/>
                <c:pt idx="0">
                  <c:v>Ապրանք. և ծառ. ներմուծում </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2017 </c:v>
                </c:pt>
                <c:pt idx="1">
                  <c:v>2018 </c:v>
                </c:pt>
                <c:pt idx="2">
                  <c:v>2019</c:v>
                </c:pt>
                <c:pt idx="3">
                  <c:v>2020</c:v>
                </c:pt>
                <c:pt idx="4">
                  <c:v>2021</c:v>
                </c:pt>
                <c:pt idx="5">
                  <c:v>2022</c:v>
                </c:pt>
                <c:pt idx="6">
                  <c:v>2023</c:v>
                </c:pt>
              </c:strCache>
            </c:strRef>
          </c:cat>
          <c:val>
            <c:numRef>
              <c:f>Sheet1!$B$5:$H$5</c:f>
              <c:numCache>
                <c:formatCode>0.0</c:formatCode>
                <c:ptCount val="7"/>
                <c:pt idx="0">
                  <c:v>49.500638270154866</c:v>
                </c:pt>
                <c:pt idx="1">
                  <c:v>53.383274207868944</c:v>
                </c:pt>
                <c:pt idx="2">
                  <c:v>52.909948298613479</c:v>
                </c:pt>
                <c:pt idx="3">
                  <c:v>47.966924605533805</c:v>
                </c:pt>
                <c:pt idx="4">
                  <c:v>48.301981799395165</c:v>
                </c:pt>
                <c:pt idx="5">
                  <c:v>48.351893676999325</c:v>
                </c:pt>
                <c:pt idx="6">
                  <c:v>47.245440597545524</c:v>
                </c:pt>
              </c:numCache>
            </c:numRef>
          </c:val>
          <c:extLst>
            <c:ext xmlns:c16="http://schemas.microsoft.com/office/drawing/2014/chart" uri="{C3380CC4-5D6E-409C-BE32-E72D297353CC}">
              <c16:uniqueId val="{00000003-54C1-4768-B188-0BA667B80653}"/>
            </c:ext>
          </c:extLst>
        </c:ser>
        <c:dLbls>
          <c:showLegendKey val="0"/>
          <c:showVal val="0"/>
          <c:showCatName val="0"/>
          <c:showSerName val="0"/>
          <c:showPercent val="0"/>
          <c:showBubbleSize val="0"/>
        </c:dLbls>
        <c:gapWidth val="150"/>
        <c:overlap val="100"/>
        <c:axId val="-601125856"/>
        <c:axId val="-601129664"/>
      </c:barChart>
      <c:catAx>
        <c:axId val="-60112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9664"/>
        <c:crosses val="autoZero"/>
        <c:auto val="1"/>
        <c:lblAlgn val="ctr"/>
        <c:lblOffset val="100"/>
        <c:noMultiLvlLbl val="0"/>
      </c:catAx>
      <c:valAx>
        <c:axId val="-601129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5856"/>
        <c:crosses val="autoZero"/>
        <c:crossBetween val="between"/>
      </c:valAx>
      <c:spPr>
        <a:noFill/>
        <a:ln>
          <a:noFill/>
        </a:ln>
        <a:effectLst/>
      </c:spPr>
    </c:plotArea>
    <c:legend>
      <c:legendPos val="b"/>
      <c:layout>
        <c:manualLayout>
          <c:xMode val="edge"/>
          <c:yMode val="edge"/>
          <c:x val="5.2434256574987008E-3"/>
          <c:y val="0.82079933378493464"/>
          <c:w val="0.99475646011079077"/>
          <c:h val="0.1456102517572048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GHEA Grapalat" panose="02000506050000020003" pitchFamily="50"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905234719560396"/>
          <c:y val="7.0512820512820512E-2"/>
          <c:w val="0.71293878587757176"/>
          <c:h val="0.63414496264890174"/>
        </c:manualLayout>
      </c:layout>
      <c:lineChart>
        <c:grouping val="standard"/>
        <c:varyColors val="0"/>
        <c:ser>
          <c:idx val="1"/>
          <c:order val="1"/>
          <c:tx>
            <c:strRef>
              <c:f>Sheet1!$C$1</c:f>
              <c:strCache>
                <c:ptCount val="1"/>
                <c:pt idx="0">
                  <c:v>Պղինձ</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cat>
            <c:numRef>
              <c:f>Sheet1!$A$2:$A$6</c:f>
              <c:numCache>
                <c:formatCode>General</c:formatCode>
                <c:ptCount val="5"/>
                <c:pt idx="0">
                  <c:v>2017</c:v>
                </c:pt>
                <c:pt idx="1">
                  <c:v>2018</c:v>
                </c:pt>
                <c:pt idx="2">
                  <c:v>2019</c:v>
                </c:pt>
                <c:pt idx="3">
                  <c:v>2020</c:v>
                </c:pt>
                <c:pt idx="4">
                  <c:v>2021</c:v>
                </c:pt>
              </c:numCache>
            </c:numRef>
          </c:cat>
          <c:val>
            <c:numRef>
              <c:f>Sheet1!$C$2:$C$6</c:f>
              <c:numCache>
                <c:formatCode>0</c:formatCode>
                <c:ptCount val="5"/>
                <c:pt idx="0">
                  <c:v>6169.94</c:v>
                </c:pt>
                <c:pt idx="1">
                  <c:v>6529.7983333333295</c:v>
                </c:pt>
                <c:pt idx="2">
                  <c:v>6010.1450000000004</c:v>
                </c:pt>
                <c:pt idx="3">
                  <c:v>5200.1254575707153</c:v>
                </c:pt>
                <c:pt idx="4">
                  <c:v>5500.1326955074965</c:v>
                </c:pt>
              </c:numCache>
            </c:numRef>
          </c:val>
          <c:smooth val="0"/>
          <c:extLst>
            <c:ext xmlns:c16="http://schemas.microsoft.com/office/drawing/2014/chart" uri="{C3380CC4-5D6E-409C-BE32-E72D297353CC}">
              <c16:uniqueId val="{00000000-CC63-4B7D-ABEF-99B723E8CB8E}"/>
            </c:ext>
          </c:extLst>
        </c:ser>
        <c:dLbls>
          <c:showLegendKey val="0"/>
          <c:showVal val="0"/>
          <c:showCatName val="0"/>
          <c:showSerName val="0"/>
          <c:showPercent val="0"/>
          <c:showBubbleSize val="0"/>
        </c:dLbls>
        <c:marker val="1"/>
        <c:smooth val="0"/>
        <c:axId val="-846720752"/>
        <c:axId val="-846720208"/>
      </c:lineChart>
      <c:lineChart>
        <c:grouping val="standard"/>
        <c:varyColors val="0"/>
        <c:ser>
          <c:idx val="0"/>
          <c:order val="0"/>
          <c:tx>
            <c:strRef>
              <c:f>Sheet1!$B$1</c:f>
              <c:strCache>
                <c:ptCount val="1"/>
                <c:pt idx="0">
                  <c:v>Նավթ(աջ առանցք)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Sheet1!$A$2:$A$6</c:f>
              <c:numCache>
                <c:formatCode>General</c:formatCode>
                <c:ptCount val="5"/>
                <c:pt idx="0">
                  <c:v>2017</c:v>
                </c:pt>
                <c:pt idx="1">
                  <c:v>2018</c:v>
                </c:pt>
                <c:pt idx="2">
                  <c:v>2019</c:v>
                </c:pt>
                <c:pt idx="3">
                  <c:v>2020</c:v>
                </c:pt>
                <c:pt idx="4">
                  <c:v>2021</c:v>
                </c:pt>
              </c:numCache>
            </c:numRef>
          </c:cat>
          <c:val>
            <c:numRef>
              <c:f>Sheet1!$B$2:$B$6</c:f>
              <c:numCache>
                <c:formatCode>0</c:formatCode>
                <c:ptCount val="5"/>
                <c:pt idx="0">
                  <c:v>52.805</c:v>
                </c:pt>
                <c:pt idx="1">
                  <c:v>68.347499999999997</c:v>
                </c:pt>
                <c:pt idx="2">
                  <c:v>61.407499999999999</c:v>
                </c:pt>
                <c:pt idx="3">
                  <c:v>36.169017500000002</c:v>
                </c:pt>
                <c:pt idx="4">
                  <c:v>37.543440164999993</c:v>
                </c:pt>
              </c:numCache>
            </c:numRef>
          </c:val>
          <c:smooth val="0"/>
          <c:extLst>
            <c:ext xmlns:c16="http://schemas.microsoft.com/office/drawing/2014/chart" uri="{C3380CC4-5D6E-409C-BE32-E72D297353CC}">
              <c16:uniqueId val="{00000001-CC63-4B7D-ABEF-99B723E8CB8E}"/>
            </c:ext>
          </c:extLst>
        </c:ser>
        <c:dLbls>
          <c:showLegendKey val="0"/>
          <c:showVal val="0"/>
          <c:showCatName val="0"/>
          <c:showSerName val="0"/>
          <c:showPercent val="0"/>
          <c:showBubbleSize val="0"/>
        </c:dLbls>
        <c:marker val="1"/>
        <c:smooth val="0"/>
        <c:axId val="-937546880"/>
        <c:axId val="-846715856"/>
      </c:lineChart>
      <c:catAx>
        <c:axId val="-84672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720208"/>
        <c:crosses val="autoZero"/>
        <c:auto val="1"/>
        <c:lblAlgn val="ctr"/>
        <c:lblOffset val="100"/>
        <c:noMultiLvlLbl val="0"/>
      </c:catAx>
      <c:valAx>
        <c:axId val="-846720208"/>
        <c:scaling>
          <c:orientation val="minMax"/>
          <c:min val="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b="0" i="0" baseline="0">
                    <a:effectLst/>
                  </a:rPr>
                  <a:t>($/mt) </a:t>
                </a:r>
                <a:endParaRPr lang="en-US" sz="900">
                  <a:effectLst/>
                </a:endParaRPr>
              </a:p>
            </c:rich>
          </c:tx>
          <c:layout>
            <c:manualLayout>
              <c:xMode val="edge"/>
              <c:yMode val="edge"/>
              <c:x val="1.9550342130987301E-3"/>
              <c:y val="0.28080027732382629"/>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720752"/>
        <c:crosses val="autoZero"/>
        <c:crossBetween val="between"/>
      </c:valAx>
      <c:valAx>
        <c:axId val="-846715856"/>
        <c:scaling>
          <c:orientation val="minMax"/>
          <c:min val="30"/>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0" i="0" baseline="0">
                    <a:effectLst/>
                  </a:rPr>
                  <a:t>($/bbl) </a:t>
                </a:r>
                <a:endParaRPr lang="en-US" sz="900">
                  <a:effectLst/>
                </a:endParaRPr>
              </a:p>
            </c:rich>
          </c:tx>
          <c:layout>
            <c:manualLayout>
              <c:xMode val="edge"/>
              <c:yMode val="edge"/>
              <c:x val="0.935609106263532"/>
              <c:y val="0.28816222491419341"/>
            </c:manualLayout>
          </c:layout>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546880"/>
        <c:crosses val="max"/>
        <c:crossBetween val="between"/>
      </c:valAx>
      <c:catAx>
        <c:axId val="-937546880"/>
        <c:scaling>
          <c:orientation val="minMax"/>
        </c:scaling>
        <c:delete val="1"/>
        <c:axPos val="b"/>
        <c:numFmt formatCode="General" sourceLinked="1"/>
        <c:majorTickMark val="out"/>
        <c:minorTickMark val="none"/>
        <c:tickLblPos val="none"/>
        <c:crossAx val="-8467158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122703412073505E-2"/>
          <c:y val="5.0925925925925923E-2"/>
          <c:w val="0.87232174103237092"/>
          <c:h val="0.58299139690871971"/>
        </c:manualLayout>
      </c:layout>
      <c:barChart>
        <c:barDir val="col"/>
        <c:grouping val="percentStacked"/>
        <c:varyColors val="0"/>
        <c:ser>
          <c:idx val="0"/>
          <c:order val="0"/>
          <c:tx>
            <c:strRef>
              <c:f>Sheet1!$A$8</c:f>
              <c:strCache>
                <c:ptCount val="1"/>
                <c:pt idx="0">
                  <c:v>Արդյունաբերություն</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Sheet1!$B$7:$H$7</c:f>
              <c:strCache>
                <c:ptCount val="7"/>
                <c:pt idx="0">
                  <c:v>2017 </c:v>
                </c:pt>
                <c:pt idx="1">
                  <c:v>2018 </c:v>
                </c:pt>
                <c:pt idx="2">
                  <c:v>2019</c:v>
                </c:pt>
                <c:pt idx="3">
                  <c:v>2020</c:v>
                </c:pt>
                <c:pt idx="4">
                  <c:v>2021</c:v>
                </c:pt>
                <c:pt idx="5">
                  <c:v>2022</c:v>
                </c:pt>
                <c:pt idx="6">
                  <c:v>2023</c:v>
                </c:pt>
              </c:strCache>
            </c:strRef>
          </c:cat>
          <c:val>
            <c:numRef>
              <c:f>Sheet1!$B$8:$H$8</c:f>
              <c:numCache>
                <c:formatCode>0.0</c:formatCode>
                <c:ptCount val="7"/>
                <c:pt idx="0">
                  <c:v>18.541975780616042</c:v>
                </c:pt>
                <c:pt idx="1">
                  <c:v>18.15272411901466</c:v>
                </c:pt>
                <c:pt idx="2">
                  <c:v>18.129380669063085</c:v>
                </c:pt>
                <c:pt idx="3">
                  <c:v>17.670582805804923</c:v>
                </c:pt>
                <c:pt idx="4">
                  <c:v>18.262313406084729</c:v>
                </c:pt>
                <c:pt idx="5">
                  <c:v>18.720534147740729</c:v>
                </c:pt>
                <c:pt idx="6">
                  <c:v>18.724243630362079</c:v>
                </c:pt>
              </c:numCache>
            </c:numRef>
          </c:val>
          <c:extLst>
            <c:ext xmlns:c16="http://schemas.microsoft.com/office/drawing/2014/chart" uri="{C3380CC4-5D6E-409C-BE32-E72D297353CC}">
              <c16:uniqueId val="{00000000-6A87-48E3-90D6-C1B68813C0BE}"/>
            </c:ext>
          </c:extLst>
        </c:ser>
        <c:ser>
          <c:idx val="1"/>
          <c:order val="1"/>
          <c:tx>
            <c:strRef>
              <c:f>Sheet1!$A$9</c:f>
              <c:strCache>
                <c:ptCount val="1"/>
                <c:pt idx="0">
                  <c:v>Գյուղատնտեսություն և անտառային տնտեսություն</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Sheet1!$B$7:$H$7</c:f>
              <c:strCache>
                <c:ptCount val="7"/>
                <c:pt idx="0">
                  <c:v>2017 </c:v>
                </c:pt>
                <c:pt idx="1">
                  <c:v>2018 </c:v>
                </c:pt>
                <c:pt idx="2">
                  <c:v>2019</c:v>
                </c:pt>
                <c:pt idx="3">
                  <c:v>2020</c:v>
                </c:pt>
                <c:pt idx="4">
                  <c:v>2021</c:v>
                </c:pt>
                <c:pt idx="5">
                  <c:v>2022</c:v>
                </c:pt>
                <c:pt idx="6">
                  <c:v>2023</c:v>
                </c:pt>
              </c:strCache>
            </c:strRef>
          </c:cat>
          <c:val>
            <c:numRef>
              <c:f>Sheet1!$B$9:$H$9</c:f>
              <c:numCache>
                <c:formatCode>0.0</c:formatCode>
                <c:ptCount val="7"/>
                <c:pt idx="0">
                  <c:v>14.994260124277618</c:v>
                </c:pt>
                <c:pt idx="1">
                  <c:v>13.942311655414613</c:v>
                </c:pt>
                <c:pt idx="2">
                  <c:v>11.988356029629232</c:v>
                </c:pt>
                <c:pt idx="3">
                  <c:v>12.299966603151628</c:v>
                </c:pt>
                <c:pt idx="4">
                  <c:v>11.734017989085549</c:v>
                </c:pt>
                <c:pt idx="5">
                  <c:v>11.311143712579732</c:v>
                </c:pt>
                <c:pt idx="6">
                  <c:v>11.087332608602956</c:v>
                </c:pt>
              </c:numCache>
            </c:numRef>
          </c:val>
          <c:extLst>
            <c:ext xmlns:c16="http://schemas.microsoft.com/office/drawing/2014/chart" uri="{C3380CC4-5D6E-409C-BE32-E72D297353CC}">
              <c16:uniqueId val="{00000001-6A87-48E3-90D6-C1B68813C0BE}"/>
            </c:ext>
          </c:extLst>
        </c:ser>
        <c:ser>
          <c:idx val="2"/>
          <c:order val="2"/>
          <c:tx>
            <c:strRef>
              <c:f>Sheet1!$A$10</c:f>
              <c:strCache>
                <c:ptCount val="1"/>
                <c:pt idx="0">
                  <c:v>Շինարարություն</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Sheet1!$B$7:$H$7</c:f>
              <c:strCache>
                <c:ptCount val="7"/>
                <c:pt idx="0">
                  <c:v>2017 </c:v>
                </c:pt>
                <c:pt idx="1">
                  <c:v>2018 </c:v>
                </c:pt>
                <c:pt idx="2">
                  <c:v>2019</c:v>
                </c:pt>
                <c:pt idx="3">
                  <c:v>2020</c:v>
                </c:pt>
                <c:pt idx="4">
                  <c:v>2021</c:v>
                </c:pt>
                <c:pt idx="5">
                  <c:v>2022</c:v>
                </c:pt>
                <c:pt idx="6">
                  <c:v>2023</c:v>
                </c:pt>
              </c:strCache>
            </c:strRef>
          </c:cat>
          <c:val>
            <c:numRef>
              <c:f>Sheet1!$B$10:$H$10</c:f>
              <c:numCache>
                <c:formatCode>0.0</c:formatCode>
                <c:ptCount val="7"/>
                <c:pt idx="0">
                  <c:v>7.2675565985495796</c:v>
                </c:pt>
                <c:pt idx="1">
                  <c:v>6.6038337286110576</c:v>
                </c:pt>
                <c:pt idx="2">
                  <c:v>6.1580195361543941</c:v>
                </c:pt>
                <c:pt idx="3">
                  <c:v>6.381264352972611</c:v>
                </c:pt>
                <c:pt idx="4">
                  <c:v>6.2070139470687256</c:v>
                </c:pt>
                <c:pt idx="5">
                  <c:v>6.0708849010153045</c:v>
                </c:pt>
                <c:pt idx="6">
                  <c:v>6.0374232187844736</c:v>
                </c:pt>
              </c:numCache>
            </c:numRef>
          </c:val>
          <c:extLst>
            <c:ext xmlns:c16="http://schemas.microsoft.com/office/drawing/2014/chart" uri="{C3380CC4-5D6E-409C-BE32-E72D297353CC}">
              <c16:uniqueId val="{00000002-6A87-48E3-90D6-C1B68813C0BE}"/>
            </c:ext>
          </c:extLst>
        </c:ser>
        <c:ser>
          <c:idx val="3"/>
          <c:order val="3"/>
          <c:tx>
            <c:strRef>
              <c:f>Sheet1!$A$11</c:f>
              <c:strCache>
                <c:ptCount val="1"/>
                <c:pt idx="0">
                  <c:v>Ծառայություններ</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Sheet1!$B$7:$H$7</c:f>
              <c:strCache>
                <c:ptCount val="7"/>
                <c:pt idx="0">
                  <c:v>2017 </c:v>
                </c:pt>
                <c:pt idx="1">
                  <c:v>2018 </c:v>
                </c:pt>
                <c:pt idx="2">
                  <c:v>2019</c:v>
                </c:pt>
                <c:pt idx="3">
                  <c:v>2020</c:v>
                </c:pt>
                <c:pt idx="4">
                  <c:v>2021</c:v>
                </c:pt>
                <c:pt idx="5">
                  <c:v>2022</c:v>
                </c:pt>
                <c:pt idx="6">
                  <c:v>2023</c:v>
                </c:pt>
              </c:strCache>
            </c:strRef>
          </c:cat>
          <c:val>
            <c:numRef>
              <c:f>Sheet1!$B$11:$H$11</c:f>
              <c:numCache>
                <c:formatCode>0.0</c:formatCode>
                <c:ptCount val="7"/>
                <c:pt idx="0">
                  <c:v>48.915397202473052</c:v>
                </c:pt>
                <c:pt idx="1">
                  <c:v>50.677546310515211</c:v>
                </c:pt>
                <c:pt idx="2">
                  <c:v>52.38033896872588</c:v>
                </c:pt>
                <c:pt idx="3">
                  <c:v>52.667012123232055</c:v>
                </c:pt>
                <c:pt idx="4">
                  <c:v>52.755870402103497</c:v>
                </c:pt>
                <c:pt idx="5">
                  <c:v>52.839212684040284</c:v>
                </c:pt>
                <c:pt idx="6">
                  <c:v>53.101108501949703</c:v>
                </c:pt>
              </c:numCache>
            </c:numRef>
          </c:val>
          <c:extLst>
            <c:ext xmlns:c16="http://schemas.microsoft.com/office/drawing/2014/chart" uri="{C3380CC4-5D6E-409C-BE32-E72D297353CC}">
              <c16:uniqueId val="{00000003-6A87-48E3-90D6-C1B68813C0BE}"/>
            </c:ext>
          </c:extLst>
        </c:ser>
        <c:ser>
          <c:idx val="4"/>
          <c:order val="4"/>
          <c:tx>
            <c:strRef>
              <c:f>Sheet1!$A$12</c:f>
              <c:strCache>
                <c:ptCount val="1"/>
                <c:pt idx="0">
                  <c:v>Զուտ հարկեր</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Sheet1!$B$7:$H$7</c:f>
              <c:strCache>
                <c:ptCount val="7"/>
                <c:pt idx="0">
                  <c:v>2017 </c:v>
                </c:pt>
                <c:pt idx="1">
                  <c:v>2018 </c:v>
                </c:pt>
                <c:pt idx="2">
                  <c:v>2019</c:v>
                </c:pt>
                <c:pt idx="3">
                  <c:v>2020</c:v>
                </c:pt>
                <c:pt idx="4">
                  <c:v>2021</c:v>
                </c:pt>
                <c:pt idx="5">
                  <c:v>2022</c:v>
                </c:pt>
                <c:pt idx="6">
                  <c:v>2023</c:v>
                </c:pt>
              </c:strCache>
            </c:strRef>
          </c:cat>
          <c:val>
            <c:numRef>
              <c:f>Sheet1!$B$12:$H$12</c:f>
              <c:numCache>
                <c:formatCode>0.0</c:formatCode>
                <c:ptCount val="7"/>
                <c:pt idx="0">
                  <c:v>10.280810294083739</c:v>
                </c:pt>
                <c:pt idx="1">
                  <c:v>10.623584186444514</c:v>
                </c:pt>
                <c:pt idx="2">
                  <c:v>11.3439047964275</c:v>
                </c:pt>
                <c:pt idx="3">
                  <c:v>10.981174114838787</c:v>
                </c:pt>
                <c:pt idx="4">
                  <c:v>11.040784255657499</c:v>
                </c:pt>
                <c:pt idx="5">
                  <c:v>11.058224554623926</c:v>
                </c:pt>
                <c:pt idx="6">
                  <c:v>11.049892040300728</c:v>
                </c:pt>
              </c:numCache>
            </c:numRef>
          </c:val>
          <c:extLst>
            <c:ext xmlns:c16="http://schemas.microsoft.com/office/drawing/2014/chart" uri="{C3380CC4-5D6E-409C-BE32-E72D297353CC}">
              <c16:uniqueId val="{00000004-6A87-48E3-90D6-C1B68813C0BE}"/>
            </c:ext>
          </c:extLst>
        </c:ser>
        <c:dLbls>
          <c:showLegendKey val="0"/>
          <c:showVal val="0"/>
          <c:showCatName val="0"/>
          <c:showSerName val="0"/>
          <c:showPercent val="0"/>
          <c:showBubbleSize val="0"/>
        </c:dLbls>
        <c:gapWidth val="150"/>
        <c:overlap val="100"/>
        <c:axId val="-601130752"/>
        <c:axId val="-601122592"/>
      </c:barChart>
      <c:catAx>
        <c:axId val="-60113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2592"/>
        <c:crosses val="autoZero"/>
        <c:auto val="1"/>
        <c:lblAlgn val="ctr"/>
        <c:lblOffset val="100"/>
        <c:noMultiLvlLbl val="0"/>
      </c:catAx>
      <c:valAx>
        <c:axId val="-601122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30752"/>
        <c:crosses val="autoZero"/>
        <c:crossBetween val="between"/>
      </c:valAx>
      <c:spPr>
        <a:noFill/>
        <a:ln>
          <a:noFill/>
        </a:ln>
        <a:effectLst/>
      </c:spPr>
    </c:plotArea>
    <c:legend>
      <c:legendPos val="b"/>
      <c:layout>
        <c:manualLayout>
          <c:xMode val="edge"/>
          <c:yMode val="edge"/>
          <c:x val="0"/>
          <c:y val="0.73565859823077828"/>
          <c:w val="0.97725437445319496"/>
          <c:h val="0.2365639480250154"/>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GHEA Grapalat" panose="02000506050000020003" pitchFamily="50"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53434608552719"/>
          <c:y val="0.15695898950131296"/>
          <c:w val="0.79438558816511551"/>
          <c:h val="0.50461383816384664"/>
        </c:manualLayout>
      </c:layout>
      <c:barChart>
        <c:barDir val="col"/>
        <c:grouping val="clustered"/>
        <c:varyColors val="0"/>
        <c:ser>
          <c:idx val="0"/>
          <c:order val="0"/>
          <c:tx>
            <c:strRef>
              <c:f>Лист1!$B$1</c:f>
              <c:strCache>
                <c:ptCount val="1"/>
                <c:pt idx="0">
                  <c:v>Գործազուրկներ, հազ. մարդ</c:v>
                </c:pt>
              </c:strCache>
            </c:strRef>
          </c:tx>
          <c:spPr>
            <a:solidFill>
              <a:schemeClr val="accent1"/>
            </a:solidFill>
            <a:ln>
              <a:noFill/>
            </a:ln>
            <a:effectLst/>
          </c:spPr>
          <c:invertIfNegative val="0"/>
          <c:cat>
            <c:numRef>
              <c:f>Лист1!$A$2:$A$4</c:f>
              <c:numCache>
                <c:formatCode>General</c:formatCode>
                <c:ptCount val="3"/>
                <c:pt idx="0">
                  <c:v>2017</c:v>
                </c:pt>
                <c:pt idx="1">
                  <c:v>2018</c:v>
                </c:pt>
                <c:pt idx="2">
                  <c:v>2019</c:v>
                </c:pt>
              </c:numCache>
            </c:numRef>
          </c:cat>
          <c:val>
            <c:numRef>
              <c:f>Лист1!$B$2:$B$4</c:f>
              <c:numCache>
                <c:formatCode>General</c:formatCode>
                <c:ptCount val="3"/>
                <c:pt idx="0">
                  <c:v>236.5</c:v>
                </c:pt>
                <c:pt idx="1">
                  <c:v>234</c:v>
                </c:pt>
                <c:pt idx="2">
                  <c:v>220.5</c:v>
                </c:pt>
              </c:numCache>
            </c:numRef>
          </c:val>
          <c:extLst>
            <c:ext xmlns:c16="http://schemas.microsoft.com/office/drawing/2014/chart" uri="{C3380CC4-5D6E-409C-BE32-E72D297353CC}">
              <c16:uniqueId val="{00000000-C45A-427D-80EB-3F56A8BDD270}"/>
            </c:ext>
          </c:extLst>
        </c:ser>
        <c:ser>
          <c:idx val="1"/>
          <c:order val="1"/>
          <c:tx>
            <c:strRef>
              <c:f>Лист1!$C$1</c:f>
              <c:strCache>
                <c:ptCount val="1"/>
                <c:pt idx="0">
                  <c:v>Զբաղվածներ, հազ. մարդ</c:v>
                </c:pt>
              </c:strCache>
            </c:strRef>
          </c:tx>
          <c:spPr>
            <a:solidFill>
              <a:schemeClr val="accent2"/>
            </a:solidFill>
            <a:ln>
              <a:noFill/>
            </a:ln>
            <a:effectLst/>
          </c:spPr>
          <c:invertIfNegative val="0"/>
          <c:cat>
            <c:numRef>
              <c:f>Лист1!$A$2:$A$4</c:f>
              <c:numCache>
                <c:formatCode>General</c:formatCode>
                <c:ptCount val="3"/>
                <c:pt idx="0">
                  <c:v>2017</c:v>
                </c:pt>
                <c:pt idx="1">
                  <c:v>2018</c:v>
                </c:pt>
                <c:pt idx="2">
                  <c:v>2019</c:v>
                </c:pt>
              </c:numCache>
            </c:numRef>
          </c:cat>
          <c:val>
            <c:numRef>
              <c:f>Лист1!$C$2:$C$4</c:f>
              <c:numCache>
                <c:formatCode>General</c:formatCode>
                <c:ptCount val="3"/>
                <c:pt idx="0">
                  <c:v>903.3</c:v>
                </c:pt>
                <c:pt idx="1">
                  <c:v>907.5</c:v>
                </c:pt>
                <c:pt idx="2">
                  <c:v>946.8</c:v>
                </c:pt>
              </c:numCache>
            </c:numRef>
          </c:val>
          <c:extLst>
            <c:ext xmlns:c16="http://schemas.microsoft.com/office/drawing/2014/chart" uri="{C3380CC4-5D6E-409C-BE32-E72D297353CC}">
              <c16:uniqueId val="{00000001-C45A-427D-80EB-3F56A8BDD270}"/>
            </c:ext>
          </c:extLst>
        </c:ser>
        <c:dLbls>
          <c:showLegendKey val="0"/>
          <c:showVal val="0"/>
          <c:showCatName val="0"/>
          <c:showSerName val="0"/>
          <c:showPercent val="0"/>
          <c:showBubbleSize val="0"/>
        </c:dLbls>
        <c:gapWidth val="219"/>
        <c:overlap val="-27"/>
        <c:axId val="-601129120"/>
        <c:axId val="-601124224"/>
      </c:barChart>
      <c:lineChart>
        <c:grouping val="standard"/>
        <c:varyColors val="0"/>
        <c:ser>
          <c:idx val="2"/>
          <c:order val="2"/>
          <c:tx>
            <c:strRef>
              <c:f>Лист1!$D$1</c:f>
              <c:strCache>
                <c:ptCount val="1"/>
                <c:pt idx="0">
                  <c:v>Գործազրկության մակարդակ, %, աջ առանցք</c:v>
                </c:pt>
              </c:strCache>
            </c:strRef>
          </c:tx>
          <c:spPr>
            <a:ln w="28575" cap="rnd">
              <a:solidFill>
                <a:srgbClr val="C00000"/>
              </a:solidFill>
              <a:round/>
            </a:ln>
            <a:effectLst/>
          </c:spPr>
          <c:marker>
            <c:symbol val="none"/>
          </c:marker>
          <c:cat>
            <c:numRef>
              <c:f>Лист1!$A$2:$A$4</c:f>
              <c:numCache>
                <c:formatCode>General</c:formatCode>
                <c:ptCount val="3"/>
                <c:pt idx="0">
                  <c:v>2017</c:v>
                </c:pt>
                <c:pt idx="1">
                  <c:v>2018</c:v>
                </c:pt>
                <c:pt idx="2">
                  <c:v>2019</c:v>
                </c:pt>
              </c:numCache>
            </c:numRef>
          </c:cat>
          <c:val>
            <c:numRef>
              <c:f>Лист1!$D$2:$D$4</c:f>
              <c:numCache>
                <c:formatCode>General</c:formatCode>
                <c:ptCount val="3"/>
                <c:pt idx="0">
                  <c:v>20.8</c:v>
                </c:pt>
                <c:pt idx="1">
                  <c:v>20.5</c:v>
                </c:pt>
                <c:pt idx="2">
                  <c:v>18.899999999999999</c:v>
                </c:pt>
              </c:numCache>
            </c:numRef>
          </c:val>
          <c:smooth val="0"/>
          <c:extLst>
            <c:ext xmlns:c16="http://schemas.microsoft.com/office/drawing/2014/chart" uri="{C3380CC4-5D6E-409C-BE32-E72D297353CC}">
              <c16:uniqueId val="{00000002-C45A-427D-80EB-3F56A8BDD270}"/>
            </c:ext>
          </c:extLst>
        </c:ser>
        <c:dLbls>
          <c:showLegendKey val="0"/>
          <c:showVal val="0"/>
          <c:showCatName val="0"/>
          <c:showSerName val="0"/>
          <c:showPercent val="0"/>
          <c:showBubbleSize val="0"/>
        </c:dLbls>
        <c:marker val="1"/>
        <c:smooth val="0"/>
        <c:axId val="-601127488"/>
        <c:axId val="-601128032"/>
      </c:lineChart>
      <c:catAx>
        <c:axId val="-60112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4224"/>
        <c:crosses val="autoZero"/>
        <c:auto val="1"/>
        <c:lblAlgn val="ctr"/>
        <c:lblOffset val="100"/>
        <c:noMultiLvlLbl val="0"/>
      </c:catAx>
      <c:valAx>
        <c:axId val="-60112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9120"/>
        <c:crosses val="autoZero"/>
        <c:crossBetween val="between"/>
        <c:majorUnit val="200"/>
      </c:valAx>
      <c:valAx>
        <c:axId val="-60112803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7488"/>
        <c:crosses val="max"/>
        <c:crossBetween val="between"/>
      </c:valAx>
      <c:catAx>
        <c:axId val="-601127488"/>
        <c:scaling>
          <c:orientation val="minMax"/>
        </c:scaling>
        <c:delete val="1"/>
        <c:axPos val="b"/>
        <c:numFmt formatCode="General" sourceLinked="1"/>
        <c:majorTickMark val="none"/>
        <c:minorTickMark val="none"/>
        <c:tickLblPos val="none"/>
        <c:crossAx val="-601128032"/>
        <c:crosses val="autoZero"/>
        <c:auto val="1"/>
        <c:lblAlgn val="ctr"/>
        <c:lblOffset val="100"/>
        <c:noMultiLvlLbl val="0"/>
      </c:catAx>
      <c:spPr>
        <a:noFill/>
        <a:ln>
          <a:noFill/>
        </a:ln>
        <a:effectLst/>
      </c:spPr>
    </c:plotArea>
    <c:legend>
      <c:legendPos val="b"/>
      <c:layout>
        <c:manualLayout>
          <c:xMode val="edge"/>
          <c:yMode val="edge"/>
          <c:x val="1.1575282854656208E-2"/>
          <c:y val="0.79644947529258736"/>
          <c:w val="0.81583986074847825"/>
          <c:h val="0.16204239603221549"/>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a:p>
            <a:pPr>
              <a:defRPr sz="1400" b="0" i="0" u="none" strike="noStrike" kern="1200" spc="0" baseline="0">
                <a:solidFill>
                  <a:schemeClr val="tx1">
                    <a:lumMod val="65000"/>
                    <a:lumOff val="35000"/>
                  </a:schemeClr>
                </a:solidFill>
                <a:latin typeface="+mn-lt"/>
                <a:ea typeface="+mn-ea"/>
                <a:cs typeface="+mn-cs"/>
              </a:defRPr>
            </a:pPr>
            <a:endParaRPr lang="ru-RU"/>
          </a:p>
        </c:rich>
      </c:tx>
      <c:layout>
        <c:manualLayout>
          <c:xMode val="edge"/>
          <c:yMode val="edge"/>
          <c:x val="9.3106574844288706E-2"/>
          <c:y val="0"/>
        </c:manualLayout>
      </c:layout>
      <c:overlay val="0"/>
      <c:spPr>
        <a:noFill/>
        <a:ln>
          <a:noFill/>
        </a:ln>
        <a:effectLst/>
      </c:spPr>
    </c:title>
    <c:autoTitleDeleted val="0"/>
    <c:plotArea>
      <c:layout>
        <c:manualLayout>
          <c:layoutTarget val="inner"/>
          <c:xMode val="edge"/>
          <c:yMode val="edge"/>
          <c:x val="0.11873917014291722"/>
          <c:y val="7.0087221630047492E-2"/>
          <c:w val="0.80804307316570445"/>
          <c:h val="0.61867847769029127"/>
        </c:manualLayout>
      </c:layout>
      <c:barChart>
        <c:barDir val="col"/>
        <c:grouping val="clustered"/>
        <c:varyColors val="0"/>
        <c:ser>
          <c:idx val="0"/>
          <c:order val="0"/>
          <c:tx>
            <c:strRef>
              <c:f>Лист1!$B$1</c:f>
              <c:strCache>
                <c:ptCount val="1"/>
                <c:pt idx="0">
                  <c:v>Աշխատուժի մասնակցության մակարդակ, %</c:v>
                </c:pt>
              </c:strCache>
            </c:strRef>
          </c:tx>
          <c:spPr>
            <a:solidFill>
              <a:schemeClr val="accent1"/>
            </a:solidFill>
            <a:ln>
              <a:noFill/>
            </a:ln>
            <a:effectLst/>
          </c:spPr>
          <c:invertIfNegative val="0"/>
          <c:cat>
            <c:numRef>
              <c:f>Лист1!$A$2:$A$4</c:f>
              <c:numCache>
                <c:formatCode>General</c:formatCode>
                <c:ptCount val="3"/>
                <c:pt idx="0">
                  <c:v>2017</c:v>
                </c:pt>
                <c:pt idx="1">
                  <c:v>2018</c:v>
                </c:pt>
                <c:pt idx="2">
                  <c:v>2019</c:v>
                </c:pt>
              </c:numCache>
            </c:numRef>
          </c:cat>
          <c:val>
            <c:numRef>
              <c:f>Лист1!$B$2:$B$4</c:f>
              <c:numCache>
                <c:formatCode>General</c:formatCode>
                <c:ptCount val="3"/>
                <c:pt idx="0">
                  <c:v>56.4</c:v>
                </c:pt>
                <c:pt idx="1">
                  <c:v>56.9</c:v>
                </c:pt>
                <c:pt idx="2">
                  <c:v>57.7</c:v>
                </c:pt>
              </c:numCache>
            </c:numRef>
          </c:val>
          <c:extLst>
            <c:ext xmlns:c16="http://schemas.microsoft.com/office/drawing/2014/chart" uri="{C3380CC4-5D6E-409C-BE32-E72D297353CC}">
              <c16:uniqueId val="{00000000-FC17-4F50-B446-805A04D58703}"/>
            </c:ext>
          </c:extLst>
        </c:ser>
        <c:dLbls>
          <c:showLegendKey val="0"/>
          <c:showVal val="0"/>
          <c:showCatName val="0"/>
          <c:showSerName val="0"/>
          <c:showPercent val="0"/>
          <c:showBubbleSize val="0"/>
        </c:dLbls>
        <c:gapWidth val="219"/>
        <c:overlap val="-27"/>
        <c:axId val="-601123680"/>
        <c:axId val="-601123136"/>
      </c:barChart>
      <c:lineChart>
        <c:grouping val="standard"/>
        <c:varyColors val="0"/>
        <c:ser>
          <c:idx val="1"/>
          <c:order val="1"/>
          <c:tx>
            <c:strRef>
              <c:f>Лист1!$C$1</c:f>
              <c:strCache>
                <c:ptCount val="1"/>
                <c:pt idx="0">
                  <c:v>Իրական աշխատավարձի փոփոխություն, % (աջ առանցք)</c:v>
                </c:pt>
              </c:strCache>
            </c:strRef>
          </c:tx>
          <c:spPr>
            <a:ln w="28575" cap="rnd">
              <a:solidFill>
                <a:srgbClr val="C00000"/>
              </a:solidFill>
              <a:round/>
            </a:ln>
            <a:effectLst/>
          </c:spPr>
          <c:marker>
            <c:symbol val="none"/>
          </c:marker>
          <c:cat>
            <c:numRef>
              <c:f>Лист1!$A$2:$A$4</c:f>
              <c:numCache>
                <c:formatCode>General</c:formatCode>
                <c:ptCount val="3"/>
                <c:pt idx="0">
                  <c:v>2017</c:v>
                </c:pt>
                <c:pt idx="1">
                  <c:v>2018</c:v>
                </c:pt>
                <c:pt idx="2">
                  <c:v>2019</c:v>
                </c:pt>
              </c:numCache>
            </c:numRef>
          </c:cat>
          <c:val>
            <c:numRef>
              <c:f>Лист1!$C$2:$C$4</c:f>
              <c:numCache>
                <c:formatCode>General</c:formatCode>
                <c:ptCount val="3"/>
                <c:pt idx="0">
                  <c:v>0.90000000000000568</c:v>
                </c:pt>
                <c:pt idx="1">
                  <c:v>1.5</c:v>
                </c:pt>
                <c:pt idx="2">
                  <c:v>4.2999999999999972</c:v>
                </c:pt>
              </c:numCache>
            </c:numRef>
          </c:val>
          <c:smooth val="0"/>
          <c:extLst>
            <c:ext xmlns:c16="http://schemas.microsoft.com/office/drawing/2014/chart" uri="{C3380CC4-5D6E-409C-BE32-E72D297353CC}">
              <c16:uniqueId val="{00000001-FC17-4F50-B446-805A04D58703}"/>
            </c:ext>
          </c:extLst>
        </c:ser>
        <c:dLbls>
          <c:showLegendKey val="0"/>
          <c:showVal val="0"/>
          <c:showCatName val="0"/>
          <c:showSerName val="0"/>
          <c:showPercent val="0"/>
          <c:showBubbleSize val="0"/>
        </c:dLbls>
        <c:marker val="1"/>
        <c:smooth val="0"/>
        <c:axId val="-601119872"/>
        <c:axId val="-601122048"/>
      </c:lineChart>
      <c:catAx>
        <c:axId val="-60112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3136"/>
        <c:crosses val="autoZero"/>
        <c:auto val="1"/>
        <c:lblAlgn val="ctr"/>
        <c:lblOffset val="100"/>
        <c:noMultiLvlLbl val="0"/>
      </c:catAx>
      <c:valAx>
        <c:axId val="-601123136"/>
        <c:scaling>
          <c:orientation val="minMax"/>
          <c:min val="5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23680"/>
        <c:crosses val="autoZero"/>
        <c:crossBetween val="between"/>
        <c:majorUnit val="1"/>
      </c:valAx>
      <c:valAx>
        <c:axId val="-601122048"/>
        <c:scaling>
          <c:orientation val="minMax"/>
          <c:max val="5"/>
          <c:min val="0"/>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01119872"/>
        <c:crosses val="max"/>
        <c:crossBetween val="between"/>
        <c:majorUnit val="1"/>
      </c:valAx>
      <c:catAx>
        <c:axId val="-601119872"/>
        <c:scaling>
          <c:orientation val="minMax"/>
        </c:scaling>
        <c:delete val="1"/>
        <c:axPos val="b"/>
        <c:numFmt formatCode="General" sourceLinked="1"/>
        <c:majorTickMark val="none"/>
        <c:minorTickMark val="none"/>
        <c:tickLblPos val="none"/>
        <c:crossAx val="-601122048"/>
        <c:crosses val="autoZero"/>
        <c:auto val="1"/>
        <c:lblAlgn val="ctr"/>
        <c:lblOffset val="100"/>
        <c:noMultiLvlLbl val="0"/>
      </c:catAx>
      <c:spPr>
        <a:noFill/>
        <a:ln>
          <a:noFill/>
        </a:ln>
        <a:effectLst/>
      </c:spPr>
    </c:plotArea>
    <c:legend>
      <c:legendPos val="b"/>
      <c:layout>
        <c:manualLayout>
          <c:xMode val="edge"/>
          <c:yMode val="edge"/>
          <c:x val="5.8843537414965986E-2"/>
          <c:y val="0.80372399534053762"/>
          <c:w val="0.82704081632653315"/>
          <c:h val="0.15844021199960706"/>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03534962753947"/>
          <c:y val="2.7462631000912119E-2"/>
          <c:w val="0.83619698175608326"/>
          <c:h val="0.66128895652749486"/>
        </c:manualLayout>
      </c:layout>
      <c:barChart>
        <c:barDir val="col"/>
        <c:grouping val="clustered"/>
        <c:varyColors val="0"/>
        <c:ser>
          <c:idx val="1"/>
          <c:order val="1"/>
          <c:tx>
            <c:strRef>
              <c:f>Sheet1!$A$3</c:f>
              <c:strCache>
                <c:ptCount val="1"/>
                <c:pt idx="0">
                  <c:v>Ապրանքների  հաշվեկշիռ</c:v>
                </c:pt>
              </c:strCache>
            </c:strRef>
          </c:tx>
          <c:spPr>
            <a:solidFill>
              <a:srgbClr val="C00000"/>
            </a:solidFill>
            <a:ln>
              <a:solidFill>
                <a:srgbClr val="C00000"/>
              </a:solidFill>
              <a:headEnd type="none"/>
              <a:tailEnd type="none"/>
            </a:ln>
            <a:effectLst/>
          </c:spPr>
          <c:invertIfNegative val="0"/>
          <c:cat>
            <c:strRef>
              <c:f>Sheet1!$B$1:$H$1</c:f>
              <c:strCache>
                <c:ptCount val="7"/>
                <c:pt idx="0">
                  <c:v>2017</c:v>
                </c:pt>
                <c:pt idx="1">
                  <c:v>2018</c:v>
                </c:pt>
                <c:pt idx="2">
                  <c:v>2019</c:v>
                </c:pt>
                <c:pt idx="3">
                  <c:v>2020*</c:v>
                </c:pt>
                <c:pt idx="4">
                  <c:v>2021*</c:v>
                </c:pt>
                <c:pt idx="5">
                  <c:v>2022*</c:v>
                </c:pt>
                <c:pt idx="6">
                  <c:v>2023*</c:v>
                </c:pt>
              </c:strCache>
            </c:strRef>
          </c:cat>
          <c:val>
            <c:numRef>
              <c:f>Sheet1!$B$3:$H$3</c:f>
              <c:numCache>
                <c:formatCode>0.0</c:formatCode>
                <c:ptCount val="7"/>
                <c:pt idx="0">
                  <c:v>-12.15242074598601</c:v>
                </c:pt>
                <c:pt idx="1">
                  <c:v>-14.119236548260057</c:v>
                </c:pt>
                <c:pt idx="2">
                  <c:v>-13.20469708218365</c:v>
                </c:pt>
                <c:pt idx="3">
                  <c:v>-13.230039178669699</c:v>
                </c:pt>
                <c:pt idx="4">
                  <c:v>-11.983146476796284</c:v>
                </c:pt>
                <c:pt idx="5">
                  <c:v>-11.154829403284699</c:v>
                </c:pt>
                <c:pt idx="6">
                  <c:v>-9.5307090259322198</c:v>
                </c:pt>
              </c:numCache>
            </c:numRef>
          </c:val>
          <c:extLst>
            <c:ext xmlns:c16="http://schemas.microsoft.com/office/drawing/2014/chart" uri="{C3380CC4-5D6E-409C-BE32-E72D297353CC}">
              <c16:uniqueId val="{00000000-D729-437D-8FD3-1297CBB949E1}"/>
            </c:ext>
          </c:extLst>
        </c:ser>
        <c:ser>
          <c:idx val="2"/>
          <c:order val="2"/>
          <c:tx>
            <c:strRef>
              <c:f>Sheet1!$A$4</c:f>
              <c:strCache>
                <c:ptCount val="1"/>
                <c:pt idx="0">
                  <c:v>Դրամական փոխանցումներ</c:v>
                </c:pt>
              </c:strCache>
            </c:strRef>
          </c:tx>
          <c:spPr>
            <a:solidFill>
              <a:srgbClr val="0070C0"/>
            </a:solidFill>
            <a:ln>
              <a:solidFill>
                <a:srgbClr val="0070C0"/>
              </a:solidFill>
            </a:ln>
            <a:effectLst/>
          </c:spPr>
          <c:invertIfNegative val="0"/>
          <c:cat>
            <c:strRef>
              <c:f>Sheet1!$B$1:$H$1</c:f>
              <c:strCache>
                <c:ptCount val="7"/>
                <c:pt idx="0">
                  <c:v>2017</c:v>
                </c:pt>
                <c:pt idx="1">
                  <c:v>2018</c:v>
                </c:pt>
                <c:pt idx="2">
                  <c:v>2019</c:v>
                </c:pt>
                <c:pt idx="3">
                  <c:v>2020*</c:v>
                </c:pt>
                <c:pt idx="4">
                  <c:v>2021*</c:v>
                </c:pt>
                <c:pt idx="5">
                  <c:v>2022*</c:v>
                </c:pt>
                <c:pt idx="6">
                  <c:v>2023*</c:v>
                </c:pt>
              </c:strCache>
            </c:strRef>
          </c:cat>
          <c:val>
            <c:numRef>
              <c:f>Sheet1!$B$4:$H$4</c:f>
              <c:numCache>
                <c:formatCode>0.0</c:formatCode>
                <c:ptCount val="7"/>
                <c:pt idx="0">
                  <c:v>10.230473502824895</c:v>
                </c:pt>
                <c:pt idx="1">
                  <c:v>9.1200610226705781</c:v>
                </c:pt>
                <c:pt idx="2">
                  <c:v>8.3652707158867567</c:v>
                </c:pt>
                <c:pt idx="3">
                  <c:v>6.8872846810342976</c:v>
                </c:pt>
                <c:pt idx="4">
                  <c:v>7.2011937001856392</c:v>
                </c:pt>
                <c:pt idx="5">
                  <c:v>6.987195396162595</c:v>
                </c:pt>
                <c:pt idx="6">
                  <c:v>6.6908888115043945</c:v>
                </c:pt>
              </c:numCache>
            </c:numRef>
          </c:val>
          <c:extLst>
            <c:ext xmlns:c16="http://schemas.microsoft.com/office/drawing/2014/chart" uri="{C3380CC4-5D6E-409C-BE32-E72D297353CC}">
              <c16:uniqueId val="{00000001-D729-437D-8FD3-1297CBB949E1}"/>
            </c:ext>
          </c:extLst>
        </c:ser>
        <c:ser>
          <c:idx val="3"/>
          <c:order val="3"/>
          <c:tx>
            <c:strRef>
              <c:f>Sheet1!$A$5</c:f>
              <c:strCache>
                <c:ptCount val="1"/>
                <c:pt idx="0">
                  <c:v>Ծառայությունների հաշվեկշիռ</c:v>
                </c:pt>
              </c:strCache>
            </c:strRef>
          </c:tx>
          <c:spPr>
            <a:solidFill>
              <a:srgbClr val="ED7D31"/>
            </a:solidFill>
            <a:ln w="28575" cap="rnd">
              <a:solidFill>
                <a:srgbClr val="ED7D31"/>
              </a:solidFill>
              <a:round/>
            </a:ln>
            <a:effectLst/>
          </c:spPr>
          <c:invertIfNegative val="0"/>
          <c:cat>
            <c:strRef>
              <c:f>Sheet1!$B$1:$H$1</c:f>
              <c:strCache>
                <c:ptCount val="7"/>
                <c:pt idx="0">
                  <c:v>2017</c:v>
                </c:pt>
                <c:pt idx="1">
                  <c:v>2018</c:v>
                </c:pt>
                <c:pt idx="2">
                  <c:v>2019</c:v>
                </c:pt>
                <c:pt idx="3">
                  <c:v>2020*</c:v>
                </c:pt>
                <c:pt idx="4">
                  <c:v>2021*</c:v>
                </c:pt>
                <c:pt idx="5">
                  <c:v>2022*</c:v>
                </c:pt>
                <c:pt idx="6">
                  <c:v>2023*</c:v>
                </c:pt>
              </c:strCache>
            </c:strRef>
          </c:cat>
          <c:val>
            <c:numRef>
              <c:f>Sheet1!$B$5:$H$5</c:f>
              <c:numCache>
                <c:formatCode>0.0</c:formatCode>
                <c:ptCount val="7"/>
                <c:pt idx="0">
                  <c:v>1.3828815313978959</c:v>
                </c:pt>
                <c:pt idx="1">
                  <c:v>0.45500138577598592</c:v>
                </c:pt>
                <c:pt idx="2">
                  <c:v>-0.17098034289456218</c:v>
                </c:pt>
                <c:pt idx="3">
                  <c:v>-2.0048491624790179</c:v>
                </c:pt>
                <c:pt idx="4">
                  <c:v>-1.1785183697587629</c:v>
                </c:pt>
                <c:pt idx="5">
                  <c:v>-0.76107983318214611</c:v>
                </c:pt>
                <c:pt idx="6">
                  <c:v>0.21966497482277061</c:v>
                </c:pt>
              </c:numCache>
            </c:numRef>
          </c:val>
          <c:extLst>
            <c:ext xmlns:c16="http://schemas.microsoft.com/office/drawing/2014/chart" uri="{C3380CC4-5D6E-409C-BE32-E72D297353CC}">
              <c16:uniqueId val="{00000002-D729-437D-8FD3-1297CBB949E1}"/>
            </c:ext>
          </c:extLst>
        </c:ser>
        <c:dLbls>
          <c:showLegendKey val="0"/>
          <c:showVal val="0"/>
          <c:showCatName val="0"/>
          <c:showSerName val="0"/>
          <c:showPercent val="0"/>
          <c:showBubbleSize val="0"/>
        </c:dLbls>
        <c:gapWidth val="150"/>
        <c:axId val="-692392672"/>
        <c:axId val="-692392128"/>
      </c:barChart>
      <c:lineChart>
        <c:grouping val="stacked"/>
        <c:varyColors val="0"/>
        <c:ser>
          <c:idx val="0"/>
          <c:order val="0"/>
          <c:tx>
            <c:strRef>
              <c:f>Sheet1!$A$2</c:f>
              <c:strCache>
                <c:ptCount val="1"/>
                <c:pt idx="0">
                  <c:v>Ընթացիկ հաշիվ</c:v>
                </c:pt>
              </c:strCache>
            </c:strRef>
          </c:tx>
          <c:spPr>
            <a:ln w="28575" cap="rnd">
              <a:solidFill>
                <a:srgbClr val="FFC000">
                  <a:lumMod val="60000"/>
                  <a:lumOff val="40000"/>
                </a:srgbClr>
              </a:solidFill>
              <a:round/>
            </a:ln>
            <a:effectLst/>
          </c:spPr>
          <c:marker>
            <c:symbol val="circle"/>
            <c:size val="5"/>
            <c:spPr>
              <a:solidFill>
                <a:srgbClr val="FFC000">
                  <a:lumMod val="60000"/>
                  <a:lumOff val="40000"/>
                </a:srgbClr>
              </a:solidFill>
              <a:ln w="9525">
                <a:solidFill>
                  <a:srgbClr val="FFC000">
                    <a:lumMod val="60000"/>
                    <a:lumOff val="40000"/>
                  </a:srgb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2017</c:v>
                </c:pt>
                <c:pt idx="1">
                  <c:v>2018</c:v>
                </c:pt>
                <c:pt idx="2">
                  <c:v>2019</c:v>
                </c:pt>
                <c:pt idx="3">
                  <c:v>2020*</c:v>
                </c:pt>
                <c:pt idx="4">
                  <c:v>2021*</c:v>
                </c:pt>
                <c:pt idx="5">
                  <c:v>2022*</c:v>
                </c:pt>
                <c:pt idx="6">
                  <c:v>2023*</c:v>
                </c:pt>
              </c:strCache>
            </c:strRef>
          </c:cat>
          <c:val>
            <c:numRef>
              <c:f>Sheet1!$B$2:$H$2</c:f>
              <c:numCache>
                <c:formatCode>0.0</c:formatCode>
                <c:ptCount val="7"/>
                <c:pt idx="0">
                  <c:v>-1.5082447274155446</c:v>
                </c:pt>
                <c:pt idx="1">
                  <c:v>-6.9033442781658465</c:v>
                </c:pt>
                <c:pt idx="2">
                  <c:v>-7.2225306034463355</c:v>
                </c:pt>
                <c:pt idx="3">
                  <c:v>-9.6911971733728173</c:v>
                </c:pt>
                <c:pt idx="4">
                  <c:v>-7.2997813528469715</c:v>
                </c:pt>
                <c:pt idx="5">
                  <c:v>-6.3427255009420085</c:v>
                </c:pt>
                <c:pt idx="6">
                  <c:v>-5.6261728476208281</c:v>
                </c:pt>
              </c:numCache>
            </c:numRef>
          </c:val>
          <c:smooth val="0"/>
          <c:extLst>
            <c:ext xmlns:c16="http://schemas.microsoft.com/office/drawing/2014/chart" uri="{C3380CC4-5D6E-409C-BE32-E72D297353CC}">
              <c16:uniqueId val="{00000003-D729-437D-8FD3-1297CBB949E1}"/>
            </c:ext>
          </c:extLst>
        </c:ser>
        <c:dLbls>
          <c:showLegendKey val="0"/>
          <c:showVal val="0"/>
          <c:showCatName val="0"/>
          <c:showSerName val="0"/>
          <c:showPercent val="0"/>
          <c:showBubbleSize val="0"/>
        </c:dLbls>
        <c:marker val="1"/>
        <c:smooth val="0"/>
        <c:axId val="-692383424"/>
        <c:axId val="-692381248"/>
      </c:lineChart>
      <c:valAx>
        <c:axId val="-692392128"/>
        <c:scaling>
          <c:orientation val="minMax"/>
          <c:max val="11"/>
          <c:min val="-15"/>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92392672"/>
        <c:crosses val="autoZero"/>
        <c:crossBetween val="between"/>
      </c:valAx>
      <c:catAx>
        <c:axId val="-6923926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392128"/>
        <c:crosses val="autoZero"/>
        <c:auto val="1"/>
        <c:lblAlgn val="ctr"/>
        <c:lblOffset val="100"/>
        <c:noMultiLvlLbl val="0"/>
      </c:catAx>
      <c:valAx>
        <c:axId val="-692381248"/>
        <c:scaling>
          <c:orientation val="minMax"/>
        </c:scaling>
        <c:delete val="1"/>
        <c:axPos val="r"/>
        <c:numFmt formatCode="0.0" sourceLinked="1"/>
        <c:majorTickMark val="out"/>
        <c:minorTickMark val="none"/>
        <c:tickLblPos val="none"/>
        <c:crossAx val="-692383424"/>
        <c:crosses val="max"/>
        <c:crossBetween val="between"/>
      </c:valAx>
      <c:catAx>
        <c:axId val="-692383424"/>
        <c:scaling>
          <c:orientation val="minMax"/>
        </c:scaling>
        <c:delete val="1"/>
        <c:axPos val="b"/>
        <c:numFmt formatCode="General" sourceLinked="1"/>
        <c:majorTickMark val="out"/>
        <c:minorTickMark val="none"/>
        <c:tickLblPos val="none"/>
        <c:crossAx val="-692381248"/>
        <c:crosses val="autoZero"/>
        <c:auto val="1"/>
        <c:lblAlgn val="ctr"/>
        <c:lblOffset val="100"/>
        <c:noMultiLvlLbl val="0"/>
      </c:catAx>
      <c:spPr>
        <a:solidFill>
          <a:schemeClr val="bg1"/>
        </a:solidFill>
        <a:ln>
          <a:noFill/>
        </a:ln>
        <a:effectLst/>
      </c:spPr>
    </c:plotArea>
    <c:legend>
      <c:legendPos val="b"/>
      <c:layout>
        <c:manualLayout>
          <c:xMode val="edge"/>
          <c:yMode val="edge"/>
          <c:x val="5.3783209225543843E-3"/>
          <c:y val="0.8238687853548996"/>
          <c:w val="0.97570090670484477"/>
          <c:h val="0.17613136593219991"/>
        </c:manualLayout>
      </c:layout>
      <c:overlay val="0"/>
      <c:spPr>
        <a:noFill/>
        <a:ln>
          <a:noFill/>
        </a:ln>
        <a:effectLst/>
      </c:spPr>
      <c:txPr>
        <a:bodyPr rot="0" spcFirstLastPara="1" vertOverflow="ellipsis" vert="horz" wrap="square" anchor="ctr" anchorCtr="1"/>
        <a:lstStyle/>
        <a:p>
          <a:pPr algn="just">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zero"/>
    <c:showDLblsOverMax val="0"/>
  </c:chart>
  <c:spPr>
    <a:ln w="9525" cap="flat" cmpd="sng" algn="ctr">
      <a:solidFill>
        <a:srgbClr val="4472C4"/>
      </a:solidFill>
      <a:round/>
    </a:ln>
    <a:effectLst/>
  </c:spPr>
  <c:txPr>
    <a:bodyPr/>
    <a:lstStyle/>
    <a:p>
      <a:pPr>
        <a:defRPr/>
      </a:pPr>
      <a:endParaRPr lang="en-US"/>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03534962753947"/>
          <c:y val="2.7462631000912119E-2"/>
          <c:w val="0.86378599935282063"/>
          <c:h val="0.73564911528916255"/>
        </c:manualLayout>
      </c:layout>
      <c:barChart>
        <c:barDir val="col"/>
        <c:grouping val="clustered"/>
        <c:varyColors val="0"/>
        <c:ser>
          <c:idx val="0"/>
          <c:order val="0"/>
          <c:tx>
            <c:strRef>
              <c:f>Sheet1!$A$2</c:f>
              <c:strCache>
                <c:ptCount val="1"/>
                <c:pt idx="0">
                  <c:v>Ապրանքների և ծառայությունների արտահանում</c:v>
                </c:pt>
              </c:strCache>
            </c:strRef>
          </c:tx>
          <c:spPr>
            <a:ln w="28575" cap="rnd">
              <a:solidFill>
                <a:srgbClr val="4472C4"/>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2017</c:v>
                </c:pt>
                <c:pt idx="1">
                  <c:v>2018</c:v>
                </c:pt>
                <c:pt idx="2">
                  <c:v>2019</c:v>
                </c:pt>
                <c:pt idx="3">
                  <c:v>2020*</c:v>
                </c:pt>
                <c:pt idx="4">
                  <c:v>2021*</c:v>
                </c:pt>
                <c:pt idx="5">
                  <c:v>2022*</c:v>
                </c:pt>
                <c:pt idx="6">
                  <c:v>2023*</c:v>
                </c:pt>
              </c:strCache>
            </c:strRef>
          </c:cat>
          <c:val>
            <c:numRef>
              <c:f>Sheet1!$B$2:$H$2</c:f>
              <c:numCache>
                <c:formatCode>0.0</c:formatCode>
                <c:ptCount val="7"/>
                <c:pt idx="0">
                  <c:v>38.248994637009169</c:v>
                </c:pt>
                <c:pt idx="1">
                  <c:v>39.390453622631888</c:v>
                </c:pt>
                <c:pt idx="2">
                  <c:v>41.254587869090003</c:v>
                </c:pt>
                <c:pt idx="3">
                  <c:v>34.291635513238596</c:v>
                </c:pt>
                <c:pt idx="4">
                  <c:v>36.710810269891105</c:v>
                </c:pt>
                <c:pt idx="5">
                  <c:v>38.008100595142025</c:v>
                </c:pt>
                <c:pt idx="6">
                  <c:v>39.470537424210427</c:v>
                </c:pt>
              </c:numCache>
            </c:numRef>
          </c:val>
          <c:extLst>
            <c:ext xmlns:c16="http://schemas.microsoft.com/office/drawing/2014/chart" uri="{C3380CC4-5D6E-409C-BE32-E72D297353CC}">
              <c16:uniqueId val="{00000000-2181-46BF-97BA-BCE34DAAF42D}"/>
            </c:ext>
          </c:extLst>
        </c:ser>
        <c:ser>
          <c:idx val="1"/>
          <c:order val="1"/>
          <c:tx>
            <c:strRef>
              <c:f>Sheet1!$A$3</c:f>
              <c:strCache>
                <c:ptCount val="1"/>
                <c:pt idx="0">
                  <c:v>Ապրանքների և ծառայությունների ներմուծում</c:v>
                </c:pt>
              </c:strCache>
            </c:strRef>
          </c:tx>
          <c:spPr>
            <a:solidFill>
              <a:srgbClr val="C00000"/>
            </a:solidFill>
            <a:ln>
              <a:solidFill>
                <a:srgbClr val="C00000"/>
              </a:solidFill>
              <a:headEnd type="none"/>
              <a:tailEnd type="none"/>
            </a:ln>
            <a:effectLst/>
          </c:spPr>
          <c:invertIfNegative val="0"/>
          <c:dLbls>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Sheet1!$B$1:$H$1</c:f>
              <c:strCache>
                <c:ptCount val="7"/>
                <c:pt idx="0">
                  <c:v>2017</c:v>
                </c:pt>
                <c:pt idx="1">
                  <c:v>2018</c:v>
                </c:pt>
                <c:pt idx="2">
                  <c:v>2019</c:v>
                </c:pt>
                <c:pt idx="3">
                  <c:v>2020*</c:v>
                </c:pt>
                <c:pt idx="4">
                  <c:v>2021*</c:v>
                </c:pt>
                <c:pt idx="5">
                  <c:v>2022*</c:v>
                </c:pt>
                <c:pt idx="6">
                  <c:v>2023*</c:v>
                </c:pt>
              </c:strCache>
            </c:strRef>
          </c:cat>
          <c:val>
            <c:numRef>
              <c:f>Sheet1!$B$3:$H$3</c:f>
              <c:numCache>
                <c:formatCode>0.0</c:formatCode>
                <c:ptCount val="7"/>
                <c:pt idx="0">
                  <c:v>49.018624636710875</c:v>
                </c:pt>
                <c:pt idx="1">
                  <c:v>53.054760649888451</c:v>
                </c:pt>
                <c:pt idx="2">
                  <c:v>54.630265294168332</c:v>
                </c:pt>
                <c:pt idx="3">
                  <c:v>49.526523854387321</c:v>
                </c:pt>
                <c:pt idx="4">
                  <c:v>49.872475116446125</c:v>
                </c:pt>
                <c:pt idx="5">
                  <c:v>49.924009831608871</c:v>
                </c:pt>
                <c:pt idx="6">
                  <c:v>48.781581475319854</c:v>
                </c:pt>
              </c:numCache>
            </c:numRef>
          </c:val>
          <c:extLst>
            <c:ext xmlns:c16="http://schemas.microsoft.com/office/drawing/2014/chart" uri="{C3380CC4-5D6E-409C-BE32-E72D297353CC}">
              <c16:uniqueId val="{00000001-2181-46BF-97BA-BCE34DAAF42D}"/>
            </c:ext>
          </c:extLst>
        </c:ser>
        <c:dLbls>
          <c:showLegendKey val="0"/>
          <c:showVal val="0"/>
          <c:showCatName val="0"/>
          <c:showSerName val="0"/>
          <c:showPercent val="0"/>
          <c:showBubbleSize val="0"/>
        </c:dLbls>
        <c:gapWidth val="150"/>
        <c:axId val="-692390496"/>
        <c:axId val="-692387232"/>
      </c:barChart>
      <c:valAx>
        <c:axId val="-692387232"/>
        <c:scaling>
          <c:orientation val="minMax"/>
          <c:min val="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1" i="0" u="none" strike="noStrike" kern="1200" baseline="0">
                <a:solidFill>
                  <a:schemeClr val="tx1">
                    <a:lumMod val="95000"/>
                    <a:lumOff val="5000"/>
                  </a:schemeClr>
                </a:solidFill>
                <a:latin typeface="+mn-lt"/>
                <a:ea typeface="+mn-ea"/>
                <a:cs typeface="+mn-cs"/>
              </a:defRPr>
            </a:pPr>
            <a:endParaRPr lang="en-US"/>
          </a:p>
        </c:txPr>
        <c:crossAx val="-692390496"/>
        <c:crosses val="autoZero"/>
        <c:crossBetween val="between"/>
        <c:majorUnit val="10"/>
      </c:valAx>
      <c:catAx>
        <c:axId val="-6923904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387232"/>
        <c:crosses val="autoZero"/>
        <c:auto val="1"/>
        <c:lblAlgn val="ctr"/>
        <c:lblOffset val="100"/>
        <c:noMultiLvlLbl val="0"/>
      </c:catAx>
      <c:spPr>
        <a:solidFill>
          <a:schemeClr val="bg1"/>
        </a:solidFill>
        <a:ln>
          <a:noFill/>
        </a:ln>
        <a:effectLst/>
      </c:spPr>
    </c:plotArea>
    <c:legend>
      <c:legendPos val="b"/>
      <c:layout>
        <c:manualLayout>
          <c:xMode val="edge"/>
          <c:yMode val="edge"/>
          <c:x val="2.3948413133595022E-2"/>
          <c:y val="0.85107968646776411"/>
          <c:w val="0.9211160248804503"/>
          <c:h val="0.14008205652993741"/>
        </c:manualLayout>
      </c:layout>
      <c:overlay val="0"/>
      <c:spPr>
        <a:noFill/>
        <a:ln>
          <a:noFill/>
        </a:ln>
        <a:effectLst/>
      </c:spPr>
      <c:txPr>
        <a:bodyPr rot="0" spcFirstLastPara="1" vertOverflow="ellipsis" vert="horz" wrap="square" anchor="ctr" anchorCtr="1"/>
        <a:lstStyle/>
        <a:p>
          <a:pPr algn="just">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ln w="9525" cap="flat" cmpd="sng" algn="ctr">
      <a:solidFill>
        <a:srgbClr val="4472C4"/>
      </a:solidFill>
      <a:round/>
    </a:ln>
    <a:effectLst/>
  </c:spPr>
  <c:txPr>
    <a:bodyPr/>
    <a:lstStyle/>
    <a:p>
      <a:pPr>
        <a:defRPr/>
      </a:pPr>
      <a:endParaRPr lang="en-US"/>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Sheet1!$A$2</c:f>
              <c:strCache>
                <c:ptCount val="1"/>
                <c:pt idx="0">
                  <c:v>Իրական փոփոխություն</c:v>
                </c:pt>
              </c:strCache>
            </c:strRef>
          </c:tx>
          <c:spPr>
            <a:ln w="28575" cap="rnd">
              <a:solidFill>
                <a:srgbClr val="0070C0"/>
              </a:solidFill>
              <a:round/>
            </a:ln>
            <a:effectLst/>
          </c:spPr>
          <c:marker>
            <c:symbol val="circle"/>
            <c:size val="5"/>
            <c:spPr>
              <a:solidFill>
                <a:schemeClr val="accent1"/>
              </a:solidFill>
              <a:ln w="9525">
                <a:solidFill>
                  <a:schemeClr val="accent1"/>
                </a:solidFill>
              </a:ln>
              <a:effectLst/>
            </c:spPr>
          </c:marker>
          <c:cat>
            <c:strRef>
              <c:f>Sheet1!$B$1:$E$1</c:f>
              <c:strCache>
                <c:ptCount val="4"/>
                <c:pt idx="0">
                  <c:v>հունվար</c:v>
                </c:pt>
                <c:pt idx="1">
                  <c:v>փետրվար</c:v>
                </c:pt>
                <c:pt idx="2">
                  <c:v>մարտ</c:v>
                </c:pt>
                <c:pt idx="3">
                  <c:v>ապրիլ</c:v>
                </c:pt>
              </c:strCache>
            </c:strRef>
          </c:cat>
          <c:val>
            <c:numRef>
              <c:f>Sheet1!$B$2:$E$2</c:f>
              <c:numCache>
                <c:formatCode>General</c:formatCode>
                <c:ptCount val="4"/>
                <c:pt idx="0">
                  <c:v>19.899999999999999</c:v>
                </c:pt>
                <c:pt idx="1">
                  <c:v>8.8000000000000007</c:v>
                </c:pt>
                <c:pt idx="2">
                  <c:v>1.4</c:v>
                </c:pt>
                <c:pt idx="3">
                  <c:v>-7.5</c:v>
                </c:pt>
              </c:numCache>
            </c:numRef>
          </c:val>
          <c:smooth val="0"/>
          <c:extLst>
            <c:ext xmlns:c16="http://schemas.microsoft.com/office/drawing/2014/chart" uri="{C3380CC4-5D6E-409C-BE32-E72D297353CC}">
              <c16:uniqueId val="{00000000-6FD3-4697-B564-31AC3FA38E14}"/>
            </c:ext>
          </c:extLst>
        </c:ser>
        <c:ser>
          <c:idx val="1"/>
          <c:order val="1"/>
          <c:tx>
            <c:strRef>
              <c:f>Sheet1!$A$3</c:f>
              <c:strCache>
                <c:ptCount val="1"/>
                <c:pt idx="0">
                  <c:v>Գնային փոփոխություն</c:v>
                </c:pt>
              </c:strCache>
            </c:strRef>
          </c:tx>
          <c:spPr>
            <a:ln>
              <a:solidFill>
                <a:srgbClr val="C00000"/>
              </a:solidFill>
            </a:ln>
          </c:spPr>
          <c:marker>
            <c:spPr>
              <a:solidFill>
                <a:srgbClr val="C00000"/>
              </a:solidFill>
              <a:ln>
                <a:solidFill>
                  <a:srgbClr val="C00000"/>
                </a:solidFill>
              </a:ln>
            </c:spPr>
          </c:marker>
          <c:cat>
            <c:strRef>
              <c:f>Sheet1!$B$1:$E$1</c:f>
              <c:strCache>
                <c:ptCount val="4"/>
                <c:pt idx="0">
                  <c:v>հունվար</c:v>
                </c:pt>
                <c:pt idx="1">
                  <c:v>փետրվար</c:v>
                </c:pt>
                <c:pt idx="2">
                  <c:v>մարտ</c:v>
                </c:pt>
                <c:pt idx="3">
                  <c:v>ապրիլ</c:v>
                </c:pt>
              </c:strCache>
            </c:strRef>
          </c:cat>
          <c:val>
            <c:numRef>
              <c:f>Sheet1!$B$3:$E$3</c:f>
              <c:numCache>
                <c:formatCode>0.0</c:formatCode>
                <c:ptCount val="4"/>
                <c:pt idx="0">
                  <c:v>0.45095315968053729</c:v>
                </c:pt>
                <c:pt idx="1">
                  <c:v>0.43474121939885951</c:v>
                </c:pt>
                <c:pt idx="2">
                  <c:v>-1.8299441775783678</c:v>
                </c:pt>
                <c:pt idx="3">
                  <c:v>-1.1771734238745921</c:v>
                </c:pt>
              </c:numCache>
            </c:numRef>
          </c:val>
          <c:smooth val="0"/>
          <c:extLst>
            <c:ext xmlns:c16="http://schemas.microsoft.com/office/drawing/2014/chart" uri="{C3380CC4-5D6E-409C-BE32-E72D297353CC}">
              <c16:uniqueId val="{00000001-6FD3-4697-B564-31AC3FA38E14}"/>
            </c:ext>
          </c:extLst>
        </c:ser>
        <c:dLbls>
          <c:showLegendKey val="0"/>
          <c:showVal val="0"/>
          <c:showCatName val="0"/>
          <c:showSerName val="0"/>
          <c:showPercent val="0"/>
          <c:showBubbleSize val="0"/>
        </c:dLbls>
        <c:marker val="1"/>
        <c:smooth val="0"/>
        <c:axId val="-692381792"/>
        <c:axId val="-692389952"/>
      </c:lineChart>
      <c:catAx>
        <c:axId val="-6923817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92389952"/>
        <c:crosses val="autoZero"/>
        <c:auto val="1"/>
        <c:lblAlgn val="ctr"/>
        <c:lblOffset val="100"/>
        <c:noMultiLvlLbl val="0"/>
      </c:catAx>
      <c:valAx>
        <c:axId val="-692389952"/>
        <c:scaling>
          <c:orientation val="minMax"/>
          <c:max val="2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92381792"/>
        <c:crosses val="autoZero"/>
        <c:crossBetween val="between"/>
        <c:majorUnit val="10"/>
      </c:valAx>
      <c:spPr>
        <a:noFill/>
        <a:ln>
          <a:noFill/>
        </a:ln>
        <a:effectLst/>
      </c:spPr>
    </c:plotArea>
    <c:legend>
      <c:legendPos val="b"/>
      <c:layout>
        <c:manualLayout>
          <c:xMode val="edge"/>
          <c:yMode val="edge"/>
          <c:x val="1.2903481404447125E-2"/>
          <c:y val="0.74575571992894862"/>
          <c:w val="0.94484293236930472"/>
          <c:h val="0.2138402396670117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rgbClr val="4472C4"/>
      </a:solidFill>
      <a:round/>
    </a:ln>
    <a:effectLst/>
  </c:spPr>
  <c:txPr>
    <a:bodyPr/>
    <a:lstStyle/>
    <a:p>
      <a:pPr>
        <a:defRPr sz="800">
          <a:latin typeface="GHEA Grapalat" panose="02000506050000020003" pitchFamily="50" charset="0"/>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02378893389791"/>
          <c:y val="7.7192982456140549E-2"/>
          <c:w val="0.85358700104683449"/>
          <c:h val="0.53218566100289999"/>
        </c:manualLayout>
      </c:layout>
      <c:lineChart>
        <c:grouping val="standard"/>
        <c:varyColors val="0"/>
        <c:ser>
          <c:idx val="0"/>
          <c:order val="0"/>
          <c:tx>
            <c:strRef>
              <c:f>Sheet1!$A$2</c:f>
              <c:strCache>
                <c:ptCount val="1"/>
                <c:pt idx="0">
                  <c:v>12 ամսյա փոփոխություն </c:v>
                </c:pt>
              </c:strCache>
            </c:strRef>
          </c:tx>
          <c:spPr>
            <a:ln w="28575" cap="rnd">
              <a:solidFill>
                <a:srgbClr val="0070C0"/>
              </a:solidFill>
              <a:round/>
            </a:ln>
            <a:effectLst/>
          </c:spPr>
          <c:marker>
            <c:symbol val="circle"/>
            <c:size val="5"/>
            <c:spPr>
              <a:solidFill>
                <a:schemeClr val="accent1"/>
              </a:solidFill>
              <a:ln w="9525">
                <a:solidFill>
                  <a:schemeClr val="accent1"/>
                </a:solidFill>
              </a:ln>
              <a:effectLst/>
            </c:spPr>
          </c:marker>
          <c:cat>
            <c:strRef>
              <c:f>Sheet1!$B$1:$F$1</c:f>
              <c:strCache>
                <c:ptCount val="5"/>
                <c:pt idx="0">
                  <c:v>հունվար</c:v>
                </c:pt>
                <c:pt idx="1">
                  <c:v>փետրվար</c:v>
                </c:pt>
                <c:pt idx="2">
                  <c:v>մարտ</c:v>
                </c:pt>
                <c:pt idx="3">
                  <c:v>ապրիլ</c:v>
                </c:pt>
                <c:pt idx="4">
                  <c:v>մայիս</c:v>
                </c:pt>
              </c:strCache>
            </c:strRef>
          </c:cat>
          <c:val>
            <c:numRef>
              <c:f>Sheet1!$B$2:$F$2</c:f>
              <c:numCache>
                <c:formatCode>General</c:formatCode>
                <c:ptCount val="5"/>
                <c:pt idx="0">
                  <c:v>22.2</c:v>
                </c:pt>
                <c:pt idx="1">
                  <c:v>2.8</c:v>
                </c:pt>
                <c:pt idx="2">
                  <c:v>-16.600000000000001</c:v>
                </c:pt>
                <c:pt idx="3">
                  <c:v>-29.8</c:v>
                </c:pt>
                <c:pt idx="4">
                  <c:v>-8.7000000000000011</c:v>
                </c:pt>
              </c:numCache>
            </c:numRef>
          </c:val>
          <c:smooth val="0"/>
          <c:extLst>
            <c:ext xmlns:c16="http://schemas.microsoft.com/office/drawing/2014/chart" uri="{C3380CC4-5D6E-409C-BE32-E72D297353CC}">
              <c16:uniqueId val="{00000000-DC55-4C0F-B8E0-7D2A2DD656F3}"/>
            </c:ext>
          </c:extLst>
        </c:ser>
        <c:ser>
          <c:idx val="1"/>
          <c:order val="1"/>
          <c:tx>
            <c:strRef>
              <c:f>Sheet1!$A$3</c:f>
              <c:strCache>
                <c:ptCount val="1"/>
                <c:pt idx="0">
                  <c:v>Անվանական փոփոխություն</c:v>
                </c:pt>
              </c:strCache>
            </c:strRef>
          </c:tx>
          <c:spPr>
            <a:ln>
              <a:solidFill>
                <a:srgbClr val="C00000"/>
              </a:solidFill>
            </a:ln>
          </c:spPr>
          <c:marker>
            <c:spPr>
              <a:solidFill>
                <a:srgbClr val="C00000"/>
              </a:solidFill>
              <a:ln>
                <a:solidFill>
                  <a:srgbClr val="C00000"/>
                </a:solidFill>
              </a:ln>
            </c:spPr>
          </c:marker>
          <c:cat>
            <c:strRef>
              <c:f>Sheet1!$B$1:$F$1</c:f>
              <c:strCache>
                <c:ptCount val="5"/>
                <c:pt idx="0">
                  <c:v>հունվար</c:v>
                </c:pt>
                <c:pt idx="1">
                  <c:v>փետրվար</c:v>
                </c:pt>
                <c:pt idx="2">
                  <c:v>մարտ</c:v>
                </c:pt>
                <c:pt idx="3">
                  <c:v>ապրիլ</c:v>
                </c:pt>
                <c:pt idx="4">
                  <c:v>մայիս</c:v>
                </c:pt>
              </c:strCache>
            </c:strRef>
          </c:cat>
          <c:val>
            <c:numRef>
              <c:f>Sheet1!$B$3:$F$3</c:f>
              <c:numCache>
                <c:formatCode>0.0</c:formatCode>
                <c:ptCount val="5"/>
                <c:pt idx="0">
                  <c:v>22.200000000000003</c:v>
                </c:pt>
                <c:pt idx="1">
                  <c:v>11.1154484896617</c:v>
                </c:pt>
                <c:pt idx="2">
                  <c:v>0.55138534549897145</c:v>
                </c:pt>
                <c:pt idx="3">
                  <c:v>-7.8897803745752668</c:v>
                </c:pt>
                <c:pt idx="4">
                  <c:v>-8.0667205165643683</c:v>
                </c:pt>
              </c:numCache>
            </c:numRef>
          </c:val>
          <c:smooth val="0"/>
          <c:extLst>
            <c:ext xmlns:c16="http://schemas.microsoft.com/office/drawing/2014/chart" uri="{C3380CC4-5D6E-409C-BE32-E72D297353CC}">
              <c16:uniqueId val="{00000001-DC55-4C0F-B8E0-7D2A2DD656F3}"/>
            </c:ext>
          </c:extLst>
        </c:ser>
        <c:dLbls>
          <c:showLegendKey val="0"/>
          <c:showVal val="0"/>
          <c:showCatName val="0"/>
          <c:showSerName val="0"/>
          <c:showPercent val="0"/>
          <c:showBubbleSize val="0"/>
        </c:dLbls>
        <c:marker val="1"/>
        <c:smooth val="0"/>
        <c:axId val="-692395936"/>
        <c:axId val="-692380704"/>
      </c:lineChart>
      <c:catAx>
        <c:axId val="-6923959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92380704"/>
        <c:crosses val="autoZero"/>
        <c:auto val="1"/>
        <c:lblAlgn val="ctr"/>
        <c:lblOffset val="100"/>
        <c:noMultiLvlLbl val="0"/>
      </c:catAx>
      <c:valAx>
        <c:axId val="-692380704"/>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92395936"/>
        <c:crosses val="autoZero"/>
        <c:crossBetween val="between"/>
        <c:majorUnit val="10"/>
      </c:valAx>
      <c:spPr>
        <a:noFill/>
        <a:ln>
          <a:noFill/>
        </a:ln>
        <a:effectLst/>
      </c:spPr>
    </c:plotArea>
    <c:legend>
      <c:legendPos val="b"/>
      <c:layout>
        <c:manualLayout>
          <c:xMode val="edge"/>
          <c:yMode val="edge"/>
          <c:x val="1.7440690881381768E-2"/>
          <c:y val="0.73505069761016884"/>
          <c:w val="0.97802150537634414"/>
          <c:h val="0.2228440392319382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rgbClr val="4472C4"/>
      </a:solidFill>
      <a:round/>
    </a:ln>
    <a:effectLst/>
  </c:spPr>
  <c:txPr>
    <a:bodyPr/>
    <a:lstStyle/>
    <a:p>
      <a:pPr>
        <a:defRPr sz="800">
          <a:latin typeface="GHEA Grapalat" panose="02000506050000020003" pitchFamily="50" charset="0"/>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81438189791494"/>
          <c:y val="9.078014184397161E-2"/>
          <c:w val="0.8320738168598506"/>
          <c:h val="0.6545163798969551"/>
        </c:manualLayout>
      </c:layout>
      <c:lineChart>
        <c:grouping val="standard"/>
        <c:varyColors val="0"/>
        <c:ser>
          <c:idx val="0"/>
          <c:order val="0"/>
          <c:tx>
            <c:strRef>
              <c:f>Sheet1!$A$2</c:f>
              <c:strCache>
                <c:ptCount val="1"/>
                <c:pt idx="0">
                  <c:v>Իրական փոփոխություն</c:v>
                </c:pt>
              </c:strCache>
            </c:strRef>
          </c:tx>
          <c:spPr>
            <a:ln w="28575" cap="rnd">
              <a:solidFill>
                <a:srgbClr val="0070C0"/>
              </a:solidFill>
              <a:round/>
            </a:ln>
            <a:effectLst/>
          </c:spPr>
          <c:marker>
            <c:symbol val="circle"/>
            <c:size val="5"/>
            <c:spPr>
              <a:solidFill>
                <a:schemeClr val="accent1"/>
              </a:solidFill>
              <a:ln w="9525">
                <a:solidFill>
                  <a:schemeClr val="accent1"/>
                </a:solidFill>
              </a:ln>
              <a:effectLst/>
            </c:spPr>
          </c:marker>
          <c:cat>
            <c:strRef>
              <c:f>Sheet1!$B$1:$E$1</c:f>
              <c:strCache>
                <c:ptCount val="4"/>
                <c:pt idx="0">
                  <c:v>հունվար</c:v>
                </c:pt>
                <c:pt idx="1">
                  <c:v>փետրվար</c:v>
                </c:pt>
                <c:pt idx="2">
                  <c:v>մարտ</c:v>
                </c:pt>
                <c:pt idx="3">
                  <c:v>ապրիլ</c:v>
                </c:pt>
              </c:strCache>
            </c:strRef>
          </c:cat>
          <c:val>
            <c:numRef>
              <c:f>Sheet1!$B$2:$E$2</c:f>
              <c:numCache>
                <c:formatCode>General</c:formatCode>
                <c:ptCount val="4"/>
                <c:pt idx="0">
                  <c:v>4.5</c:v>
                </c:pt>
                <c:pt idx="1">
                  <c:v>-1.3</c:v>
                </c:pt>
                <c:pt idx="2">
                  <c:v>-6.1</c:v>
                </c:pt>
                <c:pt idx="3">
                  <c:v>-11.7</c:v>
                </c:pt>
              </c:numCache>
            </c:numRef>
          </c:val>
          <c:smooth val="0"/>
          <c:extLst>
            <c:ext xmlns:c16="http://schemas.microsoft.com/office/drawing/2014/chart" uri="{C3380CC4-5D6E-409C-BE32-E72D297353CC}">
              <c16:uniqueId val="{00000000-8767-4A0F-BB74-AFF3CAC36901}"/>
            </c:ext>
          </c:extLst>
        </c:ser>
        <c:ser>
          <c:idx val="1"/>
          <c:order val="1"/>
          <c:tx>
            <c:strRef>
              <c:f>Sheet1!$A$3</c:f>
              <c:strCache>
                <c:ptCount val="1"/>
                <c:pt idx="0">
                  <c:v>Գնային փոփոխություն</c:v>
                </c:pt>
              </c:strCache>
            </c:strRef>
          </c:tx>
          <c:spPr>
            <a:ln>
              <a:solidFill>
                <a:srgbClr val="C00000"/>
              </a:solidFill>
            </a:ln>
          </c:spPr>
          <c:marker>
            <c:spPr>
              <a:solidFill>
                <a:srgbClr val="C00000"/>
              </a:solidFill>
              <a:ln>
                <a:solidFill>
                  <a:srgbClr val="C00000"/>
                </a:solidFill>
              </a:ln>
            </c:spPr>
          </c:marker>
          <c:cat>
            <c:strRef>
              <c:f>Sheet1!$B$1:$E$1</c:f>
              <c:strCache>
                <c:ptCount val="4"/>
                <c:pt idx="0">
                  <c:v>հունվար</c:v>
                </c:pt>
                <c:pt idx="1">
                  <c:v>փետրվար</c:v>
                </c:pt>
                <c:pt idx="2">
                  <c:v>մարտ</c:v>
                </c:pt>
                <c:pt idx="3">
                  <c:v>ապրիլ</c:v>
                </c:pt>
              </c:strCache>
            </c:strRef>
          </c:cat>
          <c:val>
            <c:numRef>
              <c:f>Sheet1!$B$3:$E$3</c:f>
              <c:numCache>
                <c:formatCode>0.0</c:formatCode>
                <c:ptCount val="4"/>
                <c:pt idx="0">
                  <c:v>-3</c:v>
                </c:pt>
                <c:pt idx="1">
                  <c:v>-0.4</c:v>
                </c:pt>
                <c:pt idx="2">
                  <c:v>-0.4</c:v>
                </c:pt>
                <c:pt idx="3">
                  <c:v>-0.4</c:v>
                </c:pt>
              </c:numCache>
            </c:numRef>
          </c:val>
          <c:smooth val="0"/>
          <c:extLst>
            <c:ext xmlns:c16="http://schemas.microsoft.com/office/drawing/2014/chart" uri="{C3380CC4-5D6E-409C-BE32-E72D297353CC}">
              <c16:uniqueId val="{00000001-8767-4A0F-BB74-AFF3CAC36901}"/>
            </c:ext>
          </c:extLst>
        </c:ser>
        <c:dLbls>
          <c:showLegendKey val="0"/>
          <c:showVal val="0"/>
          <c:showCatName val="0"/>
          <c:showSerName val="0"/>
          <c:showPercent val="0"/>
          <c:showBubbleSize val="0"/>
        </c:dLbls>
        <c:marker val="1"/>
        <c:smooth val="0"/>
        <c:axId val="-692384512"/>
        <c:axId val="-692393760"/>
      </c:lineChart>
      <c:catAx>
        <c:axId val="-69238451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92393760"/>
        <c:crosses val="autoZero"/>
        <c:auto val="1"/>
        <c:lblAlgn val="ctr"/>
        <c:lblOffset val="100"/>
        <c:noMultiLvlLbl val="0"/>
      </c:catAx>
      <c:valAx>
        <c:axId val="-692393760"/>
        <c:scaling>
          <c:orientation val="minMax"/>
          <c:max val="5"/>
          <c:min val="-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92384512"/>
        <c:crosses val="autoZero"/>
        <c:crossBetween val="between"/>
        <c:majorUnit val="5"/>
      </c:valAx>
      <c:spPr>
        <a:noFill/>
        <a:ln>
          <a:noFill/>
        </a:ln>
        <a:effectLst/>
      </c:spPr>
    </c:plotArea>
    <c:legend>
      <c:legendPos val="b"/>
      <c:layout>
        <c:manualLayout>
          <c:xMode val="edge"/>
          <c:yMode val="edge"/>
          <c:x val="3.9658303581617572E-2"/>
          <c:y val="0.83684950019545556"/>
          <c:w val="0.92068339283676459"/>
          <c:h val="0.1291079466130560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rgbClr val="4472C4"/>
      </a:solidFill>
      <a:round/>
    </a:ln>
    <a:effectLst/>
  </c:spPr>
  <c:txPr>
    <a:bodyPr/>
    <a:lstStyle/>
    <a:p>
      <a:pPr>
        <a:defRPr sz="800">
          <a:latin typeface="GHEA Grapalat" panose="02000506050000020003" pitchFamily="50" charset="0"/>
        </a:defRPr>
      </a:pPr>
      <a:endParaRPr lang="en-US"/>
    </a:p>
  </c:txPr>
  <c:externalData r:id="rId2">
    <c:autoUpdate val="0"/>
  </c:externalData>
  <c:userShapes r:id="rId3"/>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21400231947778"/>
          <c:y val="6.636500754147813E-2"/>
          <c:w val="0.8241503387657938"/>
          <c:h val="0.65813850191802969"/>
        </c:manualLayout>
      </c:layout>
      <c:lineChart>
        <c:grouping val="standard"/>
        <c:varyColors val="0"/>
        <c:ser>
          <c:idx val="0"/>
          <c:order val="0"/>
          <c:tx>
            <c:strRef>
              <c:f>Sheet1!$A$2</c:f>
              <c:strCache>
                <c:ptCount val="1"/>
                <c:pt idx="0">
                  <c:v>12 ամսյա փոփոխություն</c:v>
                </c:pt>
              </c:strCache>
            </c:strRef>
          </c:tx>
          <c:spPr>
            <a:ln w="28575" cap="rnd">
              <a:solidFill>
                <a:srgbClr val="0070C0"/>
              </a:solidFill>
              <a:round/>
            </a:ln>
            <a:effectLst/>
          </c:spPr>
          <c:marker>
            <c:symbol val="circle"/>
            <c:size val="5"/>
            <c:spPr>
              <a:solidFill>
                <a:schemeClr val="accent1"/>
              </a:solidFill>
              <a:ln w="9525">
                <a:solidFill>
                  <a:schemeClr val="accent1"/>
                </a:solidFill>
              </a:ln>
              <a:effectLst/>
            </c:spPr>
          </c:marker>
          <c:cat>
            <c:strRef>
              <c:f>Sheet1!$B$1:$F$1</c:f>
              <c:strCache>
                <c:ptCount val="5"/>
                <c:pt idx="0">
                  <c:v>հունվար</c:v>
                </c:pt>
                <c:pt idx="1">
                  <c:v>փետրվար</c:v>
                </c:pt>
                <c:pt idx="2">
                  <c:v>մարտ</c:v>
                </c:pt>
                <c:pt idx="3">
                  <c:v>ապրիլ</c:v>
                </c:pt>
                <c:pt idx="4">
                  <c:v>մայիս</c:v>
                </c:pt>
              </c:strCache>
            </c:strRef>
          </c:cat>
          <c:val>
            <c:numRef>
              <c:f>Sheet1!$B$2:$F$2</c:f>
              <c:numCache>
                <c:formatCode>0.0</c:formatCode>
                <c:ptCount val="5"/>
                <c:pt idx="0">
                  <c:v>3.5</c:v>
                </c:pt>
                <c:pt idx="1">
                  <c:v>-2.0999999999999943</c:v>
                </c:pt>
                <c:pt idx="2">
                  <c:v>-12</c:v>
                </c:pt>
                <c:pt idx="3">
                  <c:v>-26.700000000000003</c:v>
                </c:pt>
                <c:pt idx="4">
                  <c:v>-21.799999999999986</c:v>
                </c:pt>
              </c:numCache>
            </c:numRef>
          </c:val>
          <c:smooth val="0"/>
          <c:extLst>
            <c:ext xmlns:c16="http://schemas.microsoft.com/office/drawing/2014/chart" uri="{C3380CC4-5D6E-409C-BE32-E72D297353CC}">
              <c16:uniqueId val="{00000000-CB8C-428A-B35F-D5C7B869E582}"/>
            </c:ext>
          </c:extLst>
        </c:ser>
        <c:ser>
          <c:idx val="1"/>
          <c:order val="1"/>
          <c:tx>
            <c:strRef>
              <c:f>Sheet1!$A$3</c:f>
              <c:strCache>
                <c:ptCount val="1"/>
                <c:pt idx="0">
                  <c:v>Անվանական փոփոխություն</c:v>
                </c:pt>
              </c:strCache>
            </c:strRef>
          </c:tx>
          <c:spPr>
            <a:ln>
              <a:solidFill>
                <a:srgbClr val="C00000"/>
              </a:solidFill>
            </a:ln>
          </c:spPr>
          <c:marker>
            <c:spPr>
              <a:solidFill>
                <a:srgbClr val="C00000"/>
              </a:solidFill>
              <a:ln>
                <a:solidFill>
                  <a:srgbClr val="C00000"/>
                </a:solidFill>
              </a:ln>
            </c:spPr>
          </c:marker>
          <c:cat>
            <c:strRef>
              <c:f>Sheet1!$B$1:$F$1</c:f>
              <c:strCache>
                <c:ptCount val="5"/>
                <c:pt idx="0">
                  <c:v>հունվար</c:v>
                </c:pt>
                <c:pt idx="1">
                  <c:v>փետրվար</c:v>
                </c:pt>
                <c:pt idx="2">
                  <c:v>մարտ</c:v>
                </c:pt>
                <c:pt idx="3">
                  <c:v>ապրիլ</c:v>
                </c:pt>
                <c:pt idx="4">
                  <c:v>մայիս</c:v>
                </c:pt>
              </c:strCache>
            </c:strRef>
          </c:cat>
          <c:val>
            <c:numRef>
              <c:f>Sheet1!$B$3:$F$3</c:f>
              <c:numCache>
                <c:formatCode>General</c:formatCode>
                <c:ptCount val="5"/>
                <c:pt idx="0">
                  <c:v>3.5000000000000142</c:v>
                </c:pt>
                <c:pt idx="1">
                  <c:v>0.37515670065135981</c:v>
                </c:pt>
                <c:pt idx="2">
                  <c:v>-4.3096287133647584</c:v>
                </c:pt>
                <c:pt idx="3">
                  <c:v>-10.429853516694777</c:v>
                </c:pt>
                <c:pt idx="4">
                  <c:v>-12.82764746973835</c:v>
                </c:pt>
              </c:numCache>
            </c:numRef>
          </c:val>
          <c:smooth val="0"/>
          <c:extLst>
            <c:ext xmlns:c16="http://schemas.microsoft.com/office/drawing/2014/chart" uri="{C3380CC4-5D6E-409C-BE32-E72D297353CC}">
              <c16:uniqueId val="{00000001-CB8C-428A-B35F-D5C7B869E582}"/>
            </c:ext>
          </c:extLst>
        </c:ser>
        <c:dLbls>
          <c:showLegendKey val="0"/>
          <c:showVal val="0"/>
          <c:showCatName val="0"/>
          <c:showSerName val="0"/>
          <c:showPercent val="0"/>
          <c:showBubbleSize val="0"/>
        </c:dLbls>
        <c:marker val="1"/>
        <c:smooth val="0"/>
        <c:axId val="-692382336"/>
        <c:axId val="-692394848"/>
      </c:lineChart>
      <c:catAx>
        <c:axId val="-6923823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92394848"/>
        <c:crosses val="autoZero"/>
        <c:auto val="1"/>
        <c:lblAlgn val="ctr"/>
        <c:lblOffset val="100"/>
        <c:noMultiLvlLbl val="0"/>
      </c:catAx>
      <c:valAx>
        <c:axId val="-692394848"/>
        <c:scaling>
          <c:orientation val="minMax"/>
          <c:max val="10"/>
          <c:min val="-3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92382336"/>
        <c:crosses val="autoZero"/>
        <c:crossBetween val="between"/>
        <c:majorUnit val="10"/>
      </c:valAx>
      <c:spPr>
        <a:noFill/>
        <a:ln>
          <a:noFill/>
        </a:ln>
        <a:effectLst/>
      </c:spPr>
    </c:plotArea>
    <c:legend>
      <c:legendPos val="b"/>
      <c:layout>
        <c:manualLayout>
          <c:xMode val="edge"/>
          <c:yMode val="edge"/>
          <c:x val="0"/>
          <c:y val="0.82552036199094858"/>
          <c:w val="1"/>
          <c:h val="0.1460488235430749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rgbClr val="4472C4"/>
      </a:solidFill>
      <a:round/>
    </a:ln>
    <a:effectLst/>
  </c:spPr>
  <c:txPr>
    <a:bodyPr/>
    <a:lstStyle/>
    <a:p>
      <a:pPr>
        <a:defRPr sz="800">
          <a:latin typeface="GHEA Grapalat" panose="02000506050000020003" pitchFamily="50" charset="0"/>
        </a:defRPr>
      </a:pPr>
      <a:endParaRPr lang="en-US"/>
    </a:p>
  </c:txPr>
  <c:externalData r:id="rId2">
    <c:autoUpdate val="0"/>
  </c:externalData>
  <c:userShapes r:id="rId3"/>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48326771653562"/>
          <c:y val="9.1389048471945289E-2"/>
          <c:w val="0.89352514220179968"/>
          <c:h val="0.74930440561882694"/>
        </c:manualLayout>
      </c:layout>
      <c:barChart>
        <c:barDir val="col"/>
        <c:grouping val="clustered"/>
        <c:varyColors val="0"/>
        <c:ser>
          <c:idx val="0"/>
          <c:order val="0"/>
          <c:tx>
            <c:strRef>
              <c:f>Sheet1!$A$2</c:f>
              <c:strCache>
                <c:ptCount val="1"/>
                <c:pt idx="0">
                  <c:v>Կշիռը ՀՆԱ-ում, %</c:v>
                </c:pt>
              </c:strCache>
            </c:strRef>
          </c:tx>
          <c:spPr>
            <a:solidFill>
              <a:srgbClr val="4472C4"/>
            </a:solidFill>
            <a:ln w="28575" cap="rnd">
              <a:solidFill>
                <a:srgbClr val="4472C4"/>
              </a:solidFill>
              <a:round/>
            </a:ln>
            <a:effectLst/>
          </c:spPr>
          <c:invertIfNegative val="0"/>
          <c:cat>
            <c:strRef>
              <c:f>Sheet1!$B$1:$K$1</c:f>
              <c:strCache>
                <c:ptCount val="10"/>
                <c:pt idx="0">
                  <c:v>2008</c:v>
                </c:pt>
                <c:pt idx="1">
                  <c:v>2009</c:v>
                </c:pt>
                <c:pt idx="2">
                  <c:v>2010</c:v>
                </c:pt>
                <c:pt idx="3">
                  <c:v>2017</c:v>
                </c:pt>
                <c:pt idx="4">
                  <c:v>2018</c:v>
                </c:pt>
                <c:pt idx="5">
                  <c:v>2019</c:v>
                </c:pt>
                <c:pt idx="6">
                  <c:v>2020</c:v>
                </c:pt>
                <c:pt idx="7">
                  <c:v>2021</c:v>
                </c:pt>
                <c:pt idx="8">
                  <c:v>2022</c:v>
                </c:pt>
                <c:pt idx="9">
                  <c:v>2023</c:v>
                </c:pt>
              </c:strCache>
            </c:strRef>
          </c:cat>
          <c:val>
            <c:numRef>
              <c:f>Sheet1!$B$2:$K$2</c:f>
              <c:numCache>
                <c:formatCode>#,##0.0</c:formatCode>
                <c:ptCount val="10"/>
                <c:pt idx="0">
                  <c:v>16.666308597664628</c:v>
                </c:pt>
                <c:pt idx="1">
                  <c:v>18.030732932534821</c:v>
                </c:pt>
                <c:pt idx="3" formatCode="0.0">
                  <c:v>38.248994637009169</c:v>
                </c:pt>
                <c:pt idx="4" formatCode="0.0">
                  <c:v>39.390453622631888</c:v>
                </c:pt>
                <c:pt idx="5" formatCode="0.0">
                  <c:v>41.254587869090003</c:v>
                </c:pt>
                <c:pt idx="6" formatCode="0.0">
                  <c:v>34.291635513238596</c:v>
                </c:pt>
                <c:pt idx="7" formatCode="0.0">
                  <c:v>36.710810269891105</c:v>
                </c:pt>
                <c:pt idx="8" formatCode="0.0">
                  <c:v>38.008100595142025</c:v>
                </c:pt>
                <c:pt idx="9" formatCode="0.0">
                  <c:v>39.470537424210427</c:v>
                </c:pt>
              </c:numCache>
            </c:numRef>
          </c:val>
          <c:extLst>
            <c:ext xmlns:c16="http://schemas.microsoft.com/office/drawing/2014/chart" uri="{C3380CC4-5D6E-409C-BE32-E72D297353CC}">
              <c16:uniqueId val="{00000000-612A-4C61-87EA-7C7D0A4CD3EA}"/>
            </c:ext>
          </c:extLst>
        </c:ser>
        <c:ser>
          <c:idx val="1"/>
          <c:order val="1"/>
          <c:tx>
            <c:strRef>
              <c:f>Sheet1!$A$3</c:f>
              <c:strCache>
                <c:ptCount val="1"/>
                <c:pt idx="0">
                  <c:v>Փոփոխությունը, տ/տ, %</c:v>
                </c:pt>
              </c:strCache>
            </c:strRef>
          </c:tx>
          <c:spPr>
            <a:solidFill>
              <a:srgbClr val="C00000"/>
            </a:solidFill>
            <a:ln w="28575" cap="rnd">
              <a:solidFill>
                <a:srgbClr val="C00000"/>
              </a:solidFill>
              <a:round/>
            </a:ln>
            <a:effectLst/>
          </c:spPr>
          <c:invertIfNegative val="0"/>
          <c:cat>
            <c:strRef>
              <c:f>Sheet1!$B$1:$K$1</c:f>
              <c:strCache>
                <c:ptCount val="10"/>
                <c:pt idx="0">
                  <c:v>2008</c:v>
                </c:pt>
                <c:pt idx="1">
                  <c:v>2009</c:v>
                </c:pt>
                <c:pt idx="2">
                  <c:v>2010</c:v>
                </c:pt>
                <c:pt idx="3">
                  <c:v>2017</c:v>
                </c:pt>
                <c:pt idx="4">
                  <c:v>2018</c:v>
                </c:pt>
                <c:pt idx="5">
                  <c:v>2019</c:v>
                </c:pt>
                <c:pt idx="6">
                  <c:v>2020</c:v>
                </c:pt>
                <c:pt idx="7">
                  <c:v>2021</c:v>
                </c:pt>
                <c:pt idx="8">
                  <c:v>2022</c:v>
                </c:pt>
                <c:pt idx="9">
                  <c:v>2023</c:v>
                </c:pt>
              </c:strCache>
            </c:strRef>
          </c:cat>
          <c:val>
            <c:numRef>
              <c:f>Sheet1!$B$3:$K$3</c:f>
              <c:numCache>
                <c:formatCode>#,##0.0</c:formatCode>
                <c:ptCount val="10"/>
                <c:pt idx="0">
                  <c:v>-1.2609806646880781</c:v>
                </c:pt>
                <c:pt idx="1">
                  <c:v>-19.773709903356089</c:v>
                </c:pt>
                <c:pt idx="3" formatCode="0.0">
                  <c:v>23.729876355965221</c:v>
                </c:pt>
                <c:pt idx="4" formatCode="0.0">
                  <c:v>11.29740537492737</c:v>
                </c:pt>
                <c:pt idx="5" formatCode="0.0">
                  <c:v>14.946162729738468</c:v>
                </c:pt>
                <c:pt idx="6" formatCode="0.0">
                  <c:v>-21.756257695496991</c:v>
                </c:pt>
                <c:pt idx="7" formatCode="0.0">
                  <c:v>16.61999999999999</c:v>
                </c:pt>
                <c:pt idx="8" formatCode="0.0">
                  <c:v>12.040000000000003</c:v>
                </c:pt>
                <c:pt idx="9" formatCode="0.0">
                  <c:v>11.700000000000003</c:v>
                </c:pt>
              </c:numCache>
            </c:numRef>
          </c:val>
          <c:extLst>
            <c:ext xmlns:c16="http://schemas.microsoft.com/office/drawing/2014/chart" uri="{C3380CC4-5D6E-409C-BE32-E72D297353CC}">
              <c16:uniqueId val="{00000001-612A-4C61-87EA-7C7D0A4CD3EA}"/>
            </c:ext>
          </c:extLst>
        </c:ser>
        <c:dLbls>
          <c:showLegendKey val="0"/>
          <c:showVal val="0"/>
          <c:showCatName val="0"/>
          <c:showSerName val="0"/>
          <c:showPercent val="0"/>
          <c:showBubbleSize val="0"/>
        </c:dLbls>
        <c:gapWidth val="150"/>
        <c:axId val="-692385600"/>
        <c:axId val="-684476656"/>
      </c:barChart>
      <c:catAx>
        <c:axId val="-6923856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84476656"/>
        <c:crosses val="autoZero"/>
        <c:auto val="1"/>
        <c:lblAlgn val="ctr"/>
        <c:lblOffset val="100"/>
        <c:noMultiLvlLbl val="0"/>
      </c:catAx>
      <c:valAx>
        <c:axId val="-684476656"/>
        <c:scaling>
          <c:orientation val="minMax"/>
          <c:max val="45"/>
          <c:min val="-2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92385600"/>
        <c:crosses val="autoZero"/>
        <c:crossBetween val="between"/>
        <c:majorUnit val="20"/>
      </c:valAx>
      <c:spPr>
        <a:noFill/>
        <a:ln>
          <a:noFill/>
        </a:ln>
        <a:effectLst/>
      </c:spPr>
    </c:plotArea>
    <c:legend>
      <c:legendPos val="b"/>
      <c:layout>
        <c:manualLayout>
          <c:xMode val="edge"/>
          <c:yMode val="edge"/>
          <c:x val="0.05"/>
          <c:y val="0.91940387279916191"/>
          <c:w val="0.92515703461595589"/>
          <c:h val="7.753569794601392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4472C4"/>
      </a:solidFill>
      <a:round/>
    </a:ln>
    <a:effectLst/>
  </c:spPr>
  <c:txPr>
    <a:bodyPr/>
    <a:lstStyle/>
    <a:p>
      <a:pPr>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7614709925968"/>
          <c:y val="0.12727272727272718"/>
          <c:w val="0.82715542910077533"/>
          <c:h val="0.59695396183585014"/>
        </c:manualLayout>
      </c:layout>
      <c:barChart>
        <c:barDir val="col"/>
        <c:grouping val="clustered"/>
        <c:varyColors val="0"/>
        <c:ser>
          <c:idx val="1"/>
          <c:order val="1"/>
          <c:tx>
            <c:strRef>
              <c:f>Sheet1!$C$1</c:f>
              <c:strCache>
                <c:ptCount val="1"/>
                <c:pt idx="0">
                  <c:v>Զարգացած երկրներում</c:v>
                </c:pt>
              </c:strCache>
            </c:strRef>
          </c:tx>
          <c:spPr>
            <a:solidFill>
              <a:schemeClr val="accent2"/>
            </a:solidFill>
            <a:ln>
              <a:noFill/>
            </a:ln>
            <a:effectLst/>
          </c:spPr>
          <c:invertIfNegative val="0"/>
          <c:cat>
            <c:numRef>
              <c:f>Sheet1!$A$2:$A$6</c:f>
              <c:numCache>
                <c:formatCode>General</c:formatCode>
                <c:ptCount val="5"/>
                <c:pt idx="0">
                  <c:v>2017</c:v>
                </c:pt>
                <c:pt idx="1">
                  <c:v>2018</c:v>
                </c:pt>
                <c:pt idx="2">
                  <c:v>2019</c:v>
                </c:pt>
                <c:pt idx="3">
                  <c:v>2020</c:v>
                </c:pt>
                <c:pt idx="4">
                  <c:v>2021</c:v>
                </c:pt>
              </c:numCache>
            </c:numRef>
          </c:cat>
          <c:val>
            <c:numRef>
              <c:f>Sheet1!$C$2:$C$6</c:f>
              <c:numCache>
                <c:formatCode>#,##0.0;"–"#,##0.0</c:formatCode>
                <c:ptCount val="5"/>
                <c:pt idx="0">
                  <c:v>4.3</c:v>
                </c:pt>
                <c:pt idx="1">
                  <c:v>3.4099838903060782</c:v>
                </c:pt>
                <c:pt idx="2">
                  <c:v>1.4573395737918411</c:v>
                </c:pt>
                <c:pt idx="3">
                  <c:v>-13.377258556246957</c:v>
                </c:pt>
                <c:pt idx="4">
                  <c:v>7.2313173880480814</c:v>
                </c:pt>
              </c:numCache>
            </c:numRef>
          </c:val>
          <c:extLst>
            <c:ext xmlns:c16="http://schemas.microsoft.com/office/drawing/2014/chart" uri="{C3380CC4-5D6E-409C-BE32-E72D297353CC}">
              <c16:uniqueId val="{00000000-4676-4F3C-9E22-FC370DC85E28}"/>
            </c:ext>
          </c:extLst>
        </c:ser>
        <c:ser>
          <c:idx val="2"/>
          <c:order val="2"/>
          <c:tx>
            <c:strRef>
              <c:f>Sheet1!$D$1</c:f>
              <c:strCache>
                <c:ptCount val="1"/>
                <c:pt idx="0">
                  <c:v>Զարգացող երկրներում</c:v>
                </c:pt>
              </c:strCache>
            </c:strRef>
          </c:tx>
          <c:spPr>
            <a:solidFill>
              <a:srgbClr val="0070C0"/>
            </a:solidFill>
            <a:ln>
              <a:solidFill>
                <a:schemeClr val="accent1"/>
              </a:solidFill>
            </a:ln>
            <a:effectLst/>
          </c:spPr>
          <c:invertIfNegative val="0"/>
          <c:cat>
            <c:numRef>
              <c:f>Sheet1!$A$2:$A$6</c:f>
              <c:numCache>
                <c:formatCode>General</c:formatCode>
                <c:ptCount val="5"/>
                <c:pt idx="0">
                  <c:v>2017</c:v>
                </c:pt>
                <c:pt idx="1">
                  <c:v>2018</c:v>
                </c:pt>
                <c:pt idx="2">
                  <c:v>2019</c:v>
                </c:pt>
                <c:pt idx="3">
                  <c:v>2020</c:v>
                </c:pt>
                <c:pt idx="4">
                  <c:v>2021</c:v>
                </c:pt>
              </c:numCache>
            </c:numRef>
          </c:cat>
          <c:val>
            <c:numRef>
              <c:f>Sheet1!$D$2:$D$6</c:f>
              <c:numCache>
                <c:formatCode>#,##0.0;"–"#,##0.0</c:formatCode>
                <c:ptCount val="5"/>
                <c:pt idx="0">
                  <c:v>7.1</c:v>
                </c:pt>
                <c:pt idx="1">
                  <c:v>4.5451456239638528</c:v>
                </c:pt>
                <c:pt idx="2">
                  <c:v>7.1306498606459101E-2</c:v>
                </c:pt>
                <c:pt idx="3">
                  <c:v>-9.3768962340031852</c:v>
                </c:pt>
                <c:pt idx="4">
                  <c:v>9.3778671959902269</c:v>
                </c:pt>
              </c:numCache>
            </c:numRef>
          </c:val>
          <c:extLst>
            <c:ext xmlns:c16="http://schemas.microsoft.com/office/drawing/2014/chart" uri="{C3380CC4-5D6E-409C-BE32-E72D297353CC}">
              <c16:uniqueId val="{00000001-4676-4F3C-9E22-FC370DC85E28}"/>
            </c:ext>
          </c:extLst>
        </c:ser>
        <c:dLbls>
          <c:showLegendKey val="0"/>
          <c:showVal val="0"/>
          <c:showCatName val="0"/>
          <c:showSerName val="0"/>
          <c:showPercent val="0"/>
          <c:showBubbleSize val="0"/>
        </c:dLbls>
        <c:gapWidth val="150"/>
        <c:axId val="-603816128"/>
        <c:axId val="-603800352"/>
      </c:barChart>
      <c:lineChart>
        <c:grouping val="standard"/>
        <c:varyColors val="0"/>
        <c:ser>
          <c:idx val="0"/>
          <c:order val="0"/>
          <c:tx>
            <c:strRef>
              <c:f>Sheet1!$B$1</c:f>
              <c:strCache>
                <c:ptCount val="1"/>
                <c:pt idx="0">
                  <c:v>Ամբողջ աշխարհում</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Sheet1!$B$2:$B$6</c:f>
              <c:numCache>
                <c:formatCode>#,##0.0;"–"#,##0.0</c:formatCode>
                <c:ptCount val="5"/>
                <c:pt idx="0">
                  <c:v>5.3</c:v>
                </c:pt>
                <c:pt idx="1">
                  <c:v>3.8213387540981087</c:v>
                </c:pt>
                <c:pt idx="2">
                  <c:v>0.94999015618383986</c:v>
                </c:pt>
                <c:pt idx="3">
                  <c:v>-11.911152210767277</c:v>
                </c:pt>
                <c:pt idx="4">
                  <c:v>8.0293279041132539</c:v>
                </c:pt>
              </c:numCache>
            </c:numRef>
          </c:val>
          <c:smooth val="0"/>
          <c:extLst>
            <c:ext xmlns:c16="http://schemas.microsoft.com/office/drawing/2014/chart" uri="{C3380CC4-5D6E-409C-BE32-E72D297353CC}">
              <c16:uniqueId val="{00000002-4676-4F3C-9E22-FC370DC85E28}"/>
            </c:ext>
          </c:extLst>
        </c:ser>
        <c:dLbls>
          <c:showLegendKey val="0"/>
          <c:showVal val="0"/>
          <c:showCatName val="0"/>
          <c:showSerName val="0"/>
          <c:showPercent val="0"/>
          <c:showBubbleSize val="0"/>
        </c:dLbls>
        <c:marker val="1"/>
        <c:smooth val="0"/>
        <c:axId val="-603816128"/>
        <c:axId val="-603800352"/>
      </c:lineChart>
      <c:catAx>
        <c:axId val="-6038161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00352"/>
        <c:crosses val="autoZero"/>
        <c:auto val="1"/>
        <c:lblAlgn val="ctr"/>
        <c:lblOffset val="100"/>
        <c:noMultiLvlLbl val="0"/>
      </c:catAx>
      <c:valAx>
        <c:axId val="-603800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hy-AM" sz="800" b="0" i="0" u="none" strike="noStrike" kern="1200" baseline="0">
                    <a:solidFill>
                      <a:sysClr val="windowText" lastClr="000000">
                        <a:lumMod val="65000"/>
                        <a:lumOff val="35000"/>
                      </a:sysClr>
                    </a:solidFill>
                    <a:latin typeface="+mn-lt"/>
                    <a:ea typeface="+mn-ea"/>
                    <a:cs typeface="+mn-cs"/>
                  </a:rPr>
                  <a:t>%</a:t>
                </a:r>
                <a:endParaRPr lang="en-US" sz="800"/>
              </a:p>
            </c:rich>
          </c:tx>
          <c:overlay val="0"/>
          <c:spPr>
            <a:noFill/>
            <a:ln>
              <a:noFill/>
            </a:ln>
            <a:effectLst/>
          </c:spPr>
        </c:title>
        <c:numFmt formatCode="#,##0.0;&quot;–&quot;#,##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16128"/>
        <c:crosses val="autoZero"/>
        <c:crossBetween val="between"/>
      </c:valAx>
      <c:spPr>
        <a:noFill/>
        <a:ln>
          <a:noFill/>
        </a:ln>
        <a:effectLst/>
      </c:spPr>
    </c:plotArea>
    <c:legend>
      <c:legendPos val="b"/>
      <c:layout>
        <c:manualLayout>
          <c:xMode val="edge"/>
          <c:yMode val="edge"/>
          <c:x val="4.6399353926912981E-2"/>
          <c:y val="0.84555162488746849"/>
          <c:w val="0.90720130571913749"/>
          <c:h val="0.1519445758326148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17462150075816"/>
          <c:y val="9.8556430446194554E-2"/>
          <c:w val="0.8528251014077799"/>
          <c:h val="0.74838039641596521"/>
        </c:manualLayout>
      </c:layout>
      <c:barChart>
        <c:barDir val="col"/>
        <c:grouping val="clustered"/>
        <c:varyColors val="0"/>
        <c:ser>
          <c:idx val="0"/>
          <c:order val="0"/>
          <c:tx>
            <c:strRef>
              <c:f>Sheet1!$A$2</c:f>
              <c:strCache>
                <c:ptCount val="1"/>
                <c:pt idx="0">
                  <c:v>Կշիռը ՀՆԱ-ում, %</c:v>
                </c:pt>
              </c:strCache>
            </c:strRef>
          </c:tx>
          <c:spPr>
            <a:solidFill>
              <a:srgbClr val="4472C4"/>
            </a:solidFill>
            <a:ln w="28575" cap="rnd">
              <a:solidFill>
                <a:srgbClr val="4472C4"/>
              </a:solidFill>
              <a:round/>
            </a:ln>
            <a:effectLst/>
          </c:spPr>
          <c:invertIfNegative val="0"/>
          <c:cat>
            <c:strRef>
              <c:f>Sheet1!$B$1:$K$1</c:f>
              <c:strCache>
                <c:ptCount val="10"/>
                <c:pt idx="0">
                  <c:v>2008</c:v>
                </c:pt>
                <c:pt idx="1">
                  <c:v>2009</c:v>
                </c:pt>
                <c:pt idx="2">
                  <c:v>2010</c:v>
                </c:pt>
                <c:pt idx="3">
                  <c:v>2017</c:v>
                </c:pt>
                <c:pt idx="4">
                  <c:v>2018</c:v>
                </c:pt>
                <c:pt idx="5">
                  <c:v>2019</c:v>
                </c:pt>
                <c:pt idx="6">
                  <c:v>2020</c:v>
                </c:pt>
                <c:pt idx="7">
                  <c:v>2021</c:v>
                </c:pt>
                <c:pt idx="8">
                  <c:v>2022</c:v>
                </c:pt>
                <c:pt idx="9">
                  <c:v>2023</c:v>
                </c:pt>
              </c:strCache>
            </c:strRef>
          </c:cat>
          <c:val>
            <c:numRef>
              <c:f>Sheet1!$B$2:$K$2</c:f>
              <c:numCache>
                <c:formatCode>#,##0.0</c:formatCode>
                <c:ptCount val="10"/>
                <c:pt idx="0">
                  <c:v>43.484016626524422</c:v>
                </c:pt>
                <c:pt idx="1">
                  <c:v>45.392875331824314</c:v>
                </c:pt>
                <c:pt idx="3" formatCode="0.0">
                  <c:v>49.018624636710875</c:v>
                </c:pt>
                <c:pt idx="4" formatCode="0.0">
                  <c:v>53.054760649888451</c:v>
                </c:pt>
                <c:pt idx="5" formatCode="0.0">
                  <c:v>54.630265294168332</c:v>
                </c:pt>
                <c:pt idx="6" formatCode="0.0">
                  <c:v>49.526523854387321</c:v>
                </c:pt>
                <c:pt idx="7" formatCode="0.0">
                  <c:v>49.872475116446125</c:v>
                </c:pt>
                <c:pt idx="8" formatCode="0.0">
                  <c:v>49.924009831608871</c:v>
                </c:pt>
                <c:pt idx="9" formatCode="0.0">
                  <c:v>48.781581475319854</c:v>
                </c:pt>
              </c:numCache>
            </c:numRef>
          </c:val>
          <c:extLst>
            <c:ext xmlns:c16="http://schemas.microsoft.com/office/drawing/2014/chart" uri="{C3380CC4-5D6E-409C-BE32-E72D297353CC}">
              <c16:uniqueId val="{00000000-ED2D-4848-AA4E-099F919CF537}"/>
            </c:ext>
          </c:extLst>
        </c:ser>
        <c:ser>
          <c:idx val="1"/>
          <c:order val="1"/>
          <c:tx>
            <c:strRef>
              <c:f>Sheet1!$A$3</c:f>
              <c:strCache>
                <c:ptCount val="1"/>
                <c:pt idx="0">
                  <c:v>Փոփոխությունը, տ/տ, %</c:v>
                </c:pt>
              </c:strCache>
            </c:strRef>
          </c:tx>
          <c:spPr>
            <a:solidFill>
              <a:srgbClr val="C00000"/>
            </a:solidFill>
            <a:ln w="28575" cap="rnd">
              <a:solidFill>
                <a:srgbClr val="C00000"/>
              </a:solidFill>
              <a:round/>
            </a:ln>
            <a:effectLst/>
          </c:spPr>
          <c:invertIfNegative val="0"/>
          <c:cat>
            <c:strRef>
              <c:f>Sheet1!$B$1:$K$1</c:f>
              <c:strCache>
                <c:ptCount val="10"/>
                <c:pt idx="0">
                  <c:v>2008</c:v>
                </c:pt>
                <c:pt idx="1">
                  <c:v>2009</c:v>
                </c:pt>
                <c:pt idx="2">
                  <c:v>2010</c:v>
                </c:pt>
                <c:pt idx="3">
                  <c:v>2017</c:v>
                </c:pt>
                <c:pt idx="4">
                  <c:v>2018</c:v>
                </c:pt>
                <c:pt idx="5">
                  <c:v>2019</c:v>
                </c:pt>
                <c:pt idx="6">
                  <c:v>2020</c:v>
                </c:pt>
                <c:pt idx="7">
                  <c:v>2021</c:v>
                </c:pt>
                <c:pt idx="8">
                  <c:v>2022</c:v>
                </c:pt>
                <c:pt idx="9">
                  <c:v>2023</c:v>
                </c:pt>
              </c:strCache>
            </c:strRef>
          </c:cat>
          <c:val>
            <c:numRef>
              <c:f>Sheet1!$B$3:$K$3</c:f>
              <c:numCache>
                <c:formatCode>#,##0.0</c:formatCode>
                <c:ptCount val="10"/>
                <c:pt idx="0">
                  <c:v>30.857488421341344</c:v>
                </c:pt>
                <c:pt idx="1">
                  <c:v>-22.589336831770602</c:v>
                </c:pt>
                <c:pt idx="3" formatCode="0.0">
                  <c:v>26.412123233885996</c:v>
                </c:pt>
                <c:pt idx="4" formatCode="0.0">
                  <c:v>16.970762250648338</c:v>
                </c:pt>
                <c:pt idx="5" formatCode="0.0">
                  <c:v>13.011374467138756</c:v>
                </c:pt>
                <c:pt idx="6" formatCode="0.0">
                  <c:v>-14.662836087270957</c:v>
                </c:pt>
                <c:pt idx="7" formatCode="0.0">
                  <c:v>9.695886228039285</c:v>
                </c:pt>
                <c:pt idx="8" formatCode="0.0">
                  <c:v>8.3276797706933081</c:v>
                </c:pt>
                <c:pt idx="9" formatCode="0.0">
                  <c:v>5.0999999999999943</c:v>
                </c:pt>
              </c:numCache>
            </c:numRef>
          </c:val>
          <c:extLst>
            <c:ext xmlns:c16="http://schemas.microsoft.com/office/drawing/2014/chart" uri="{C3380CC4-5D6E-409C-BE32-E72D297353CC}">
              <c16:uniqueId val="{00000001-ED2D-4848-AA4E-099F919CF537}"/>
            </c:ext>
          </c:extLst>
        </c:ser>
        <c:dLbls>
          <c:showLegendKey val="0"/>
          <c:showVal val="0"/>
          <c:showCatName val="0"/>
          <c:showSerName val="0"/>
          <c:showPercent val="0"/>
          <c:showBubbleSize val="0"/>
        </c:dLbls>
        <c:gapWidth val="150"/>
        <c:axId val="-684480464"/>
        <c:axId val="-684469584"/>
      </c:barChart>
      <c:catAx>
        <c:axId val="-6844804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84469584"/>
        <c:crosses val="autoZero"/>
        <c:auto val="1"/>
        <c:lblAlgn val="ctr"/>
        <c:lblOffset val="100"/>
        <c:noMultiLvlLbl val="0"/>
      </c:catAx>
      <c:valAx>
        <c:axId val="-684469584"/>
        <c:scaling>
          <c:orientation val="minMax"/>
          <c:max val="60"/>
          <c:min val="-3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84480464"/>
        <c:crosses val="autoZero"/>
        <c:crossBetween val="between"/>
        <c:majorUnit val="20"/>
      </c:valAx>
      <c:spPr>
        <a:noFill/>
        <a:ln>
          <a:noFill/>
        </a:ln>
        <a:effectLst/>
      </c:spPr>
    </c:plotArea>
    <c:legend>
      <c:legendPos val="b"/>
      <c:layout>
        <c:manualLayout>
          <c:xMode val="edge"/>
          <c:yMode val="edge"/>
          <c:x val="4.9999900955776937E-2"/>
          <c:y val="0.9160701503221188"/>
          <c:w val="0.92515703461595589"/>
          <c:h val="8.392984967788148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4472C4"/>
      </a:solidFill>
      <a:round/>
    </a:ln>
    <a:effectLst/>
  </c:spPr>
  <c:txPr>
    <a:bodyPr/>
    <a:lstStyle/>
    <a:p>
      <a:pPr>
        <a:defRPr/>
      </a:pPr>
      <a:endParaRPr lang="en-US"/>
    </a:p>
  </c:txPr>
  <c:externalData r:id="rId2">
    <c:autoUpdate val="0"/>
  </c:externalData>
  <c:userShapes r:id="rId3"/>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280962686681708"/>
          <c:y val="6.2146892655367263E-2"/>
          <c:w val="0.80331873409440868"/>
          <c:h val="0.5938454990423494"/>
        </c:manualLayout>
      </c:layout>
      <c:lineChart>
        <c:grouping val="standard"/>
        <c:varyColors val="0"/>
        <c:ser>
          <c:idx val="0"/>
          <c:order val="0"/>
          <c:tx>
            <c:strRef>
              <c:f>Sheet1!$B$1</c:f>
              <c:strCache>
                <c:ptCount val="1"/>
                <c:pt idx="0">
                  <c:v>USD/AMD</c:v>
                </c:pt>
              </c:strCache>
            </c:strRef>
          </c:tx>
          <c:spPr>
            <a:ln w="28575" cap="rnd">
              <a:solidFill>
                <a:srgbClr val="0070C0"/>
              </a:solidFill>
              <a:round/>
            </a:ln>
            <a:effectLst/>
          </c:spPr>
          <c:marker>
            <c:symbol val="none"/>
          </c:marker>
          <c:cat>
            <c:strRef>
              <c:f>Sheet1!$A$2:$A$868</c:f>
              <c:strCache>
                <c:ptCount val="867"/>
                <c:pt idx="0">
                  <c:v>9/1/2017</c:v>
                </c:pt>
                <c:pt idx="1">
                  <c:v>10/1/2017</c:v>
                </c:pt>
                <c:pt idx="2">
                  <c:v>11/1/2017</c:v>
                </c:pt>
                <c:pt idx="3">
                  <c:v>12/1/2017</c:v>
                </c:pt>
                <c:pt idx="4">
                  <c:v>13/01/2017</c:v>
                </c:pt>
                <c:pt idx="5">
                  <c:v>16/01/2017</c:v>
                </c:pt>
                <c:pt idx="6">
                  <c:v>17/01/2017</c:v>
                </c:pt>
                <c:pt idx="7">
                  <c:v>18/01/2017</c:v>
                </c:pt>
                <c:pt idx="8">
                  <c:v>19/01/2017</c:v>
                </c:pt>
                <c:pt idx="9">
                  <c:v>20/01/2017</c:v>
                </c:pt>
                <c:pt idx="10">
                  <c:v>23/01/2017</c:v>
                </c:pt>
                <c:pt idx="11">
                  <c:v>24/01/2017</c:v>
                </c:pt>
                <c:pt idx="12">
                  <c:v>25/01/2017</c:v>
                </c:pt>
                <c:pt idx="13">
                  <c:v>26/01/2017</c:v>
                </c:pt>
                <c:pt idx="14">
                  <c:v>27/01/2017</c:v>
                </c:pt>
                <c:pt idx="15">
                  <c:v>30/01/2017</c:v>
                </c:pt>
                <c:pt idx="16">
                  <c:v>31/01/2017</c:v>
                </c:pt>
                <c:pt idx="17">
                  <c:v>1/2/2017</c:v>
                </c:pt>
                <c:pt idx="18">
                  <c:v>2/2/2017</c:v>
                </c:pt>
                <c:pt idx="19">
                  <c:v>3/2/2017</c:v>
                </c:pt>
                <c:pt idx="20">
                  <c:v>6/2/2017</c:v>
                </c:pt>
                <c:pt idx="21">
                  <c:v>7/2/2017</c:v>
                </c:pt>
                <c:pt idx="22">
                  <c:v>8/2/2017</c:v>
                </c:pt>
                <c:pt idx="23">
                  <c:v>9/2/2017</c:v>
                </c:pt>
                <c:pt idx="24">
                  <c:v>10/2/2017</c:v>
                </c:pt>
                <c:pt idx="25">
                  <c:v>13/02/2017</c:v>
                </c:pt>
                <c:pt idx="26">
                  <c:v>14/02/2017</c:v>
                </c:pt>
                <c:pt idx="27">
                  <c:v>15/02/2017</c:v>
                </c:pt>
                <c:pt idx="28">
                  <c:v>16/02/2017</c:v>
                </c:pt>
                <c:pt idx="29">
                  <c:v>17/02/2017</c:v>
                </c:pt>
                <c:pt idx="30">
                  <c:v>20/02/2017</c:v>
                </c:pt>
                <c:pt idx="31">
                  <c:v>21/02/2017</c:v>
                </c:pt>
                <c:pt idx="32">
                  <c:v>22/02/2017</c:v>
                </c:pt>
                <c:pt idx="33">
                  <c:v>23/02/2017</c:v>
                </c:pt>
                <c:pt idx="34">
                  <c:v>24/02/2017</c:v>
                </c:pt>
                <c:pt idx="35">
                  <c:v>27/02/2017</c:v>
                </c:pt>
                <c:pt idx="36">
                  <c:v>28/02/2017</c:v>
                </c:pt>
                <c:pt idx="37">
                  <c:v>1/3/2017</c:v>
                </c:pt>
                <c:pt idx="38">
                  <c:v>2/3/2017</c:v>
                </c:pt>
                <c:pt idx="39">
                  <c:v>3/3/2017</c:v>
                </c:pt>
                <c:pt idx="40">
                  <c:v>6/3/2017</c:v>
                </c:pt>
                <c:pt idx="41">
                  <c:v>7/3/2017</c:v>
                </c:pt>
                <c:pt idx="42">
                  <c:v>9/3/2017</c:v>
                </c:pt>
                <c:pt idx="43">
                  <c:v>10/3/2017</c:v>
                </c:pt>
                <c:pt idx="44">
                  <c:v>13/03/2017</c:v>
                </c:pt>
                <c:pt idx="45">
                  <c:v>14/03/2017</c:v>
                </c:pt>
                <c:pt idx="46">
                  <c:v>15/03/2017</c:v>
                </c:pt>
                <c:pt idx="47">
                  <c:v>16/03/2017</c:v>
                </c:pt>
                <c:pt idx="48">
                  <c:v>17/03/2017</c:v>
                </c:pt>
                <c:pt idx="49">
                  <c:v>20/03/2017</c:v>
                </c:pt>
                <c:pt idx="50">
                  <c:v>21/03/2017</c:v>
                </c:pt>
                <c:pt idx="51">
                  <c:v>22/03/2017</c:v>
                </c:pt>
                <c:pt idx="52">
                  <c:v>23/03/2017</c:v>
                </c:pt>
                <c:pt idx="53">
                  <c:v>24/03/2017</c:v>
                </c:pt>
                <c:pt idx="54">
                  <c:v>27/03/2017</c:v>
                </c:pt>
                <c:pt idx="55">
                  <c:v>28/03/2017</c:v>
                </c:pt>
                <c:pt idx="56">
                  <c:v>29/03/2017</c:v>
                </c:pt>
                <c:pt idx="57">
                  <c:v>30/03/2017</c:v>
                </c:pt>
                <c:pt idx="58">
                  <c:v>31/03/2017</c:v>
                </c:pt>
                <c:pt idx="59">
                  <c:v>3/4/2017</c:v>
                </c:pt>
                <c:pt idx="60">
                  <c:v>4/4/2017</c:v>
                </c:pt>
                <c:pt idx="61">
                  <c:v>5/4/2017</c:v>
                </c:pt>
                <c:pt idx="62">
                  <c:v>6/4/2017</c:v>
                </c:pt>
                <c:pt idx="63">
                  <c:v>7/4/2017</c:v>
                </c:pt>
                <c:pt idx="64">
                  <c:v>10/4/2017</c:v>
                </c:pt>
                <c:pt idx="65">
                  <c:v>11/4/2017</c:v>
                </c:pt>
                <c:pt idx="66">
                  <c:v>12/4/2017</c:v>
                </c:pt>
                <c:pt idx="67">
                  <c:v>13/04/2017</c:v>
                </c:pt>
                <c:pt idx="68">
                  <c:v>14/04/2017</c:v>
                </c:pt>
                <c:pt idx="69">
                  <c:v>18/04/2017</c:v>
                </c:pt>
                <c:pt idx="70">
                  <c:v>19/04/2017</c:v>
                </c:pt>
                <c:pt idx="71">
                  <c:v>20/04/2017</c:v>
                </c:pt>
                <c:pt idx="72">
                  <c:v>21/04/2017</c:v>
                </c:pt>
                <c:pt idx="73">
                  <c:v>25/04/2017</c:v>
                </c:pt>
                <c:pt idx="74">
                  <c:v>26/04/2017</c:v>
                </c:pt>
                <c:pt idx="75">
                  <c:v>27/04/2017</c:v>
                </c:pt>
                <c:pt idx="76">
                  <c:v>28/04/2017</c:v>
                </c:pt>
                <c:pt idx="77">
                  <c:v>2/5/2017</c:v>
                </c:pt>
                <c:pt idx="78">
                  <c:v>3/5/2017</c:v>
                </c:pt>
                <c:pt idx="79">
                  <c:v>4/5/2017</c:v>
                </c:pt>
                <c:pt idx="80">
                  <c:v>5/5/2017</c:v>
                </c:pt>
                <c:pt idx="81">
                  <c:v>6/5/2017</c:v>
                </c:pt>
                <c:pt idx="82">
                  <c:v>10/5/2017</c:v>
                </c:pt>
                <c:pt idx="83">
                  <c:v>11/5/2017</c:v>
                </c:pt>
                <c:pt idx="84">
                  <c:v>12/5/2017</c:v>
                </c:pt>
                <c:pt idx="85">
                  <c:v>15/05/2017</c:v>
                </c:pt>
                <c:pt idx="86">
                  <c:v>16/05/2017</c:v>
                </c:pt>
                <c:pt idx="87">
                  <c:v>17/05/2017</c:v>
                </c:pt>
                <c:pt idx="88">
                  <c:v>18/05/2017</c:v>
                </c:pt>
                <c:pt idx="89">
                  <c:v>19/05/2017</c:v>
                </c:pt>
                <c:pt idx="90">
                  <c:v>20/05/2017</c:v>
                </c:pt>
                <c:pt idx="91">
                  <c:v>22/05/2017</c:v>
                </c:pt>
                <c:pt idx="92">
                  <c:v>23/05/2017</c:v>
                </c:pt>
                <c:pt idx="93">
                  <c:v>24/05/2017</c:v>
                </c:pt>
                <c:pt idx="94">
                  <c:v>25/05/2017</c:v>
                </c:pt>
                <c:pt idx="95">
                  <c:v>26/05/2017</c:v>
                </c:pt>
                <c:pt idx="96">
                  <c:v>29/05/2017</c:v>
                </c:pt>
                <c:pt idx="97">
                  <c:v>30/05/2017</c:v>
                </c:pt>
                <c:pt idx="98">
                  <c:v>31/05/2017</c:v>
                </c:pt>
                <c:pt idx="99">
                  <c:v>1/6/2017</c:v>
                </c:pt>
                <c:pt idx="100">
                  <c:v>2/6/2017</c:v>
                </c:pt>
                <c:pt idx="101">
                  <c:v>5/6/2017</c:v>
                </c:pt>
                <c:pt idx="102">
                  <c:v>6/6/2017</c:v>
                </c:pt>
                <c:pt idx="103">
                  <c:v>7/6/2017</c:v>
                </c:pt>
                <c:pt idx="104">
                  <c:v>8/6/2017</c:v>
                </c:pt>
                <c:pt idx="105">
                  <c:v>9/6/2017</c:v>
                </c:pt>
                <c:pt idx="106">
                  <c:v>12/6/2017</c:v>
                </c:pt>
                <c:pt idx="107">
                  <c:v>13/06/2017</c:v>
                </c:pt>
                <c:pt idx="108">
                  <c:v>14/06/2017</c:v>
                </c:pt>
                <c:pt idx="109">
                  <c:v>15/06/2017</c:v>
                </c:pt>
                <c:pt idx="110">
                  <c:v>16/06/2017</c:v>
                </c:pt>
                <c:pt idx="111">
                  <c:v>19/06/2017</c:v>
                </c:pt>
                <c:pt idx="112">
                  <c:v>20/06/2017</c:v>
                </c:pt>
                <c:pt idx="113">
                  <c:v>21/06/2017</c:v>
                </c:pt>
                <c:pt idx="114">
                  <c:v>22/06/2017</c:v>
                </c:pt>
                <c:pt idx="115">
                  <c:v>23/06/2017</c:v>
                </c:pt>
                <c:pt idx="116">
                  <c:v>26/06/2017</c:v>
                </c:pt>
                <c:pt idx="117">
                  <c:v>27/06/2017</c:v>
                </c:pt>
                <c:pt idx="118">
                  <c:v>28/06/2017</c:v>
                </c:pt>
                <c:pt idx="119">
                  <c:v>29/06/2017</c:v>
                </c:pt>
                <c:pt idx="120">
                  <c:v>30/06/2017</c:v>
                </c:pt>
                <c:pt idx="121">
                  <c:v>3/7/2017</c:v>
                </c:pt>
                <c:pt idx="122">
                  <c:v>4/7/2017</c:v>
                </c:pt>
                <c:pt idx="123">
                  <c:v>6/7/2017</c:v>
                </c:pt>
                <c:pt idx="124">
                  <c:v>7/7/2017</c:v>
                </c:pt>
                <c:pt idx="125">
                  <c:v>10/7/2017</c:v>
                </c:pt>
                <c:pt idx="126">
                  <c:v>11/7/2017</c:v>
                </c:pt>
                <c:pt idx="127">
                  <c:v>12/7/2017</c:v>
                </c:pt>
                <c:pt idx="128">
                  <c:v>13/07/2017</c:v>
                </c:pt>
                <c:pt idx="129">
                  <c:v>14/07/2017</c:v>
                </c:pt>
                <c:pt idx="130">
                  <c:v>17/07/2017</c:v>
                </c:pt>
                <c:pt idx="131">
                  <c:v>18/07/2017</c:v>
                </c:pt>
                <c:pt idx="132">
                  <c:v>19/07/2017</c:v>
                </c:pt>
                <c:pt idx="133">
                  <c:v>20/07/2017</c:v>
                </c:pt>
                <c:pt idx="134">
                  <c:v>21/07/2017</c:v>
                </c:pt>
                <c:pt idx="135">
                  <c:v>24/07/2017</c:v>
                </c:pt>
                <c:pt idx="136">
                  <c:v>25/07/2017</c:v>
                </c:pt>
                <c:pt idx="137">
                  <c:v>26/07/2017</c:v>
                </c:pt>
                <c:pt idx="138">
                  <c:v>27/07/2017</c:v>
                </c:pt>
                <c:pt idx="139">
                  <c:v>28/07/2017</c:v>
                </c:pt>
                <c:pt idx="140">
                  <c:v>31/07/2017</c:v>
                </c:pt>
                <c:pt idx="141">
                  <c:v>1/8/2017</c:v>
                </c:pt>
                <c:pt idx="142">
                  <c:v>2/8/2017</c:v>
                </c:pt>
                <c:pt idx="143">
                  <c:v>3/8/2017</c:v>
                </c:pt>
                <c:pt idx="144">
                  <c:v>4/8/2017</c:v>
                </c:pt>
                <c:pt idx="145">
                  <c:v>7/8/2017</c:v>
                </c:pt>
                <c:pt idx="146">
                  <c:v>8/8/2017</c:v>
                </c:pt>
                <c:pt idx="147">
                  <c:v>9/8/2017</c:v>
                </c:pt>
                <c:pt idx="148">
                  <c:v>10/8/2017</c:v>
                </c:pt>
                <c:pt idx="149">
                  <c:v>11/8/2017</c:v>
                </c:pt>
                <c:pt idx="150">
                  <c:v>14/08/2017</c:v>
                </c:pt>
                <c:pt idx="151">
                  <c:v>15/08/2017</c:v>
                </c:pt>
                <c:pt idx="152">
                  <c:v>16/08/2017</c:v>
                </c:pt>
                <c:pt idx="153">
                  <c:v>17/08/2017</c:v>
                </c:pt>
                <c:pt idx="154">
                  <c:v>18/08/2017</c:v>
                </c:pt>
                <c:pt idx="155">
                  <c:v>21/08/2017</c:v>
                </c:pt>
                <c:pt idx="156">
                  <c:v>22/08/2017</c:v>
                </c:pt>
                <c:pt idx="157">
                  <c:v>23/08/2017</c:v>
                </c:pt>
                <c:pt idx="158">
                  <c:v>24/08/2017</c:v>
                </c:pt>
                <c:pt idx="159">
                  <c:v>25/08/2017</c:v>
                </c:pt>
                <c:pt idx="160">
                  <c:v>28/08/2017</c:v>
                </c:pt>
                <c:pt idx="161">
                  <c:v>29/08/2017</c:v>
                </c:pt>
                <c:pt idx="162">
                  <c:v>30/08/2017</c:v>
                </c:pt>
                <c:pt idx="163">
                  <c:v>31/08/2017</c:v>
                </c:pt>
                <c:pt idx="164">
                  <c:v>1/9/2017</c:v>
                </c:pt>
                <c:pt idx="165">
                  <c:v>4/9/2017</c:v>
                </c:pt>
                <c:pt idx="166">
                  <c:v>5/9/2017</c:v>
                </c:pt>
                <c:pt idx="167">
                  <c:v>6/9/2017</c:v>
                </c:pt>
                <c:pt idx="168">
                  <c:v>7/9/2017</c:v>
                </c:pt>
                <c:pt idx="169">
                  <c:v>8/9/2017</c:v>
                </c:pt>
                <c:pt idx="170">
                  <c:v>11/9/2017</c:v>
                </c:pt>
                <c:pt idx="171">
                  <c:v>12/9/2017</c:v>
                </c:pt>
                <c:pt idx="172">
                  <c:v>13/09/2017</c:v>
                </c:pt>
                <c:pt idx="173">
                  <c:v>14/09/2017</c:v>
                </c:pt>
                <c:pt idx="174">
                  <c:v>15/09/2017</c:v>
                </c:pt>
                <c:pt idx="175">
                  <c:v>19/09/2017</c:v>
                </c:pt>
                <c:pt idx="176">
                  <c:v>20/09/2017</c:v>
                </c:pt>
                <c:pt idx="177">
                  <c:v>22/09/2017</c:v>
                </c:pt>
                <c:pt idx="178">
                  <c:v>23/09/2017</c:v>
                </c:pt>
                <c:pt idx="179">
                  <c:v>25/09/2017</c:v>
                </c:pt>
                <c:pt idx="180">
                  <c:v>26/09/2017</c:v>
                </c:pt>
                <c:pt idx="181">
                  <c:v>27/09/2017</c:v>
                </c:pt>
                <c:pt idx="182">
                  <c:v>28/09/2017</c:v>
                </c:pt>
                <c:pt idx="183">
                  <c:v>29/09/2017</c:v>
                </c:pt>
                <c:pt idx="184">
                  <c:v>2/10/2017</c:v>
                </c:pt>
                <c:pt idx="185">
                  <c:v>3/10/2017</c:v>
                </c:pt>
                <c:pt idx="186">
                  <c:v>4/10/2017</c:v>
                </c:pt>
                <c:pt idx="187">
                  <c:v>5/10/2017</c:v>
                </c:pt>
                <c:pt idx="188">
                  <c:v>6/10/2017</c:v>
                </c:pt>
                <c:pt idx="189">
                  <c:v>9/10/2017</c:v>
                </c:pt>
                <c:pt idx="190">
                  <c:v>10/10/2017</c:v>
                </c:pt>
                <c:pt idx="191">
                  <c:v>11/10/2017</c:v>
                </c:pt>
                <c:pt idx="192">
                  <c:v>12/10/2017</c:v>
                </c:pt>
                <c:pt idx="193">
                  <c:v>13/10/2017</c:v>
                </c:pt>
                <c:pt idx="194">
                  <c:v>16/10/2017</c:v>
                </c:pt>
                <c:pt idx="195">
                  <c:v>17/10/2017</c:v>
                </c:pt>
                <c:pt idx="196">
                  <c:v>18/10/2017</c:v>
                </c:pt>
                <c:pt idx="197">
                  <c:v>19/10/2017</c:v>
                </c:pt>
                <c:pt idx="198">
                  <c:v>20/10/2017</c:v>
                </c:pt>
                <c:pt idx="199">
                  <c:v>23/10/2017</c:v>
                </c:pt>
                <c:pt idx="200">
                  <c:v>24/10/2017</c:v>
                </c:pt>
                <c:pt idx="201">
                  <c:v>25/10/2017</c:v>
                </c:pt>
                <c:pt idx="202">
                  <c:v>26/10/2017</c:v>
                </c:pt>
                <c:pt idx="203">
                  <c:v>27/10/2017</c:v>
                </c:pt>
                <c:pt idx="204">
                  <c:v>30/10/2017</c:v>
                </c:pt>
                <c:pt idx="205">
                  <c:v>31/10/2017</c:v>
                </c:pt>
                <c:pt idx="206">
                  <c:v>1/11/2017</c:v>
                </c:pt>
                <c:pt idx="207">
                  <c:v>2/11/2017</c:v>
                </c:pt>
                <c:pt idx="208">
                  <c:v>3/11/2017</c:v>
                </c:pt>
                <c:pt idx="209">
                  <c:v>6/11/2017</c:v>
                </c:pt>
                <c:pt idx="210">
                  <c:v>7/11/2017</c:v>
                </c:pt>
                <c:pt idx="211">
                  <c:v>8/11/2017</c:v>
                </c:pt>
                <c:pt idx="212">
                  <c:v>9/11/2017</c:v>
                </c:pt>
                <c:pt idx="213">
                  <c:v>10/11/2017</c:v>
                </c:pt>
                <c:pt idx="214">
                  <c:v>13/11/2017</c:v>
                </c:pt>
                <c:pt idx="215">
                  <c:v>14/11/2017</c:v>
                </c:pt>
                <c:pt idx="216">
                  <c:v>15/11/2017</c:v>
                </c:pt>
                <c:pt idx="217">
                  <c:v>16/11/2017</c:v>
                </c:pt>
                <c:pt idx="218">
                  <c:v>17/11/2017</c:v>
                </c:pt>
                <c:pt idx="219">
                  <c:v>20/11/2017</c:v>
                </c:pt>
                <c:pt idx="220">
                  <c:v>21/11/2017</c:v>
                </c:pt>
                <c:pt idx="221">
                  <c:v>22/11/2017</c:v>
                </c:pt>
                <c:pt idx="222">
                  <c:v>23/11/2017</c:v>
                </c:pt>
                <c:pt idx="223">
                  <c:v>24/11/2017</c:v>
                </c:pt>
                <c:pt idx="224">
                  <c:v>27/11/2017</c:v>
                </c:pt>
                <c:pt idx="225">
                  <c:v>28/11/2017</c:v>
                </c:pt>
                <c:pt idx="226">
                  <c:v>29/11/2017</c:v>
                </c:pt>
                <c:pt idx="227">
                  <c:v>30/11/2017</c:v>
                </c:pt>
                <c:pt idx="228">
                  <c:v>1/12/2017</c:v>
                </c:pt>
                <c:pt idx="229">
                  <c:v>4/12/2017</c:v>
                </c:pt>
                <c:pt idx="230">
                  <c:v>5/12/2017</c:v>
                </c:pt>
                <c:pt idx="231">
                  <c:v>6/12/2017</c:v>
                </c:pt>
                <c:pt idx="232">
                  <c:v>7/12/2017</c:v>
                </c:pt>
                <c:pt idx="233">
                  <c:v>8/12/2017</c:v>
                </c:pt>
                <c:pt idx="234">
                  <c:v>11/12/2017</c:v>
                </c:pt>
                <c:pt idx="235">
                  <c:v>12/12/2017</c:v>
                </c:pt>
                <c:pt idx="236">
                  <c:v>13/12/2017</c:v>
                </c:pt>
                <c:pt idx="237">
                  <c:v>14/12/2017</c:v>
                </c:pt>
                <c:pt idx="238">
                  <c:v>15/12/2017</c:v>
                </c:pt>
                <c:pt idx="239">
                  <c:v>18/12/2017</c:v>
                </c:pt>
                <c:pt idx="240">
                  <c:v>19/12/2017</c:v>
                </c:pt>
                <c:pt idx="241">
                  <c:v>20/12/2017</c:v>
                </c:pt>
                <c:pt idx="242">
                  <c:v>21/12/2017</c:v>
                </c:pt>
                <c:pt idx="243">
                  <c:v>22/12/2017</c:v>
                </c:pt>
                <c:pt idx="244">
                  <c:v>25/12/2017</c:v>
                </c:pt>
                <c:pt idx="245">
                  <c:v>26/12/2017</c:v>
                </c:pt>
                <c:pt idx="246">
                  <c:v>27/12/2017</c:v>
                </c:pt>
                <c:pt idx="247">
                  <c:v>28/12/2017</c:v>
                </c:pt>
                <c:pt idx="248">
                  <c:v>29/12/2017</c:v>
                </c:pt>
                <c:pt idx="249">
                  <c:v>8/1/2018</c:v>
                </c:pt>
                <c:pt idx="250">
                  <c:v>9/1/2018</c:v>
                </c:pt>
                <c:pt idx="251">
                  <c:v>10/1/2018</c:v>
                </c:pt>
                <c:pt idx="252">
                  <c:v>11/1/2018</c:v>
                </c:pt>
                <c:pt idx="253">
                  <c:v>12/1/2018</c:v>
                </c:pt>
                <c:pt idx="254">
                  <c:v>15/01/2018</c:v>
                </c:pt>
                <c:pt idx="255">
                  <c:v>16/01/2018</c:v>
                </c:pt>
                <c:pt idx="256">
                  <c:v>17/01/2018</c:v>
                </c:pt>
                <c:pt idx="257">
                  <c:v>18/01/2018</c:v>
                </c:pt>
                <c:pt idx="258">
                  <c:v>19/01/2018</c:v>
                </c:pt>
                <c:pt idx="259">
                  <c:v>22/01/2018</c:v>
                </c:pt>
                <c:pt idx="260">
                  <c:v>23/01/2018</c:v>
                </c:pt>
                <c:pt idx="261">
                  <c:v>24/01/2018</c:v>
                </c:pt>
                <c:pt idx="262">
                  <c:v>25/01/2018</c:v>
                </c:pt>
                <c:pt idx="263">
                  <c:v>26/01/2018</c:v>
                </c:pt>
                <c:pt idx="264">
                  <c:v>29/01/2018</c:v>
                </c:pt>
                <c:pt idx="265">
                  <c:v>30/01/2018</c:v>
                </c:pt>
                <c:pt idx="266">
                  <c:v>31/01/2018</c:v>
                </c:pt>
                <c:pt idx="267">
                  <c:v>1/2/2018</c:v>
                </c:pt>
                <c:pt idx="268">
                  <c:v>2/2/2018</c:v>
                </c:pt>
                <c:pt idx="269">
                  <c:v>5/2/2018</c:v>
                </c:pt>
                <c:pt idx="270">
                  <c:v>6/2/2018</c:v>
                </c:pt>
                <c:pt idx="271">
                  <c:v>7/2/2018</c:v>
                </c:pt>
                <c:pt idx="272">
                  <c:v>8/2/2018</c:v>
                </c:pt>
                <c:pt idx="273">
                  <c:v>9/2/2018</c:v>
                </c:pt>
                <c:pt idx="274">
                  <c:v>12/2/2018</c:v>
                </c:pt>
                <c:pt idx="275">
                  <c:v>13/02/2018</c:v>
                </c:pt>
                <c:pt idx="276">
                  <c:v>14/02/2018</c:v>
                </c:pt>
                <c:pt idx="277">
                  <c:v>15/02/2018</c:v>
                </c:pt>
                <c:pt idx="278">
                  <c:v>16/02/2018</c:v>
                </c:pt>
                <c:pt idx="279">
                  <c:v>19/02/2018</c:v>
                </c:pt>
                <c:pt idx="280">
                  <c:v>20/02/2018</c:v>
                </c:pt>
                <c:pt idx="281">
                  <c:v>21/02/2018</c:v>
                </c:pt>
                <c:pt idx="282">
                  <c:v>22/02/2018</c:v>
                </c:pt>
                <c:pt idx="283">
                  <c:v>23/02/2018</c:v>
                </c:pt>
                <c:pt idx="284">
                  <c:v>26/02/2018</c:v>
                </c:pt>
                <c:pt idx="285">
                  <c:v>27/02/2018</c:v>
                </c:pt>
                <c:pt idx="286">
                  <c:v>28/02/2018</c:v>
                </c:pt>
                <c:pt idx="287">
                  <c:v>1/3/2018</c:v>
                </c:pt>
                <c:pt idx="288">
                  <c:v>2/3/2018</c:v>
                </c:pt>
                <c:pt idx="289">
                  <c:v>5/3/2018</c:v>
                </c:pt>
                <c:pt idx="290">
                  <c:v>6/3/2018</c:v>
                </c:pt>
                <c:pt idx="291">
                  <c:v>7/3/2018</c:v>
                </c:pt>
                <c:pt idx="292">
                  <c:v>12/3/2018</c:v>
                </c:pt>
                <c:pt idx="293">
                  <c:v>13/03/2018</c:v>
                </c:pt>
                <c:pt idx="294">
                  <c:v>14/03/2018</c:v>
                </c:pt>
                <c:pt idx="295">
                  <c:v>15/03/2018</c:v>
                </c:pt>
                <c:pt idx="296">
                  <c:v>16/03/2018</c:v>
                </c:pt>
                <c:pt idx="297">
                  <c:v>17/03/2018</c:v>
                </c:pt>
                <c:pt idx="298">
                  <c:v>19/03/2018</c:v>
                </c:pt>
                <c:pt idx="299">
                  <c:v>20/03/2018</c:v>
                </c:pt>
                <c:pt idx="300">
                  <c:v>21/03/2018</c:v>
                </c:pt>
                <c:pt idx="301">
                  <c:v>22/03/2018</c:v>
                </c:pt>
                <c:pt idx="302">
                  <c:v>23/03/2018</c:v>
                </c:pt>
                <c:pt idx="303">
                  <c:v>26/03/2018</c:v>
                </c:pt>
                <c:pt idx="304">
                  <c:v>27/03/2018</c:v>
                </c:pt>
                <c:pt idx="305">
                  <c:v>28/03/2018</c:v>
                </c:pt>
                <c:pt idx="306">
                  <c:v>29/03/2018</c:v>
                </c:pt>
                <c:pt idx="307">
                  <c:v>30/03/2018</c:v>
                </c:pt>
                <c:pt idx="308">
                  <c:v>3/4/2018</c:v>
                </c:pt>
                <c:pt idx="309">
                  <c:v>4/4/2018</c:v>
                </c:pt>
                <c:pt idx="310">
                  <c:v>5/4/2018</c:v>
                </c:pt>
                <c:pt idx="311">
                  <c:v>6/4/2018</c:v>
                </c:pt>
                <c:pt idx="312">
                  <c:v>7/4/2018</c:v>
                </c:pt>
                <c:pt idx="313">
                  <c:v>9/4/2018</c:v>
                </c:pt>
                <c:pt idx="314">
                  <c:v>10/4/2018</c:v>
                </c:pt>
                <c:pt idx="315">
                  <c:v>11/4/2018</c:v>
                </c:pt>
                <c:pt idx="316">
                  <c:v>12/4/2018</c:v>
                </c:pt>
                <c:pt idx="317">
                  <c:v>13/04/2018</c:v>
                </c:pt>
                <c:pt idx="318">
                  <c:v>16/04/2018</c:v>
                </c:pt>
                <c:pt idx="319">
                  <c:v>17/04/2018</c:v>
                </c:pt>
                <c:pt idx="320">
                  <c:v>18/04/2018</c:v>
                </c:pt>
                <c:pt idx="321">
                  <c:v>19/04/2018</c:v>
                </c:pt>
                <c:pt idx="322">
                  <c:v>20/04/2018</c:v>
                </c:pt>
                <c:pt idx="323">
                  <c:v>23/04/2018</c:v>
                </c:pt>
                <c:pt idx="324">
                  <c:v>25/04/2018</c:v>
                </c:pt>
                <c:pt idx="325">
                  <c:v>26/04/2018</c:v>
                </c:pt>
                <c:pt idx="326">
                  <c:v>27/04/2018</c:v>
                </c:pt>
                <c:pt idx="327">
                  <c:v>2/5/2018</c:v>
                </c:pt>
                <c:pt idx="328">
                  <c:v>3/5/2018</c:v>
                </c:pt>
                <c:pt idx="329">
                  <c:v>4/5/2018</c:v>
                </c:pt>
                <c:pt idx="330">
                  <c:v>5/5/2018</c:v>
                </c:pt>
                <c:pt idx="331">
                  <c:v>7/5/2018</c:v>
                </c:pt>
                <c:pt idx="332">
                  <c:v>8/5/2018</c:v>
                </c:pt>
                <c:pt idx="333">
                  <c:v>10/5/2018</c:v>
                </c:pt>
                <c:pt idx="334">
                  <c:v>11/5/2018</c:v>
                </c:pt>
                <c:pt idx="335">
                  <c:v>14/05/2018</c:v>
                </c:pt>
                <c:pt idx="336">
                  <c:v>15/05/2018</c:v>
                </c:pt>
                <c:pt idx="337">
                  <c:v>16/05/2018</c:v>
                </c:pt>
                <c:pt idx="338">
                  <c:v>17/05/2018</c:v>
                </c:pt>
                <c:pt idx="339">
                  <c:v>18/05/2018</c:v>
                </c:pt>
                <c:pt idx="340">
                  <c:v>21/05/2018</c:v>
                </c:pt>
                <c:pt idx="341">
                  <c:v>22/05/2018</c:v>
                </c:pt>
                <c:pt idx="342">
                  <c:v>23/05/2018</c:v>
                </c:pt>
                <c:pt idx="343">
                  <c:v>24/05/2018</c:v>
                </c:pt>
                <c:pt idx="344">
                  <c:v>25/05/2018</c:v>
                </c:pt>
                <c:pt idx="345">
                  <c:v>29/05/2018</c:v>
                </c:pt>
                <c:pt idx="346">
                  <c:v>30/05/2018</c:v>
                </c:pt>
                <c:pt idx="347">
                  <c:v>31/05/2018</c:v>
                </c:pt>
                <c:pt idx="348">
                  <c:v>1/6/2018</c:v>
                </c:pt>
                <c:pt idx="349">
                  <c:v>4/6/2018</c:v>
                </c:pt>
                <c:pt idx="350">
                  <c:v>5/6/2018</c:v>
                </c:pt>
                <c:pt idx="351">
                  <c:v>6/6/2018</c:v>
                </c:pt>
                <c:pt idx="352">
                  <c:v>7/6/2018</c:v>
                </c:pt>
                <c:pt idx="353">
                  <c:v>8/6/2018</c:v>
                </c:pt>
                <c:pt idx="354">
                  <c:v>11/6/2018</c:v>
                </c:pt>
                <c:pt idx="355">
                  <c:v>12/6/2018</c:v>
                </c:pt>
                <c:pt idx="356">
                  <c:v>13/06/2018</c:v>
                </c:pt>
                <c:pt idx="357">
                  <c:v>14/06/2018</c:v>
                </c:pt>
                <c:pt idx="358">
                  <c:v>15/06/2018</c:v>
                </c:pt>
                <c:pt idx="359">
                  <c:v>18/06/2018</c:v>
                </c:pt>
                <c:pt idx="360">
                  <c:v>19/06/2018</c:v>
                </c:pt>
                <c:pt idx="361">
                  <c:v>20/06/2018</c:v>
                </c:pt>
                <c:pt idx="362">
                  <c:v>21/06/2018</c:v>
                </c:pt>
                <c:pt idx="363">
                  <c:v>22/06/2018</c:v>
                </c:pt>
                <c:pt idx="364">
                  <c:v>25/06/2018</c:v>
                </c:pt>
                <c:pt idx="365">
                  <c:v>26/06/2018</c:v>
                </c:pt>
                <c:pt idx="366">
                  <c:v>27/06/2018</c:v>
                </c:pt>
                <c:pt idx="367">
                  <c:v>28/06/2018</c:v>
                </c:pt>
                <c:pt idx="368">
                  <c:v>29/06/2018</c:v>
                </c:pt>
                <c:pt idx="369">
                  <c:v>2/7/2018</c:v>
                </c:pt>
                <c:pt idx="370">
                  <c:v>3/7/2018</c:v>
                </c:pt>
                <c:pt idx="371">
                  <c:v>4/7/2018</c:v>
                </c:pt>
                <c:pt idx="372">
                  <c:v>6/7/2018</c:v>
                </c:pt>
                <c:pt idx="373">
                  <c:v>9/7/2018</c:v>
                </c:pt>
                <c:pt idx="374">
                  <c:v>10/7/2018</c:v>
                </c:pt>
                <c:pt idx="375">
                  <c:v>11/7/2018</c:v>
                </c:pt>
                <c:pt idx="376">
                  <c:v>12/7/2018</c:v>
                </c:pt>
                <c:pt idx="377">
                  <c:v>13/07/2018</c:v>
                </c:pt>
                <c:pt idx="378">
                  <c:v>16/07/2018</c:v>
                </c:pt>
                <c:pt idx="379">
                  <c:v>17/07/2018</c:v>
                </c:pt>
                <c:pt idx="380">
                  <c:v>18/07/2018</c:v>
                </c:pt>
                <c:pt idx="381">
                  <c:v>19/07/2018</c:v>
                </c:pt>
                <c:pt idx="382">
                  <c:v>20/07/2018</c:v>
                </c:pt>
                <c:pt idx="383">
                  <c:v>23/07/2018</c:v>
                </c:pt>
                <c:pt idx="384">
                  <c:v>24/07/2018</c:v>
                </c:pt>
                <c:pt idx="385">
                  <c:v>25/07/2018</c:v>
                </c:pt>
                <c:pt idx="386">
                  <c:v>26/07/2018</c:v>
                </c:pt>
                <c:pt idx="387">
                  <c:v>27/07/2018</c:v>
                </c:pt>
                <c:pt idx="388">
                  <c:v>30/07/2018</c:v>
                </c:pt>
                <c:pt idx="389">
                  <c:v>31/07/2018</c:v>
                </c:pt>
                <c:pt idx="390">
                  <c:v>1/8/2018</c:v>
                </c:pt>
                <c:pt idx="391">
                  <c:v>2/8/2018</c:v>
                </c:pt>
                <c:pt idx="392">
                  <c:v>3/8/2018</c:v>
                </c:pt>
                <c:pt idx="393">
                  <c:v>6/8/2018</c:v>
                </c:pt>
                <c:pt idx="394">
                  <c:v>7/8/2018</c:v>
                </c:pt>
                <c:pt idx="395">
                  <c:v>8/8/2018</c:v>
                </c:pt>
                <c:pt idx="396">
                  <c:v>9/8/2018</c:v>
                </c:pt>
                <c:pt idx="397">
                  <c:v>10/8/2018</c:v>
                </c:pt>
                <c:pt idx="398">
                  <c:v>13/08/2018</c:v>
                </c:pt>
                <c:pt idx="399">
                  <c:v>14/08/2018</c:v>
                </c:pt>
                <c:pt idx="400">
                  <c:v>15/08/2018</c:v>
                </c:pt>
                <c:pt idx="401">
                  <c:v>16/08/2018</c:v>
                </c:pt>
                <c:pt idx="402">
                  <c:v>17/08/2018</c:v>
                </c:pt>
                <c:pt idx="403">
                  <c:v>20/08/2018</c:v>
                </c:pt>
                <c:pt idx="404">
                  <c:v>21/08/2018</c:v>
                </c:pt>
                <c:pt idx="405">
                  <c:v>22/08/2018</c:v>
                </c:pt>
                <c:pt idx="406">
                  <c:v>23/08/2018</c:v>
                </c:pt>
                <c:pt idx="407">
                  <c:v>24/08/2018</c:v>
                </c:pt>
                <c:pt idx="408">
                  <c:v>27/08/2018</c:v>
                </c:pt>
                <c:pt idx="409">
                  <c:v>28/08/2018</c:v>
                </c:pt>
                <c:pt idx="410">
                  <c:v>29/08/2018</c:v>
                </c:pt>
                <c:pt idx="411">
                  <c:v>30/08/2018</c:v>
                </c:pt>
                <c:pt idx="412">
                  <c:v>31/08/2018</c:v>
                </c:pt>
                <c:pt idx="413">
                  <c:v>3/9/2018</c:v>
                </c:pt>
                <c:pt idx="414">
                  <c:v>4/9/2018</c:v>
                </c:pt>
                <c:pt idx="415">
                  <c:v>5/9/2018</c:v>
                </c:pt>
                <c:pt idx="416">
                  <c:v>6/9/2018</c:v>
                </c:pt>
                <c:pt idx="417">
                  <c:v>7/9/2018</c:v>
                </c:pt>
                <c:pt idx="418">
                  <c:v>10/9/2018</c:v>
                </c:pt>
                <c:pt idx="419">
                  <c:v>11/9/2018</c:v>
                </c:pt>
                <c:pt idx="420">
                  <c:v>12/9/2018</c:v>
                </c:pt>
                <c:pt idx="421">
                  <c:v>13/09/2018</c:v>
                </c:pt>
                <c:pt idx="422">
                  <c:v>14/09/2018</c:v>
                </c:pt>
                <c:pt idx="423">
                  <c:v>17/09/2018</c:v>
                </c:pt>
                <c:pt idx="424">
                  <c:v>18/09/2018</c:v>
                </c:pt>
                <c:pt idx="425">
                  <c:v>19/09/2018</c:v>
                </c:pt>
                <c:pt idx="426">
                  <c:v>20/09/2018</c:v>
                </c:pt>
                <c:pt idx="427">
                  <c:v>24/09/2018</c:v>
                </c:pt>
                <c:pt idx="428">
                  <c:v>25/09/2018</c:v>
                </c:pt>
                <c:pt idx="429">
                  <c:v>26/09/2018</c:v>
                </c:pt>
                <c:pt idx="430">
                  <c:v>27/09/2018</c:v>
                </c:pt>
                <c:pt idx="431">
                  <c:v>28/09/2018</c:v>
                </c:pt>
                <c:pt idx="432">
                  <c:v>1/10/2018</c:v>
                </c:pt>
                <c:pt idx="433">
                  <c:v>2/10/2018</c:v>
                </c:pt>
                <c:pt idx="434">
                  <c:v>3/10/2018</c:v>
                </c:pt>
                <c:pt idx="435">
                  <c:v>4/10/2018</c:v>
                </c:pt>
                <c:pt idx="436">
                  <c:v>5/10/2018</c:v>
                </c:pt>
                <c:pt idx="437">
                  <c:v>8/10/2018</c:v>
                </c:pt>
                <c:pt idx="438">
                  <c:v>9/10/2018</c:v>
                </c:pt>
                <c:pt idx="439">
                  <c:v>10/10/2018</c:v>
                </c:pt>
                <c:pt idx="440">
                  <c:v>15/10/2018</c:v>
                </c:pt>
                <c:pt idx="441">
                  <c:v>16/10/2018</c:v>
                </c:pt>
                <c:pt idx="442">
                  <c:v>17/10/2018</c:v>
                </c:pt>
                <c:pt idx="443">
                  <c:v>18/10/2018</c:v>
                </c:pt>
                <c:pt idx="444">
                  <c:v>19/10/2018</c:v>
                </c:pt>
                <c:pt idx="445">
                  <c:v>22/10/2018</c:v>
                </c:pt>
                <c:pt idx="446">
                  <c:v>23/10/2018</c:v>
                </c:pt>
                <c:pt idx="447">
                  <c:v>24/10/2018</c:v>
                </c:pt>
                <c:pt idx="448">
                  <c:v>25/10/2018</c:v>
                </c:pt>
                <c:pt idx="449">
                  <c:v>26/10/2018</c:v>
                </c:pt>
                <c:pt idx="450">
                  <c:v>27/10/2018</c:v>
                </c:pt>
                <c:pt idx="451">
                  <c:v>29/10/2018</c:v>
                </c:pt>
                <c:pt idx="452">
                  <c:v>30/10/2018</c:v>
                </c:pt>
                <c:pt idx="453">
                  <c:v>31/10/2018</c:v>
                </c:pt>
                <c:pt idx="454">
                  <c:v>1/11/2018</c:v>
                </c:pt>
                <c:pt idx="455">
                  <c:v>2/11/2018</c:v>
                </c:pt>
                <c:pt idx="456">
                  <c:v>3/11/2018</c:v>
                </c:pt>
                <c:pt idx="457">
                  <c:v>5/11/2018</c:v>
                </c:pt>
                <c:pt idx="458">
                  <c:v>6/11/2018</c:v>
                </c:pt>
                <c:pt idx="459">
                  <c:v>7/11/2018</c:v>
                </c:pt>
                <c:pt idx="460">
                  <c:v>8/11/2018</c:v>
                </c:pt>
                <c:pt idx="461">
                  <c:v>9/11/2018</c:v>
                </c:pt>
                <c:pt idx="462">
                  <c:v>12/11/2018</c:v>
                </c:pt>
                <c:pt idx="463">
                  <c:v>13/11/2018</c:v>
                </c:pt>
                <c:pt idx="464">
                  <c:v>14/11/2018</c:v>
                </c:pt>
                <c:pt idx="465">
                  <c:v>15/11/2018</c:v>
                </c:pt>
                <c:pt idx="466">
                  <c:v>16/11/2018</c:v>
                </c:pt>
                <c:pt idx="467">
                  <c:v>19/11/2018</c:v>
                </c:pt>
                <c:pt idx="468">
                  <c:v>20/11/2018</c:v>
                </c:pt>
                <c:pt idx="469">
                  <c:v>21/11/2018</c:v>
                </c:pt>
                <c:pt idx="470">
                  <c:v>22/11/2018</c:v>
                </c:pt>
                <c:pt idx="471">
                  <c:v>23/11/2018</c:v>
                </c:pt>
                <c:pt idx="472">
                  <c:v>26/11/2018</c:v>
                </c:pt>
                <c:pt idx="473">
                  <c:v>27/11/2018</c:v>
                </c:pt>
                <c:pt idx="474">
                  <c:v>28/11/2018</c:v>
                </c:pt>
                <c:pt idx="475">
                  <c:v>29/11/2018</c:v>
                </c:pt>
                <c:pt idx="476">
                  <c:v>30/11/2018</c:v>
                </c:pt>
                <c:pt idx="477">
                  <c:v>3/12/2018</c:v>
                </c:pt>
                <c:pt idx="478">
                  <c:v>4/12/2018</c:v>
                </c:pt>
                <c:pt idx="479">
                  <c:v>5/12/2018</c:v>
                </c:pt>
                <c:pt idx="480">
                  <c:v>6/12/2018</c:v>
                </c:pt>
                <c:pt idx="481">
                  <c:v>7/12/2018</c:v>
                </c:pt>
                <c:pt idx="482">
                  <c:v>10/12/2018</c:v>
                </c:pt>
                <c:pt idx="483">
                  <c:v>11/12/2018</c:v>
                </c:pt>
                <c:pt idx="484">
                  <c:v>12/12/2018</c:v>
                </c:pt>
                <c:pt idx="485">
                  <c:v>13/12/2018</c:v>
                </c:pt>
                <c:pt idx="486">
                  <c:v>14/12/2018</c:v>
                </c:pt>
                <c:pt idx="487">
                  <c:v>17/12/2018</c:v>
                </c:pt>
                <c:pt idx="488">
                  <c:v>18/12/2018</c:v>
                </c:pt>
                <c:pt idx="489">
                  <c:v>19/12/2018</c:v>
                </c:pt>
                <c:pt idx="490">
                  <c:v>20/12/2018</c:v>
                </c:pt>
                <c:pt idx="491">
                  <c:v>21/12/2018</c:v>
                </c:pt>
                <c:pt idx="492">
                  <c:v>24/12/2018</c:v>
                </c:pt>
                <c:pt idx="493">
                  <c:v>25/12/2018</c:v>
                </c:pt>
                <c:pt idx="494">
                  <c:v>26/12/2018</c:v>
                </c:pt>
                <c:pt idx="495">
                  <c:v>27/12/2018</c:v>
                </c:pt>
                <c:pt idx="496">
                  <c:v>28/12/2018</c:v>
                </c:pt>
                <c:pt idx="497">
                  <c:v>8/1/2019</c:v>
                </c:pt>
                <c:pt idx="498">
                  <c:v>9/1/2019</c:v>
                </c:pt>
                <c:pt idx="499">
                  <c:v>10/1/2019</c:v>
                </c:pt>
                <c:pt idx="500">
                  <c:v>11/1/2019</c:v>
                </c:pt>
                <c:pt idx="501">
                  <c:v>14/01/2019</c:v>
                </c:pt>
                <c:pt idx="502">
                  <c:v>15/01/2019</c:v>
                </c:pt>
                <c:pt idx="503">
                  <c:v>16/01/2019</c:v>
                </c:pt>
                <c:pt idx="504">
                  <c:v>17/01/2019</c:v>
                </c:pt>
                <c:pt idx="505">
                  <c:v>18/01/2019</c:v>
                </c:pt>
                <c:pt idx="506">
                  <c:v>21/01/2019</c:v>
                </c:pt>
                <c:pt idx="507">
                  <c:v>22/01/2019</c:v>
                </c:pt>
                <c:pt idx="508">
                  <c:v>23/01/2019</c:v>
                </c:pt>
                <c:pt idx="509">
                  <c:v>24/01/2019</c:v>
                </c:pt>
                <c:pt idx="510">
                  <c:v>25/01/2019</c:v>
                </c:pt>
                <c:pt idx="511">
                  <c:v>29/01/2019</c:v>
                </c:pt>
                <c:pt idx="512">
                  <c:v>30/01/2019</c:v>
                </c:pt>
                <c:pt idx="513">
                  <c:v>31/01/2019</c:v>
                </c:pt>
                <c:pt idx="514">
                  <c:v>1/2/2019</c:v>
                </c:pt>
                <c:pt idx="515">
                  <c:v>4/2/2019</c:v>
                </c:pt>
                <c:pt idx="516">
                  <c:v>5/2/2019</c:v>
                </c:pt>
                <c:pt idx="517">
                  <c:v>6/2/2019</c:v>
                </c:pt>
                <c:pt idx="518">
                  <c:v>7/2/2019</c:v>
                </c:pt>
                <c:pt idx="519">
                  <c:v>8/2/2019</c:v>
                </c:pt>
                <c:pt idx="520">
                  <c:v>11/2/2019</c:v>
                </c:pt>
                <c:pt idx="521">
                  <c:v>12/2/2019</c:v>
                </c:pt>
                <c:pt idx="522">
                  <c:v>13/02/2019</c:v>
                </c:pt>
                <c:pt idx="523">
                  <c:v>14/02/2019</c:v>
                </c:pt>
                <c:pt idx="524">
                  <c:v>15/02/2019</c:v>
                </c:pt>
                <c:pt idx="525">
                  <c:v>18/02/2019</c:v>
                </c:pt>
                <c:pt idx="526">
                  <c:v>19/02/2019</c:v>
                </c:pt>
                <c:pt idx="527">
                  <c:v>20/02/2019</c:v>
                </c:pt>
                <c:pt idx="528">
                  <c:v>21/02/2019</c:v>
                </c:pt>
                <c:pt idx="529">
                  <c:v>22/02/2019</c:v>
                </c:pt>
                <c:pt idx="530">
                  <c:v>25/02/2019</c:v>
                </c:pt>
                <c:pt idx="531">
                  <c:v>26/02/2019</c:v>
                </c:pt>
                <c:pt idx="532">
                  <c:v>27/02/2019</c:v>
                </c:pt>
                <c:pt idx="533">
                  <c:v>28/02/2019</c:v>
                </c:pt>
                <c:pt idx="534">
                  <c:v>1/3/2019</c:v>
                </c:pt>
                <c:pt idx="535">
                  <c:v>4/3/2019</c:v>
                </c:pt>
                <c:pt idx="536">
                  <c:v>5/3/2019</c:v>
                </c:pt>
                <c:pt idx="537">
                  <c:v>6/3/2019</c:v>
                </c:pt>
                <c:pt idx="538">
                  <c:v>7/3/2019</c:v>
                </c:pt>
                <c:pt idx="539">
                  <c:v>11/3/2019</c:v>
                </c:pt>
                <c:pt idx="540">
                  <c:v>12/3/2019</c:v>
                </c:pt>
                <c:pt idx="541">
                  <c:v>13/03/2019</c:v>
                </c:pt>
                <c:pt idx="542">
                  <c:v>14/03/2019</c:v>
                </c:pt>
                <c:pt idx="543">
                  <c:v>15/03/2019</c:v>
                </c:pt>
                <c:pt idx="544">
                  <c:v>18/03/2019</c:v>
                </c:pt>
                <c:pt idx="545">
                  <c:v>19/03/2019</c:v>
                </c:pt>
                <c:pt idx="546">
                  <c:v>20/03/2019</c:v>
                </c:pt>
                <c:pt idx="547">
                  <c:v>21/03/2019</c:v>
                </c:pt>
                <c:pt idx="548">
                  <c:v>22/03/2019</c:v>
                </c:pt>
                <c:pt idx="549">
                  <c:v>25/03/2019</c:v>
                </c:pt>
                <c:pt idx="550">
                  <c:v>26/03/2019</c:v>
                </c:pt>
                <c:pt idx="551">
                  <c:v>27/03/2019</c:v>
                </c:pt>
                <c:pt idx="552">
                  <c:v>28/03/2019</c:v>
                </c:pt>
                <c:pt idx="553">
                  <c:v>29/03/2019</c:v>
                </c:pt>
                <c:pt idx="554">
                  <c:v>1/4/2019</c:v>
                </c:pt>
                <c:pt idx="555">
                  <c:v>2/4/2019</c:v>
                </c:pt>
                <c:pt idx="556">
                  <c:v>3/4/2019</c:v>
                </c:pt>
                <c:pt idx="557">
                  <c:v>4/4/2019</c:v>
                </c:pt>
                <c:pt idx="558">
                  <c:v>5/4/2019</c:v>
                </c:pt>
                <c:pt idx="559">
                  <c:v>8/4/2019</c:v>
                </c:pt>
                <c:pt idx="560">
                  <c:v>9/4/2019</c:v>
                </c:pt>
                <c:pt idx="561">
                  <c:v>10/4/2019</c:v>
                </c:pt>
                <c:pt idx="562">
                  <c:v>11/4/2019</c:v>
                </c:pt>
                <c:pt idx="563">
                  <c:v>12/4/2019</c:v>
                </c:pt>
                <c:pt idx="564">
                  <c:v>15/04/2019</c:v>
                </c:pt>
                <c:pt idx="565">
                  <c:v>16/04/2019</c:v>
                </c:pt>
                <c:pt idx="566">
                  <c:v>17/04/2019</c:v>
                </c:pt>
                <c:pt idx="567">
                  <c:v>18/04/2019</c:v>
                </c:pt>
                <c:pt idx="568">
                  <c:v>19/04/2019</c:v>
                </c:pt>
                <c:pt idx="569">
                  <c:v>22/04/2019</c:v>
                </c:pt>
                <c:pt idx="570">
                  <c:v>23/04/2019</c:v>
                </c:pt>
                <c:pt idx="571">
                  <c:v>25/04/2019</c:v>
                </c:pt>
                <c:pt idx="572">
                  <c:v>26/04/2019</c:v>
                </c:pt>
                <c:pt idx="573">
                  <c:v>29/04/2019</c:v>
                </c:pt>
                <c:pt idx="574">
                  <c:v>30/04/2019</c:v>
                </c:pt>
                <c:pt idx="575">
                  <c:v>2/5/2019</c:v>
                </c:pt>
                <c:pt idx="576">
                  <c:v>3/5/2019</c:v>
                </c:pt>
                <c:pt idx="577">
                  <c:v>6/5/2019</c:v>
                </c:pt>
                <c:pt idx="578">
                  <c:v>7/5/2019</c:v>
                </c:pt>
                <c:pt idx="579">
                  <c:v>8/5/2019</c:v>
                </c:pt>
                <c:pt idx="580">
                  <c:v>10/5/2019</c:v>
                </c:pt>
                <c:pt idx="581">
                  <c:v>13/05/2019</c:v>
                </c:pt>
                <c:pt idx="582">
                  <c:v>14/05/2019</c:v>
                </c:pt>
                <c:pt idx="583">
                  <c:v>15/05/2019</c:v>
                </c:pt>
                <c:pt idx="584">
                  <c:v>16/05/2019</c:v>
                </c:pt>
                <c:pt idx="585">
                  <c:v>17/05/2019</c:v>
                </c:pt>
                <c:pt idx="586">
                  <c:v>20/05/2019</c:v>
                </c:pt>
                <c:pt idx="587">
                  <c:v>21/05/2019</c:v>
                </c:pt>
                <c:pt idx="588">
                  <c:v>22/05/2019</c:v>
                </c:pt>
                <c:pt idx="589">
                  <c:v>23/05/2019</c:v>
                </c:pt>
                <c:pt idx="590">
                  <c:v>24/05/2019</c:v>
                </c:pt>
                <c:pt idx="591">
                  <c:v>27/05/2019</c:v>
                </c:pt>
                <c:pt idx="592">
                  <c:v>29/05/2019</c:v>
                </c:pt>
                <c:pt idx="593">
                  <c:v>30/05/2019</c:v>
                </c:pt>
                <c:pt idx="594">
                  <c:v>31/05/2019</c:v>
                </c:pt>
                <c:pt idx="595">
                  <c:v>3/6/2019</c:v>
                </c:pt>
                <c:pt idx="596">
                  <c:v>4/6/2019</c:v>
                </c:pt>
                <c:pt idx="597">
                  <c:v>5/6/2019</c:v>
                </c:pt>
                <c:pt idx="598">
                  <c:v>6/6/2019</c:v>
                </c:pt>
                <c:pt idx="599">
                  <c:v>7/6/2019</c:v>
                </c:pt>
                <c:pt idx="600">
                  <c:v>10/6/2019</c:v>
                </c:pt>
                <c:pt idx="601">
                  <c:v>11/6/2019</c:v>
                </c:pt>
                <c:pt idx="602">
                  <c:v>12/6/2019</c:v>
                </c:pt>
                <c:pt idx="603">
                  <c:v>13/06/2019</c:v>
                </c:pt>
                <c:pt idx="604">
                  <c:v>14/06/2019</c:v>
                </c:pt>
                <c:pt idx="605">
                  <c:v>17/06/2019</c:v>
                </c:pt>
                <c:pt idx="606">
                  <c:v>18/06/2019</c:v>
                </c:pt>
                <c:pt idx="607">
                  <c:v>19/06/2019</c:v>
                </c:pt>
                <c:pt idx="608">
                  <c:v>20/06/2019</c:v>
                </c:pt>
                <c:pt idx="609">
                  <c:v>21/06/2019</c:v>
                </c:pt>
                <c:pt idx="610">
                  <c:v>24/06/2019</c:v>
                </c:pt>
                <c:pt idx="611">
                  <c:v>25/06/2019</c:v>
                </c:pt>
                <c:pt idx="612">
                  <c:v>26/06/2019</c:v>
                </c:pt>
                <c:pt idx="613">
                  <c:v>27/06/2019</c:v>
                </c:pt>
                <c:pt idx="614">
                  <c:v>28/06/2019</c:v>
                </c:pt>
                <c:pt idx="615">
                  <c:v>1/7/2019</c:v>
                </c:pt>
                <c:pt idx="616">
                  <c:v>2/7/2019</c:v>
                </c:pt>
                <c:pt idx="617">
                  <c:v>3/7/2019</c:v>
                </c:pt>
                <c:pt idx="618">
                  <c:v>4/7/2019</c:v>
                </c:pt>
                <c:pt idx="619">
                  <c:v>8/7/2019</c:v>
                </c:pt>
                <c:pt idx="620">
                  <c:v>9/7/2019</c:v>
                </c:pt>
                <c:pt idx="621">
                  <c:v>10/7/2019</c:v>
                </c:pt>
                <c:pt idx="622">
                  <c:v>11/7/2019</c:v>
                </c:pt>
                <c:pt idx="623">
                  <c:v>12/7/2019</c:v>
                </c:pt>
                <c:pt idx="624">
                  <c:v>15/07/2019</c:v>
                </c:pt>
                <c:pt idx="625">
                  <c:v>16/07/2019</c:v>
                </c:pt>
                <c:pt idx="626">
                  <c:v>17/07/2019</c:v>
                </c:pt>
                <c:pt idx="627">
                  <c:v>18/07/2019</c:v>
                </c:pt>
                <c:pt idx="628">
                  <c:v>19/07/2019</c:v>
                </c:pt>
                <c:pt idx="629">
                  <c:v>22/07/2019</c:v>
                </c:pt>
                <c:pt idx="630">
                  <c:v>23/07/2019</c:v>
                </c:pt>
                <c:pt idx="631">
                  <c:v>24/07/2019</c:v>
                </c:pt>
                <c:pt idx="632">
                  <c:v>25/07/2019</c:v>
                </c:pt>
                <c:pt idx="633">
                  <c:v>26/07/2019</c:v>
                </c:pt>
                <c:pt idx="634">
                  <c:v>29/07/2019</c:v>
                </c:pt>
                <c:pt idx="635">
                  <c:v>30/07/2019</c:v>
                </c:pt>
                <c:pt idx="636">
                  <c:v>31/07/2019</c:v>
                </c:pt>
                <c:pt idx="637">
                  <c:v>1/8/2019</c:v>
                </c:pt>
                <c:pt idx="638">
                  <c:v>2/8/2019</c:v>
                </c:pt>
                <c:pt idx="639">
                  <c:v>5/8/2019</c:v>
                </c:pt>
                <c:pt idx="640">
                  <c:v>6/8/2019</c:v>
                </c:pt>
                <c:pt idx="641">
                  <c:v>7/8/2019</c:v>
                </c:pt>
                <c:pt idx="642">
                  <c:v>8/8/2019</c:v>
                </c:pt>
                <c:pt idx="643">
                  <c:v>9/8/2019</c:v>
                </c:pt>
                <c:pt idx="644">
                  <c:v>12/8/2019</c:v>
                </c:pt>
                <c:pt idx="645">
                  <c:v>13/08/2019</c:v>
                </c:pt>
                <c:pt idx="646">
                  <c:v>14/08/2019</c:v>
                </c:pt>
                <c:pt idx="647">
                  <c:v>15/08/2019</c:v>
                </c:pt>
                <c:pt idx="648">
                  <c:v>16/08/2019</c:v>
                </c:pt>
                <c:pt idx="649">
                  <c:v>19/08/2019</c:v>
                </c:pt>
                <c:pt idx="650">
                  <c:v>20/08/2019</c:v>
                </c:pt>
                <c:pt idx="651">
                  <c:v>21/08/2019</c:v>
                </c:pt>
                <c:pt idx="652">
                  <c:v>22/08/2019</c:v>
                </c:pt>
                <c:pt idx="653">
                  <c:v>23/08/2019</c:v>
                </c:pt>
                <c:pt idx="654">
                  <c:v>26/08/2019</c:v>
                </c:pt>
                <c:pt idx="655">
                  <c:v>27/08/2019</c:v>
                </c:pt>
                <c:pt idx="656">
                  <c:v>28/08/2019</c:v>
                </c:pt>
                <c:pt idx="657">
                  <c:v>29/08/2019</c:v>
                </c:pt>
                <c:pt idx="658">
                  <c:v>30/08/2019</c:v>
                </c:pt>
                <c:pt idx="659">
                  <c:v>2/9/2019</c:v>
                </c:pt>
                <c:pt idx="660">
                  <c:v>3/9/2019</c:v>
                </c:pt>
                <c:pt idx="661">
                  <c:v>4/9/2019</c:v>
                </c:pt>
                <c:pt idx="662">
                  <c:v>5/9/2019</c:v>
                </c:pt>
                <c:pt idx="663">
                  <c:v>6/9/2019</c:v>
                </c:pt>
                <c:pt idx="664">
                  <c:v>9/9/2019</c:v>
                </c:pt>
                <c:pt idx="665">
                  <c:v>10/9/2019</c:v>
                </c:pt>
                <c:pt idx="666">
                  <c:v>11/9/2019</c:v>
                </c:pt>
                <c:pt idx="667">
                  <c:v>12/9/2019</c:v>
                </c:pt>
                <c:pt idx="668">
                  <c:v>13/09/2019</c:v>
                </c:pt>
                <c:pt idx="669">
                  <c:v>16/09/2019</c:v>
                </c:pt>
                <c:pt idx="670">
                  <c:v>17/09/2019</c:v>
                </c:pt>
                <c:pt idx="671">
                  <c:v>18/09/2019</c:v>
                </c:pt>
                <c:pt idx="672">
                  <c:v>19/09/2019</c:v>
                </c:pt>
                <c:pt idx="673">
                  <c:v>20/09/2019</c:v>
                </c:pt>
                <c:pt idx="674">
                  <c:v>23/09/2019</c:v>
                </c:pt>
                <c:pt idx="675">
                  <c:v>24/09/2019</c:v>
                </c:pt>
                <c:pt idx="676">
                  <c:v>25/09/2019</c:v>
                </c:pt>
                <c:pt idx="677">
                  <c:v>26/09/2019</c:v>
                </c:pt>
                <c:pt idx="678">
                  <c:v>27/09/2019</c:v>
                </c:pt>
                <c:pt idx="679">
                  <c:v>30/09/2019</c:v>
                </c:pt>
                <c:pt idx="680">
                  <c:v>1/10/2019</c:v>
                </c:pt>
                <c:pt idx="681">
                  <c:v>2/10/2019</c:v>
                </c:pt>
                <c:pt idx="682">
                  <c:v>3/10/2019</c:v>
                </c:pt>
                <c:pt idx="683">
                  <c:v>4/10/2019</c:v>
                </c:pt>
                <c:pt idx="684">
                  <c:v>7/10/2019</c:v>
                </c:pt>
                <c:pt idx="685">
                  <c:v>8/10/2019</c:v>
                </c:pt>
                <c:pt idx="686">
                  <c:v>9/10/2019</c:v>
                </c:pt>
                <c:pt idx="687">
                  <c:v>10/10/2019</c:v>
                </c:pt>
                <c:pt idx="688">
                  <c:v>11/10/2019</c:v>
                </c:pt>
                <c:pt idx="689">
                  <c:v>14/10/2019</c:v>
                </c:pt>
                <c:pt idx="690">
                  <c:v>15/10/2019</c:v>
                </c:pt>
                <c:pt idx="691">
                  <c:v>16/10/2019</c:v>
                </c:pt>
                <c:pt idx="692">
                  <c:v>17/10/2019</c:v>
                </c:pt>
                <c:pt idx="693">
                  <c:v>18/10/2019</c:v>
                </c:pt>
                <c:pt idx="694">
                  <c:v>21/10/2019</c:v>
                </c:pt>
                <c:pt idx="695">
                  <c:v>22/10/2019</c:v>
                </c:pt>
                <c:pt idx="696">
                  <c:v>23/10/2019</c:v>
                </c:pt>
                <c:pt idx="697">
                  <c:v>24/10/2019</c:v>
                </c:pt>
                <c:pt idx="698">
                  <c:v>25/10/2019</c:v>
                </c:pt>
                <c:pt idx="699">
                  <c:v>28/10/2019</c:v>
                </c:pt>
                <c:pt idx="700">
                  <c:v>29/10/2019</c:v>
                </c:pt>
                <c:pt idx="701">
                  <c:v>30/10/2019</c:v>
                </c:pt>
                <c:pt idx="702">
                  <c:v>31/10/2019</c:v>
                </c:pt>
                <c:pt idx="703">
                  <c:v>1/11/2019</c:v>
                </c:pt>
                <c:pt idx="704">
                  <c:v>4/11/2019</c:v>
                </c:pt>
                <c:pt idx="705">
                  <c:v>5/11/2019</c:v>
                </c:pt>
                <c:pt idx="706">
                  <c:v>6/11/2019</c:v>
                </c:pt>
                <c:pt idx="707">
                  <c:v>7/11/2019</c:v>
                </c:pt>
                <c:pt idx="708">
                  <c:v>8/11/2019</c:v>
                </c:pt>
                <c:pt idx="709">
                  <c:v>11/11/2019</c:v>
                </c:pt>
                <c:pt idx="710">
                  <c:v>12/11/2019</c:v>
                </c:pt>
                <c:pt idx="711">
                  <c:v>13/11/2019</c:v>
                </c:pt>
                <c:pt idx="712">
                  <c:v>14/11/2019</c:v>
                </c:pt>
                <c:pt idx="713">
                  <c:v>15/11/2019</c:v>
                </c:pt>
                <c:pt idx="714">
                  <c:v>18/11/2019</c:v>
                </c:pt>
                <c:pt idx="715">
                  <c:v>19/11/2019</c:v>
                </c:pt>
                <c:pt idx="716">
                  <c:v>20/11/2019</c:v>
                </c:pt>
                <c:pt idx="717">
                  <c:v>21/11/2019</c:v>
                </c:pt>
                <c:pt idx="718">
                  <c:v>22/11/2019</c:v>
                </c:pt>
                <c:pt idx="719">
                  <c:v>25/11/2019</c:v>
                </c:pt>
                <c:pt idx="720">
                  <c:v>26/11/2019</c:v>
                </c:pt>
                <c:pt idx="721">
                  <c:v>27/11/2019</c:v>
                </c:pt>
                <c:pt idx="722">
                  <c:v>28/11/2019</c:v>
                </c:pt>
                <c:pt idx="723">
                  <c:v>29/11/2019</c:v>
                </c:pt>
                <c:pt idx="724">
                  <c:v>2/12/2019</c:v>
                </c:pt>
                <c:pt idx="725">
                  <c:v>3/12/2019</c:v>
                </c:pt>
                <c:pt idx="726">
                  <c:v>4/12/2019</c:v>
                </c:pt>
                <c:pt idx="727">
                  <c:v>5/12/2019</c:v>
                </c:pt>
                <c:pt idx="728">
                  <c:v>6/12/2019</c:v>
                </c:pt>
                <c:pt idx="729">
                  <c:v>9/12/2019</c:v>
                </c:pt>
                <c:pt idx="730">
                  <c:v>10/12/2019</c:v>
                </c:pt>
                <c:pt idx="731">
                  <c:v>11/12/2019</c:v>
                </c:pt>
                <c:pt idx="732">
                  <c:v>12/12/2019</c:v>
                </c:pt>
                <c:pt idx="733">
                  <c:v>13/12/2019</c:v>
                </c:pt>
                <c:pt idx="734">
                  <c:v>16/12/2019</c:v>
                </c:pt>
                <c:pt idx="735">
                  <c:v>17/12/2019</c:v>
                </c:pt>
                <c:pt idx="736">
                  <c:v>18/12/2019</c:v>
                </c:pt>
                <c:pt idx="737">
                  <c:v>19/12/2019</c:v>
                </c:pt>
                <c:pt idx="738">
                  <c:v>20/12/2019</c:v>
                </c:pt>
                <c:pt idx="739">
                  <c:v>23/12/2019</c:v>
                </c:pt>
                <c:pt idx="740">
                  <c:v>24/12/2019</c:v>
                </c:pt>
                <c:pt idx="741">
                  <c:v>25/12/2019</c:v>
                </c:pt>
                <c:pt idx="742">
                  <c:v>26/12/2019</c:v>
                </c:pt>
                <c:pt idx="743">
                  <c:v>27/12/2019</c:v>
                </c:pt>
                <c:pt idx="744">
                  <c:v>30/12/2019</c:v>
                </c:pt>
                <c:pt idx="745">
                  <c:v>8/1/2020</c:v>
                </c:pt>
                <c:pt idx="746">
                  <c:v>9/1/2020</c:v>
                </c:pt>
                <c:pt idx="747">
                  <c:v>10/1/2020</c:v>
                </c:pt>
                <c:pt idx="748">
                  <c:v>13/01/2020</c:v>
                </c:pt>
                <c:pt idx="749">
                  <c:v>14/01/2020</c:v>
                </c:pt>
                <c:pt idx="750">
                  <c:v>15/01/2020</c:v>
                </c:pt>
                <c:pt idx="751">
                  <c:v>16/01/2020</c:v>
                </c:pt>
                <c:pt idx="752">
                  <c:v>17/01/2020</c:v>
                </c:pt>
                <c:pt idx="753">
                  <c:v>20/01/2020</c:v>
                </c:pt>
                <c:pt idx="754">
                  <c:v>21/01/2020</c:v>
                </c:pt>
                <c:pt idx="755">
                  <c:v>22/01/2020</c:v>
                </c:pt>
                <c:pt idx="756">
                  <c:v>23/01/2020</c:v>
                </c:pt>
                <c:pt idx="757">
                  <c:v>24/01/2020</c:v>
                </c:pt>
                <c:pt idx="758">
                  <c:v>29/01/2020</c:v>
                </c:pt>
                <c:pt idx="759">
                  <c:v>30/01/2020</c:v>
                </c:pt>
                <c:pt idx="760">
                  <c:v>31/01/2020</c:v>
                </c:pt>
                <c:pt idx="761">
                  <c:v>1/2/2020</c:v>
                </c:pt>
                <c:pt idx="762">
                  <c:v>3/2/2020</c:v>
                </c:pt>
                <c:pt idx="763">
                  <c:v>4/2/2020</c:v>
                </c:pt>
                <c:pt idx="764">
                  <c:v>5/2/2020</c:v>
                </c:pt>
                <c:pt idx="765">
                  <c:v>6/2/2020</c:v>
                </c:pt>
                <c:pt idx="766">
                  <c:v>7/2/2020</c:v>
                </c:pt>
                <c:pt idx="767">
                  <c:v>10/2/2020</c:v>
                </c:pt>
                <c:pt idx="768">
                  <c:v>11/2/2020</c:v>
                </c:pt>
                <c:pt idx="769">
                  <c:v>12/2/2020</c:v>
                </c:pt>
                <c:pt idx="770">
                  <c:v>13/02/2020</c:v>
                </c:pt>
                <c:pt idx="771">
                  <c:v>14/02/2020</c:v>
                </c:pt>
                <c:pt idx="772">
                  <c:v>17/02/2020</c:v>
                </c:pt>
                <c:pt idx="773">
                  <c:v>18/02/2020</c:v>
                </c:pt>
                <c:pt idx="774">
                  <c:v>19/02/2020</c:v>
                </c:pt>
                <c:pt idx="775">
                  <c:v>20/02/2020</c:v>
                </c:pt>
                <c:pt idx="776">
                  <c:v>21/02/2020</c:v>
                </c:pt>
                <c:pt idx="777">
                  <c:v>24/02/2020</c:v>
                </c:pt>
                <c:pt idx="778">
                  <c:v>25/02/2020</c:v>
                </c:pt>
                <c:pt idx="779">
                  <c:v>26/02/2020</c:v>
                </c:pt>
                <c:pt idx="780">
                  <c:v>27/02/2020</c:v>
                </c:pt>
                <c:pt idx="781">
                  <c:v>28/02/2020</c:v>
                </c:pt>
                <c:pt idx="782">
                  <c:v>2/3/2020</c:v>
                </c:pt>
                <c:pt idx="783">
                  <c:v>3/3/2020</c:v>
                </c:pt>
                <c:pt idx="784">
                  <c:v>4/3/2020</c:v>
                </c:pt>
                <c:pt idx="785">
                  <c:v>5/3/2020</c:v>
                </c:pt>
                <c:pt idx="786">
                  <c:v>6/3/2020</c:v>
                </c:pt>
                <c:pt idx="787">
                  <c:v>9/3/2020</c:v>
                </c:pt>
                <c:pt idx="788">
                  <c:v>10/3/2020</c:v>
                </c:pt>
                <c:pt idx="789">
                  <c:v>11/3/2020</c:v>
                </c:pt>
                <c:pt idx="790">
                  <c:v>12/3/2020</c:v>
                </c:pt>
                <c:pt idx="791">
                  <c:v>13/03/2020</c:v>
                </c:pt>
                <c:pt idx="792">
                  <c:v>16/03/2020</c:v>
                </c:pt>
                <c:pt idx="793">
                  <c:v>17/03/2020</c:v>
                </c:pt>
                <c:pt idx="794">
                  <c:v>18/03/2020</c:v>
                </c:pt>
                <c:pt idx="795">
                  <c:v>19/03/2020</c:v>
                </c:pt>
                <c:pt idx="796">
                  <c:v>20/03/2020</c:v>
                </c:pt>
                <c:pt idx="797">
                  <c:v>23/03/2020</c:v>
                </c:pt>
                <c:pt idx="798">
                  <c:v>24/03/2020</c:v>
                </c:pt>
                <c:pt idx="799">
                  <c:v>25/03/2020</c:v>
                </c:pt>
                <c:pt idx="800">
                  <c:v>26/03/2020</c:v>
                </c:pt>
                <c:pt idx="801">
                  <c:v>27/03/2020</c:v>
                </c:pt>
                <c:pt idx="802">
                  <c:v>30/03/2020</c:v>
                </c:pt>
                <c:pt idx="803">
                  <c:v>31/03/2020</c:v>
                </c:pt>
                <c:pt idx="804">
                  <c:v>1/4/2020</c:v>
                </c:pt>
                <c:pt idx="805">
                  <c:v>2/4/2020</c:v>
                </c:pt>
                <c:pt idx="806">
                  <c:v>3/4/2020</c:v>
                </c:pt>
                <c:pt idx="807">
                  <c:v>6/4/2020</c:v>
                </c:pt>
                <c:pt idx="808">
                  <c:v>7/4/2020</c:v>
                </c:pt>
                <c:pt idx="809">
                  <c:v>8/4/2020</c:v>
                </c:pt>
                <c:pt idx="810">
                  <c:v>9/4/2020</c:v>
                </c:pt>
                <c:pt idx="811">
                  <c:v>10/4/2020</c:v>
                </c:pt>
                <c:pt idx="812">
                  <c:v>13/04/2020</c:v>
                </c:pt>
                <c:pt idx="813">
                  <c:v>14/04/2020</c:v>
                </c:pt>
                <c:pt idx="814">
                  <c:v>15/04/2020</c:v>
                </c:pt>
                <c:pt idx="815">
                  <c:v>16/04/2020</c:v>
                </c:pt>
                <c:pt idx="816">
                  <c:v>17/04/2020</c:v>
                </c:pt>
                <c:pt idx="817">
                  <c:v>20/04/2020</c:v>
                </c:pt>
                <c:pt idx="818">
                  <c:v>21/04/2020</c:v>
                </c:pt>
                <c:pt idx="819">
                  <c:v>22/04/2020</c:v>
                </c:pt>
                <c:pt idx="820">
                  <c:v>23/04/2020</c:v>
                </c:pt>
                <c:pt idx="821">
                  <c:v>27/04/2020</c:v>
                </c:pt>
                <c:pt idx="822">
                  <c:v>28/04/2020</c:v>
                </c:pt>
                <c:pt idx="823">
                  <c:v>29/04/2020</c:v>
                </c:pt>
                <c:pt idx="824">
                  <c:v>30/04/2020</c:v>
                </c:pt>
                <c:pt idx="825">
                  <c:v>4/5/2020</c:v>
                </c:pt>
                <c:pt idx="826">
                  <c:v>5/5/2020</c:v>
                </c:pt>
                <c:pt idx="827">
                  <c:v>6/5/2020</c:v>
                </c:pt>
                <c:pt idx="828">
                  <c:v>7/5/2020</c:v>
                </c:pt>
                <c:pt idx="829">
                  <c:v>8/5/2020</c:v>
                </c:pt>
                <c:pt idx="830">
                  <c:v>11/5/2020</c:v>
                </c:pt>
                <c:pt idx="831">
                  <c:v>12/5/2020</c:v>
                </c:pt>
                <c:pt idx="832">
                  <c:v>13/05/2020</c:v>
                </c:pt>
                <c:pt idx="833">
                  <c:v>14/05/2020</c:v>
                </c:pt>
                <c:pt idx="834">
                  <c:v>15/05/2020</c:v>
                </c:pt>
                <c:pt idx="835">
                  <c:v>18/05/2020</c:v>
                </c:pt>
                <c:pt idx="836">
                  <c:v>19/05/2020</c:v>
                </c:pt>
                <c:pt idx="837">
                  <c:v>20/05/2020</c:v>
                </c:pt>
                <c:pt idx="838">
                  <c:v>21/05/2020</c:v>
                </c:pt>
                <c:pt idx="839">
                  <c:v>22/05/2020</c:v>
                </c:pt>
                <c:pt idx="840">
                  <c:v>23/05/2020</c:v>
                </c:pt>
                <c:pt idx="841">
                  <c:v>25/05/2020</c:v>
                </c:pt>
                <c:pt idx="842">
                  <c:v>26/05/2020</c:v>
                </c:pt>
                <c:pt idx="843">
                  <c:v>27/05/2020</c:v>
                </c:pt>
                <c:pt idx="844">
                  <c:v>1/6/2020</c:v>
                </c:pt>
                <c:pt idx="845">
                  <c:v>2/6/2020</c:v>
                </c:pt>
                <c:pt idx="846">
                  <c:v>3/6/2020</c:v>
                </c:pt>
                <c:pt idx="847">
                  <c:v>4/6/2020</c:v>
                </c:pt>
                <c:pt idx="848">
                  <c:v>5/6/2020</c:v>
                </c:pt>
                <c:pt idx="849">
                  <c:v>8/6/2020</c:v>
                </c:pt>
                <c:pt idx="850">
                  <c:v>9/6/2020</c:v>
                </c:pt>
                <c:pt idx="851">
                  <c:v>10/6/2020</c:v>
                </c:pt>
                <c:pt idx="852">
                  <c:v>11/6/2020</c:v>
                </c:pt>
                <c:pt idx="853">
                  <c:v>12/6/2020</c:v>
                </c:pt>
                <c:pt idx="854">
                  <c:v>15/06/2020</c:v>
                </c:pt>
                <c:pt idx="855">
                  <c:v>16/06/2020</c:v>
                </c:pt>
                <c:pt idx="856">
                  <c:v>17/06/2020</c:v>
                </c:pt>
                <c:pt idx="857">
                  <c:v>18/06/2020</c:v>
                </c:pt>
                <c:pt idx="858">
                  <c:v>19/06/2020</c:v>
                </c:pt>
                <c:pt idx="859">
                  <c:v>22/06/2020</c:v>
                </c:pt>
                <c:pt idx="860">
                  <c:v>23/06/2020</c:v>
                </c:pt>
                <c:pt idx="861">
                  <c:v>24/06/2020</c:v>
                </c:pt>
                <c:pt idx="862">
                  <c:v>25/06/2020</c:v>
                </c:pt>
                <c:pt idx="863">
                  <c:v>26/06/2020</c:v>
                </c:pt>
                <c:pt idx="864">
                  <c:v>29/06/2020</c:v>
                </c:pt>
                <c:pt idx="865">
                  <c:v>30/06/2020</c:v>
                </c:pt>
                <c:pt idx="866">
                  <c:v>1/7/2020</c:v>
                </c:pt>
              </c:strCache>
            </c:strRef>
          </c:cat>
          <c:val>
            <c:numRef>
              <c:f>Sheet1!$B$2:$B$868</c:f>
              <c:numCache>
                <c:formatCode>0</c:formatCode>
                <c:ptCount val="867"/>
                <c:pt idx="0" formatCode="General">
                  <c:v>100</c:v>
                </c:pt>
                <c:pt idx="1">
                  <c:v>100.01650743866448</c:v>
                </c:pt>
                <c:pt idx="2">
                  <c:v>100.07634690382326</c:v>
                </c:pt>
                <c:pt idx="3">
                  <c:v>100.15682066731331</c:v>
                </c:pt>
                <c:pt idx="4">
                  <c:v>100.21666013247217</c:v>
                </c:pt>
                <c:pt idx="5">
                  <c:v>100.26618244846583</c:v>
                </c:pt>
                <c:pt idx="6">
                  <c:v>100.34871964178859</c:v>
                </c:pt>
                <c:pt idx="7">
                  <c:v>100.42093968594624</c:v>
                </c:pt>
                <c:pt idx="8">
                  <c:v>100.52823803726535</c:v>
                </c:pt>
                <c:pt idx="9">
                  <c:v>100.32602191362453</c:v>
                </c:pt>
                <c:pt idx="10">
                  <c:v>100.35078307162136</c:v>
                </c:pt>
                <c:pt idx="11">
                  <c:v>100.35697336112084</c:v>
                </c:pt>
                <c:pt idx="12">
                  <c:v>100.31364133462625</c:v>
                </c:pt>
                <c:pt idx="13">
                  <c:v>100.38173451911767</c:v>
                </c:pt>
                <c:pt idx="14">
                  <c:v>100.36110022078698</c:v>
                </c:pt>
                <c:pt idx="15">
                  <c:v>100.33014877329083</c:v>
                </c:pt>
                <c:pt idx="16">
                  <c:v>100.38586137878353</c:v>
                </c:pt>
                <c:pt idx="17">
                  <c:v>100.27649959763104</c:v>
                </c:pt>
                <c:pt idx="18">
                  <c:v>100.26411901863291</c:v>
                </c:pt>
                <c:pt idx="19">
                  <c:v>100.24142129046902</c:v>
                </c:pt>
                <c:pt idx="20">
                  <c:v>100.23935786063595</c:v>
                </c:pt>
                <c:pt idx="21">
                  <c:v>100.29713389596186</c:v>
                </c:pt>
                <c:pt idx="22">
                  <c:v>100.35697336112084</c:v>
                </c:pt>
                <c:pt idx="23">
                  <c:v>100.4188762561129</c:v>
                </c:pt>
                <c:pt idx="24">
                  <c:v>100.4457008439428</c:v>
                </c:pt>
                <c:pt idx="25">
                  <c:v>100.45601799310812</c:v>
                </c:pt>
                <c:pt idx="26">
                  <c:v>100.39824195778218</c:v>
                </c:pt>
                <c:pt idx="27">
                  <c:v>100.41062253678061</c:v>
                </c:pt>
                <c:pt idx="28">
                  <c:v>100.42506654561222</c:v>
                </c:pt>
                <c:pt idx="29">
                  <c:v>100.43538369477758</c:v>
                </c:pt>
                <c:pt idx="30">
                  <c:v>100.44982770360893</c:v>
                </c:pt>
                <c:pt idx="31">
                  <c:v>100.4787157212719</c:v>
                </c:pt>
                <c:pt idx="32">
                  <c:v>100.43538369477761</c:v>
                </c:pt>
                <c:pt idx="33">
                  <c:v>100.41887625611291</c:v>
                </c:pt>
                <c:pt idx="34">
                  <c:v>100.44363741410974</c:v>
                </c:pt>
                <c:pt idx="35">
                  <c:v>100.4271299754455</c:v>
                </c:pt>
                <c:pt idx="36">
                  <c:v>100.4271299754455</c:v>
                </c:pt>
                <c:pt idx="37">
                  <c:v>100.42919340527855</c:v>
                </c:pt>
                <c:pt idx="38">
                  <c:v>100.43744712461053</c:v>
                </c:pt>
                <c:pt idx="39">
                  <c:v>100.45189113344176</c:v>
                </c:pt>
                <c:pt idx="40">
                  <c:v>100.42919340527854</c:v>
                </c:pt>
                <c:pt idx="41">
                  <c:v>100.41062253678065</c:v>
                </c:pt>
                <c:pt idx="42">
                  <c:v>100.37760765945141</c:v>
                </c:pt>
                <c:pt idx="43">
                  <c:v>100.28888017662925</c:v>
                </c:pt>
                <c:pt idx="44">
                  <c:v>100.24967500980132</c:v>
                </c:pt>
                <c:pt idx="45">
                  <c:v>100.11142521098573</c:v>
                </c:pt>
                <c:pt idx="46">
                  <c:v>99.903018797845803</c:v>
                </c:pt>
                <c:pt idx="47">
                  <c:v>99.859686771351349</c:v>
                </c:pt>
                <c:pt idx="48">
                  <c:v>99.768895858696126</c:v>
                </c:pt>
                <c:pt idx="49">
                  <c:v>99.758578709530738</c:v>
                </c:pt>
                <c:pt idx="50">
                  <c:v>99.760642139364052</c:v>
                </c:pt>
                <c:pt idx="51">
                  <c:v>99.768895858696126</c:v>
                </c:pt>
                <c:pt idx="52">
                  <c:v>99.878257639848982</c:v>
                </c:pt>
                <c:pt idx="53">
                  <c:v>99.878257639848982</c:v>
                </c:pt>
                <c:pt idx="54">
                  <c:v>99.87000392051668</c:v>
                </c:pt>
                <c:pt idx="55">
                  <c:v>99.851433052019019</c:v>
                </c:pt>
                <c:pt idx="56">
                  <c:v>99.832862183521158</c:v>
                </c:pt>
                <c:pt idx="57">
                  <c:v>99.843179332686518</c:v>
                </c:pt>
                <c:pt idx="58">
                  <c:v>99.756515279697894</c:v>
                </c:pt>
                <c:pt idx="59">
                  <c:v>99.8349256133545</c:v>
                </c:pt>
                <c:pt idx="60">
                  <c:v>99.907145657511904</c:v>
                </c:pt>
                <c:pt idx="61">
                  <c:v>99.985555991168525</c:v>
                </c:pt>
                <c:pt idx="62">
                  <c:v>100.03507830716198</c:v>
                </c:pt>
                <c:pt idx="63">
                  <c:v>100.12380578998408</c:v>
                </c:pt>
                <c:pt idx="64">
                  <c:v>100.20221612364071</c:v>
                </c:pt>
                <c:pt idx="65">
                  <c:v>100.29094360646269</c:v>
                </c:pt>
                <c:pt idx="66">
                  <c:v>100.4003053876153</c:v>
                </c:pt>
                <c:pt idx="67">
                  <c:v>100.40443224728141</c:v>
                </c:pt>
                <c:pt idx="68">
                  <c:v>100.30126075562802</c:v>
                </c:pt>
                <c:pt idx="69">
                  <c:v>100.25586529930052</c:v>
                </c:pt>
                <c:pt idx="70">
                  <c:v>100.17332810597775</c:v>
                </c:pt>
                <c:pt idx="71">
                  <c:v>100.0515857458267</c:v>
                </c:pt>
                <c:pt idx="72">
                  <c:v>99.975238842002923</c:v>
                </c:pt>
                <c:pt idx="73">
                  <c:v>99.962858263004748</c:v>
                </c:pt>
                <c:pt idx="74">
                  <c:v>99.979365701669309</c:v>
                </c:pt>
                <c:pt idx="75">
                  <c:v>99.997936570166928</c:v>
                </c:pt>
                <c:pt idx="76">
                  <c:v>100.01031714916536</c:v>
                </c:pt>
                <c:pt idx="77">
                  <c:v>100.01031714916536</c:v>
                </c:pt>
                <c:pt idx="78">
                  <c:v>100.04333202649414</c:v>
                </c:pt>
                <c:pt idx="79">
                  <c:v>100.02888801766262</c:v>
                </c:pt>
                <c:pt idx="80">
                  <c:v>100.02888801766262</c:v>
                </c:pt>
                <c:pt idx="81">
                  <c:v>100.01031714916533</c:v>
                </c:pt>
                <c:pt idx="82">
                  <c:v>99.954604543672687</c:v>
                </c:pt>
                <c:pt idx="83">
                  <c:v>99.960794833171619</c:v>
                </c:pt>
                <c:pt idx="84">
                  <c:v>99.905082227678818</c:v>
                </c:pt>
                <c:pt idx="85">
                  <c:v>99.898891938179588</c:v>
                </c:pt>
                <c:pt idx="86">
                  <c:v>99.87413078018281</c:v>
                </c:pt>
                <c:pt idx="87">
                  <c:v>99.84111590285373</c:v>
                </c:pt>
                <c:pt idx="88">
                  <c:v>99.723500402368828</c:v>
                </c:pt>
                <c:pt idx="89">
                  <c:v>99.694612384705863</c:v>
                </c:pt>
                <c:pt idx="90">
                  <c:v>99.673978086375158</c:v>
                </c:pt>
                <c:pt idx="91">
                  <c:v>99.640963209046248</c:v>
                </c:pt>
                <c:pt idx="92">
                  <c:v>99.579060314053777</c:v>
                </c:pt>
                <c:pt idx="93">
                  <c:v>99.484142541732865</c:v>
                </c:pt>
                <c:pt idx="94">
                  <c:v>99.459381383735959</c:v>
                </c:pt>
                <c:pt idx="95">
                  <c:v>99.409859067742559</c:v>
                </c:pt>
                <c:pt idx="96">
                  <c:v>99.413985927408532</c:v>
                </c:pt>
                <c:pt idx="97">
                  <c:v>99.395415058910913</c:v>
                </c:pt>
                <c:pt idx="98">
                  <c:v>99.457317953902987</c:v>
                </c:pt>
                <c:pt idx="99">
                  <c:v>99.486205971565923</c:v>
                </c:pt>
                <c:pt idx="100">
                  <c:v>99.482079111899537</c:v>
                </c:pt>
                <c:pt idx="101">
                  <c:v>99.496523120731297</c:v>
                </c:pt>
                <c:pt idx="102">
                  <c:v>99.558426015723171</c:v>
                </c:pt>
                <c:pt idx="103">
                  <c:v>99.572870024554447</c:v>
                </c:pt>
                <c:pt idx="104">
                  <c:v>99.574933454387903</c:v>
                </c:pt>
                <c:pt idx="105">
                  <c:v>99.55636258589027</c:v>
                </c:pt>
                <c:pt idx="106">
                  <c:v>99.585250603553149</c:v>
                </c:pt>
                <c:pt idx="107">
                  <c:v>99.572870024554447</c:v>
                </c:pt>
                <c:pt idx="108">
                  <c:v>99.576996884220918</c:v>
                </c:pt>
                <c:pt idx="109">
                  <c:v>99.471761962734448</c:v>
                </c:pt>
                <c:pt idx="110">
                  <c:v>99.409859067742559</c:v>
                </c:pt>
                <c:pt idx="111">
                  <c:v>99.267482409260666</c:v>
                </c:pt>
                <c:pt idx="112">
                  <c:v>99.156057198274723</c:v>
                </c:pt>
                <c:pt idx="113">
                  <c:v>99.135422899944189</c:v>
                </c:pt>
                <c:pt idx="114">
                  <c:v>99.090027443616762</c:v>
                </c:pt>
                <c:pt idx="115">
                  <c:v>99.125105750778786</c:v>
                </c:pt>
                <c:pt idx="116">
                  <c:v>99.137486329777332</c:v>
                </c:pt>
                <c:pt idx="117">
                  <c:v>99.145740049109548</c:v>
                </c:pt>
                <c:pt idx="118">
                  <c:v>99.135422899944189</c:v>
                </c:pt>
                <c:pt idx="119">
                  <c:v>99.187008645770973</c:v>
                </c:pt>
                <c:pt idx="120">
                  <c:v>99.14161318944366</c:v>
                </c:pt>
                <c:pt idx="121">
                  <c:v>99.162247487774152</c:v>
                </c:pt>
                <c:pt idx="122">
                  <c:v>99.098281162948979</c:v>
                </c:pt>
                <c:pt idx="123">
                  <c:v>99.007490250294012</c:v>
                </c:pt>
                <c:pt idx="124">
                  <c:v>98.947650785135352</c:v>
                </c:pt>
                <c:pt idx="125">
                  <c:v>98.951777644801169</c:v>
                </c:pt>
                <c:pt idx="126">
                  <c:v>98.865113591812445</c:v>
                </c:pt>
                <c:pt idx="127">
                  <c:v>98.819718135484422</c:v>
                </c:pt>
                <c:pt idx="128">
                  <c:v>98.817654705651691</c:v>
                </c:pt>
                <c:pt idx="129">
                  <c:v>98.813527845985561</c:v>
                </c:pt>
                <c:pt idx="130">
                  <c:v>98.772259249324193</c:v>
                </c:pt>
                <c:pt idx="131">
                  <c:v>98.726863792996653</c:v>
                </c:pt>
                <c:pt idx="132">
                  <c:v>98.743371231661158</c:v>
                </c:pt>
                <c:pt idx="133">
                  <c:v>98.759878670325719</c:v>
                </c:pt>
                <c:pt idx="134">
                  <c:v>98.801147266987115</c:v>
                </c:pt>
                <c:pt idx="135">
                  <c:v>98.807337556485962</c:v>
                </c:pt>
                <c:pt idx="136">
                  <c:v>98.803210696820187</c:v>
                </c:pt>
                <c:pt idx="137">
                  <c:v>98.788766687988712</c:v>
                </c:pt>
                <c:pt idx="138">
                  <c:v>98.782576398489184</c:v>
                </c:pt>
                <c:pt idx="139">
                  <c:v>98.766068959824949</c:v>
                </c:pt>
                <c:pt idx="140">
                  <c:v>98.706229494666118</c:v>
                </c:pt>
                <c:pt idx="141">
                  <c:v>98.757815240492661</c:v>
                </c:pt>
                <c:pt idx="142">
                  <c:v>98.75162495099363</c:v>
                </c:pt>
                <c:pt idx="143">
                  <c:v>98.78051296865641</c:v>
                </c:pt>
                <c:pt idx="144">
                  <c:v>98.790830117821457</c:v>
                </c:pt>
                <c:pt idx="145">
                  <c:v>98.784639828322597</c:v>
                </c:pt>
                <c:pt idx="146">
                  <c:v>98.819718135484379</c:v>
                </c:pt>
                <c:pt idx="147">
                  <c:v>98.778449538823125</c:v>
                </c:pt>
                <c:pt idx="148">
                  <c:v>98.786703258155583</c:v>
                </c:pt>
                <c:pt idx="149">
                  <c:v>98.739244371995127</c:v>
                </c:pt>
                <c:pt idx="150">
                  <c:v>98.6876586261683</c:v>
                </c:pt>
                <c:pt idx="151">
                  <c:v>98.749561521160544</c:v>
                </c:pt>
                <c:pt idx="152">
                  <c:v>98.737180942161942</c:v>
                </c:pt>
                <c:pt idx="153">
                  <c:v>98.673214617336811</c:v>
                </c:pt>
                <c:pt idx="154">
                  <c:v>98.749561521160544</c:v>
                </c:pt>
                <c:pt idx="155">
                  <c:v>98.718610073664351</c:v>
                </c:pt>
                <c:pt idx="156">
                  <c:v>98.745434661494244</c:v>
                </c:pt>
                <c:pt idx="157">
                  <c:v>98.745434661494244</c:v>
                </c:pt>
                <c:pt idx="158">
                  <c:v>98.790830117821457</c:v>
                </c:pt>
                <c:pt idx="159">
                  <c:v>98.825908424983666</c:v>
                </c:pt>
                <c:pt idx="160">
                  <c:v>98.836225574149267</c:v>
                </c:pt>
                <c:pt idx="161">
                  <c:v>98.766068959824878</c:v>
                </c:pt>
                <c:pt idx="162">
                  <c:v>98.712419784165334</c:v>
                </c:pt>
                <c:pt idx="163">
                  <c:v>98.722736933330268</c:v>
                </c:pt>
                <c:pt idx="164">
                  <c:v>98.724800363163581</c:v>
                </c:pt>
                <c:pt idx="165">
                  <c:v>98.677341477002841</c:v>
                </c:pt>
                <c:pt idx="166">
                  <c:v>98.691785485834501</c:v>
                </c:pt>
                <c:pt idx="167">
                  <c:v>98.685595196335143</c:v>
                </c:pt>
                <c:pt idx="168">
                  <c:v>98.683531766502071</c:v>
                </c:pt>
                <c:pt idx="169">
                  <c:v>98.664960898004608</c:v>
                </c:pt>
                <c:pt idx="170">
                  <c:v>98.677341477002841</c:v>
                </c:pt>
                <c:pt idx="171">
                  <c:v>98.704166064833117</c:v>
                </c:pt>
                <c:pt idx="172">
                  <c:v>98.685595196335171</c:v>
                </c:pt>
                <c:pt idx="173">
                  <c:v>98.708292924499048</c:v>
                </c:pt>
                <c:pt idx="174">
                  <c:v>98.712419784165377</c:v>
                </c:pt>
                <c:pt idx="175">
                  <c:v>98.710356354332163</c:v>
                </c:pt>
                <c:pt idx="176">
                  <c:v>98.67940490683597</c:v>
                </c:pt>
                <c:pt idx="177">
                  <c:v>98.693848915667559</c:v>
                </c:pt>
                <c:pt idx="178">
                  <c:v>98.607184862678679</c:v>
                </c:pt>
                <c:pt idx="179">
                  <c:v>98.609248292511566</c:v>
                </c:pt>
                <c:pt idx="180">
                  <c:v>98.640199740008015</c:v>
                </c:pt>
                <c:pt idx="181">
                  <c:v>98.638136310174517</c:v>
                </c:pt>
                <c:pt idx="182">
                  <c:v>98.697975775333774</c:v>
                </c:pt>
                <c:pt idx="183">
                  <c:v>98.716546643831393</c:v>
                </c:pt>
                <c:pt idx="184">
                  <c:v>98.640199740008029</c:v>
                </c:pt>
                <c:pt idx="185">
                  <c:v>98.687658626168457</c:v>
                </c:pt>
                <c:pt idx="186">
                  <c:v>98.710356354332191</c:v>
                </c:pt>
                <c:pt idx="187">
                  <c:v>98.724800363163652</c:v>
                </c:pt>
                <c:pt idx="188">
                  <c:v>98.78670325815574</c:v>
                </c:pt>
                <c:pt idx="189">
                  <c:v>98.827971854817079</c:v>
                </c:pt>
                <c:pt idx="190">
                  <c:v>98.953841074634084</c:v>
                </c:pt>
                <c:pt idx="191">
                  <c:v>99.090027443616776</c:v>
                </c:pt>
                <c:pt idx="192">
                  <c:v>99.110661741947681</c:v>
                </c:pt>
                <c:pt idx="193">
                  <c:v>99.248911540763061</c:v>
                </c:pt>
                <c:pt idx="194">
                  <c:v>99.317004725254307</c:v>
                </c:pt>
                <c:pt idx="195">
                  <c:v>99.323195014753267</c:v>
                </c:pt>
                <c:pt idx="196">
                  <c:v>99.35414646224956</c:v>
                </c:pt>
                <c:pt idx="197">
                  <c:v>99.4016053484103</c:v>
                </c:pt>
                <c:pt idx="198">
                  <c:v>99.442873945071526</c:v>
                </c:pt>
                <c:pt idx="199">
                  <c:v>99.508903699729686</c:v>
                </c:pt>
                <c:pt idx="200">
                  <c:v>99.525411138394006</c:v>
                </c:pt>
                <c:pt idx="201">
                  <c:v>99.515093989229058</c:v>
                </c:pt>
                <c:pt idx="202">
                  <c:v>99.506840269896642</c:v>
                </c:pt>
                <c:pt idx="203">
                  <c:v>99.506840269896642</c:v>
                </c:pt>
                <c:pt idx="204">
                  <c:v>99.531601427893463</c:v>
                </c:pt>
                <c:pt idx="205">
                  <c:v>99.636836349379948</c:v>
                </c:pt>
                <c:pt idx="206">
                  <c:v>99.676041516208016</c:v>
                </c:pt>
                <c:pt idx="207">
                  <c:v>99.867940490683608</c:v>
                </c:pt>
                <c:pt idx="208">
                  <c:v>99.946350824340371</c:v>
                </c:pt>
                <c:pt idx="209">
                  <c:v>100.10936178115266</c:v>
                </c:pt>
                <c:pt idx="210">
                  <c:v>100.22904071147065</c:v>
                </c:pt>
                <c:pt idx="211">
                  <c:v>100.32808534345767</c:v>
                </c:pt>
                <c:pt idx="212">
                  <c:v>100.55093576542923</c:v>
                </c:pt>
                <c:pt idx="213">
                  <c:v>100.54887233559602</c:v>
                </c:pt>
                <c:pt idx="214">
                  <c:v>100.60664837092207</c:v>
                </c:pt>
                <c:pt idx="215">
                  <c:v>100.70156614324351</c:v>
                </c:pt>
                <c:pt idx="216">
                  <c:v>100.69124899407809</c:v>
                </c:pt>
                <c:pt idx="217">
                  <c:v>100.57569692342599</c:v>
                </c:pt>
                <c:pt idx="218">
                  <c:v>100.4436374141098</c:v>
                </c:pt>
                <c:pt idx="219">
                  <c:v>100.03095144749608</c:v>
                </c:pt>
                <c:pt idx="220">
                  <c:v>99.799847306192419</c:v>
                </c:pt>
                <c:pt idx="221">
                  <c:v>99.818418174689754</c:v>
                </c:pt>
                <c:pt idx="222">
                  <c:v>99.841115902853801</c:v>
                </c:pt>
                <c:pt idx="223">
                  <c:v>99.867940490683651</c:v>
                </c:pt>
                <c:pt idx="224">
                  <c:v>99.905082227678889</c:v>
                </c:pt>
                <c:pt idx="225">
                  <c:v>99.913335947011163</c:v>
                </c:pt>
                <c:pt idx="226">
                  <c:v>99.938097105007984</c:v>
                </c:pt>
                <c:pt idx="227">
                  <c:v>99.931906815508782</c:v>
                </c:pt>
                <c:pt idx="228">
                  <c:v>99.913335947011163</c:v>
                </c:pt>
                <c:pt idx="229">
                  <c:v>99.940160534841127</c:v>
                </c:pt>
                <c:pt idx="230">
                  <c:v>100.00619028949926</c:v>
                </c:pt>
                <c:pt idx="231">
                  <c:v>100.06809318449125</c:v>
                </c:pt>
                <c:pt idx="232">
                  <c:v>100.14444008831489</c:v>
                </c:pt>
                <c:pt idx="233">
                  <c:v>100.12793264965028</c:v>
                </c:pt>
                <c:pt idx="234">
                  <c:v>100.02476115799664</c:v>
                </c:pt>
                <c:pt idx="235">
                  <c:v>99.892701648680458</c:v>
                </c:pt>
                <c:pt idx="236">
                  <c:v>99.777149578028656</c:v>
                </c:pt>
                <c:pt idx="237">
                  <c:v>99.610011761550098</c:v>
                </c:pt>
                <c:pt idx="238">
                  <c:v>99.531601427893492</c:v>
                </c:pt>
                <c:pt idx="239">
                  <c:v>99.500649980397711</c:v>
                </c:pt>
                <c:pt idx="240">
                  <c:v>99.475888822400279</c:v>
                </c:pt>
                <c:pt idx="241">
                  <c:v>99.362400181581648</c:v>
                </c:pt>
                <c:pt idx="242">
                  <c:v>99.288116707591286</c:v>
                </c:pt>
                <c:pt idx="243">
                  <c:v>99.158120628108122</c:v>
                </c:pt>
                <c:pt idx="244">
                  <c:v>99.339702453417999</c:v>
                </c:pt>
                <c:pt idx="245">
                  <c:v>99.451127664403927</c:v>
                </c:pt>
                <c:pt idx="246">
                  <c:v>99.521284278728203</c:v>
                </c:pt>
                <c:pt idx="247">
                  <c:v>99.698739244372106</c:v>
                </c:pt>
                <c:pt idx="248">
                  <c:v>99.890638218847485</c:v>
                </c:pt>
                <c:pt idx="249">
                  <c:v>100.06190289499216</c:v>
                </c:pt>
                <c:pt idx="250">
                  <c:v>100.05777603532589</c:v>
                </c:pt>
                <c:pt idx="251">
                  <c:v>100.02476115799666</c:v>
                </c:pt>
                <c:pt idx="252">
                  <c:v>99.933970245341925</c:v>
                </c:pt>
                <c:pt idx="253">
                  <c:v>99.76889585869624</c:v>
                </c:pt>
                <c:pt idx="254">
                  <c:v>99.70699296370438</c:v>
                </c:pt>
                <c:pt idx="255">
                  <c:v>99.665724367042998</c:v>
                </c:pt>
                <c:pt idx="256">
                  <c:v>99.661597507376868</c:v>
                </c:pt>
                <c:pt idx="257">
                  <c:v>99.599694612384809</c:v>
                </c:pt>
                <c:pt idx="258">
                  <c:v>99.449064234570827</c:v>
                </c:pt>
                <c:pt idx="259">
                  <c:v>99.383034479912624</c:v>
                </c:pt>
                <c:pt idx="260">
                  <c:v>99.286053277758398</c:v>
                </c:pt>
                <c:pt idx="261">
                  <c:v>99.203516084435662</c:v>
                </c:pt>
                <c:pt idx="262">
                  <c:v>99.178754926438543</c:v>
                </c:pt>
                <c:pt idx="263">
                  <c:v>99.168437777273297</c:v>
                </c:pt>
                <c:pt idx="264">
                  <c:v>99.178754926438543</c:v>
                </c:pt>
                <c:pt idx="265">
                  <c:v>99.174628066772698</c:v>
                </c:pt>
                <c:pt idx="266">
                  <c:v>99.211769803767936</c:v>
                </c:pt>
                <c:pt idx="267">
                  <c:v>99.246848110930088</c:v>
                </c:pt>
                <c:pt idx="268">
                  <c:v>99.259228689928676</c:v>
                </c:pt>
                <c:pt idx="269">
                  <c:v>99.370653900914192</c:v>
                </c:pt>
                <c:pt idx="270">
                  <c:v>99.453191094236956</c:v>
                </c:pt>
                <c:pt idx="271">
                  <c:v>99.529537998060448</c:v>
                </c:pt>
                <c:pt idx="272">
                  <c:v>99.428429936240136</c:v>
                </c:pt>
                <c:pt idx="273">
                  <c:v>99.686358665373703</c:v>
                </c:pt>
                <c:pt idx="274">
                  <c:v>99.574933454388002</c:v>
                </c:pt>
                <c:pt idx="275">
                  <c:v>99.535728287559436</c:v>
                </c:pt>
                <c:pt idx="276">
                  <c:v>99.376844190413195</c:v>
                </c:pt>
                <c:pt idx="277">
                  <c:v>99.312877865588064</c:v>
                </c:pt>
                <c:pt idx="278">
                  <c:v>99.238594391597829</c:v>
                </c:pt>
                <c:pt idx="279">
                  <c:v>99.211769803767965</c:v>
                </c:pt>
                <c:pt idx="280">
                  <c:v>99.164310917607352</c:v>
                </c:pt>
                <c:pt idx="281">
                  <c:v>99.139549759610546</c:v>
                </c:pt>
                <c:pt idx="282">
                  <c:v>99.162247487774309</c:v>
                </c:pt>
                <c:pt idx="283">
                  <c:v>99.174628066772712</c:v>
                </c:pt>
                <c:pt idx="284">
                  <c:v>99.217960093267379</c:v>
                </c:pt>
                <c:pt idx="285">
                  <c:v>99.248911540763146</c:v>
                </c:pt>
                <c:pt idx="286">
                  <c:v>99.211769803767922</c:v>
                </c:pt>
                <c:pt idx="287">
                  <c:v>99.2385943915978</c:v>
                </c:pt>
                <c:pt idx="288">
                  <c:v>99.209706373934594</c:v>
                </c:pt>
                <c:pt idx="289">
                  <c:v>99.207642944101792</c:v>
                </c:pt>
                <c:pt idx="290">
                  <c:v>99.176691496605585</c:v>
                </c:pt>
                <c:pt idx="291">
                  <c:v>99.19526236510336</c:v>
                </c:pt>
                <c:pt idx="292">
                  <c:v>99.193198935270303</c:v>
                </c:pt>
                <c:pt idx="293">
                  <c:v>99.149866908775863</c:v>
                </c:pt>
                <c:pt idx="294">
                  <c:v>99.116852031446598</c:v>
                </c:pt>
                <c:pt idx="295">
                  <c:v>99.129232610445158</c:v>
                </c:pt>
                <c:pt idx="296">
                  <c:v>99.114788601613711</c:v>
                </c:pt>
                <c:pt idx="297">
                  <c:v>99.125105750778914</c:v>
                </c:pt>
                <c:pt idx="298">
                  <c:v>99.102408022615066</c:v>
                </c:pt>
                <c:pt idx="299">
                  <c:v>99.061139425953996</c:v>
                </c:pt>
                <c:pt idx="300">
                  <c:v>99.098281162949149</c:v>
                </c:pt>
                <c:pt idx="301">
                  <c:v>99.057012566287781</c:v>
                </c:pt>
                <c:pt idx="302">
                  <c:v>99.079710294451317</c:v>
                </c:pt>
                <c:pt idx="303">
                  <c:v>99.13335947011133</c:v>
                </c:pt>
                <c:pt idx="304">
                  <c:v>99.100344592781951</c:v>
                </c:pt>
                <c:pt idx="305">
                  <c:v>99.090027443616876</c:v>
                </c:pt>
                <c:pt idx="306">
                  <c:v>99.090027443616876</c:v>
                </c:pt>
                <c:pt idx="307">
                  <c:v>99.057012566287781</c:v>
                </c:pt>
                <c:pt idx="308">
                  <c:v>99.092090873449706</c:v>
                </c:pt>
                <c:pt idx="309">
                  <c:v>99.102408022615037</c:v>
                </c:pt>
                <c:pt idx="310">
                  <c:v>99.087964013783719</c:v>
                </c:pt>
                <c:pt idx="311">
                  <c:v>99.139549759610503</c:v>
                </c:pt>
                <c:pt idx="312">
                  <c:v>99.197325794936432</c:v>
                </c:pt>
                <c:pt idx="313">
                  <c:v>99.226213812599227</c:v>
                </c:pt>
                <c:pt idx="314">
                  <c:v>99.407795637909416</c:v>
                </c:pt>
                <c:pt idx="315">
                  <c:v>99.688422095206718</c:v>
                </c:pt>
                <c:pt idx="316">
                  <c:v>99.812227885190836</c:v>
                </c:pt>
                <c:pt idx="317">
                  <c:v>99.647153498545549</c:v>
                </c:pt>
                <c:pt idx="318">
                  <c:v>99.531601427893534</c:v>
                </c:pt>
                <c:pt idx="319">
                  <c:v>99.413985927408632</c:v>
                </c:pt>
                <c:pt idx="320">
                  <c:v>99.248911540763146</c:v>
                </c:pt>
                <c:pt idx="321">
                  <c:v>99.083837154117589</c:v>
                </c:pt>
                <c:pt idx="322">
                  <c:v>99.081773724284588</c:v>
                </c:pt>
                <c:pt idx="323">
                  <c:v>99.071456575119242</c:v>
                </c:pt>
                <c:pt idx="324">
                  <c:v>99.139549759610503</c:v>
                </c:pt>
                <c:pt idx="325">
                  <c:v>99.449064234570827</c:v>
                </c:pt>
                <c:pt idx="326">
                  <c:v>99.729690691868257</c:v>
                </c:pt>
                <c:pt idx="327">
                  <c:v>99.723500402368913</c:v>
                </c:pt>
                <c:pt idx="328">
                  <c:v>100.01650743866458</c:v>
                </c:pt>
                <c:pt idx="329">
                  <c:v>100.02476115799666</c:v>
                </c:pt>
                <c:pt idx="330">
                  <c:v>100.15269380764715</c:v>
                </c:pt>
                <c:pt idx="331">
                  <c:v>100.32189505395864</c:v>
                </c:pt>
                <c:pt idx="332">
                  <c:v>100.42300311577914</c:v>
                </c:pt>
                <c:pt idx="333">
                  <c:v>100.39824195778228</c:v>
                </c:pt>
                <c:pt idx="334">
                  <c:v>100.29507046612888</c:v>
                </c:pt>
                <c:pt idx="335">
                  <c:v>100.13824979881569</c:v>
                </c:pt>
                <c:pt idx="336">
                  <c:v>99.985555991168624</c:v>
                </c:pt>
                <c:pt idx="337">
                  <c:v>99.834925613354628</c:v>
                </c:pt>
                <c:pt idx="338">
                  <c:v>99.737944411200587</c:v>
                </c:pt>
                <c:pt idx="339">
                  <c:v>99.717310112869541</c:v>
                </c:pt>
                <c:pt idx="340">
                  <c:v>99.669851226708985</c:v>
                </c:pt>
                <c:pt idx="341">
                  <c:v>99.595567752718679</c:v>
                </c:pt>
                <c:pt idx="342">
                  <c:v>99.556362585890383</c:v>
                </c:pt>
                <c:pt idx="343">
                  <c:v>99.591440893052479</c:v>
                </c:pt>
                <c:pt idx="344">
                  <c:v>99.614138621216327</c:v>
                </c:pt>
                <c:pt idx="345">
                  <c:v>99.659534077543626</c:v>
                </c:pt>
                <c:pt idx="346">
                  <c:v>99.628582630047788</c:v>
                </c:pt>
                <c:pt idx="347">
                  <c:v>99.562552875389457</c:v>
                </c:pt>
                <c:pt idx="348">
                  <c:v>99.634772919547018</c:v>
                </c:pt>
                <c:pt idx="349">
                  <c:v>99.643026638879277</c:v>
                </c:pt>
                <c:pt idx="350">
                  <c:v>99.667787796875956</c:v>
                </c:pt>
                <c:pt idx="351">
                  <c:v>99.725563832202042</c:v>
                </c:pt>
                <c:pt idx="352">
                  <c:v>99.764768999030366</c:v>
                </c:pt>
                <c:pt idx="353">
                  <c:v>99.709056393537509</c:v>
                </c:pt>
                <c:pt idx="354">
                  <c:v>99.692548954872919</c:v>
                </c:pt>
                <c:pt idx="355">
                  <c:v>99.63270948971396</c:v>
                </c:pt>
                <c:pt idx="356">
                  <c:v>99.597631182551538</c:v>
                </c:pt>
                <c:pt idx="357">
                  <c:v>99.607948331717111</c:v>
                </c:pt>
                <c:pt idx="358">
                  <c:v>99.597631182551538</c:v>
                </c:pt>
                <c:pt idx="359">
                  <c:v>99.579060314053905</c:v>
                </c:pt>
                <c:pt idx="360">
                  <c:v>99.510967129562886</c:v>
                </c:pt>
                <c:pt idx="361">
                  <c:v>99.461444813569159</c:v>
                </c:pt>
                <c:pt idx="362">
                  <c:v>99.498586550564283</c:v>
                </c:pt>
                <c:pt idx="363">
                  <c:v>99.496523120731396</c:v>
                </c:pt>
                <c:pt idx="364">
                  <c:v>99.527474568227404</c:v>
                </c:pt>
                <c:pt idx="365">
                  <c:v>99.504776840063499</c:v>
                </c:pt>
                <c:pt idx="366">
                  <c:v>99.473825392567619</c:v>
                </c:pt>
                <c:pt idx="367">
                  <c:v>99.471761962734519</c:v>
                </c:pt>
                <c:pt idx="368">
                  <c:v>99.506840269896728</c:v>
                </c:pt>
                <c:pt idx="369">
                  <c:v>99.558426015723285</c:v>
                </c:pt>
                <c:pt idx="370">
                  <c:v>99.601758042217881</c:v>
                </c:pt>
                <c:pt idx="371">
                  <c:v>99.653343788044609</c:v>
                </c:pt>
                <c:pt idx="372">
                  <c:v>99.698739244372121</c:v>
                </c:pt>
                <c:pt idx="373">
                  <c:v>99.583187173720034</c:v>
                </c:pt>
                <c:pt idx="374">
                  <c:v>99.50684026989677</c:v>
                </c:pt>
                <c:pt idx="375">
                  <c:v>99.504776840063542</c:v>
                </c:pt>
                <c:pt idx="376">
                  <c:v>99.352083032416374</c:v>
                </c:pt>
                <c:pt idx="377">
                  <c:v>99.286053277758441</c:v>
                </c:pt>
                <c:pt idx="378">
                  <c:v>99.209706373934665</c:v>
                </c:pt>
                <c:pt idx="379">
                  <c:v>99.120978891112799</c:v>
                </c:pt>
                <c:pt idx="380">
                  <c:v>99.106534882281238</c:v>
                </c:pt>
                <c:pt idx="381">
                  <c:v>99.16843777727334</c:v>
                </c:pt>
                <c:pt idx="382">
                  <c:v>99.172564636939498</c:v>
                </c:pt>
                <c:pt idx="383">
                  <c:v>99.250974970596289</c:v>
                </c:pt>
                <c:pt idx="384">
                  <c:v>99.211769803767993</c:v>
                </c:pt>
                <c:pt idx="385">
                  <c:v>99.226213812599269</c:v>
                </c:pt>
                <c:pt idx="386">
                  <c:v>99.253038400429105</c:v>
                </c:pt>
                <c:pt idx="387">
                  <c:v>99.228277242432341</c:v>
                </c:pt>
                <c:pt idx="388">
                  <c:v>99.213833233601008</c:v>
                </c:pt>
                <c:pt idx="389">
                  <c:v>99.240657821430943</c:v>
                </c:pt>
                <c:pt idx="390">
                  <c:v>99.240657821430943</c:v>
                </c:pt>
                <c:pt idx="391">
                  <c:v>99.283989847925383</c:v>
                </c:pt>
                <c:pt idx="392">
                  <c:v>99.308751005922218</c:v>
                </c:pt>
                <c:pt idx="393">
                  <c:v>99.35414646224973</c:v>
                </c:pt>
                <c:pt idx="394">
                  <c:v>99.393351629078026</c:v>
                </c:pt>
                <c:pt idx="395">
                  <c:v>99.41192249757583</c:v>
                </c:pt>
                <c:pt idx="396">
                  <c:v>99.418112787074861</c:v>
                </c:pt>
                <c:pt idx="397">
                  <c:v>99.490332831232251</c:v>
                </c:pt>
                <c:pt idx="398">
                  <c:v>99.587314033386448</c:v>
                </c:pt>
                <c:pt idx="399">
                  <c:v>99.669851226709042</c:v>
                </c:pt>
                <c:pt idx="400">
                  <c:v>99.667787796875956</c:v>
                </c:pt>
                <c:pt idx="401">
                  <c:v>99.692548954872919</c:v>
                </c:pt>
                <c:pt idx="402">
                  <c:v>99.692548954872919</c:v>
                </c:pt>
                <c:pt idx="403">
                  <c:v>99.684295235540674</c:v>
                </c:pt>
                <c:pt idx="404">
                  <c:v>99.614138621216426</c:v>
                </c:pt>
                <c:pt idx="405">
                  <c:v>99.643026638879306</c:v>
                </c:pt>
                <c:pt idx="406">
                  <c:v>99.636836349380118</c:v>
                </c:pt>
                <c:pt idx="407">
                  <c:v>99.64509006871242</c:v>
                </c:pt>
                <c:pt idx="408">
                  <c:v>99.624455770381658</c:v>
                </c:pt>
                <c:pt idx="409">
                  <c:v>99.607948331717182</c:v>
                </c:pt>
                <c:pt idx="410">
                  <c:v>99.581123743887474</c:v>
                </c:pt>
                <c:pt idx="411">
                  <c:v>99.614138621216426</c:v>
                </c:pt>
                <c:pt idx="412">
                  <c:v>99.678104946041458</c:v>
                </c:pt>
                <c:pt idx="413">
                  <c:v>99.742071270866589</c:v>
                </c:pt>
                <c:pt idx="414">
                  <c:v>99.814291315024008</c:v>
                </c:pt>
                <c:pt idx="415">
                  <c:v>99.890638218847556</c:v>
                </c:pt>
                <c:pt idx="416">
                  <c:v>99.977302271836379</c:v>
                </c:pt>
                <c:pt idx="417">
                  <c:v>100.01238057899855</c:v>
                </c:pt>
                <c:pt idx="418">
                  <c:v>100.06602975465839</c:v>
                </c:pt>
                <c:pt idx="419">
                  <c:v>100.1609475269794</c:v>
                </c:pt>
                <c:pt idx="420">
                  <c:v>100.15269380764727</c:v>
                </c:pt>
                <c:pt idx="421">
                  <c:v>100.12999607948326</c:v>
                </c:pt>
                <c:pt idx="422">
                  <c:v>100.09491777232135</c:v>
                </c:pt>
                <c:pt idx="423">
                  <c:v>100.10936178115284</c:v>
                </c:pt>
                <c:pt idx="424">
                  <c:v>99.946350824340527</c:v>
                </c:pt>
                <c:pt idx="425">
                  <c:v>99.791593586860444</c:v>
                </c:pt>
                <c:pt idx="426">
                  <c:v>99.548108866557953</c:v>
                </c:pt>
                <c:pt idx="427">
                  <c:v>99.513030559396029</c:v>
                </c:pt>
                <c:pt idx="428">
                  <c:v>99.387161339578853</c:v>
                </c:pt>
                <c:pt idx="429">
                  <c:v>99.387161339578853</c:v>
                </c:pt>
                <c:pt idx="430">
                  <c:v>99.508903699729885</c:v>
                </c:pt>
                <c:pt idx="431">
                  <c:v>99.603821472050797</c:v>
                </c:pt>
                <c:pt idx="432">
                  <c:v>99.72143697253577</c:v>
                </c:pt>
                <c:pt idx="433">
                  <c:v>99.758578709530937</c:v>
                </c:pt>
                <c:pt idx="434">
                  <c:v>99.923653096176665</c:v>
                </c:pt>
                <c:pt idx="435">
                  <c:v>100.08872748282214</c:v>
                </c:pt>
                <c:pt idx="436">
                  <c:v>100.18158182531022</c:v>
                </c:pt>
                <c:pt idx="437">
                  <c:v>100.28062645729766</c:v>
                </c:pt>
                <c:pt idx="438">
                  <c:v>100.28062645729766</c:v>
                </c:pt>
                <c:pt idx="439">
                  <c:v>100.204279553474</c:v>
                </c:pt>
                <c:pt idx="440">
                  <c:v>100.13412293914966</c:v>
                </c:pt>
                <c:pt idx="441">
                  <c:v>99.987619421002051</c:v>
                </c:pt>
                <c:pt idx="442">
                  <c:v>99.849369622186202</c:v>
                </c:pt>
                <c:pt idx="443">
                  <c:v>99.762705569197337</c:v>
                </c:pt>
                <c:pt idx="444">
                  <c:v>99.828735323855227</c:v>
                </c:pt>
                <c:pt idx="445">
                  <c:v>99.896828508346786</c:v>
                </c:pt>
                <c:pt idx="446">
                  <c:v>99.94222396467454</c:v>
                </c:pt>
                <c:pt idx="447">
                  <c:v>100.00825371933261</c:v>
                </c:pt>
                <c:pt idx="448">
                  <c:v>100.10936178115284</c:v>
                </c:pt>
                <c:pt idx="449">
                  <c:v>100.27030930813217</c:v>
                </c:pt>
                <c:pt idx="450">
                  <c:v>100.24142129046922</c:v>
                </c:pt>
                <c:pt idx="451">
                  <c:v>100.27649959763123</c:v>
                </c:pt>
                <c:pt idx="452">
                  <c:v>100.28062645729764</c:v>
                </c:pt>
                <c:pt idx="453">
                  <c:v>100.33221220312407</c:v>
                </c:pt>
                <c:pt idx="454">
                  <c:v>100.39617852794925</c:v>
                </c:pt>
                <c:pt idx="455">
                  <c:v>100.45808142294138</c:v>
                </c:pt>
                <c:pt idx="456">
                  <c:v>100.52204774776627</c:v>
                </c:pt>
                <c:pt idx="457">
                  <c:v>100.59633122175683</c:v>
                </c:pt>
                <c:pt idx="458">
                  <c:v>100.67061469574762</c:v>
                </c:pt>
                <c:pt idx="459">
                  <c:v>100.62521923941991</c:v>
                </c:pt>
                <c:pt idx="460">
                  <c:v>100.65823411674874</c:v>
                </c:pt>
                <c:pt idx="461">
                  <c:v>100.68505870457867</c:v>
                </c:pt>
                <c:pt idx="462">
                  <c:v>100.81299135422904</c:v>
                </c:pt>
                <c:pt idx="463">
                  <c:v>100.83568908239296</c:v>
                </c:pt>
                <c:pt idx="464">
                  <c:v>100.68712213441201</c:v>
                </c:pt>
                <c:pt idx="465">
                  <c:v>100.54474547593043</c:v>
                </c:pt>
                <c:pt idx="466">
                  <c:v>100.22491385180467</c:v>
                </c:pt>
                <c:pt idx="467">
                  <c:v>100.09491777232134</c:v>
                </c:pt>
                <c:pt idx="468">
                  <c:v>100.01444400883167</c:v>
                </c:pt>
                <c:pt idx="469">
                  <c:v>99.929843385675866</c:v>
                </c:pt>
                <c:pt idx="470">
                  <c:v>99.923653096176665</c:v>
                </c:pt>
                <c:pt idx="471">
                  <c:v>99.966985122671048</c:v>
                </c:pt>
                <c:pt idx="472">
                  <c:v>100.01238057899855</c:v>
                </c:pt>
                <c:pt idx="473">
                  <c:v>100.09285434248812</c:v>
                </c:pt>
                <c:pt idx="474">
                  <c:v>100.08666405298908</c:v>
                </c:pt>
                <c:pt idx="475">
                  <c:v>100.09491777232137</c:v>
                </c:pt>
                <c:pt idx="476">
                  <c:v>100.12380578998435</c:v>
                </c:pt>
                <c:pt idx="477">
                  <c:v>100.08872748282218</c:v>
                </c:pt>
                <c:pt idx="478">
                  <c:v>100.11761550048513</c:v>
                </c:pt>
                <c:pt idx="479">
                  <c:v>100.10110806182058</c:v>
                </c:pt>
                <c:pt idx="480">
                  <c:v>100.12999607948329</c:v>
                </c:pt>
                <c:pt idx="481">
                  <c:v>100.07428347399069</c:v>
                </c:pt>
                <c:pt idx="482">
                  <c:v>100.10317149165351</c:v>
                </c:pt>
                <c:pt idx="483">
                  <c:v>100.13412293914969</c:v>
                </c:pt>
                <c:pt idx="484">
                  <c:v>100.1011080618206</c:v>
                </c:pt>
                <c:pt idx="485">
                  <c:v>100.12380578998435</c:v>
                </c:pt>
                <c:pt idx="486">
                  <c:v>100.0495223159939</c:v>
                </c:pt>
                <c:pt idx="487">
                  <c:v>100.01444400883173</c:v>
                </c:pt>
                <c:pt idx="488">
                  <c:v>100.01857086849785</c:v>
                </c:pt>
                <c:pt idx="489">
                  <c:v>99.983492561335694</c:v>
                </c:pt>
                <c:pt idx="490">
                  <c:v>99.979365701669508</c:v>
                </c:pt>
                <c:pt idx="491">
                  <c:v>99.933970245342266</c:v>
                </c:pt>
                <c:pt idx="492">
                  <c:v>99.874130780183009</c:v>
                </c:pt>
                <c:pt idx="493">
                  <c:v>99.870003920516908</c:v>
                </c:pt>
                <c:pt idx="494">
                  <c:v>99.830798753688285</c:v>
                </c:pt>
                <c:pt idx="495">
                  <c:v>99.820481604523025</c:v>
                </c:pt>
                <c:pt idx="496">
                  <c:v>99.818418174689924</c:v>
                </c:pt>
                <c:pt idx="497">
                  <c:v>99.946350824340527</c:v>
                </c:pt>
                <c:pt idx="498">
                  <c:v>100.03301487732931</c:v>
                </c:pt>
                <c:pt idx="499">
                  <c:v>100.18364525514333</c:v>
                </c:pt>
                <c:pt idx="500">
                  <c:v>100.27856302746436</c:v>
                </c:pt>
                <c:pt idx="501">
                  <c:v>100.36729051028645</c:v>
                </c:pt>
                <c:pt idx="502">
                  <c:v>100.41268596661399</c:v>
                </c:pt>
                <c:pt idx="503">
                  <c:v>100.40236881744841</c:v>
                </c:pt>
                <c:pt idx="504">
                  <c:v>100.24348472030255</c:v>
                </c:pt>
                <c:pt idx="505">
                  <c:v>100.16301095681268</c:v>
                </c:pt>
                <c:pt idx="506">
                  <c:v>100.09904463198762</c:v>
                </c:pt>
                <c:pt idx="507">
                  <c:v>100.11142521098596</c:v>
                </c:pt>
                <c:pt idx="508">
                  <c:v>100.11348864081903</c:v>
                </c:pt>
                <c:pt idx="509">
                  <c:v>100.23729443080329</c:v>
                </c:pt>
                <c:pt idx="510">
                  <c:v>100.23110414130406</c:v>
                </c:pt>
                <c:pt idx="511">
                  <c:v>100.39411509811649</c:v>
                </c:pt>
                <c:pt idx="512">
                  <c:v>100.37554422961871</c:v>
                </c:pt>
                <c:pt idx="513">
                  <c:v>100.48490601077134</c:v>
                </c:pt>
                <c:pt idx="514">
                  <c:v>100.50347687926885</c:v>
                </c:pt>
                <c:pt idx="515">
                  <c:v>100.57982378309246</c:v>
                </c:pt>
                <c:pt idx="516">
                  <c:v>100.62315580958663</c:v>
                </c:pt>
                <c:pt idx="517">
                  <c:v>100.74902502940409</c:v>
                </c:pt>
                <c:pt idx="518">
                  <c:v>100.8377525122258</c:v>
                </c:pt>
                <c:pt idx="519">
                  <c:v>100.9409240038796</c:v>
                </c:pt>
                <c:pt idx="520">
                  <c:v>101.07711037286182</c:v>
                </c:pt>
                <c:pt idx="521">
                  <c:v>101.02965148670141</c:v>
                </c:pt>
                <c:pt idx="522">
                  <c:v>100.87076738955501</c:v>
                </c:pt>
                <c:pt idx="523">
                  <c:v>100.69331242391127</c:v>
                </c:pt>
                <c:pt idx="524">
                  <c:v>100.5942677919241</c:v>
                </c:pt>
                <c:pt idx="525">
                  <c:v>100.57776035325919</c:v>
                </c:pt>
                <c:pt idx="526">
                  <c:v>100.59220436209087</c:v>
                </c:pt>
                <c:pt idx="527">
                  <c:v>100.6107752305882</c:v>
                </c:pt>
                <c:pt idx="528">
                  <c:v>100.70981986257576</c:v>
                </c:pt>
                <c:pt idx="529">
                  <c:v>100.84187937189213</c:v>
                </c:pt>
                <c:pt idx="530">
                  <c:v>100.86664052988895</c:v>
                </c:pt>
                <c:pt idx="531">
                  <c:v>100.88727482821963</c:v>
                </c:pt>
                <c:pt idx="532">
                  <c:v>100.98012917070785</c:v>
                </c:pt>
                <c:pt idx="533">
                  <c:v>101.0502857850322</c:v>
                </c:pt>
                <c:pt idx="534">
                  <c:v>101.14520355735318</c:v>
                </c:pt>
                <c:pt idx="535">
                  <c:v>101.24837504900661</c:v>
                </c:pt>
                <c:pt idx="536">
                  <c:v>101.23186761034231</c:v>
                </c:pt>
                <c:pt idx="537">
                  <c:v>101.05853950436428</c:v>
                </c:pt>
                <c:pt idx="538">
                  <c:v>100.9182262757159</c:v>
                </c:pt>
                <c:pt idx="539">
                  <c:v>100.812991354229</c:v>
                </c:pt>
                <c:pt idx="540">
                  <c:v>100.71394672224183</c:v>
                </c:pt>
                <c:pt idx="541">
                  <c:v>100.56125291459475</c:v>
                </c:pt>
                <c:pt idx="542">
                  <c:v>100.43744712461066</c:v>
                </c:pt>
                <c:pt idx="543">
                  <c:v>100.41268596661386</c:v>
                </c:pt>
                <c:pt idx="544">
                  <c:v>100.38998823844983</c:v>
                </c:pt>
                <c:pt idx="545">
                  <c:v>100.33840249262313</c:v>
                </c:pt>
                <c:pt idx="546">
                  <c:v>100.26411901863302</c:v>
                </c:pt>
                <c:pt idx="547">
                  <c:v>100.30332418546124</c:v>
                </c:pt>
                <c:pt idx="548">
                  <c:v>100.25380186946758</c:v>
                </c:pt>
                <c:pt idx="549">
                  <c:v>100.27856302746426</c:v>
                </c:pt>
                <c:pt idx="550">
                  <c:v>100.31364133462638</c:v>
                </c:pt>
                <c:pt idx="551">
                  <c:v>100.34665621195569</c:v>
                </c:pt>
                <c:pt idx="552">
                  <c:v>100.34665621195569</c:v>
                </c:pt>
                <c:pt idx="553">
                  <c:v>100.37348079978541</c:v>
                </c:pt>
                <c:pt idx="554">
                  <c:v>100.36935394011942</c:v>
                </c:pt>
                <c:pt idx="555">
                  <c:v>100.37967108928463</c:v>
                </c:pt>
                <c:pt idx="556">
                  <c:v>100.45808142294135</c:v>
                </c:pt>
                <c:pt idx="557">
                  <c:v>100.54887233559609</c:v>
                </c:pt>
                <c:pt idx="558">
                  <c:v>100.57569692342604</c:v>
                </c:pt>
                <c:pt idx="559">
                  <c:v>100.55506262509557</c:v>
                </c:pt>
                <c:pt idx="560">
                  <c:v>100.39411509811639</c:v>
                </c:pt>
                <c:pt idx="561">
                  <c:v>100.24761157996861</c:v>
                </c:pt>
                <c:pt idx="562">
                  <c:v>100.07841033365642</c:v>
                </c:pt>
                <c:pt idx="563">
                  <c:v>100.08047376348956</c:v>
                </c:pt>
                <c:pt idx="564">
                  <c:v>100.02476115799674</c:v>
                </c:pt>
                <c:pt idx="565">
                  <c:v>99.938097105008083</c:v>
                </c:pt>
                <c:pt idx="566">
                  <c:v>99.746198130532719</c:v>
                </c:pt>
                <c:pt idx="567">
                  <c:v>99.63270948971396</c:v>
                </c:pt>
                <c:pt idx="568">
                  <c:v>99.52128427872826</c:v>
                </c:pt>
                <c:pt idx="569">
                  <c:v>99.453191094237027</c:v>
                </c:pt>
                <c:pt idx="570">
                  <c:v>99.366527041248304</c:v>
                </c:pt>
                <c:pt idx="571">
                  <c:v>99.368590471081149</c:v>
                </c:pt>
                <c:pt idx="572">
                  <c:v>99.31906815508755</c:v>
                </c:pt>
                <c:pt idx="573">
                  <c:v>99.304624146256103</c:v>
                </c:pt>
                <c:pt idx="574">
                  <c:v>99.143676619276761</c:v>
                </c:pt>
                <c:pt idx="575">
                  <c:v>99.139549759610617</c:v>
                </c:pt>
                <c:pt idx="576">
                  <c:v>99.199389224769519</c:v>
                </c:pt>
                <c:pt idx="577">
                  <c:v>99.310814435755333</c:v>
                </c:pt>
                <c:pt idx="578">
                  <c:v>99.383034479912737</c:v>
                </c:pt>
                <c:pt idx="579">
                  <c:v>99.449064234570997</c:v>
                </c:pt>
                <c:pt idx="580">
                  <c:v>99.492396261065394</c:v>
                </c:pt>
                <c:pt idx="581">
                  <c:v>99.319068155087578</c:v>
                </c:pt>
                <c:pt idx="582">
                  <c:v>99.220023523100366</c:v>
                </c:pt>
                <c:pt idx="583">
                  <c:v>99.151930338608835</c:v>
                </c:pt>
                <c:pt idx="584">
                  <c:v>99.073520004952485</c:v>
                </c:pt>
                <c:pt idx="585">
                  <c:v>98.986855951963634</c:v>
                </c:pt>
                <c:pt idx="586">
                  <c:v>99.050822276788509</c:v>
                </c:pt>
                <c:pt idx="587">
                  <c:v>98.962094793966813</c:v>
                </c:pt>
                <c:pt idx="588">
                  <c:v>98.970348513298845</c:v>
                </c:pt>
                <c:pt idx="589">
                  <c:v>99.040505127623419</c:v>
                </c:pt>
                <c:pt idx="590">
                  <c:v>99.050822276788509</c:v>
                </c:pt>
                <c:pt idx="591">
                  <c:v>99.081773724284758</c:v>
                </c:pt>
                <c:pt idx="592">
                  <c:v>99.112725171780596</c:v>
                </c:pt>
                <c:pt idx="593">
                  <c:v>99.100344592782164</c:v>
                </c:pt>
                <c:pt idx="594">
                  <c:v>99.065266285620297</c:v>
                </c:pt>
                <c:pt idx="595">
                  <c:v>99.085900583950888</c:v>
                </c:pt>
                <c:pt idx="596">
                  <c:v>99.048758846955437</c:v>
                </c:pt>
                <c:pt idx="597">
                  <c:v>99.00129996079535</c:v>
                </c:pt>
                <c:pt idx="598">
                  <c:v>98.955904504467583</c:v>
                </c:pt>
                <c:pt idx="599">
                  <c:v>98.964158223799899</c:v>
                </c:pt>
                <c:pt idx="600">
                  <c:v>98.945587355302294</c:v>
                </c:pt>
                <c:pt idx="601">
                  <c:v>98.912572477973185</c:v>
                </c:pt>
                <c:pt idx="602">
                  <c:v>98.842415863648853</c:v>
                </c:pt>
                <c:pt idx="603">
                  <c:v>98.743371231661413</c:v>
                </c:pt>
                <c:pt idx="604">
                  <c:v>98.714483213998591</c:v>
                </c:pt>
                <c:pt idx="605">
                  <c:v>98.596867713513618</c:v>
                </c:pt>
                <c:pt idx="606">
                  <c:v>98.586550564348471</c:v>
                </c:pt>
                <c:pt idx="607">
                  <c:v>98.640199740008256</c:v>
                </c:pt>
                <c:pt idx="608">
                  <c:v>98.534964818521559</c:v>
                </c:pt>
                <c:pt idx="609">
                  <c:v>98.534964818521559</c:v>
                </c:pt>
                <c:pt idx="610">
                  <c:v>98.592740853847488</c:v>
                </c:pt>
                <c:pt idx="611">
                  <c:v>98.440047046200462</c:v>
                </c:pt>
                <c:pt idx="612">
                  <c:v>98.49369622186039</c:v>
                </c:pt>
                <c:pt idx="613">
                  <c:v>98.491632792027161</c:v>
                </c:pt>
                <c:pt idx="614">
                  <c:v>98.448300765532736</c:v>
                </c:pt>
                <c:pt idx="615">
                  <c:v>98.421476177702758</c:v>
                </c:pt>
                <c:pt idx="616">
                  <c:v>98.446237335699649</c:v>
                </c:pt>
                <c:pt idx="617">
                  <c:v>98.429729897035102</c:v>
                </c:pt>
                <c:pt idx="618">
                  <c:v>98.427666467202357</c:v>
                </c:pt>
                <c:pt idx="619">
                  <c:v>98.404968739038267</c:v>
                </c:pt>
                <c:pt idx="620">
                  <c:v>98.425603037368944</c:v>
                </c:pt>
                <c:pt idx="621">
                  <c:v>98.341002414213122</c:v>
                </c:pt>
                <c:pt idx="622">
                  <c:v>98.413222458370768</c:v>
                </c:pt>
                <c:pt idx="623">
                  <c:v>98.359573282710741</c:v>
                </c:pt>
                <c:pt idx="624">
                  <c:v>98.359573282710741</c:v>
                </c:pt>
                <c:pt idx="625">
                  <c:v>98.371953861709173</c:v>
                </c:pt>
                <c:pt idx="626">
                  <c:v>98.312114396550058</c:v>
                </c:pt>
                <c:pt idx="627">
                  <c:v>98.303860677217926</c:v>
                </c:pt>
                <c:pt idx="628">
                  <c:v>98.318304686049402</c:v>
                </c:pt>
                <c:pt idx="629">
                  <c:v>98.256401791057343</c:v>
                </c:pt>
                <c:pt idx="630">
                  <c:v>98.246084641891997</c:v>
                </c:pt>
                <c:pt idx="631">
                  <c:v>98.215133194396003</c:v>
                </c:pt>
                <c:pt idx="632">
                  <c:v>98.206879475063701</c:v>
                </c:pt>
                <c:pt idx="633">
                  <c:v>98.213069764563087</c:v>
                </c:pt>
                <c:pt idx="634">
                  <c:v>98.244021212058939</c:v>
                </c:pt>
                <c:pt idx="635">
                  <c:v>98.182118317066525</c:v>
                </c:pt>
                <c:pt idx="636">
                  <c:v>98.18005488723378</c:v>
                </c:pt>
                <c:pt idx="637">
                  <c:v>98.200689185564499</c:v>
                </c:pt>
                <c:pt idx="638">
                  <c:v>98.198625755731413</c:v>
                </c:pt>
                <c:pt idx="639">
                  <c:v>98.250211501558113</c:v>
                </c:pt>
                <c:pt idx="640">
                  <c:v>98.258465220890415</c:v>
                </c:pt>
                <c:pt idx="641">
                  <c:v>98.31624125621633</c:v>
                </c:pt>
                <c:pt idx="642">
                  <c:v>98.262592080556459</c:v>
                </c:pt>
                <c:pt idx="643">
                  <c:v>98.246084641891997</c:v>
                </c:pt>
                <c:pt idx="644">
                  <c:v>98.198625755731413</c:v>
                </c:pt>
                <c:pt idx="645">
                  <c:v>98.206879475063701</c:v>
                </c:pt>
                <c:pt idx="646">
                  <c:v>98.165610878402319</c:v>
                </c:pt>
                <c:pt idx="647">
                  <c:v>98.192435466232212</c:v>
                </c:pt>
                <c:pt idx="648">
                  <c:v>98.202752615397543</c:v>
                </c:pt>
                <c:pt idx="649">
                  <c:v>98.200689185564485</c:v>
                </c:pt>
                <c:pt idx="650">
                  <c:v>98.198625755731413</c:v>
                </c:pt>
                <c:pt idx="651">
                  <c:v>98.206879475063687</c:v>
                </c:pt>
                <c:pt idx="652">
                  <c:v>98.200689185564499</c:v>
                </c:pt>
                <c:pt idx="653">
                  <c:v>98.217196624229246</c:v>
                </c:pt>
                <c:pt idx="654">
                  <c:v>98.262592080556558</c:v>
                </c:pt>
                <c:pt idx="655">
                  <c:v>98.204816045230814</c:v>
                </c:pt>
                <c:pt idx="656">
                  <c:v>98.190372036398855</c:v>
                </c:pt>
                <c:pt idx="657">
                  <c:v>98.211006334729888</c:v>
                </c:pt>
                <c:pt idx="658">
                  <c:v>98.239894352392881</c:v>
                </c:pt>
                <c:pt idx="659">
                  <c:v>98.254338361224228</c:v>
                </c:pt>
                <c:pt idx="660">
                  <c:v>98.28735323855345</c:v>
                </c:pt>
                <c:pt idx="661">
                  <c:v>98.322431545715588</c:v>
                </c:pt>
                <c:pt idx="662">
                  <c:v>98.289416668386536</c:v>
                </c:pt>
                <c:pt idx="663">
                  <c:v>98.332748694880735</c:v>
                </c:pt>
                <c:pt idx="664">
                  <c:v>98.353382993211454</c:v>
                </c:pt>
                <c:pt idx="665">
                  <c:v>98.291480098219623</c:v>
                </c:pt>
                <c:pt idx="666">
                  <c:v>98.289416668386565</c:v>
                </c:pt>
                <c:pt idx="667">
                  <c:v>98.264655510389744</c:v>
                </c:pt>
                <c:pt idx="668">
                  <c:v>98.256401791057471</c:v>
                </c:pt>
                <c:pt idx="669">
                  <c:v>98.252274931391312</c:v>
                </c:pt>
                <c:pt idx="670">
                  <c:v>98.239894352392909</c:v>
                </c:pt>
                <c:pt idx="671">
                  <c:v>98.26465551038973</c:v>
                </c:pt>
                <c:pt idx="672">
                  <c:v>98.272909229721989</c:v>
                </c:pt>
                <c:pt idx="673">
                  <c:v>98.246084641892338</c:v>
                </c:pt>
                <c:pt idx="674">
                  <c:v>98.272909229721989</c:v>
                </c:pt>
                <c:pt idx="675">
                  <c:v>98.239894352392909</c:v>
                </c:pt>
                <c:pt idx="676">
                  <c:v>98.233704062893679</c:v>
                </c:pt>
                <c:pt idx="677">
                  <c:v>98.223386913728106</c:v>
                </c:pt>
                <c:pt idx="678">
                  <c:v>98.219260054062417</c:v>
                </c:pt>
                <c:pt idx="679">
                  <c:v>98.213069764563201</c:v>
                </c:pt>
                <c:pt idx="680">
                  <c:v>98.221323483895475</c:v>
                </c:pt>
                <c:pt idx="681">
                  <c:v>98.252274931391312</c:v>
                </c:pt>
                <c:pt idx="682">
                  <c:v>98.268782370055646</c:v>
                </c:pt>
                <c:pt idx="683">
                  <c:v>98.287353238553479</c:v>
                </c:pt>
                <c:pt idx="684">
                  <c:v>98.326558405381789</c:v>
                </c:pt>
                <c:pt idx="685">
                  <c:v>98.343065844046393</c:v>
                </c:pt>
                <c:pt idx="686">
                  <c:v>98.35957328271094</c:v>
                </c:pt>
                <c:pt idx="687">
                  <c:v>98.36370014237707</c:v>
                </c:pt>
                <c:pt idx="688">
                  <c:v>98.369890431876286</c:v>
                </c:pt>
                <c:pt idx="689">
                  <c:v>98.310050966717327</c:v>
                </c:pt>
                <c:pt idx="690">
                  <c:v>98.336875554547149</c:v>
                </c:pt>
                <c:pt idx="691">
                  <c:v>98.376080721375487</c:v>
                </c:pt>
                <c:pt idx="692">
                  <c:v>98.307987536883914</c:v>
                </c:pt>
                <c:pt idx="693">
                  <c:v>98.289416668386622</c:v>
                </c:pt>
                <c:pt idx="694">
                  <c:v>98.285289808720478</c:v>
                </c:pt>
                <c:pt idx="695">
                  <c:v>98.211006334730016</c:v>
                </c:pt>
                <c:pt idx="696">
                  <c:v>98.217196624229388</c:v>
                </c:pt>
                <c:pt idx="697">
                  <c:v>98.190372036398983</c:v>
                </c:pt>
                <c:pt idx="698">
                  <c:v>98.192435466232382</c:v>
                </c:pt>
                <c:pt idx="699">
                  <c:v>98.225450343561235</c:v>
                </c:pt>
                <c:pt idx="700">
                  <c:v>98.250211501558283</c:v>
                </c:pt>
                <c:pt idx="701">
                  <c:v>98.260528650723643</c:v>
                </c:pt>
                <c:pt idx="702">
                  <c:v>98.239894352392952</c:v>
                </c:pt>
                <c:pt idx="703">
                  <c:v>98.314177826383272</c:v>
                </c:pt>
                <c:pt idx="704">
                  <c:v>98.341002414213307</c:v>
                </c:pt>
                <c:pt idx="705">
                  <c:v>98.336875554547149</c:v>
                </c:pt>
                <c:pt idx="706">
                  <c:v>98.392588160039736</c:v>
                </c:pt>
                <c:pt idx="707">
                  <c:v>98.495759651693433</c:v>
                </c:pt>
                <c:pt idx="708">
                  <c:v>98.460681344531281</c:v>
                </c:pt>
                <c:pt idx="709">
                  <c:v>98.470998493696456</c:v>
                </c:pt>
                <c:pt idx="710">
                  <c:v>98.508140230691595</c:v>
                </c:pt>
                <c:pt idx="711">
                  <c:v>98.520520809690254</c:v>
                </c:pt>
                <c:pt idx="712">
                  <c:v>98.530837958855443</c:v>
                </c:pt>
                <c:pt idx="713">
                  <c:v>98.543218537853988</c:v>
                </c:pt>
                <c:pt idx="714">
                  <c:v>98.489569362194217</c:v>
                </c:pt>
                <c:pt idx="715">
                  <c:v>98.421476177702829</c:v>
                </c:pt>
                <c:pt idx="716">
                  <c:v>98.421476177702829</c:v>
                </c:pt>
                <c:pt idx="717">
                  <c:v>98.361636712543827</c:v>
                </c:pt>
                <c:pt idx="718">
                  <c:v>98.415285888203826</c:v>
                </c:pt>
                <c:pt idx="719">
                  <c:v>98.343065844046393</c:v>
                </c:pt>
                <c:pt idx="720">
                  <c:v>98.388461300373848</c:v>
                </c:pt>
                <c:pt idx="721">
                  <c:v>98.433856756701388</c:v>
                </c:pt>
                <c:pt idx="722">
                  <c:v>98.477188783195814</c:v>
                </c:pt>
                <c:pt idx="723">
                  <c:v>98.607184862679119</c:v>
                </c:pt>
                <c:pt idx="724">
                  <c:v>98.642263169841442</c:v>
                </c:pt>
                <c:pt idx="725">
                  <c:v>98.636072880342084</c:v>
                </c:pt>
                <c:pt idx="726">
                  <c:v>98.596867713513689</c:v>
                </c:pt>
                <c:pt idx="727">
                  <c:v>98.619565441677736</c:v>
                </c:pt>
                <c:pt idx="728">
                  <c:v>98.638136310174986</c:v>
                </c:pt>
                <c:pt idx="729">
                  <c:v>98.625755731176497</c:v>
                </c:pt>
                <c:pt idx="730">
                  <c:v>98.63607288034207</c:v>
                </c:pt>
                <c:pt idx="731">
                  <c:v>98.63607288034207</c:v>
                </c:pt>
                <c:pt idx="732">
                  <c:v>98.572106555516754</c:v>
                </c:pt>
                <c:pt idx="733">
                  <c:v>98.530837958855443</c:v>
                </c:pt>
                <c:pt idx="734">
                  <c:v>98.514330520191038</c:v>
                </c:pt>
                <c:pt idx="735">
                  <c:v>98.51639395002411</c:v>
                </c:pt>
                <c:pt idx="736">
                  <c:v>98.537028248354815</c:v>
                </c:pt>
                <c:pt idx="737">
                  <c:v>98.609248292512149</c:v>
                </c:pt>
                <c:pt idx="738">
                  <c:v>98.70416606483353</c:v>
                </c:pt>
                <c:pt idx="739">
                  <c:v>98.697975775334157</c:v>
                </c:pt>
                <c:pt idx="740">
                  <c:v>98.869240451478831</c:v>
                </c:pt>
                <c:pt idx="741">
                  <c:v>98.91050904814044</c:v>
                </c:pt>
                <c:pt idx="742">
                  <c:v>98.894001609475666</c:v>
                </c:pt>
                <c:pt idx="743">
                  <c:v>98.941460495636406</c:v>
                </c:pt>
                <c:pt idx="744">
                  <c:v>98.982729092297603</c:v>
                </c:pt>
                <c:pt idx="745">
                  <c:v>98.995109671296177</c:v>
                </c:pt>
                <c:pt idx="746">
                  <c:v>98.966221653633127</c:v>
                </c:pt>
                <c:pt idx="747">
                  <c:v>98.891938179642551</c:v>
                </c:pt>
                <c:pt idx="748">
                  <c:v>98.912572477973242</c:v>
                </c:pt>
                <c:pt idx="749">
                  <c:v>98.91876276747243</c:v>
                </c:pt>
                <c:pt idx="750">
                  <c:v>98.968285083466085</c:v>
                </c:pt>
                <c:pt idx="751">
                  <c:v>98.995109671296149</c:v>
                </c:pt>
                <c:pt idx="752">
                  <c:v>98.964158223799956</c:v>
                </c:pt>
                <c:pt idx="753">
                  <c:v>98.908445618307127</c:v>
                </c:pt>
                <c:pt idx="754">
                  <c:v>98.90638218847387</c:v>
                </c:pt>
                <c:pt idx="755">
                  <c:v>98.817654705652259</c:v>
                </c:pt>
                <c:pt idx="756">
                  <c:v>98.782576398489581</c:v>
                </c:pt>
                <c:pt idx="757">
                  <c:v>98.811464416152887</c:v>
                </c:pt>
                <c:pt idx="758">
                  <c:v>98.751624950994042</c:v>
                </c:pt>
                <c:pt idx="759">
                  <c:v>98.774322679157663</c:v>
                </c:pt>
                <c:pt idx="760">
                  <c:v>98.755751810659675</c:v>
                </c:pt>
                <c:pt idx="761">
                  <c:v>98.788766687989138</c:v>
                </c:pt>
                <c:pt idx="762">
                  <c:v>98.807337556486388</c:v>
                </c:pt>
                <c:pt idx="763">
                  <c:v>98.797020407321426</c:v>
                </c:pt>
                <c:pt idx="764">
                  <c:v>98.780512968656851</c:v>
                </c:pt>
                <c:pt idx="765">
                  <c:v>98.807337556486388</c:v>
                </c:pt>
                <c:pt idx="766">
                  <c:v>98.728927222830151</c:v>
                </c:pt>
                <c:pt idx="767">
                  <c:v>98.834162144316664</c:v>
                </c:pt>
                <c:pt idx="768">
                  <c:v>98.84860615314814</c:v>
                </c:pt>
                <c:pt idx="769">
                  <c:v>98.898128469141795</c:v>
                </c:pt>
                <c:pt idx="770">
                  <c:v>98.860986732146458</c:v>
                </c:pt>
                <c:pt idx="771">
                  <c:v>98.84860615314814</c:v>
                </c:pt>
                <c:pt idx="772">
                  <c:v>98.84860615314814</c:v>
                </c:pt>
                <c:pt idx="773">
                  <c:v>98.827971854817449</c:v>
                </c:pt>
                <c:pt idx="774">
                  <c:v>98.761942100159189</c:v>
                </c:pt>
                <c:pt idx="775">
                  <c:v>98.708292924499418</c:v>
                </c:pt>
                <c:pt idx="776">
                  <c:v>98.704166064833501</c:v>
                </c:pt>
                <c:pt idx="777">
                  <c:v>98.718610073664749</c:v>
                </c:pt>
                <c:pt idx="778">
                  <c:v>98.700039205167329</c:v>
                </c:pt>
                <c:pt idx="779">
                  <c:v>98.71241978416576</c:v>
                </c:pt>
                <c:pt idx="780">
                  <c:v>98.733054082496253</c:v>
                </c:pt>
                <c:pt idx="781">
                  <c:v>98.755751810659632</c:v>
                </c:pt>
                <c:pt idx="782">
                  <c:v>98.797020407321426</c:v>
                </c:pt>
                <c:pt idx="783">
                  <c:v>98.811464416152845</c:v>
                </c:pt>
                <c:pt idx="784">
                  <c:v>98.863050161979572</c:v>
                </c:pt>
                <c:pt idx="785">
                  <c:v>98.962094793966855</c:v>
                </c:pt>
                <c:pt idx="786">
                  <c:v>99.007490250294353</c:v>
                </c:pt>
                <c:pt idx="787">
                  <c:v>99.14367661927686</c:v>
                </c:pt>
                <c:pt idx="788">
                  <c:v>99.475888822400492</c:v>
                </c:pt>
                <c:pt idx="789">
                  <c:v>99.669851226709156</c:v>
                </c:pt>
                <c:pt idx="790">
                  <c:v>99.938097105008239</c:v>
                </c:pt>
                <c:pt idx="791">
                  <c:v>100.66442440624853</c:v>
                </c:pt>
                <c:pt idx="792">
                  <c:v>101.06679322369675</c:v>
                </c:pt>
                <c:pt idx="793">
                  <c:v>101.26488248767133</c:v>
                </c:pt>
                <c:pt idx="794">
                  <c:v>101.21742360151104</c:v>
                </c:pt>
                <c:pt idx="795">
                  <c:v>101.56614324329936</c:v>
                </c:pt>
                <c:pt idx="796">
                  <c:v>101.84676970059667</c:v>
                </c:pt>
                <c:pt idx="797">
                  <c:v>102.14184016672533</c:v>
                </c:pt>
                <c:pt idx="798">
                  <c:v>102.22850421971435</c:v>
                </c:pt>
                <c:pt idx="799">
                  <c:v>102.33167571136779</c:v>
                </c:pt>
                <c:pt idx="800">
                  <c:v>102.60198501949952</c:v>
                </c:pt>
                <c:pt idx="801">
                  <c:v>102.84753316963489</c:v>
                </c:pt>
                <c:pt idx="802">
                  <c:v>103.33656604007226</c:v>
                </c:pt>
                <c:pt idx="803">
                  <c:v>104.09384478880841</c:v>
                </c:pt>
                <c:pt idx="804">
                  <c:v>104.19495285062845</c:v>
                </c:pt>
                <c:pt idx="805">
                  <c:v>104.10003507830747</c:v>
                </c:pt>
                <c:pt idx="806">
                  <c:v>103.78433031384795</c:v>
                </c:pt>
                <c:pt idx="807">
                  <c:v>103.4913232775524</c:v>
                </c:pt>
                <c:pt idx="808">
                  <c:v>103.04149557394332</c:v>
                </c:pt>
                <c:pt idx="809">
                  <c:v>102.46579865051719</c:v>
                </c:pt>
                <c:pt idx="810">
                  <c:v>101.74772506860947</c:v>
                </c:pt>
                <c:pt idx="811">
                  <c:v>101.35154654066017</c:v>
                </c:pt>
                <c:pt idx="812">
                  <c:v>100.39205166828329</c:v>
                </c:pt>
                <c:pt idx="813">
                  <c:v>100.18364525514336</c:v>
                </c:pt>
                <c:pt idx="814">
                  <c:v>100.30745104512749</c:v>
                </c:pt>
                <c:pt idx="815">
                  <c:v>99.987619421002151</c:v>
                </c:pt>
                <c:pt idx="816">
                  <c:v>99.861750201184648</c:v>
                </c:pt>
                <c:pt idx="817">
                  <c:v>99.564616305222827</c:v>
                </c:pt>
                <c:pt idx="818">
                  <c:v>99.22415038276651</c:v>
                </c:pt>
                <c:pt idx="819">
                  <c:v>99.005426820461025</c:v>
                </c:pt>
                <c:pt idx="820">
                  <c:v>98.976538802798018</c:v>
                </c:pt>
                <c:pt idx="821">
                  <c:v>98.957967934300697</c:v>
                </c:pt>
                <c:pt idx="822">
                  <c:v>98.968285083466</c:v>
                </c:pt>
                <c:pt idx="823">
                  <c:v>98.945587355302266</c:v>
                </c:pt>
                <c:pt idx="824">
                  <c:v>98.896065039308596</c:v>
                </c:pt>
                <c:pt idx="825">
                  <c:v>99.044631987289534</c:v>
                </c:pt>
                <c:pt idx="826">
                  <c:v>99.182881786104957</c:v>
                </c:pt>
                <c:pt idx="827">
                  <c:v>99.451127664404027</c:v>
                </c:pt>
                <c:pt idx="828">
                  <c:v>99.692548954872919</c:v>
                </c:pt>
                <c:pt idx="829">
                  <c:v>99.892701648680514</c:v>
                </c:pt>
                <c:pt idx="830">
                  <c:v>100.28681674679675</c:v>
                </c:pt>
                <c:pt idx="831">
                  <c:v>100.51998431793348</c:v>
                </c:pt>
                <c:pt idx="832">
                  <c:v>100.62521923941998</c:v>
                </c:pt>
                <c:pt idx="833">
                  <c:v>100.88108453872033</c:v>
                </c:pt>
                <c:pt idx="834">
                  <c:v>100.67267812558022</c:v>
                </c:pt>
                <c:pt idx="835">
                  <c:v>100.25792872913379</c:v>
                </c:pt>
                <c:pt idx="836">
                  <c:v>100.00412685966634</c:v>
                </c:pt>
                <c:pt idx="837">
                  <c:v>99.793657016693288</c:v>
                </c:pt>
                <c:pt idx="838">
                  <c:v>99.391288199244968</c:v>
                </c:pt>
                <c:pt idx="839">
                  <c:v>99.455254524070227</c:v>
                </c:pt>
                <c:pt idx="840">
                  <c:v>99.506840269896799</c:v>
                </c:pt>
                <c:pt idx="841">
                  <c:v>99.663660937210025</c:v>
                </c:pt>
                <c:pt idx="842">
                  <c:v>99.832862183521343</c:v>
                </c:pt>
                <c:pt idx="843">
                  <c:v>99.851433052019189</c:v>
                </c:pt>
                <c:pt idx="844">
                  <c:v>99.66778779687597</c:v>
                </c:pt>
                <c:pt idx="845">
                  <c:v>99.558426015723356</c:v>
                </c:pt>
                <c:pt idx="846">
                  <c:v>99.535728287559508</c:v>
                </c:pt>
                <c:pt idx="847">
                  <c:v>99.480015682066934</c:v>
                </c:pt>
                <c:pt idx="848">
                  <c:v>99.403668778243556</c:v>
                </c:pt>
                <c:pt idx="849">
                  <c:v>99.337639023585211</c:v>
                </c:pt>
                <c:pt idx="850">
                  <c:v>99.298433856756674</c:v>
                </c:pt>
                <c:pt idx="851">
                  <c:v>99.25716526009569</c:v>
                </c:pt>
                <c:pt idx="852">
                  <c:v>99.376844190413266</c:v>
                </c:pt>
                <c:pt idx="853">
                  <c:v>99.413985927408746</c:v>
                </c:pt>
                <c:pt idx="854">
                  <c:v>99.335575593751884</c:v>
                </c:pt>
                <c:pt idx="855">
                  <c:v>99.306687576088919</c:v>
                </c:pt>
                <c:pt idx="856">
                  <c:v>99.112725171780497</c:v>
                </c:pt>
                <c:pt idx="857">
                  <c:v>99.030187978457988</c:v>
                </c:pt>
                <c:pt idx="858">
                  <c:v>98.976538802797975</c:v>
                </c:pt>
                <c:pt idx="859">
                  <c:v>98.836225574149566</c:v>
                </c:pt>
                <c:pt idx="860">
                  <c:v>98.927016486804575</c:v>
                </c:pt>
                <c:pt idx="861">
                  <c:v>99.061139425954025</c:v>
                </c:pt>
                <c:pt idx="862">
                  <c:v>99.312877865588149</c:v>
                </c:pt>
                <c:pt idx="863">
                  <c:v>99.444937374904782</c:v>
                </c:pt>
                <c:pt idx="864">
                  <c:v>99.548108866557953</c:v>
                </c:pt>
                <c:pt idx="865">
                  <c:v>99.531601427893662</c:v>
                </c:pt>
                <c:pt idx="866">
                  <c:v>99.564616305222827</c:v>
                </c:pt>
              </c:numCache>
            </c:numRef>
          </c:val>
          <c:smooth val="0"/>
          <c:extLst>
            <c:ext xmlns:c16="http://schemas.microsoft.com/office/drawing/2014/chart" uri="{C3380CC4-5D6E-409C-BE32-E72D297353CC}">
              <c16:uniqueId val="{00000000-68C6-478F-B6E5-1B0A158F0E9D}"/>
            </c:ext>
          </c:extLst>
        </c:ser>
        <c:ser>
          <c:idx val="1"/>
          <c:order val="1"/>
          <c:tx>
            <c:strRef>
              <c:f>Sheet1!$C$1</c:f>
              <c:strCache>
                <c:ptCount val="1"/>
                <c:pt idx="0">
                  <c:v>RUB/AMD</c:v>
                </c:pt>
              </c:strCache>
            </c:strRef>
          </c:tx>
          <c:spPr>
            <a:ln w="28575" cap="rnd">
              <a:solidFill>
                <a:srgbClr val="FFC000"/>
              </a:solidFill>
              <a:round/>
            </a:ln>
            <a:effectLst/>
          </c:spPr>
          <c:marker>
            <c:symbol val="none"/>
          </c:marker>
          <c:cat>
            <c:strRef>
              <c:f>Sheet1!$A$2:$A$868</c:f>
              <c:strCache>
                <c:ptCount val="867"/>
                <c:pt idx="0">
                  <c:v>9/1/2017</c:v>
                </c:pt>
                <c:pt idx="1">
                  <c:v>10/1/2017</c:v>
                </c:pt>
                <c:pt idx="2">
                  <c:v>11/1/2017</c:v>
                </c:pt>
                <c:pt idx="3">
                  <c:v>12/1/2017</c:v>
                </c:pt>
                <c:pt idx="4">
                  <c:v>13/01/2017</c:v>
                </c:pt>
                <c:pt idx="5">
                  <c:v>16/01/2017</c:v>
                </c:pt>
                <c:pt idx="6">
                  <c:v>17/01/2017</c:v>
                </c:pt>
                <c:pt idx="7">
                  <c:v>18/01/2017</c:v>
                </c:pt>
                <c:pt idx="8">
                  <c:v>19/01/2017</c:v>
                </c:pt>
                <c:pt idx="9">
                  <c:v>20/01/2017</c:v>
                </c:pt>
                <c:pt idx="10">
                  <c:v>23/01/2017</c:v>
                </c:pt>
                <c:pt idx="11">
                  <c:v>24/01/2017</c:v>
                </c:pt>
                <c:pt idx="12">
                  <c:v>25/01/2017</c:v>
                </c:pt>
                <c:pt idx="13">
                  <c:v>26/01/2017</c:v>
                </c:pt>
                <c:pt idx="14">
                  <c:v>27/01/2017</c:v>
                </c:pt>
                <c:pt idx="15">
                  <c:v>30/01/2017</c:v>
                </c:pt>
                <c:pt idx="16">
                  <c:v>31/01/2017</c:v>
                </c:pt>
                <c:pt idx="17">
                  <c:v>1/2/2017</c:v>
                </c:pt>
                <c:pt idx="18">
                  <c:v>2/2/2017</c:v>
                </c:pt>
                <c:pt idx="19">
                  <c:v>3/2/2017</c:v>
                </c:pt>
                <c:pt idx="20">
                  <c:v>6/2/2017</c:v>
                </c:pt>
                <c:pt idx="21">
                  <c:v>7/2/2017</c:v>
                </c:pt>
                <c:pt idx="22">
                  <c:v>8/2/2017</c:v>
                </c:pt>
                <c:pt idx="23">
                  <c:v>9/2/2017</c:v>
                </c:pt>
                <c:pt idx="24">
                  <c:v>10/2/2017</c:v>
                </c:pt>
                <c:pt idx="25">
                  <c:v>13/02/2017</c:v>
                </c:pt>
                <c:pt idx="26">
                  <c:v>14/02/2017</c:v>
                </c:pt>
                <c:pt idx="27">
                  <c:v>15/02/2017</c:v>
                </c:pt>
                <c:pt idx="28">
                  <c:v>16/02/2017</c:v>
                </c:pt>
                <c:pt idx="29">
                  <c:v>17/02/2017</c:v>
                </c:pt>
                <c:pt idx="30">
                  <c:v>20/02/2017</c:v>
                </c:pt>
                <c:pt idx="31">
                  <c:v>21/02/2017</c:v>
                </c:pt>
                <c:pt idx="32">
                  <c:v>22/02/2017</c:v>
                </c:pt>
                <c:pt idx="33">
                  <c:v>23/02/2017</c:v>
                </c:pt>
                <c:pt idx="34">
                  <c:v>24/02/2017</c:v>
                </c:pt>
                <c:pt idx="35">
                  <c:v>27/02/2017</c:v>
                </c:pt>
                <c:pt idx="36">
                  <c:v>28/02/2017</c:v>
                </c:pt>
                <c:pt idx="37">
                  <c:v>1/3/2017</c:v>
                </c:pt>
                <c:pt idx="38">
                  <c:v>2/3/2017</c:v>
                </c:pt>
                <c:pt idx="39">
                  <c:v>3/3/2017</c:v>
                </c:pt>
                <c:pt idx="40">
                  <c:v>6/3/2017</c:v>
                </c:pt>
                <c:pt idx="41">
                  <c:v>7/3/2017</c:v>
                </c:pt>
                <c:pt idx="42">
                  <c:v>9/3/2017</c:v>
                </c:pt>
                <c:pt idx="43">
                  <c:v>10/3/2017</c:v>
                </c:pt>
                <c:pt idx="44">
                  <c:v>13/03/2017</c:v>
                </c:pt>
                <c:pt idx="45">
                  <c:v>14/03/2017</c:v>
                </c:pt>
                <c:pt idx="46">
                  <c:v>15/03/2017</c:v>
                </c:pt>
                <c:pt idx="47">
                  <c:v>16/03/2017</c:v>
                </c:pt>
                <c:pt idx="48">
                  <c:v>17/03/2017</c:v>
                </c:pt>
                <c:pt idx="49">
                  <c:v>20/03/2017</c:v>
                </c:pt>
                <c:pt idx="50">
                  <c:v>21/03/2017</c:v>
                </c:pt>
                <c:pt idx="51">
                  <c:v>22/03/2017</c:v>
                </c:pt>
                <c:pt idx="52">
                  <c:v>23/03/2017</c:v>
                </c:pt>
                <c:pt idx="53">
                  <c:v>24/03/2017</c:v>
                </c:pt>
                <c:pt idx="54">
                  <c:v>27/03/2017</c:v>
                </c:pt>
                <c:pt idx="55">
                  <c:v>28/03/2017</c:v>
                </c:pt>
                <c:pt idx="56">
                  <c:v>29/03/2017</c:v>
                </c:pt>
                <c:pt idx="57">
                  <c:v>30/03/2017</c:v>
                </c:pt>
                <c:pt idx="58">
                  <c:v>31/03/2017</c:v>
                </c:pt>
                <c:pt idx="59">
                  <c:v>3/4/2017</c:v>
                </c:pt>
                <c:pt idx="60">
                  <c:v>4/4/2017</c:v>
                </c:pt>
                <c:pt idx="61">
                  <c:v>5/4/2017</c:v>
                </c:pt>
                <c:pt idx="62">
                  <c:v>6/4/2017</c:v>
                </c:pt>
                <c:pt idx="63">
                  <c:v>7/4/2017</c:v>
                </c:pt>
                <c:pt idx="64">
                  <c:v>10/4/2017</c:v>
                </c:pt>
                <c:pt idx="65">
                  <c:v>11/4/2017</c:v>
                </c:pt>
                <c:pt idx="66">
                  <c:v>12/4/2017</c:v>
                </c:pt>
                <c:pt idx="67">
                  <c:v>13/04/2017</c:v>
                </c:pt>
                <c:pt idx="68">
                  <c:v>14/04/2017</c:v>
                </c:pt>
                <c:pt idx="69">
                  <c:v>18/04/2017</c:v>
                </c:pt>
                <c:pt idx="70">
                  <c:v>19/04/2017</c:v>
                </c:pt>
                <c:pt idx="71">
                  <c:v>20/04/2017</c:v>
                </c:pt>
                <c:pt idx="72">
                  <c:v>21/04/2017</c:v>
                </c:pt>
                <c:pt idx="73">
                  <c:v>25/04/2017</c:v>
                </c:pt>
                <c:pt idx="74">
                  <c:v>26/04/2017</c:v>
                </c:pt>
                <c:pt idx="75">
                  <c:v>27/04/2017</c:v>
                </c:pt>
                <c:pt idx="76">
                  <c:v>28/04/2017</c:v>
                </c:pt>
                <c:pt idx="77">
                  <c:v>2/5/2017</c:v>
                </c:pt>
                <c:pt idx="78">
                  <c:v>3/5/2017</c:v>
                </c:pt>
                <c:pt idx="79">
                  <c:v>4/5/2017</c:v>
                </c:pt>
                <c:pt idx="80">
                  <c:v>5/5/2017</c:v>
                </c:pt>
                <c:pt idx="81">
                  <c:v>6/5/2017</c:v>
                </c:pt>
                <c:pt idx="82">
                  <c:v>10/5/2017</c:v>
                </c:pt>
                <c:pt idx="83">
                  <c:v>11/5/2017</c:v>
                </c:pt>
                <c:pt idx="84">
                  <c:v>12/5/2017</c:v>
                </c:pt>
                <c:pt idx="85">
                  <c:v>15/05/2017</c:v>
                </c:pt>
                <c:pt idx="86">
                  <c:v>16/05/2017</c:v>
                </c:pt>
                <c:pt idx="87">
                  <c:v>17/05/2017</c:v>
                </c:pt>
                <c:pt idx="88">
                  <c:v>18/05/2017</c:v>
                </c:pt>
                <c:pt idx="89">
                  <c:v>19/05/2017</c:v>
                </c:pt>
                <c:pt idx="90">
                  <c:v>20/05/2017</c:v>
                </c:pt>
                <c:pt idx="91">
                  <c:v>22/05/2017</c:v>
                </c:pt>
                <c:pt idx="92">
                  <c:v>23/05/2017</c:v>
                </c:pt>
                <c:pt idx="93">
                  <c:v>24/05/2017</c:v>
                </c:pt>
                <c:pt idx="94">
                  <c:v>25/05/2017</c:v>
                </c:pt>
                <c:pt idx="95">
                  <c:v>26/05/2017</c:v>
                </c:pt>
                <c:pt idx="96">
                  <c:v>29/05/2017</c:v>
                </c:pt>
                <c:pt idx="97">
                  <c:v>30/05/2017</c:v>
                </c:pt>
                <c:pt idx="98">
                  <c:v>31/05/2017</c:v>
                </c:pt>
                <c:pt idx="99">
                  <c:v>1/6/2017</c:v>
                </c:pt>
                <c:pt idx="100">
                  <c:v>2/6/2017</c:v>
                </c:pt>
                <c:pt idx="101">
                  <c:v>5/6/2017</c:v>
                </c:pt>
                <c:pt idx="102">
                  <c:v>6/6/2017</c:v>
                </c:pt>
                <c:pt idx="103">
                  <c:v>7/6/2017</c:v>
                </c:pt>
                <c:pt idx="104">
                  <c:v>8/6/2017</c:v>
                </c:pt>
                <c:pt idx="105">
                  <c:v>9/6/2017</c:v>
                </c:pt>
                <c:pt idx="106">
                  <c:v>12/6/2017</c:v>
                </c:pt>
                <c:pt idx="107">
                  <c:v>13/06/2017</c:v>
                </c:pt>
                <c:pt idx="108">
                  <c:v>14/06/2017</c:v>
                </c:pt>
                <c:pt idx="109">
                  <c:v>15/06/2017</c:v>
                </c:pt>
                <c:pt idx="110">
                  <c:v>16/06/2017</c:v>
                </c:pt>
                <c:pt idx="111">
                  <c:v>19/06/2017</c:v>
                </c:pt>
                <c:pt idx="112">
                  <c:v>20/06/2017</c:v>
                </c:pt>
                <c:pt idx="113">
                  <c:v>21/06/2017</c:v>
                </c:pt>
                <c:pt idx="114">
                  <c:v>22/06/2017</c:v>
                </c:pt>
                <c:pt idx="115">
                  <c:v>23/06/2017</c:v>
                </c:pt>
                <c:pt idx="116">
                  <c:v>26/06/2017</c:v>
                </c:pt>
                <c:pt idx="117">
                  <c:v>27/06/2017</c:v>
                </c:pt>
                <c:pt idx="118">
                  <c:v>28/06/2017</c:v>
                </c:pt>
                <c:pt idx="119">
                  <c:v>29/06/2017</c:v>
                </c:pt>
                <c:pt idx="120">
                  <c:v>30/06/2017</c:v>
                </c:pt>
                <c:pt idx="121">
                  <c:v>3/7/2017</c:v>
                </c:pt>
                <c:pt idx="122">
                  <c:v>4/7/2017</c:v>
                </c:pt>
                <c:pt idx="123">
                  <c:v>6/7/2017</c:v>
                </c:pt>
                <c:pt idx="124">
                  <c:v>7/7/2017</c:v>
                </c:pt>
                <c:pt idx="125">
                  <c:v>10/7/2017</c:v>
                </c:pt>
                <c:pt idx="126">
                  <c:v>11/7/2017</c:v>
                </c:pt>
                <c:pt idx="127">
                  <c:v>12/7/2017</c:v>
                </c:pt>
                <c:pt idx="128">
                  <c:v>13/07/2017</c:v>
                </c:pt>
                <c:pt idx="129">
                  <c:v>14/07/2017</c:v>
                </c:pt>
                <c:pt idx="130">
                  <c:v>17/07/2017</c:v>
                </c:pt>
                <c:pt idx="131">
                  <c:v>18/07/2017</c:v>
                </c:pt>
                <c:pt idx="132">
                  <c:v>19/07/2017</c:v>
                </c:pt>
                <c:pt idx="133">
                  <c:v>20/07/2017</c:v>
                </c:pt>
                <c:pt idx="134">
                  <c:v>21/07/2017</c:v>
                </c:pt>
                <c:pt idx="135">
                  <c:v>24/07/2017</c:v>
                </c:pt>
                <c:pt idx="136">
                  <c:v>25/07/2017</c:v>
                </c:pt>
                <c:pt idx="137">
                  <c:v>26/07/2017</c:v>
                </c:pt>
                <c:pt idx="138">
                  <c:v>27/07/2017</c:v>
                </c:pt>
                <c:pt idx="139">
                  <c:v>28/07/2017</c:v>
                </c:pt>
                <c:pt idx="140">
                  <c:v>31/07/2017</c:v>
                </c:pt>
                <c:pt idx="141">
                  <c:v>1/8/2017</c:v>
                </c:pt>
                <c:pt idx="142">
                  <c:v>2/8/2017</c:v>
                </c:pt>
                <c:pt idx="143">
                  <c:v>3/8/2017</c:v>
                </c:pt>
                <c:pt idx="144">
                  <c:v>4/8/2017</c:v>
                </c:pt>
                <c:pt idx="145">
                  <c:v>7/8/2017</c:v>
                </c:pt>
                <c:pt idx="146">
                  <c:v>8/8/2017</c:v>
                </c:pt>
                <c:pt idx="147">
                  <c:v>9/8/2017</c:v>
                </c:pt>
                <c:pt idx="148">
                  <c:v>10/8/2017</c:v>
                </c:pt>
                <c:pt idx="149">
                  <c:v>11/8/2017</c:v>
                </c:pt>
                <c:pt idx="150">
                  <c:v>14/08/2017</c:v>
                </c:pt>
                <c:pt idx="151">
                  <c:v>15/08/2017</c:v>
                </c:pt>
                <c:pt idx="152">
                  <c:v>16/08/2017</c:v>
                </c:pt>
                <c:pt idx="153">
                  <c:v>17/08/2017</c:v>
                </c:pt>
                <c:pt idx="154">
                  <c:v>18/08/2017</c:v>
                </c:pt>
                <c:pt idx="155">
                  <c:v>21/08/2017</c:v>
                </c:pt>
                <c:pt idx="156">
                  <c:v>22/08/2017</c:v>
                </c:pt>
                <c:pt idx="157">
                  <c:v>23/08/2017</c:v>
                </c:pt>
                <c:pt idx="158">
                  <c:v>24/08/2017</c:v>
                </c:pt>
                <c:pt idx="159">
                  <c:v>25/08/2017</c:v>
                </c:pt>
                <c:pt idx="160">
                  <c:v>28/08/2017</c:v>
                </c:pt>
                <c:pt idx="161">
                  <c:v>29/08/2017</c:v>
                </c:pt>
                <c:pt idx="162">
                  <c:v>30/08/2017</c:v>
                </c:pt>
                <c:pt idx="163">
                  <c:v>31/08/2017</c:v>
                </c:pt>
                <c:pt idx="164">
                  <c:v>1/9/2017</c:v>
                </c:pt>
                <c:pt idx="165">
                  <c:v>4/9/2017</c:v>
                </c:pt>
                <c:pt idx="166">
                  <c:v>5/9/2017</c:v>
                </c:pt>
                <c:pt idx="167">
                  <c:v>6/9/2017</c:v>
                </c:pt>
                <c:pt idx="168">
                  <c:v>7/9/2017</c:v>
                </c:pt>
                <c:pt idx="169">
                  <c:v>8/9/2017</c:v>
                </c:pt>
                <c:pt idx="170">
                  <c:v>11/9/2017</c:v>
                </c:pt>
                <c:pt idx="171">
                  <c:v>12/9/2017</c:v>
                </c:pt>
                <c:pt idx="172">
                  <c:v>13/09/2017</c:v>
                </c:pt>
                <c:pt idx="173">
                  <c:v>14/09/2017</c:v>
                </c:pt>
                <c:pt idx="174">
                  <c:v>15/09/2017</c:v>
                </c:pt>
                <c:pt idx="175">
                  <c:v>19/09/2017</c:v>
                </c:pt>
                <c:pt idx="176">
                  <c:v>20/09/2017</c:v>
                </c:pt>
                <c:pt idx="177">
                  <c:v>22/09/2017</c:v>
                </c:pt>
                <c:pt idx="178">
                  <c:v>23/09/2017</c:v>
                </c:pt>
                <c:pt idx="179">
                  <c:v>25/09/2017</c:v>
                </c:pt>
                <c:pt idx="180">
                  <c:v>26/09/2017</c:v>
                </c:pt>
                <c:pt idx="181">
                  <c:v>27/09/2017</c:v>
                </c:pt>
                <c:pt idx="182">
                  <c:v>28/09/2017</c:v>
                </c:pt>
                <c:pt idx="183">
                  <c:v>29/09/2017</c:v>
                </c:pt>
                <c:pt idx="184">
                  <c:v>2/10/2017</c:v>
                </c:pt>
                <c:pt idx="185">
                  <c:v>3/10/2017</c:v>
                </c:pt>
                <c:pt idx="186">
                  <c:v>4/10/2017</c:v>
                </c:pt>
                <c:pt idx="187">
                  <c:v>5/10/2017</c:v>
                </c:pt>
                <c:pt idx="188">
                  <c:v>6/10/2017</c:v>
                </c:pt>
                <c:pt idx="189">
                  <c:v>9/10/2017</c:v>
                </c:pt>
                <c:pt idx="190">
                  <c:v>10/10/2017</c:v>
                </c:pt>
                <c:pt idx="191">
                  <c:v>11/10/2017</c:v>
                </c:pt>
                <c:pt idx="192">
                  <c:v>12/10/2017</c:v>
                </c:pt>
                <c:pt idx="193">
                  <c:v>13/10/2017</c:v>
                </c:pt>
                <c:pt idx="194">
                  <c:v>16/10/2017</c:v>
                </c:pt>
                <c:pt idx="195">
                  <c:v>17/10/2017</c:v>
                </c:pt>
                <c:pt idx="196">
                  <c:v>18/10/2017</c:v>
                </c:pt>
                <c:pt idx="197">
                  <c:v>19/10/2017</c:v>
                </c:pt>
                <c:pt idx="198">
                  <c:v>20/10/2017</c:v>
                </c:pt>
                <c:pt idx="199">
                  <c:v>23/10/2017</c:v>
                </c:pt>
                <c:pt idx="200">
                  <c:v>24/10/2017</c:v>
                </c:pt>
                <c:pt idx="201">
                  <c:v>25/10/2017</c:v>
                </c:pt>
                <c:pt idx="202">
                  <c:v>26/10/2017</c:v>
                </c:pt>
                <c:pt idx="203">
                  <c:v>27/10/2017</c:v>
                </c:pt>
                <c:pt idx="204">
                  <c:v>30/10/2017</c:v>
                </c:pt>
                <c:pt idx="205">
                  <c:v>31/10/2017</c:v>
                </c:pt>
                <c:pt idx="206">
                  <c:v>1/11/2017</c:v>
                </c:pt>
                <c:pt idx="207">
                  <c:v>2/11/2017</c:v>
                </c:pt>
                <c:pt idx="208">
                  <c:v>3/11/2017</c:v>
                </c:pt>
                <c:pt idx="209">
                  <c:v>6/11/2017</c:v>
                </c:pt>
                <c:pt idx="210">
                  <c:v>7/11/2017</c:v>
                </c:pt>
                <c:pt idx="211">
                  <c:v>8/11/2017</c:v>
                </c:pt>
                <c:pt idx="212">
                  <c:v>9/11/2017</c:v>
                </c:pt>
                <c:pt idx="213">
                  <c:v>10/11/2017</c:v>
                </c:pt>
                <c:pt idx="214">
                  <c:v>13/11/2017</c:v>
                </c:pt>
                <c:pt idx="215">
                  <c:v>14/11/2017</c:v>
                </c:pt>
                <c:pt idx="216">
                  <c:v>15/11/2017</c:v>
                </c:pt>
                <c:pt idx="217">
                  <c:v>16/11/2017</c:v>
                </c:pt>
                <c:pt idx="218">
                  <c:v>17/11/2017</c:v>
                </c:pt>
                <c:pt idx="219">
                  <c:v>20/11/2017</c:v>
                </c:pt>
                <c:pt idx="220">
                  <c:v>21/11/2017</c:v>
                </c:pt>
                <c:pt idx="221">
                  <c:v>22/11/2017</c:v>
                </c:pt>
                <c:pt idx="222">
                  <c:v>23/11/2017</c:v>
                </c:pt>
                <c:pt idx="223">
                  <c:v>24/11/2017</c:v>
                </c:pt>
                <c:pt idx="224">
                  <c:v>27/11/2017</c:v>
                </c:pt>
                <c:pt idx="225">
                  <c:v>28/11/2017</c:v>
                </c:pt>
                <c:pt idx="226">
                  <c:v>29/11/2017</c:v>
                </c:pt>
                <c:pt idx="227">
                  <c:v>30/11/2017</c:v>
                </c:pt>
                <c:pt idx="228">
                  <c:v>1/12/2017</c:v>
                </c:pt>
                <c:pt idx="229">
                  <c:v>4/12/2017</c:v>
                </c:pt>
                <c:pt idx="230">
                  <c:v>5/12/2017</c:v>
                </c:pt>
                <c:pt idx="231">
                  <c:v>6/12/2017</c:v>
                </c:pt>
                <c:pt idx="232">
                  <c:v>7/12/2017</c:v>
                </c:pt>
                <c:pt idx="233">
                  <c:v>8/12/2017</c:v>
                </c:pt>
                <c:pt idx="234">
                  <c:v>11/12/2017</c:v>
                </c:pt>
                <c:pt idx="235">
                  <c:v>12/12/2017</c:v>
                </c:pt>
                <c:pt idx="236">
                  <c:v>13/12/2017</c:v>
                </c:pt>
                <c:pt idx="237">
                  <c:v>14/12/2017</c:v>
                </c:pt>
                <c:pt idx="238">
                  <c:v>15/12/2017</c:v>
                </c:pt>
                <c:pt idx="239">
                  <c:v>18/12/2017</c:v>
                </c:pt>
                <c:pt idx="240">
                  <c:v>19/12/2017</c:v>
                </c:pt>
                <c:pt idx="241">
                  <c:v>20/12/2017</c:v>
                </c:pt>
                <c:pt idx="242">
                  <c:v>21/12/2017</c:v>
                </c:pt>
                <c:pt idx="243">
                  <c:v>22/12/2017</c:v>
                </c:pt>
                <c:pt idx="244">
                  <c:v>25/12/2017</c:v>
                </c:pt>
                <c:pt idx="245">
                  <c:v>26/12/2017</c:v>
                </c:pt>
                <c:pt idx="246">
                  <c:v>27/12/2017</c:v>
                </c:pt>
                <c:pt idx="247">
                  <c:v>28/12/2017</c:v>
                </c:pt>
                <c:pt idx="248">
                  <c:v>29/12/2017</c:v>
                </c:pt>
                <c:pt idx="249">
                  <c:v>8/1/2018</c:v>
                </c:pt>
                <c:pt idx="250">
                  <c:v>9/1/2018</c:v>
                </c:pt>
                <c:pt idx="251">
                  <c:v>10/1/2018</c:v>
                </c:pt>
                <c:pt idx="252">
                  <c:v>11/1/2018</c:v>
                </c:pt>
                <c:pt idx="253">
                  <c:v>12/1/2018</c:v>
                </c:pt>
                <c:pt idx="254">
                  <c:v>15/01/2018</c:v>
                </c:pt>
                <c:pt idx="255">
                  <c:v>16/01/2018</c:v>
                </c:pt>
                <c:pt idx="256">
                  <c:v>17/01/2018</c:v>
                </c:pt>
                <c:pt idx="257">
                  <c:v>18/01/2018</c:v>
                </c:pt>
                <c:pt idx="258">
                  <c:v>19/01/2018</c:v>
                </c:pt>
                <c:pt idx="259">
                  <c:v>22/01/2018</c:v>
                </c:pt>
                <c:pt idx="260">
                  <c:v>23/01/2018</c:v>
                </c:pt>
                <c:pt idx="261">
                  <c:v>24/01/2018</c:v>
                </c:pt>
                <c:pt idx="262">
                  <c:v>25/01/2018</c:v>
                </c:pt>
                <c:pt idx="263">
                  <c:v>26/01/2018</c:v>
                </c:pt>
                <c:pt idx="264">
                  <c:v>29/01/2018</c:v>
                </c:pt>
                <c:pt idx="265">
                  <c:v>30/01/2018</c:v>
                </c:pt>
                <c:pt idx="266">
                  <c:v>31/01/2018</c:v>
                </c:pt>
                <c:pt idx="267">
                  <c:v>1/2/2018</c:v>
                </c:pt>
                <c:pt idx="268">
                  <c:v>2/2/2018</c:v>
                </c:pt>
                <c:pt idx="269">
                  <c:v>5/2/2018</c:v>
                </c:pt>
                <c:pt idx="270">
                  <c:v>6/2/2018</c:v>
                </c:pt>
                <c:pt idx="271">
                  <c:v>7/2/2018</c:v>
                </c:pt>
                <c:pt idx="272">
                  <c:v>8/2/2018</c:v>
                </c:pt>
                <c:pt idx="273">
                  <c:v>9/2/2018</c:v>
                </c:pt>
                <c:pt idx="274">
                  <c:v>12/2/2018</c:v>
                </c:pt>
                <c:pt idx="275">
                  <c:v>13/02/2018</c:v>
                </c:pt>
                <c:pt idx="276">
                  <c:v>14/02/2018</c:v>
                </c:pt>
                <c:pt idx="277">
                  <c:v>15/02/2018</c:v>
                </c:pt>
                <c:pt idx="278">
                  <c:v>16/02/2018</c:v>
                </c:pt>
                <c:pt idx="279">
                  <c:v>19/02/2018</c:v>
                </c:pt>
                <c:pt idx="280">
                  <c:v>20/02/2018</c:v>
                </c:pt>
                <c:pt idx="281">
                  <c:v>21/02/2018</c:v>
                </c:pt>
                <c:pt idx="282">
                  <c:v>22/02/2018</c:v>
                </c:pt>
                <c:pt idx="283">
                  <c:v>23/02/2018</c:v>
                </c:pt>
                <c:pt idx="284">
                  <c:v>26/02/2018</c:v>
                </c:pt>
                <c:pt idx="285">
                  <c:v>27/02/2018</c:v>
                </c:pt>
                <c:pt idx="286">
                  <c:v>28/02/2018</c:v>
                </c:pt>
                <c:pt idx="287">
                  <c:v>1/3/2018</c:v>
                </c:pt>
                <c:pt idx="288">
                  <c:v>2/3/2018</c:v>
                </c:pt>
                <c:pt idx="289">
                  <c:v>5/3/2018</c:v>
                </c:pt>
                <c:pt idx="290">
                  <c:v>6/3/2018</c:v>
                </c:pt>
                <c:pt idx="291">
                  <c:v>7/3/2018</c:v>
                </c:pt>
                <c:pt idx="292">
                  <c:v>12/3/2018</c:v>
                </c:pt>
                <c:pt idx="293">
                  <c:v>13/03/2018</c:v>
                </c:pt>
                <c:pt idx="294">
                  <c:v>14/03/2018</c:v>
                </c:pt>
                <c:pt idx="295">
                  <c:v>15/03/2018</c:v>
                </c:pt>
                <c:pt idx="296">
                  <c:v>16/03/2018</c:v>
                </c:pt>
                <c:pt idx="297">
                  <c:v>17/03/2018</c:v>
                </c:pt>
                <c:pt idx="298">
                  <c:v>19/03/2018</c:v>
                </c:pt>
                <c:pt idx="299">
                  <c:v>20/03/2018</c:v>
                </c:pt>
                <c:pt idx="300">
                  <c:v>21/03/2018</c:v>
                </c:pt>
                <c:pt idx="301">
                  <c:v>22/03/2018</c:v>
                </c:pt>
                <c:pt idx="302">
                  <c:v>23/03/2018</c:v>
                </c:pt>
                <c:pt idx="303">
                  <c:v>26/03/2018</c:v>
                </c:pt>
                <c:pt idx="304">
                  <c:v>27/03/2018</c:v>
                </c:pt>
                <c:pt idx="305">
                  <c:v>28/03/2018</c:v>
                </c:pt>
                <c:pt idx="306">
                  <c:v>29/03/2018</c:v>
                </c:pt>
                <c:pt idx="307">
                  <c:v>30/03/2018</c:v>
                </c:pt>
                <c:pt idx="308">
                  <c:v>3/4/2018</c:v>
                </c:pt>
                <c:pt idx="309">
                  <c:v>4/4/2018</c:v>
                </c:pt>
                <c:pt idx="310">
                  <c:v>5/4/2018</c:v>
                </c:pt>
                <c:pt idx="311">
                  <c:v>6/4/2018</c:v>
                </c:pt>
                <c:pt idx="312">
                  <c:v>7/4/2018</c:v>
                </c:pt>
                <c:pt idx="313">
                  <c:v>9/4/2018</c:v>
                </c:pt>
                <c:pt idx="314">
                  <c:v>10/4/2018</c:v>
                </c:pt>
                <c:pt idx="315">
                  <c:v>11/4/2018</c:v>
                </c:pt>
                <c:pt idx="316">
                  <c:v>12/4/2018</c:v>
                </c:pt>
                <c:pt idx="317">
                  <c:v>13/04/2018</c:v>
                </c:pt>
                <c:pt idx="318">
                  <c:v>16/04/2018</c:v>
                </c:pt>
                <c:pt idx="319">
                  <c:v>17/04/2018</c:v>
                </c:pt>
                <c:pt idx="320">
                  <c:v>18/04/2018</c:v>
                </c:pt>
                <c:pt idx="321">
                  <c:v>19/04/2018</c:v>
                </c:pt>
                <c:pt idx="322">
                  <c:v>20/04/2018</c:v>
                </c:pt>
                <c:pt idx="323">
                  <c:v>23/04/2018</c:v>
                </c:pt>
                <c:pt idx="324">
                  <c:v>25/04/2018</c:v>
                </c:pt>
                <c:pt idx="325">
                  <c:v>26/04/2018</c:v>
                </c:pt>
                <c:pt idx="326">
                  <c:v>27/04/2018</c:v>
                </c:pt>
                <c:pt idx="327">
                  <c:v>2/5/2018</c:v>
                </c:pt>
                <c:pt idx="328">
                  <c:v>3/5/2018</c:v>
                </c:pt>
                <c:pt idx="329">
                  <c:v>4/5/2018</c:v>
                </c:pt>
                <c:pt idx="330">
                  <c:v>5/5/2018</c:v>
                </c:pt>
                <c:pt idx="331">
                  <c:v>7/5/2018</c:v>
                </c:pt>
                <c:pt idx="332">
                  <c:v>8/5/2018</c:v>
                </c:pt>
                <c:pt idx="333">
                  <c:v>10/5/2018</c:v>
                </c:pt>
                <c:pt idx="334">
                  <c:v>11/5/2018</c:v>
                </c:pt>
                <c:pt idx="335">
                  <c:v>14/05/2018</c:v>
                </c:pt>
                <c:pt idx="336">
                  <c:v>15/05/2018</c:v>
                </c:pt>
                <c:pt idx="337">
                  <c:v>16/05/2018</c:v>
                </c:pt>
                <c:pt idx="338">
                  <c:v>17/05/2018</c:v>
                </c:pt>
                <c:pt idx="339">
                  <c:v>18/05/2018</c:v>
                </c:pt>
                <c:pt idx="340">
                  <c:v>21/05/2018</c:v>
                </c:pt>
                <c:pt idx="341">
                  <c:v>22/05/2018</c:v>
                </c:pt>
                <c:pt idx="342">
                  <c:v>23/05/2018</c:v>
                </c:pt>
                <c:pt idx="343">
                  <c:v>24/05/2018</c:v>
                </c:pt>
                <c:pt idx="344">
                  <c:v>25/05/2018</c:v>
                </c:pt>
                <c:pt idx="345">
                  <c:v>29/05/2018</c:v>
                </c:pt>
                <c:pt idx="346">
                  <c:v>30/05/2018</c:v>
                </c:pt>
                <c:pt idx="347">
                  <c:v>31/05/2018</c:v>
                </c:pt>
                <c:pt idx="348">
                  <c:v>1/6/2018</c:v>
                </c:pt>
                <c:pt idx="349">
                  <c:v>4/6/2018</c:v>
                </c:pt>
                <c:pt idx="350">
                  <c:v>5/6/2018</c:v>
                </c:pt>
                <c:pt idx="351">
                  <c:v>6/6/2018</c:v>
                </c:pt>
                <c:pt idx="352">
                  <c:v>7/6/2018</c:v>
                </c:pt>
                <c:pt idx="353">
                  <c:v>8/6/2018</c:v>
                </c:pt>
                <c:pt idx="354">
                  <c:v>11/6/2018</c:v>
                </c:pt>
                <c:pt idx="355">
                  <c:v>12/6/2018</c:v>
                </c:pt>
                <c:pt idx="356">
                  <c:v>13/06/2018</c:v>
                </c:pt>
                <c:pt idx="357">
                  <c:v>14/06/2018</c:v>
                </c:pt>
                <c:pt idx="358">
                  <c:v>15/06/2018</c:v>
                </c:pt>
                <c:pt idx="359">
                  <c:v>18/06/2018</c:v>
                </c:pt>
                <c:pt idx="360">
                  <c:v>19/06/2018</c:v>
                </c:pt>
                <c:pt idx="361">
                  <c:v>20/06/2018</c:v>
                </c:pt>
                <c:pt idx="362">
                  <c:v>21/06/2018</c:v>
                </c:pt>
                <c:pt idx="363">
                  <c:v>22/06/2018</c:v>
                </c:pt>
                <c:pt idx="364">
                  <c:v>25/06/2018</c:v>
                </c:pt>
                <c:pt idx="365">
                  <c:v>26/06/2018</c:v>
                </c:pt>
                <c:pt idx="366">
                  <c:v>27/06/2018</c:v>
                </c:pt>
                <c:pt idx="367">
                  <c:v>28/06/2018</c:v>
                </c:pt>
                <c:pt idx="368">
                  <c:v>29/06/2018</c:v>
                </c:pt>
                <c:pt idx="369">
                  <c:v>2/7/2018</c:v>
                </c:pt>
                <c:pt idx="370">
                  <c:v>3/7/2018</c:v>
                </c:pt>
                <c:pt idx="371">
                  <c:v>4/7/2018</c:v>
                </c:pt>
                <c:pt idx="372">
                  <c:v>6/7/2018</c:v>
                </c:pt>
                <c:pt idx="373">
                  <c:v>9/7/2018</c:v>
                </c:pt>
                <c:pt idx="374">
                  <c:v>10/7/2018</c:v>
                </c:pt>
                <c:pt idx="375">
                  <c:v>11/7/2018</c:v>
                </c:pt>
                <c:pt idx="376">
                  <c:v>12/7/2018</c:v>
                </c:pt>
                <c:pt idx="377">
                  <c:v>13/07/2018</c:v>
                </c:pt>
                <c:pt idx="378">
                  <c:v>16/07/2018</c:v>
                </c:pt>
                <c:pt idx="379">
                  <c:v>17/07/2018</c:v>
                </c:pt>
                <c:pt idx="380">
                  <c:v>18/07/2018</c:v>
                </c:pt>
                <c:pt idx="381">
                  <c:v>19/07/2018</c:v>
                </c:pt>
                <c:pt idx="382">
                  <c:v>20/07/2018</c:v>
                </c:pt>
                <c:pt idx="383">
                  <c:v>23/07/2018</c:v>
                </c:pt>
                <c:pt idx="384">
                  <c:v>24/07/2018</c:v>
                </c:pt>
                <c:pt idx="385">
                  <c:v>25/07/2018</c:v>
                </c:pt>
                <c:pt idx="386">
                  <c:v>26/07/2018</c:v>
                </c:pt>
                <c:pt idx="387">
                  <c:v>27/07/2018</c:v>
                </c:pt>
                <c:pt idx="388">
                  <c:v>30/07/2018</c:v>
                </c:pt>
                <c:pt idx="389">
                  <c:v>31/07/2018</c:v>
                </c:pt>
                <c:pt idx="390">
                  <c:v>1/8/2018</c:v>
                </c:pt>
                <c:pt idx="391">
                  <c:v>2/8/2018</c:v>
                </c:pt>
                <c:pt idx="392">
                  <c:v>3/8/2018</c:v>
                </c:pt>
                <c:pt idx="393">
                  <c:v>6/8/2018</c:v>
                </c:pt>
                <c:pt idx="394">
                  <c:v>7/8/2018</c:v>
                </c:pt>
                <c:pt idx="395">
                  <c:v>8/8/2018</c:v>
                </c:pt>
                <c:pt idx="396">
                  <c:v>9/8/2018</c:v>
                </c:pt>
                <c:pt idx="397">
                  <c:v>10/8/2018</c:v>
                </c:pt>
                <c:pt idx="398">
                  <c:v>13/08/2018</c:v>
                </c:pt>
                <c:pt idx="399">
                  <c:v>14/08/2018</c:v>
                </c:pt>
                <c:pt idx="400">
                  <c:v>15/08/2018</c:v>
                </c:pt>
                <c:pt idx="401">
                  <c:v>16/08/2018</c:v>
                </c:pt>
                <c:pt idx="402">
                  <c:v>17/08/2018</c:v>
                </c:pt>
                <c:pt idx="403">
                  <c:v>20/08/2018</c:v>
                </c:pt>
                <c:pt idx="404">
                  <c:v>21/08/2018</c:v>
                </c:pt>
                <c:pt idx="405">
                  <c:v>22/08/2018</c:v>
                </c:pt>
                <c:pt idx="406">
                  <c:v>23/08/2018</c:v>
                </c:pt>
                <c:pt idx="407">
                  <c:v>24/08/2018</c:v>
                </c:pt>
                <c:pt idx="408">
                  <c:v>27/08/2018</c:v>
                </c:pt>
                <c:pt idx="409">
                  <c:v>28/08/2018</c:v>
                </c:pt>
                <c:pt idx="410">
                  <c:v>29/08/2018</c:v>
                </c:pt>
                <c:pt idx="411">
                  <c:v>30/08/2018</c:v>
                </c:pt>
                <c:pt idx="412">
                  <c:v>31/08/2018</c:v>
                </c:pt>
                <c:pt idx="413">
                  <c:v>3/9/2018</c:v>
                </c:pt>
                <c:pt idx="414">
                  <c:v>4/9/2018</c:v>
                </c:pt>
                <c:pt idx="415">
                  <c:v>5/9/2018</c:v>
                </c:pt>
                <c:pt idx="416">
                  <c:v>6/9/2018</c:v>
                </c:pt>
                <c:pt idx="417">
                  <c:v>7/9/2018</c:v>
                </c:pt>
                <c:pt idx="418">
                  <c:v>10/9/2018</c:v>
                </c:pt>
                <c:pt idx="419">
                  <c:v>11/9/2018</c:v>
                </c:pt>
                <c:pt idx="420">
                  <c:v>12/9/2018</c:v>
                </c:pt>
                <c:pt idx="421">
                  <c:v>13/09/2018</c:v>
                </c:pt>
                <c:pt idx="422">
                  <c:v>14/09/2018</c:v>
                </c:pt>
                <c:pt idx="423">
                  <c:v>17/09/2018</c:v>
                </c:pt>
                <c:pt idx="424">
                  <c:v>18/09/2018</c:v>
                </c:pt>
                <c:pt idx="425">
                  <c:v>19/09/2018</c:v>
                </c:pt>
                <c:pt idx="426">
                  <c:v>20/09/2018</c:v>
                </c:pt>
                <c:pt idx="427">
                  <c:v>24/09/2018</c:v>
                </c:pt>
                <c:pt idx="428">
                  <c:v>25/09/2018</c:v>
                </c:pt>
                <c:pt idx="429">
                  <c:v>26/09/2018</c:v>
                </c:pt>
                <c:pt idx="430">
                  <c:v>27/09/2018</c:v>
                </c:pt>
                <c:pt idx="431">
                  <c:v>28/09/2018</c:v>
                </c:pt>
                <c:pt idx="432">
                  <c:v>1/10/2018</c:v>
                </c:pt>
                <c:pt idx="433">
                  <c:v>2/10/2018</c:v>
                </c:pt>
                <c:pt idx="434">
                  <c:v>3/10/2018</c:v>
                </c:pt>
                <c:pt idx="435">
                  <c:v>4/10/2018</c:v>
                </c:pt>
                <c:pt idx="436">
                  <c:v>5/10/2018</c:v>
                </c:pt>
                <c:pt idx="437">
                  <c:v>8/10/2018</c:v>
                </c:pt>
                <c:pt idx="438">
                  <c:v>9/10/2018</c:v>
                </c:pt>
                <c:pt idx="439">
                  <c:v>10/10/2018</c:v>
                </c:pt>
                <c:pt idx="440">
                  <c:v>15/10/2018</c:v>
                </c:pt>
                <c:pt idx="441">
                  <c:v>16/10/2018</c:v>
                </c:pt>
                <c:pt idx="442">
                  <c:v>17/10/2018</c:v>
                </c:pt>
                <c:pt idx="443">
                  <c:v>18/10/2018</c:v>
                </c:pt>
                <c:pt idx="444">
                  <c:v>19/10/2018</c:v>
                </c:pt>
                <c:pt idx="445">
                  <c:v>22/10/2018</c:v>
                </c:pt>
                <c:pt idx="446">
                  <c:v>23/10/2018</c:v>
                </c:pt>
                <c:pt idx="447">
                  <c:v>24/10/2018</c:v>
                </c:pt>
                <c:pt idx="448">
                  <c:v>25/10/2018</c:v>
                </c:pt>
                <c:pt idx="449">
                  <c:v>26/10/2018</c:v>
                </c:pt>
                <c:pt idx="450">
                  <c:v>27/10/2018</c:v>
                </c:pt>
                <c:pt idx="451">
                  <c:v>29/10/2018</c:v>
                </c:pt>
                <c:pt idx="452">
                  <c:v>30/10/2018</c:v>
                </c:pt>
                <c:pt idx="453">
                  <c:v>31/10/2018</c:v>
                </c:pt>
                <c:pt idx="454">
                  <c:v>1/11/2018</c:v>
                </c:pt>
                <c:pt idx="455">
                  <c:v>2/11/2018</c:v>
                </c:pt>
                <c:pt idx="456">
                  <c:v>3/11/2018</c:v>
                </c:pt>
                <c:pt idx="457">
                  <c:v>5/11/2018</c:v>
                </c:pt>
                <c:pt idx="458">
                  <c:v>6/11/2018</c:v>
                </c:pt>
                <c:pt idx="459">
                  <c:v>7/11/2018</c:v>
                </c:pt>
                <c:pt idx="460">
                  <c:v>8/11/2018</c:v>
                </c:pt>
                <c:pt idx="461">
                  <c:v>9/11/2018</c:v>
                </c:pt>
                <c:pt idx="462">
                  <c:v>12/11/2018</c:v>
                </c:pt>
                <c:pt idx="463">
                  <c:v>13/11/2018</c:v>
                </c:pt>
                <c:pt idx="464">
                  <c:v>14/11/2018</c:v>
                </c:pt>
                <c:pt idx="465">
                  <c:v>15/11/2018</c:v>
                </c:pt>
                <c:pt idx="466">
                  <c:v>16/11/2018</c:v>
                </c:pt>
                <c:pt idx="467">
                  <c:v>19/11/2018</c:v>
                </c:pt>
                <c:pt idx="468">
                  <c:v>20/11/2018</c:v>
                </c:pt>
                <c:pt idx="469">
                  <c:v>21/11/2018</c:v>
                </c:pt>
                <c:pt idx="470">
                  <c:v>22/11/2018</c:v>
                </c:pt>
                <c:pt idx="471">
                  <c:v>23/11/2018</c:v>
                </c:pt>
                <c:pt idx="472">
                  <c:v>26/11/2018</c:v>
                </c:pt>
                <c:pt idx="473">
                  <c:v>27/11/2018</c:v>
                </c:pt>
                <c:pt idx="474">
                  <c:v>28/11/2018</c:v>
                </c:pt>
                <c:pt idx="475">
                  <c:v>29/11/2018</c:v>
                </c:pt>
                <c:pt idx="476">
                  <c:v>30/11/2018</c:v>
                </c:pt>
                <c:pt idx="477">
                  <c:v>3/12/2018</c:v>
                </c:pt>
                <c:pt idx="478">
                  <c:v>4/12/2018</c:v>
                </c:pt>
                <c:pt idx="479">
                  <c:v>5/12/2018</c:v>
                </c:pt>
                <c:pt idx="480">
                  <c:v>6/12/2018</c:v>
                </c:pt>
                <c:pt idx="481">
                  <c:v>7/12/2018</c:v>
                </c:pt>
                <c:pt idx="482">
                  <c:v>10/12/2018</c:v>
                </c:pt>
                <c:pt idx="483">
                  <c:v>11/12/2018</c:v>
                </c:pt>
                <c:pt idx="484">
                  <c:v>12/12/2018</c:v>
                </c:pt>
                <c:pt idx="485">
                  <c:v>13/12/2018</c:v>
                </c:pt>
                <c:pt idx="486">
                  <c:v>14/12/2018</c:v>
                </c:pt>
                <c:pt idx="487">
                  <c:v>17/12/2018</c:v>
                </c:pt>
                <c:pt idx="488">
                  <c:v>18/12/2018</c:v>
                </c:pt>
                <c:pt idx="489">
                  <c:v>19/12/2018</c:v>
                </c:pt>
                <c:pt idx="490">
                  <c:v>20/12/2018</c:v>
                </c:pt>
                <c:pt idx="491">
                  <c:v>21/12/2018</c:v>
                </c:pt>
                <c:pt idx="492">
                  <c:v>24/12/2018</c:v>
                </c:pt>
                <c:pt idx="493">
                  <c:v>25/12/2018</c:v>
                </c:pt>
                <c:pt idx="494">
                  <c:v>26/12/2018</c:v>
                </c:pt>
                <c:pt idx="495">
                  <c:v>27/12/2018</c:v>
                </c:pt>
                <c:pt idx="496">
                  <c:v>28/12/2018</c:v>
                </c:pt>
                <c:pt idx="497">
                  <c:v>8/1/2019</c:v>
                </c:pt>
                <c:pt idx="498">
                  <c:v>9/1/2019</c:v>
                </c:pt>
                <c:pt idx="499">
                  <c:v>10/1/2019</c:v>
                </c:pt>
                <c:pt idx="500">
                  <c:v>11/1/2019</c:v>
                </c:pt>
                <c:pt idx="501">
                  <c:v>14/01/2019</c:v>
                </c:pt>
                <c:pt idx="502">
                  <c:v>15/01/2019</c:v>
                </c:pt>
                <c:pt idx="503">
                  <c:v>16/01/2019</c:v>
                </c:pt>
                <c:pt idx="504">
                  <c:v>17/01/2019</c:v>
                </c:pt>
                <c:pt idx="505">
                  <c:v>18/01/2019</c:v>
                </c:pt>
                <c:pt idx="506">
                  <c:v>21/01/2019</c:v>
                </c:pt>
                <c:pt idx="507">
                  <c:v>22/01/2019</c:v>
                </c:pt>
                <c:pt idx="508">
                  <c:v>23/01/2019</c:v>
                </c:pt>
                <c:pt idx="509">
                  <c:v>24/01/2019</c:v>
                </c:pt>
                <c:pt idx="510">
                  <c:v>25/01/2019</c:v>
                </c:pt>
                <c:pt idx="511">
                  <c:v>29/01/2019</c:v>
                </c:pt>
                <c:pt idx="512">
                  <c:v>30/01/2019</c:v>
                </c:pt>
                <c:pt idx="513">
                  <c:v>31/01/2019</c:v>
                </c:pt>
                <c:pt idx="514">
                  <c:v>1/2/2019</c:v>
                </c:pt>
                <c:pt idx="515">
                  <c:v>4/2/2019</c:v>
                </c:pt>
                <c:pt idx="516">
                  <c:v>5/2/2019</c:v>
                </c:pt>
                <c:pt idx="517">
                  <c:v>6/2/2019</c:v>
                </c:pt>
                <c:pt idx="518">
                  <c:v>7/2/2019</c:v>
                </c:pt>
                <c:pt idx="519">
                  <c:v>8/2/2019</c:v>
                </c:pt>
                <c:pt idx="520">
                  <c:v>11/2/2019</c:v>
                </c:pt>
                <c:pt idx="521">
                  <c:v>12/2/2019</c:v>
                </c:pt>
                <c:pt idx="522">
                  <c:v>13/02/2019</c:v>
                </c:pt>
                <c:pt idx="523">
                  <c:v>14/02/2019</c:v>
                </c:pt>
                <c:pt idx="524">
                  <c:v>15/02/2019</c:v>
                </c:pt>
                <c:pt idx="525">
                  <c:v>18/02/2019</c:v>
                </c:pt>
                <c:pt idx="526">
                  <c:v>19/02/2019</c:v>
                </c:pt>
                <c:pt idx="527">
                  <c:v>20/02/2019</c:v>
                </c:pt>
                <c:pt idx="528">
                  <c:v>21/02/2019</c:v>
                </c:pt>
                <c:pt idx="529">
                  <c:v>22/02/2019</c:v>
                </c:pt>
                <c:pt idx="530">
                  <c:v>25/02/2019</c:v>
                </c:pt>
                <c:pt idx="531">
                  <c:v>26/02/2019</c:v>
                </c:pt>
                <c:pt idx="532">
                  <c:v>27/02/2019</c:v>
                </c:pt>
                <c:pt idx="533">
                  <c:v>28/02/2019</c:v>
                </c:pt>
                <c:pt idx="534">
                  <c:v>1/3/2019</c:v>
                </c:pt>
                <c:pt idx="535">
                  <c:v>4/3/2019</c:v>
                </c:pt>
                <c:pt idx="536">
                  <c:v>5/3/2019</c:v>
                </c:pt>
                <c:pt idx="537">
                  <c:v>6/3/2019</c:v>
                </c:pt>
                <c:pt idx="538">
                  <c:v>7/3/2019</c:v>
                </c:pt>
                <c:pt idx="539">
                  <c:v>11/3/2019</c:v>
                </c:pt>
                <c:pt idx="540">
                  <c:v>12/3/2019</c:v>
                </c:pt>
                <c:pt idx="541">
                  <c:v>13/03/2019</c:v>
                </c:pt>
                <c:pt idx="542">
                  <c:v>14/03/2019</c:v>
                </c:pt>
                <c:pt idx="543">
                  <c:v>15/03/2019</c:v>
                </c:pt>
                <c:pt idx="544">
                  <c:v>18/03/2019</c:v>
                </c:pt>
                <c:pt idx="545">
                  <c:v>19/03/2019</c:v>
                </c:pt>
                <c:pt idx="546">
                  <c:v>20/03/2019</c:v>
                </c:pt>
                <c:pt idx="547">
                  <c:v>21/03/2019</c:v>
                </c:pt>
                <c:pt idx="548">
                  <c:v>22/03/2019</c:v>
                </c:pt>
                <c:pt idx="549">
                  <c:v>25/03/2019</c:v>
                </c:pt>
                <c:pt idx="550">
                  <c:v>26/03/2019</c:v>
                </c:pt>
                <c:pt idx="551">
                  <c:v>27/03/2019</c:v>
                </c:pt>
                <c:pt idx="552">
                  <c:v>28/03/2019</c:v>
                </c:pt>
                <c:pt idx="553">
                  <c:v>29/03/2019</c:v>
                </c:pt>
                <c:pt idx="554">
                  <c:v>1/4/2019</c:v>
                </c:pt>
                <c:pt idx="555">
                  <c:v>2/4/2019</c:v>
                </c:pt>
                <c:pt idx="556">
                  <c:v>3/4/2019</c:v>
                </c:pt>
                <c:pt idx="557">
                  <c:v>4/4/2019</c:v>
                </c:pt>
                <c:pt idx="558">
                  <c:v>5/4/2019</c:v>
                </c:pt>
                <c:pt idx="559">
                  <c:v>8/4/2019</c:v>
                </c:pt>
                <c:pt idx="560">
                  <c:v>9/4/2019</c:v>
                </c:pt>
                <c:pt idx="561">
                  <c:v>10/4/2019</c:v>
                </c:pt>
                <c:pt idx="562">
                  <c:v>11/4/2019</c:v>
                </c:pt>
                <c:pt idx="563">
                  <c:v>12/4/2019</c:v>
                </c:pt>
                <c:pt idx="564">
                  <c:v>15/04/2019</c:v>
                </c:pt>
                <c:pt idx="565">
                  <c:v>16/04/2019</c:v>
                </c:pt>
                <c:pt idx="566">
                  <c:v>17/04/2019</c:v>
                </c:pt>
                <c:pt idx="567">
                  <c:v>18/04/2019</c:v>
                </c:pt>
                <c:pt idx="568">
                  <c:v>19/04/2019</c:v>
                </c:pt>
                <c:pt idx="569">
                  <c:v>22/04/2019</c:v>
                </c:pt>
                <c:pt idx="570">
                  <c:v>23/04/2019</c:v>
                </c:pt>
                <c:pt idx="571">
                  <c:v>25/04/2019</c:v>
                </c:pt>
                <c:pt idx="572">
                  <c:v>26/04/2019</c:v>
                </c:pt>
                <c:pt idx="573">
                  <c:v>29/04/2019</c:v>
                </c:pt>
                <c:pt idx="574">
                  <c:v>30/04/2019</c:v>
                </c:pt>
                <c:pt idx="575">
                  <c:v>2/5/2019</c:v>
                </c:pt>
                <c:pt idx="576">
                  <c:v>3/5/2019</c:v>
                </c:pt>
                <c:pt idx="577">
                  <c:v>6/5/2019</c:v>
                </c:pt>
                <c:pt idx="578">
                  <c:v>7/5/2019</c:v>
                </c:pt>
                <c:pt idx="579">
                  <c:v>8/5/2019</c:v>
                </c:pt>
                <c:pt idx="580">
                  <c:v>10/5/2019</c:v>
                </c:pt>
                <c:pt idx="581">
                  <c:v>13/05/2019</c:v>
                </c:pt>
                <c:pt idx="582">
                  <c:v>14/05/2019</c:v>
                </c:pt>
                <c:pt idx="583">
                  <c:v>15/05/2019</c:v>
                </c:pt>
                <c:pt idx="584">
                  <c:v>16/05/2019</c:v>
                </c:pt>
                <c:pt idx="585">
                  <c:v>17/05/2019</c:v>
                </c:pt>
                <c:pt idx="586">
                  <c:v>20/05/2019</c:v>
                </c:pt>
                <c:pt idx="587">
                  <c:v>21/05/2019</c:v>
                </c:pt>
                <c:pt idx="588">
                  <c:v>22/05/2019</c:v>
                </c:pt>
                <c:pt idx="589">
                  <c:v>23/05/2019</c:v>
                </c:pt>
                <c:pt idx="590">
                  <c:v>24/05/2019</c:v>
                </c:pt>
                <c:pt idx="591">
                  <c:v>27/05/2019</c:v>
                </c:pt>
                <c:pt idx="592">
                  <c:v>29/05/2019</c:v>
                </c:pt>
                <c:pt idx="593">
                  <c:v>30/05/2019</c:v>
                </c:pt>
                <c:pt idx="594">
                  <c:v>31/05/2019</c:v>
                </c:pt>
                <c:pt idx="595">
                  <c:v>3/6/2019</c:v>
                </c:pt>
                <c:pt idx="596">
                  <c:v>4/6/2019</c:v>
                </c:pt>
                <c:pt idx="597">
                  <c:v>5/6/2019</c:v>
                </c:pt>
                <c:pt idx="598">
                  <c:v>6/6/2019</c:v>
                </c:pt>
                <c:pt idx="599">
                  <c:v>7/6/2019</c:v>
                </c:pt>
                <c:pt idx="600">
                  <c:v>10/6/2019</c:v>
                </c:pt>
                <c:pt idx="601">
                  <c:v>11/6/2019</c:v>
                </c:pt>
                <c:pt idx="602">
                  <c:v>12/6/2019</c:v>
                </c:pt>
                <c:pt idx="603">
                  <c:v>13/06/2019</c:v>
                </c:pt>
                <c:pt idx="604">
                  <c:v>14/06/2019</c:v>
                </c:pt>
                <c:pt idx="605">
                  <c:v>17/06/2019</c:v>
                </c:pt>
                <c:pt idx="606">
                  <c:v>18/06/2019</c:v>
                </c:pt>
                <c:pt idx="607">
                  <c:v>19/06/2019</c:v>
                </c:pt>
                <c:pt idx="608">
                  <c:v>20/06/2019</c:v>
                </c:pt>
                <c:pt idx="609">
                  <c:v>21/06/2019</c:v>
                </c:pt>
                <c:pt idx="610">
                  <c:v>24/06/2019</c:v>
                </c:pt>
                <c:pt idx="611">
                  <c:v>25/06/2019</c:v>
                </c:pt>
                <c:pt idx="612">
                  <c:v>26/06/2019</c:v>
                </c:pt>
                <c:pt idx="613">
                  <c:v>27/06/2019</c:v>
                </c:pt>
                <c:pt idx="614">
                  <c:v>28/06/2019</c:v>
                </c:pt>
                <c:pt idx="615">
                  <c:v>1/7/2019</c:v>
                </c:pt>
                <c:pt idx="616">
                  <c:v>2/7/2019</c:v>
                </c:pt>
                <c:pt idx="617">
                  <c:v>3/7/2019</c:v>
                </c:pt>
                <c:pt idx="618">
                  <c:v>4/7/2019</c:v>
                </c:pt>
                <c:pt idx="619">
                  <c:v>8/7/2019</c:v>
                </c:pt>
                <c:pt idx="620">
                  <c:v>9/7/2019</c:v>
                </c:pt>
                <c:pt idx="621">
                  <c:v>10/7/2019</c:v>
                </c:pt>
                <c:pt idx="622">
                  <c:v>11/7/2019</c:v>
                </c:pt>
                <c:pt idx="623">
                  <c:v>12/7/2019</c:v>
                </c:pt>
                <c:pt idx="624">
                  <c:v>15/07/2019</c:v>
                </c:pt>
                <c:pt idx="625">
                  <c:v>16/07/2019</c:v>
                </c:pt>
                <c:pt idx="626">
                  <c:v>17/07/2019</c:v>
                </c:pt>
                <c:pt idx="627">
                  <c:v>18/07/2019</c:v>
                </c:pt>
                <c:pt idx="628">
                  <c:v>19/07/2019</c:v>
                </c:pt>
                <c:pt idx="629">
                  <c:v>22/07/2019</c:v>
                </c:pt>
                <c:pt idx="630">
                  <c:v>23/07/2019</c:v>
                </c:pt>
                <c:pt idx="631">
                  <c:v>24/07/2019</c:v>
                </c:pt>
                <c:pt idx="632">
                  <c:v>25/07/2019</c:v>
                </c:pt>
                <c:pt idx="633">
                  <c:v>26/07/2019</c:v>
                </c:pt>
                <c:pt idx="634">
                  <c:v>29/07/2019</c:v>
                </c:pt>
                <c:pt idx="635">
                  <c:v>30/07/2019</c:v>
                </c:pt>
                <c:pt idx="636">
                  <c:v>31/07/2019</c:v>
                </c:pt>
                <c:pt idx="637">
                  <c:v>1/8/2019</c:v>
                </c:pt>
                <c:pt idx="638">
                  <c:v>2/8/2019</c:v>
                </c:pt>
                <c:pt idx="639">
                  <c:v>5/8/2019</c:v>
                </c:pt>
                <c:pt idx="640">
                  <c:v>6/8/2019</c:v>
                </c:pt>
                <c:pt idx="641">
                  <c:v>7/8/2019</c:v>
                </c:pt>
                <c:pt idx="642">
                  <c:v>8/8/2019</c:v>
                </c:pt>
                <c:pt idx="643">
                  <c:v>9/8/2019</c:v>
                </c:pt>
                <c:pt idx="644">
                  <c:v>12/8/2019</c:v>
                </c:pt>
                <c:pt idx="645">
                  <c:v>13/08/2019</c:v>
                </c:pt>
                <c:pt idx="646">
                  <c:v>14/08/2019</c:v>
                </c:pt>
                <c:pt idx="647">
                  <c:v>15/08/2019</c:v>
                </c:pt>
                <c:pt idx="648">
                  <c:v>16/08/2019</c:v>
                </c:pt>
                <c:pt idx="649">
                  <c:v>19/08/2019</c:v>
                </c:pt>
                <c:pt idx="650">
                  <c:v>20/08/2019</c:v>
                </c:pt>
                <c:pt idx="651">
                  <c:v>21/08/2019</c:v>
                </c:pt>
                <c:pt idx="652">
                  <c:v>22/08/2019</c:v>
                </c:pt>
                <c:pt idx="653">
                  <c:v>23/08/2019</c:v>
                </c:pt>
                <c:pt idx="654">
                  <c:v>26/08/2019</c:v>
                </c:pt>
                <c:pt idx="655">
                  <c:v>27/08/2019</c:v>
                </c:pt>
                <c:pt idx="656">
                  <c:v>28/08/2019</c:v>
                </c:pt>
                <c:pt idx="657">
                  <c:v>29/08/2019</c:v>
                </c:pt>
                <c:pt idx="658">
                  <c:v>30/08/2019</c:v>
                </c:pt>
                <c:pt idx="659">
                  <c:v>2/9/2019</c:v>
                </c:pt>
                <c:pt idx="660">
                  <c:v>3/9/2019</c:v>
                </c:pt>
                <c:pt idx="661">
                  <c:v>4/9/2019</c:v>
                </c:pt>
                <c:pt idx="662">
                  <c:v>5/9/2019</c:v>
                </c:pt>
                <c:pt idx="663">
                  <c:v>6/9/2019</c:v>
                </c:pt>
                <c:pt idx="664">
                  <c:v>9/9/2019</c:v>
                </c:pt>
                <c:pt idx="665">
                  <c:v>10/9/2019</c:v>
                </c:pt>
                <c:pt idx="666">
                  <c:v>11/9/2019</c:v>
                </c:pt>
                <c:pt idx="667">
                  <c:v>12/9/2019</c:v>
                </c:pt>
                <c:pt idx="668">
                  <c:v>13/09/2019</c:v>
                </c:pt>
                <c:pt idx="669">
                  <c:v>16/09/2019</c:v>
                </c:pt>
                <c:pt idx="670">
                  <c:v>17/09/2019</c:v>
                </c:pt>
                <c:pt idx="671">
                  <c:v>18/09/2019</c:v>
                </c:pt>
                <c:pt idx="672">
                  <c:v>19/09/2019</c:v>
                </c:pt>
                <c:pt idx="673">
                  <c:v>20/09/2019</c:v>
                </c:pt>
                <c:pt idx="674">
                  <c:v>23/09/2019</c:v>
                </c:pt>
                <c:pt idx="675">
                  <c:v>24/09/2019</c:v>
                </c:pt>
                <c:pt idx="676">
                  <c:v>25/09/2019</c:v>
                </c:pt>
                <c:pt idx="677">
                  <c:v>26/09/2019</c:v>
                </c:pt>
                <c:pt idx="678">
                  <c:v>27/09/2019</c:v>
                </c:pt>
                <c:pt idx="679">
                  <c:v>30/09/2019</c:v>
                </c:pt>
                <c:pt idx="680">
                  <c:v>1/10/2019</c:v>
                </c:pt>
                <c:pt idx="681">
                  <c:v>2/10/2019</c:v>
                </c:pt>
                <c:pt idx="682">
                  <c:v>3/10/2019</c:v>
                </c:pt>
                <c:pt idx="683">
                  <c:v>4/10/2019</c:v>
                </c:pt>
                <c:pt idx="684">
                  <c:v>7/10/2019</c:v>
                </c:pt>
                <c:pt idx="685">
                  <c:v>8/10/2019</c:v>
                </c:pt>
                <c:pt idx="686">
                  <c:v>9/10/2019</c:v>
                </c:pt>
                <c:pt idx="687">
                  <c:v>10/10/2019</c:v>
                </c:pt>
                <c:pt idx="688">
                  <c:v>11/10/2019</c:v>
                </c:pt>
                <c:pt idx="689">
                  <c:v>14/10/2019</c:v>
                </c:pt>
                <c:pt idx="690">
                  <c:v>15/10/2019</c:v>
                </c:pt>
                <c:pt idx="691">
                  <c:v>16/10/2019</c:v>
                </c:pt>
                <c:pt idx="692">
                  <c:v>17/10/2019</c:v>
                </c:pt>
                <c:pt idx="693">
                  <c:v>18/10/2019</c:v>
                </c:pt>
                <c:pt idx="694">
                  <c:v>21/10/2019</c:v>
                </c:pt>
                <c:pt idx="695">
                  <c:v>22/10/2019</c:v>
                </c:pt>
                <c:pt idx="696">
                  <c:v>23/10/2019</c:v>
                </c:pt>
                <c:pt idx="697">
                  <c:v>24/10/2019</c:v>
                </c:pt>
                <c:pt idx="698">
                  <c:v>25/10/2019</c:v>
                </c:pt>
                <c:pt idx="699">
                  <c:v>28/10/2019</c:v>
                </c:pt>
                <c:pt idx="700">
                  <c:v>29/10/2019</c:v>
                </c:pt>
                <c:pt idx="701">
                  <c:v>30/10/2019</c:v>
                </c:pt>
                <c:pt idx="702">
                  <c:v>31/10/2019</c:v>
                </c:pt>
                <c:pt idx="703">
                  <c:v>1/11/2019</c:v>
                </c:pt>
                <c:pt idx="704">
                  <c:v>4/11/2019</c:v>
                </c:pt>
                <c:pt idx="705">
                  <c:v>5/11/2019</c:v>
                </c:pt>
                <c:pt idx="706">
                  <c:v>6/11/2019</c:v>
                </c:pt>
                <c:pt idx="707">
                  <c:v>7/11/2019</c:v>
                </c:pt>
                <c:pt idx="708">
                  <c:v>8/11/2019</c:v>
                </c:pt>
                <c:pt idx="709">
                  <c:v>11/11/2019</c:v>
                </c:pt>
                <c:pt idx="710">
                  <c:v>12/11/2019</c:v>
                </c:pt>
                <c:pt idx="711">
                  <c:v>13/11/2019</c:v>
                </c:pt>
                <c:pt idx="712">
                  <c:v>14/11/2019</c:v>
                </c:pt>
                <c:pt idx="713">
                  <c:v>15/11/2019</c:v>
                </c:pt>
                <c:pt idx="714">
                  <c:v>18/11/2019</c:v>
                </c:pt>
                <c:pt idx="715">
                  <c:v>19/11/2019</c:v>
                </c:pt>
                <c:pt idx="716">
                  <c:v>20/11/2019</c:v>
                </c:pt>
                <c:pt idx="717">
                  <c:v>21/11/2019</c:v>
                </c:pt>
                <c:pt idx="718">
                  <c:v>22/11/2019</c:v>
                </c:pt>
                <c:pt idx="719">
                  <c:v>25/11/2019</c:v>
                </c:pt>
                <c:pt idx="720">
                  <c:v>26/11/2019</c:v>
                </c:pt>
                <c:pt idx="721">
                  <c:v>27/11/2019</c:v>
                </c:pt>
                <c:pt idx="722">
                  <c:v>28/11/2019</c:v>
                </c:pt>
                <c:pt idx="723">
                  <c:v>29/11/2019</c:v>
                </c:pt>
                <c:pt idx="724">
                  <c:v>2/12/2019</c:v>
                </c:pt>
                <c:pt idx="725">
                  <c:v>3/12/2019</c:v>
                </c:pt>
                <c:pt idx="726">
                  <c:v>4/12/2019</c:v>
                </c:pt>
                <c:pt idx="727">
                  <c:v>5/12/2019</c:v>
                </c:pt>
                <c:pt idx="728">
                  <c:v>6/12/2019</c:v>
                </c:pt>
                <c:pt idx="729">
                  <c:v>9/12/2019</c:v>
                </c:pt>
                <c:pt idx="730">
                  <c:v>10/12/2019</c:v>
                </c:pt>
                <c:pt idx="731">
                  <c:v>11/12/2019</c:v>
                </c:pt>
                <c:pt idx="732">
                  <c:v>12/12/2019</c:v>
                </c:pt>
                <c:pt idx="733">
                  <c:v>13/12/2019</c:v>
                </c:pt>
                <c:pt idx="734">
                  <c:v>16/12/2019</c:v>
                </c:pt>
                <c:pt idx="735">
                  <c:v>17/12/2019</c:v>
                </c:pt>
                <c:pt idx="736">
                  <c:v>18/12/2019</c:v>
                </c:pt>
                <c:pt idx="737">
                  <c:v>19/12/2019</c:v>
                </c:pt>
                <c:pt idx="738">
                  <c:v>20/12/2019</c:v>
                </c:pt>
                <c:pt idx="739">
                  <c:v>23/12/2019</c:v>
                </c:pt>
                <c:pt idx="740">
                  <c:v>24/12/2019</c:v>
                </c:pt>
                <c:pt idx="741">
                  <c:v>25/12/2019</c:v>
                </c:pt>
                <c:pt idx="742">
                  <c:v>26/12/2019</c:v>
                </c:pt>
                <c:pt idx="743">
                  <c:v>27/12/2019</c:v>
                </c:pt>
                <c:pt idx="744">
                  <c:v>30/12/2019</c:v>
                </c:pt>
                <c:pt idx="745">
                  <c:v>8/1/2020</c:v>
                </c:pt>
                <c:pt idx="746">
                  <c:v>9/1/2020</c:v>
                </c:pt>
                <c:pt idx="747">
                  <c:v>10/1/2020</c:v>
                </c:pt>
                <c:pt idx="748">
                  <c:v>13/01/2020</c:v>
                </c:pt>
                <c:pt idx="749">
                  <c:v>14/01/2020</c:v>
                </c:pt>
                <c:pt idx="750">
                  <c:v>15/01/2020</c:v>
                </c:pt>
                <c:pt idx="751">
                  <c:v>16/01/2020</c:v>
                </c:pt>
                <c:pt idx="752">
                  <c:v>17/01/2020</c:v>
                </c:pt>
                <c:pt idx="753">
                  <c:v>20/01/2020</c:v>
                </c:pt>
                <c:pt idx="754">
                  <c:v>21/01/2020</c:v>
                </c:pt>
                <c:pt idx="755">
                  <c:v>22/01/2020</c:v>
                </c:pt>
                <c:pt idx="756">
                  <c:v>23/01/2020</c:v>
                </c:pt>
                <c:pt idx="757">
                  <c:v>24/01/2020</c:v>
                </c:pt>
                <c:pt idx="758">
                  <c:v>29/01/2020</c:v>
                </c:pt>
                <c:pt idx="759">
                  <c:v>30/01/2020</c:v>
                </c:pt>
                <c:pt idx="760">
                  <c:v>31/01/2020</c:v>
                </c:pt>
                <c:pt idx="761">
                  <c:v>1/2/2020</c:v>
                </c:pt>
                <c:pt idx="762">
                  <c:v>3/2/2020</c:v>
                </c:pt>
                <c:pt idx="763">
                  <c:v>4/2/2020</c:v>
                </c:pt>
                <c:pt idx="764">
                  <c:v>5/2/2020</c:v>
                </c:pt>
                <c:pt idx="765">
                  <c:v>6/2/2020</c:v>
                </c:pt>
                <c:pt idx="766">
                  <c:v>7/2/2020</c:v>
                </c:pt>
                <c:pt idx="767">
                  <c:v>10/2/2020</c:v>
                </c:pt>
                <c:pt idx="768">
                  <c:v>11/2/2020</c:v>
                </c:pt>
                <c:pt idx="769">
                  <c:v>12/2/2020</c:v>
                </c:pt>
                <c:pt idx="770">
                  <c:v>13/02/2020</c:v>
                </c:pt>
                <c:pt idx="771">
                  <c:v>14/02/2020</c:v>
                </c:pt>
                <c:pt idx="772">
                  <c:v>17/02/2020</c:v>
                </c:pt>
                <c:pt idx="773">
                  <c:v>18/02/2020</c:v>
                </c:pt>
                <c:pt idx="774">
                  <c:v>19/02/2020</c:v>
                </c:pt>
                <c:pt idx="775">
                  <c:v>20/02/2020</c:v>
                </c:pt>
                <c:pt idx="776">
                  <c:v>21/02/2020</c:v>
                </c:pt>
                <c:pt idx="777">
                  <c:v>24/02/2020</c:v>
                </c:pt>
                <c:pt idx="778">
                  <c:v>25/02/2020</c:v>
                </c:pt>
                <c:pt idx="779">
                  <c:v>26/02/2020</c:v>
                </c:pt>
                <c:pt idx="780">
                  <c:v>27/02/2020</c:v>
                </c:pt>
                <c:pt idx="781">
                  <c:v>28/02/2020</c:v>
                </c:pt>
                <c:pt idx="782">
                  <c:v>2/3/2020</c:v>
                </c:pt>
                <c:pt idx="783">
                  <c:v>3/3/2020</c:v>
                </c:pt>
                <c:pt idx="784">
                  <c:v>4/3/2020</c:v>
                </c:pt>
                <c:pt idx="785">
                  <c:v>5/3/2020</c:v>
                </c:pt>
                <c:pt idx="786">
                  <c:v>6/3/2020</c:v>
                </c:pt>
                <c:pt idx="787">
                  <c:v>9/3/2020</c:v>
                </c:pt>
                <c:pt idx="788">
                  <c:v>10/3/2020</c:v>
                </c:pt>
                <c:pt idx="789">
                  <c:v>11/3/2020</c:v>
                </c:pt>
                <c:pt idx="790">
                  <c:v>12/3/2020</c:v>
                </c:pt>
                <c:pt idx="791">
                  <c:v>13/03/2020</c:v>
                </c:pt>
                <c:pt idx="792">
                  <c:v>16/03/2020</c:v>
                </c:pt>
                <c:pt idx="793">
                  <c:v>17/03/2020</c:v>
                </c:pt>
                <c:pt idx="794">
                  <c:v>18/03/2020</c:v>
                </c:pt>
                <c:pt idx="795">
                  <c:v>19/03/2020</c:v>
                </c:pt>
                <c:pt idx="796">
                  <c:v>20/03/2020</c:v>
                </c:pt>
                <c:pt idx="797">
                  <c:v>23/03/2020</c:v>
                </c:pt>
                <c:pt idx="798">
                  <c:v>24/03/2020</c:v>
                </c:pt>
                <c:pt idx="799">
                  <c:v>25/03/2020</c:v>
                </c:pt>
                <c:pt idx="800">
                  <c:v>26/03/2020</c:v>
                </c:pt>
                <c:pt idx="801">
                  <c:v>27/03/2020</c:v>
                </c:pt>
                <c:pt idx="802">
                  <c:v>30/03/2020</c:v>
                </c:pt>
                <c:pt idx="803">
                  <c:v>31/03/2020</c:v>
                </c:pt>
                <c:pt idx="804">
                  <c:v>1/4/2020</c:v>
                </c:pt>
                <c:pt idx="805">
                  <c:v>2/4/2020</c:v>
                </c:pt>
                <c:pt idx="806">
                  <c:v>3/4/2020</c:v>
                </c:pt>
                <c:pt idx="807">
                  <c:v>6/4/2020</c:v>
                </c:pt>
                <c:pt idx="808">
                  <c:v>7/4/2020</c:v>
                </c:pt>
                <c:pt idx="809">
                  <c:v>8/4/2020</c:v>
                </c:pt>
                <c:pt idx="810">
                  <c:v>9/4/2020</c:v>
                </c:pt>
                <c:pt idx="811">
                  <c:v>10/4/2020</c:v>
                </c:pt>
                <c:pt idx="812">
                  <c:v>13/04/2020</c:v>
                </c:pt>
                <c:pt idx="813">
                  <c:v>14/04/2020</c:v>
                </c:pt>
                <c:pt idx="814">
                  <c:v>15/04/2020</c:v>
                </c:pt>
                <c:pt idx="815">
                  <c:v>16/04/2020</c:v>
                </c:pt>
                <c:pt idx="816">
                  <c:v>17/04/2020</c:v>
                </c:pt>
                <c:pt idx="817">
                  <c:v>20/04/2020</c:v>
                </c:pt>
                <c:pt idx="818">
                  <c:v>21/04/2020</c:v>
                </c:pt>
                <c:pt idx="819">
                  <c:v>22/04/2020</c:v>
                </c:pt>
                <c:pt idx="820">
                  <c:v>23/04/2020</c:v>
                </c:pt>
                <c:pt idx="821">
                  <c:v>27/04/2020</c:v>
                </c:pt>
                <c:pt idx="822">
                  <c:v>28/04/2020</c:v>
                </c:pt>
                <c:pt idx="823">
                  <c:v>29/04/2020</c:v>
                </c:pt>
                <c:pt idx="824">
                  <c:v>30/04/2020</c:v>
                </c:pt>
                <c:pt idx="825">
                  <c:v>4/5/2020</c:v>
                </c:pt>
                <c:pt idx="826">
                  <c:v>5/5/2020</c:v>
                </c:pt>
                <c:pt idx="827">
                  <c:v>6/5/2020</c:v>
                </c:pt>
                <c:pt idx="828">
                  <c:v>7/5/2020</c:v>
                </c:pt>
                <c:pt idx="829">
                  <c:v>8/5/2020</c:v>
                </c:pt>
                <c:pt idx="830">
                  <c:v>11/5/2020</c:v>
                </c:pt>
                <c:pt idx="831">
                  <c:v>12/5/2020</c:v>
                </c:pt>
                <c:pt idx="832">
                  <c:v>13/05/2020</c:v>
                </c:pt>
                <c:pt idx="833">
                  <c:v>14/05/2020</c:v>
                </c:pt>
                <c:pt idx="834">
                  <c:v>15/05/2020</c:v>
                </c:pt>
                <c:pt idx="835">
                  <c:v>18/05/2020</c:v>
                </c:pt>
                <c:pt idx="836">
                  <c:v>19/05/2020</c:v>
                </c:pt>
                <c:pt idx="837">
                  <c:v>20/05/2020</c:v>
                </c:pt>
                <c:pt idx="838">
                  <c:v>21/05/2020</c:v>
                </c:pt>
                <c:pt idx="839">
                  <c:v>22/05/2020</c:v>
                </c:pt>
                <c:pt idx="840">
                  <c:v>23/05/2020</c:v>
                </c:pt>
                <c:pt idx="841">
                  <c:v>25/05/2020</c:v>
                </c:pt>
                <c:pt idx="842">
                  <c:v>26/05/2020</c:v>
                </c:pt>
                <c:pt idx="843">
                  <c:v>27/05/2020</c:v>
                </c:pt>
                <c:pt idx="844">
                  <c:v>1/6/2020</c:v>
                </c:pt>
                <c:pt idx="845">
                  <c:v>2/6/2020</c:v>
                </c:pt>
                <c:pt idx="846">
                  <c:v>3/6/2020</c:v>
                </c:pt>
                <c:pt idx="847">
                  <c:v>4/6/2020</c:v>
                </c:pt>
                <c:pt idx="848">
                  <c:v>5/6/2020</c:v>
                </c:pt>
                <c:pt idx="849">
                  <c:v>8/6/2020</c:v>
                </c:pt>
                <c:pt idx="850">
                  <c:v>9/6/2020</c:v>
                </c:pt>
                <c:pt idx="851">
                  <c:v>10/6/2020</c:v>
                </c:pt>
                <c:pt idx="852">
                  <c:v>11/6/2020</c:v>
                </c:pt>
                <c:pt idx="853">
                  <c:v>12/6/2020</c:v>
                </c:pt>
                <c:pt idx="854">
                  <c:v>15/06/2020</c:v>
                </c:pt>
                <c:pt idx="855">
                  <c:v>16/06/2020</c:v>
                </c:pt>
                <c:pt idx="856">
                  <c:v>17/06/2020</c:v>
                </c:pt>
                <c:pt idx="857">
                  <c:v>18/06/2020</c:v>
                </c:pt>
                <c:pt idx="858">
                  <c:v>19/06/2020</c:v>
                </c:pt>
                <c:pt idx="859">
                  <c:v>22/06/2020</c:v>
                </c:pt>
                <c:pt idx="860">
                  <c:v>23/06/2020</c:v>
                </c:pt>
                <c:pt idx="861">
                  <c:v>24/06/2020</c:v>
                </c:pt>
                <c:pt idx="862">
                  <c:v>25/06/2020</c:v>
                </c:pt>
                <c:pt idx="863">
                  <c:v>26/06/2020</c:v>
                </c:pt>
                <c:pt idx="864">
                  <c:v>29/06/2020</c:v>
                </c:pt>
                <c:pt idx="865">
                  <c:v>30/06/2020</c:v>
                </c:pt>
                <c:pt idx="866">
                  <c:v>1/7/2020</c:v>
                </c:pt>
              </c:strCache>
            </c:strRef>
          </c:cat>
          <c:val>
            <c:numRef>
              <c:f>Sheet1!$C$2:$C$868</c:f>
              <c:numCache>
                <c:formatCode>0</c:formatCode>
                <c:ptCount val="867"/>
                <c:pt idx="0" formatCode="General">
                  <c:v>100</c:v>
                </c:pt>
                <c:pt idx="1">
                  <c:v>99.87639060568587</c:v>
                </c:pt>
                <c:pt idx="2">
                  <c:v>99.752781211372081</c:v>
                </c:pt>
                <c:pt idx="3">
                  <c:v>101.11248454882571</c:v>
                </c:pt>
                <c:pt idx="4">
                  <c:v>100.9888751545115</c:v>
                </c:pt>
                <c:pt idx="5">
                  <c:v>100.86526576019793</c:v>
                </c:pt>
                <c:pt idx="6">
                  <c:v>101.48331273176763</c:v>
                </c:pt>
                <c:pt idx="7">
                  <c:v>101.6069221260813</c:v>
                </c:pt>
                <c:pt idx="8">
                  <c:v>100.24721878862812</c:v>
                </c:pt>
                <c:pt idx="9">
                  <c:v>100.74165636588396</c:v>
                </c:pt>
                <c:pt idx="10">
                  <c:v>101.23609394313969</c:v>
                </c:pt>
                <c:pt idx="11">
                  <c:v>101.60692212608133</c:v>
                </c:pt>
                <c:pt idx="12">
                  <c:v>101.23609394313969</c:v>
                </c:pt>
                <c:pt idx="13">
                  <c:v>100.37082818294166</c:v>
                </c:pt>
                <c:pt idx="14">
                  <c:v>100.12360939431399</c:v>
                </c:pt>
                <c:pt idx="15">
                  <c:v>100.24721878862815</c:v>
                </c:pt>
                <c:pt idx="16">
                  <c:v>100.24721878862815</c:v>
                </c:pt>
                <c:pt idx="17">
                  <c:v>99.629171817057781</c:v>
                </c:pt>
                <c:pt idx="18">
                  <c:v>100.74165636588397</c:v>
                </c:pt>
                <c:pt idx="19">
                  <c:v>100.86526576019794</c:v>
                </c:pt>
                <c:pt idx="20">
                  <c:v>102.10135970333749</c:v>
                </c:pt>
                <c:pt idx="21">
                  <c:v>101.11248454882575</c:v>
                </c:pt>
                <c:pt idx="22">
                  <c:v>101.11248454882575</c:v>
                </c:pt>
                <c:pt idx="23">
                  <c:v>101.97775030902351</c:v>
                </c:pt>
                <c:pt idx="24">
                  <c:v>102.59579728059335</c:v>
                </c:pt>
                <c:pt idx="25">
                  <c:v>103.95550061804715</c:v>
                </c:pt>
                <c:pt idx="26">
                  <c:v>104.32632880098866</c:v>
                </c:pt>
                <c:pt idx="27">
                  <c:v>104.82076637824464</c:v>
                </c:pt>
                <c:pt idx="28">
                  <c:v>105.19159456118669</c:v>
                </c:pt>
                <c:pt idx="29">
                  <c:v>104.20271940667485</c:v>
                </c:pt>
                <c:pt idx="30">
                  <c:v>103.83189122373305</c:v>
                </c:pt>
                <c:pt idx="31">
                  <c:v>103.83189122373305</c:v>
                </c:pt>
                <c:pt idx="32">
                  <c:v>103.95550061804717</c:v>
                </c:pt>
                <c:pt idx="33">
                  <c:v>103.83189122373305</c:v>
                </c:pt>
                <c:pt idx="34">
                  <c:v>103.95550061804717</c:v>
                </c:pt>
                <c:pt idx="35">
                  <c:v>104.20271940667485</c:v>
                </c:pt>
                <c:pt idx="36">
                  <c:v>103.83189122373305</c:v>
                </c:pt>
                <c:pt idx="37">
                  <c:v>103.58467243510512</c:v>
                </c:pt>
                <c:pt idx="38">
                  <c:v>102.71940667490755</c:v>
                </c:pt>
                <c:pt idx="39">
                  <c:v>102.47218788627924</c:v>
                </c:pt>
                <c:pt idx="40">
                  <c:v>103.70828182941905</c:v>
                </c:pt>
                <c:pt idx="41">
                  <c:v>103.46106304079129</c:v>
                </c:pt>
                <c:pt idx="42">
                  <c:v>102.10135970333749</c:v>
                </c:pt>
                <c:pt idx="43">
                  <c:v>101.85414091470955</c:v>
                </c:pt>
                <c:pt idx="44">
                  <c:v>101.73053152039557</c:v>
                </c:pt>
                <c:pt idx="45">
                  <c:v>101.60692212608133</c:v>
                </c:pt>
                <c:pt idx="46">
                  <c:v>101.35970333745335</c:v>
                </c:pt>
                <c:pt idx="47">
                  <c:v>103.09023485784921</c:v>
                </c:pt>
                <c:pt idx="48">
                  <c:v>103.46106304079127</c:v>
                </c:pt>
                <c:pt idx="49">
                  <c:v>103.95550061804715</c:v>
                </c:pt>
                <c:pt idx="50">
                  <c:v>104.57354758961687</c:v>
                </c:pt>
                <c:pt idx="51">
                  <c:v>103.33745364647731</c:v>
                </c:pt>
                <c:pt idx="52">
                  <c:v>103.95550061804717</c:v>
                </c:pt>
                <c:pt idx="53">
                  <c:v>104.32632880098866</c:v>
                </c:pt>
                <c:pt idx="54">
                  <c:v>105.31520395550069</c:v>
                </c:pt>
                <c:pt idx="55">
                  <c:v>104.82076637824468</c:v>
                </c:pt>
                <c:pt idx="56">
                  <c:v>104.94437577255866</c:v>
                </c:pt>
                <c:pt idx="57">
                  <c:v>106.18046971569845</c:v>
                </c:pt>
                <c:pt idx="58">
                  <c:v>106.18046971569845</c:v>
                </c:pt>
                <c:pt idx="59">
                  <c:v>106.18046971569845</c:v>
                </c:pt>
                <c:pt idx="60">
                  <c:v>105.9332509270707</c:v>
                </c:pt>
                <c:pt idx="61">
                  <c:v>106.92212608158229</c:v>
                </c:pt>
                <c:pt idx="62">
                  <c:v>106.18046971569845</c:v>
                </c:pt>
                <c:pt idx="63">
                  <c:v>105.31520395550069</c:v>
                </c:pt>
                <c:pt idx="64">
                  <c:v>104.69715698393092</c:v>
                </c:pt>
                <c:pt idx="65">
                  <c:v>105.68603213844233</c:v>
                </c:pt>
                <c:pt idx="66">
                  <c:v>105.93325092707072</c:v>
                </c:pt>
                <c:pt idx="67">
                  <c:v>106.30407911001244</c:v>
                </c:pt>
                <c:pt idx="68">
                  <c:v>106.92212608158226</c:v>
                </c:pt>
                <c:pt idx="69">
                  <c:v>107.04573547589624</c:v>
                </c:pt>
                <c:pt idx="70">
                  <c:v>107.04573547589624</c:v>
                </c:pt>
                <c:pt idx="71">
                  <c:v>106.4276885043264</c:v>
                </c:pt>
                <c:pt idx="72">
                  <c:v>106.4276885043264</c:v>
                </c:pt>
                <c:pt idx="73">
                  <c:v>106.92212608158229</c:v>
                </c:pt>
                <c:pt idx="74">
                  <c:v>105.9332509270707</c:v>
                </c:pt>
                <c:pt idx="75">
                  <c:v>105.43881334981469</c:v>
                </c:pt>
                <c:pt idx="76">
                  <c:v>105.06798516687277</c:v>
                </c:pt>
                <c:pt idx="77">
                  <c:v>105.06798516687277</c:v>
                </c:pt>
                <c:pt idx="78">
                  <c:v>104.8207663782447</c:v>
                </c:pt>
                <c:pt idx="79">
                  <c:v>103.95550061804721</c:v>
                </c:pt>
                <c:pt idx="80">
                  <c:v>102.71940667490757</c:v>
                </c:pt>
                <c:pt idx="81">
                  <c:v>102.71940667490757</c:v>
                </c:pt>
                <c:pt idx="82">
                  <c:v>103.21384425216326</c:v>
                </c:pt>
                <c:pt idx="83">
                  <c:v>104.94437577255866</c:v>
                </c:pt>
                <c:pt idx="84">
                  <c:v>104.57354758961691</c:v>
                </c:pt>
                <c:pt idx="85">
                  <c:v>106.30407911001244</c:v>
                </c:pt>
                <c:pt idx="86">
                  <c:v>106.05686032138451</c:v>
                </c:pt>
                <c:pt idx="87">
                  <c:v>105.31520395550072</c:v>
                </c:pt>
                <c:pt idx="88">
                  <c:v>103.21384425216326</c:v>
                </c:pt>
                <c:pt idx="89">
                  <c:v>104.69715698393092</c:v>
                </c:pt>
                <c:pt idx="90">
                  <c:v>104.57354758961694</c:v>
                </c:pt>
                <c:pt idx="91">
                  <c:v>105.56242274412865</c:v>
                </c:pt>
                <c:pt idx="92">
                  <c:v>105.43881334981469</c:v>
                </c:pt>
                <c:pt idx="93">
                  <c:v>105.68603213844236</c:v>
                </c:pt>
                <c:pt idx="94">
                  <c:v>105.80964153275633</c:v>
                </c:pt>
                <c:pt idx="95">
                  <c:v>105.0679851668728</c:v>
                </c:pt>
                <c:pt idx="96">
                  <c:v>105.43881334981469</c:v>
                </c:pt>
                <c:pt idx="97">
                  <c:v>105.31520395550073</c:v>
                </c:pt>
                <c:pt idx="98">
                  <c:v>105.0679851668728</c:v>
                </c:pt>
                <c:pt idx="99">
                  <c:v>105.31520395550073</c:v>
                </c:pt>
                <c:pt idx="100">
                  <c:v>105.0679851668728</c:v>
                </c:pt>
                <c:pt idx="101">
                  <c:v>105.31520395550073</c:v>
                </c:pt>
                <c:pt idx="102">
                  <c:v>105.0679851668728</c:v>
                </c:pt>
                <c:pt idx="103">
                  <c:v>105.31520395550073</c:v>
                </c:pt>
                <c:pt idx="104">
                  <c:v>104.69715698393092</c:v>
                </c:pt>
                <c:pt idx="105">
                  <c:v>104.69715698393092</c:v>
                </c:pt>
                <c:pt idx="106">
                  <c:v>104.44993819530296</c:v>
                </c:pt>
                <c:pt idx="107">
                  <c:v>104.82076637824474</c:v>
                </c:pt>
                <c:pt idx="108">
                  <c:v>104.57354758961695</c:v>
                </c:pt>
                <c:pt idx="109">
                  <c:v>103.70828182941918</c:v>
                </c:pt>
                <c:pt idx="110">
                  <c:v>103.21384425216328</c:v>
                </c:pt>
                <c:pt idx="111">
                  <c:v>102.47218788627931</c:v>
                </c:pt>
                <c:pt idx="112">
                  <c:v>100.74165636588405</c:v>
                </c:pt>
                <c:pt idx="113">
                  <c:v>99.629171817057852</c:v>
                </c:pt>
                <c:pt idx="114">
                  <c:v>99.381953028430232</c:v>
                </c:pt>
                <c:pt idx="115">
                  <c:v>99.752781211372152</c:v>
                </c:pt>
                <c:pt idx="116">
                  <c:v>100.49443757725598</c:v>
                </c:pt>
                <c:pt idx="117">
                  <c:v>100.74165636588405</c:v>
                </c:pt>
                <c:pt idx="118">
                  <c:v>99.752781211372152</c:v>
                </c:pt>
                <c:pt idx="119">
                  <c:v>100.6180469715698</c:v>
                </c:pt>
                <c:pt idx="120">
                  <c:v>100.12360939431406</c:v>
                </c:pt>
                <c:pt idx="121">
                  <c:v>100.2472187886282</c:v>
                </c:pt>
                <c:pt idx="122">
                  <c:v>100.12360939431406</c:v>
                </c:pt>
                <c:pt idx="123">
                  <c:v>98.516687268232644</c:v>
                </c:pt>
                <c:pt idx="124">
                  <c:v>98.145859085290596</c:v>
                </c:pt>
                <c:pt idx="125">
                  <c:v>98.145859085290596</c:v>
                </c:pt>
                <c:pt idx="126">
                  <c:v>97.527812113720458</c:v>
                </c:pt>
                <c:pt idx="127">
                  <c:v>97.527812113720458</c:v>
                </c:pt>
                <c:pt idx="128">
                  <c:v>98.887515451174394</c:v>
                </c:pt>
                <c:pt idx="129">
                  <c:v>99.134734239802313</c:v>
                </c:pt>
                <c:pt idx="130">
                  <c:v>100.00000000000009</c:v>
                </c:pt>
                <c:pt idx="131">
                  <c:v>100.12360939431406</c:v>
                </c:pt>
                <c:pt idx="132">
                  <c:v>100.12360939431406</c:v>
                </c:pt>
                <c:pt idx="133">
                  <c:v>100.12360939431406</c:v>
                </c:pt>
                <c:pt idx="134">
                  <c:v>100.6180469715698</c:v>
                </c:pt>
                <c:pt idx="135">
                  <c:v>98.763906056860378</c:v>
                </c:pt>
                <c:pt idx="136">
                  <c:v>98.640296662546476</c:v>
                </c:pt>
                <c:pt idx="137">
                  <c:v>98.763906056860378</c:v>
                </c:pt>
                <c:pt idx="138">
                  <c:v>99.629171817057852</c:v>
                </c:pt>
                <c:pt idx="139">
                  <c:v>99.505562422744248</c:v>
                </c:pt>
                <c:pt idx="140">
                  <c:v>98.640296662546461</c:v>
                </c:pt>
                <c:pt idx="141">
                  <c:v>98.640296662546461</c:v>
                </c:pt>
                <c:pt idx="142">
                  <c:v>97.527812113720472</c:v>
                </c:pt>
                <c:pt idx="143">
                  <c:v>97.775030902348689</c:v>
                </c:pt>
                <c:pt idx="144">
                  <c:v>98.022249690976622</c:v>
                </c:pt>
                <c:pt idx="145">
                  <c:v>98.393077873918401</c:v>
                </c:pt>
                <c:pt idx="146">
                  <c:v>98.763906056860449</c:v>
                </c:pt>
                <c:pt idx="147">
                  <c:v>98.640296662546476</c:v>
                </c:pt>
                <c:pt idx="148">
                  <c:v>98.887515451174423</c:v>
                </c:pt>
                <c:pt idx="149">
                  <c:v>98.269468479604569</c:v>
                </c:pt>
                <c:pt idx="150">
                  <c:v>98.887515451174423</c:v>
                </c:pt>
                <c:pt idx="151">
                  <c:v>98.640296662546476</c:v>
                </c:pt>
                <c:pt idx="152">
                  <c:v>99.258343634116301</c:v>
                </c:pt>
                <c:pt idx="153">
                  <c:v>99.505562422744248</c:v>
                </c:pt>
                <c:pt idx="154">
                  <c:v>99.505562422744248</c:v>
                </c:pt>
                <c:pt idx="155">
                  <c:v>100.1236093943141</c:v>
                </c:pt>
                <c:pt idx="156">
                  <c:v>100.1236093943141</c:v>
                </c:pt>
                <c:pt idx="157">
                  <c:v>100.1236093943141</c:v>
                </c:pt>
                <c:pt idx="158">
                  <c:v>100.1236093943141</c:v>
                </c:pt>
                <c:pt idx="159">
                  <c:v>100.1236093943141</c:v>
                </c:pt>
                <c:pt idx="160">
                  <c:v>101.23609394313982</c:v>
                </c:pt>
                <c:pt idx="161">
                  <c:v>100.61804697157</c:v>
                </c:pt>
                <c:pt idx="162">
                  <c:v>100.86526576019807</c:v>
                </c:pt>
                <c:pt idx="163">
                  <c:v>101.23609394313982</c:v>
                </c:pt>
                <c:pt idx="164">
                  <c:v>101.97775030902361</c:v>
                </c:pt>
                <c:pt idx="165">
                  <c:v>102.10135970333762</c:v>
                </c:pt>
                <c:pt idx="166">
                  <c:v>102.22496909765155</c:v>
                </c:pt>
                <c:pt idx="167">
                  <c:v>102.96662546353561</c:v>
                </c:pt>
                <c:pt idx="168">
                  <c:v>103.58467243510522</c:v>
                </c:pt>
                <c:pt idx="169">
                  <c:v>103.58467243510522</c:v>
                </c:pt>
                <c:pt idx="170">
                  <c:v>103.46106304079139</c:v>
                </c:pt>
                <c:pt idx="171">
                  <c:v>102.84301606922139</c:v>
                </c:pt>
                <c:pt idx="172">
                  <c:v>102.22496909765154</c:v>
                </c:pt>
                <c:pt idx="173">
                  <c:v>102.59579728059335</c:v>
                </c:pt>
                <c:pt idx="174">
                  <c:v>102.71940667490759</c:v>
                </c:pt>
                <c:pt idx="175">
                  <c:v>101.73053152039566</c:v>
                </c:pt>
                <c:pt idx="176">
                  <c:v>102.10135970333756</c:v>
                </c:pt>
                <c:pt idx="177">
                  <c:v>102.71940667490759</c:v>
                </c:pt>
                <c:pt idx="178">
                  <c:v>102.71940667490759</c:v>
                </c:pt>
                <c:pt idx="179">
                  <c:v>102.96662546353561</c:v>
                </c:pt>
                <c:pt idx="180">
                  <c:v>102.59579728059335</c:v>
                </c:pt>
                <c:pt idx="181">
                  <c:v>101.60692212608141</c:v>
                </c:pt>
                <c:pt idx="182">
                  <c:v>101.60692212608141</c:v>
                </c:pt>
                <c:pt idx="183">
                  <c:v>102.22496909765151</c:v>
                </c:pt>
                <c:pt idx="184">
                  <c:v>102.10135970333756</c:v>
                </c:pt>
                <c:pt idx="185">
                  <c:v>101.85414091470965</c:v>
                </c:pt>
                <c:pt idx="186">
                  <c:v>102.34857849196551</c:v>
                </c:pt>
                <c:pt idx="187">
                  <c:v>102.96662546353561</c:v>
                </c:pt>
                <c:pt idx="188">
                  <c:v>102.47218788627931</c:v>
                </c:pt>
                <c:pt idx="189">
                  <c:v>101.48331273176773</c:v>
                </c:pt>
                <c:pt idx="190">
                  <c:v>102.34857849196547</c:v>
                </c:pt>
                <c:pt idx="191">
                  <c:v>102.59579728059335</c:v>
                </c:pt>
                <c:pt idx="192">
                  <c:v>102.96662546353556</c:v>
                </c:pt>
                <c:pt idx="193">
                  <c:v>103.0902348578493</c:v>
                </c:pt>
                <c:pt idx="194">
                  <c:v>103.95550061804721</c:v>
                </c:pt>
                <c:pt idx="195">
                  <c:v>103.83189122373311</c:v>
                </c:pt>
                <c:pt idx="196">
                  <c:v>103.70828182941914</c:v>
                </c:pt>
                <c:pt idx="197">
                  <c:v>103.46106304079136</c:v>
                </c:pt>
                <c:pt idx="198">
                  <c:v>103.46106304079136</c:v>
                </c:pt>
                <c:pt idx="199">
                  <c:v>103.70828182941915</c:v>
                </c:pt>
                <c:pt idx="200">
                  <c:v>103.70828182941915</c:v>
                </c:pt>
                <c:pt idx="201">
                  <c:v>103.58467243510519</c:v>
                </c:pt>
                <c:pt idx="202">
                  <c:v>103.33745364647739</c:v>
                </c:pt>
                <c:pt idx="203">
                  <c:v>102.59579728059335</c:v>
                </c:pt>
                <c:pt idx="204">
                  <c:v>103.21384425216327</c:v>
                </c:pt>
                <c:pt idx="205">
                  <c:v>102.59579728059335</c:v>
                </c:pt>
                <c:pt idx="206">
                  <c:v>102.59579728059335</c:v>
                </c:pt>
                <c:pt idx="207">
                  <c:v>102.84301606922136</c:v>
                </c:pt>
                <c:pt idx="208">
                  <c:v>102.34857849196547</c:v>
                </c:pt>
                <c:pt idx="209">
                  <c:v>101.73053152039563</c:v>
                </c:pt>
                <c:pt idx="210">
                  <c:v>102.22496909765148</c:v>
                </c:pt>
                <c:pt idx="211">
                  <c:v>101.35970333745338</c:v>
                </c:pt>
                <c:pt idx="212">
                  <c:v>101.60692212608137</c:v>
                </c:pt>
                <c:pt idx="213">
                  <c:v>101.73053152039563</c:v>
                </c:pt>
                <c:pt idx="214">
                  <c:v>101.35970333745338</c:v>
                </c:pt>
                <c:pt idx="215">
                  <c:v>101.23609394313976</c:v>
                </c:pt>
                <c:pt idx="216">
                  <c:v>100.00000000000007</c:v>
                </c:pt>
                <c:pt idx="217">
                  <c:v>100.61804697156977</c:v>
                </c:pt>
                <c:pt idx="218">
                  <c:v>100.98887515451158</c:v>
                </c:pt>
                <c:pt idx="219">
                  <c:v>101.23609394313976</c:v>
                </c:pt>
                <c:pt idx="220">
                  <c:v>100.74165636588404</c:v>
                </c:pt>
                <c:pt idx="221">
                  <c:v>101.48331273176771</c:v>
                </c:pt>
                <c:pt idx="222">
                  <c:v>102.4721878862793</c:v>
                </c:pt>
                <c:pt idx="223">
                  <c:v>102.34857849196547</c:v>
                </c:pt>
                <c:pt idx="224">
                  <c:v>102.84301606922133</c:v>
                </c:pt>
                <c:pt idx="225">
                  <c:v>102.59579728059335</c:v>
                </c:pt>
                <c:pt idx="226">
                  <c:v>102.71940667490755</c:v>
                </c:pt>
                <c:pt idx="227">
                  <c:v>102.10135970333752</c:v>
                </c:pt>
                <c:pt idx="228">
                  <c:v>101.97775030902351</c:v>
                </c:pt>
                <c:pt idx="229">
                  <c:v>101.60692212608134</c:v>
                </c:pt>
                <c:pt idx="230">
                  <c:v>102.10135970333749</c:v>
                </c:pt>
                <c:pt idx="231">
                  <c:v>101.60692212608134</c:v>
                </c:pt>
                <c:pt idx="232">
                  <c:v>101.35970333745335</c:v>
                </c:pt>
                <c:pt idx="233">
                  <c:v>101.11248454882571</c:v>
                </c:pt>
                <c:pt idx="234">
                  <c:v>101.23609394313969</c:v>
                </c:pt>
                <c:pt idx="235">
                  <c:v>101.73053152039557</c:v>
                </c:pt>
                <c:pt idx="236">
                  <c:v>101.11248454882571</c:v>
                </c:pt>
                <c:pt idx="237">
                  <c:v>101.85414091470948</c:v>
                </c:pt>
                <c:pt idx="238">
                  <c:v>101.23609394313969</c:v>
                </c:pt>
                <c:pt idx="239">
                  <c:v>101.73053152039557</c:v>
                </c:pt>
                <c:pt idx="240">
                  <c:v>101.60692212608133</c:v>
                </c:pt>
                <c:pt idx="241">
                  <c:v>101.48331273176765</c:v>
                </c:pt>
                <c:pt idx="242">
                  <c:v>101.60692212608134</c:v>
                </c:pt>
                <c:pt idx="243">
                  <c:v>101.85414091470955</c:v>
                </c:pt>
                <c:pt idx="244">
                  <c:v>102.47218788627924</c:v>
                </c:pt>
                <c:pt idx="245">
                  <c:v>103.2138442521632</c:v>
                </c:pt>
                <c:pt idx="246">
                  <c:v>103.33745364647731</c:v>
                </c:pt>
                <c:pt idx="247">
                  <c:v>103.95550061804717</c:v>
                </c:pt>
                <c:pt idx="248">
                  <c:v>103.83189122373305</c:v>
                </c:pt>
                <c:pt idx="249">
                  <c:v>105.06798516687273</c:v>
                </c:pt>
                <c:pt idx="250">
                  <c:v>104.94437577255863</c:v>
                </c:pt>
                <c:pt idx="251">
                  <c:v>105.1915945611867</c:v>
                </c:pt>
                <c:pt idx="252">
                  <c:v>105.06798516687276</c:v>
                </c:pt>
                <c:pt idx="253">
                  <c:v>105.6860321384423</c:v>
                </c:pt>
                <c:pt idx="254">
                  <c:v>105.93325092707069</c:v>
                </c:pt>
                <c:pt idx="255">
                  <c:v>105.80964153275627</c:v>
                </c:pt>
                <c:pt idx="256">
                  <c:v>105.43881334981469</c:v>
                </c:pt>
                <c:pt idx="257">
                  <c:v>105.19159456118672</c:v>
                </c:pt>
                <c:pt idx="258">
                  <c:v>105.31520395550069</c:v>
                </c:pt>
                <c:pt idx="259">
                  <c:v>105.31520395550069</c:v>
                </c:pt>
                <c:pt idx="260">
                  <c:v>105.31520395550069</c:v>
                </c:pt>
                <c:pt idx="261">
                  <c:v>105.43881334981469</c:v>
                </c:pt>
                <c:pt idx="262">
                  <c:v>106.4276885043264</c:v>
                </c:pt>
                <c:pt idx="263">
                  <c:v>106.4276885043264</c:v>
                </c:pt>
                <c:pt idx="264">
                  <c:v>105.56242274412861</c:v>
                </c:pt>
                <c:pt idx="265">
                  <c:v>106.05686032138448</c:v>
                </c:pt>
                <c:pt idx="266">
                  <c:v>105.80964153275626</c:v>
                </c:pt>
                <c:pt idx="267">
                  <c:v>105.80964153275626</c:v>
                </c:pt>
                <c:pt idx="268">
                  <c:v>105.6860321384423</c:v>
                </c:pt>
                <c:pt idx="269">
                  <c:v>105.31520395550069</c:v>
                </c:pt>
                <c:pt idx="270">
                  <c:v>104.32632880098866</c:v>
                </c:pt>
                <c:pt idx="271">
                  <c:v>104.32632880098866</c:v>
                </c:pt>
                <c:pt idx="272">
                  <c:v>102.84301606922132</c:v>
                </c:pt>
                <c:pt idx="273">
                  <c:v>102.84301606922132</c:v>
                </c:pt>
                <c:pt idx="274">
                  <c:v>102.84301606922132</c:v>
                </c:pt>
                <c:pt idx="275">
                  <c:v>103.09023485784923</c:v>
                </c:pt>
                <c:pt idx="276">
                  <c:v>103.46106304079129</c:v>
                </c:pt>
                <c:pt idx="277">
                  <c:v>105.06798516687272</c:v>
                </c:pt>
                <c:pt idx="278">
                  <c:v>105.43881334981462</c:v>
                </c:pt>
                <c:pt idx="279">
                  <c:v>105.31520395550066</c:v>
                </c:pt>
                <c:pt idx="280">
                  <c:v>104.69715698393082</c:v>
                </c:pt>
                <c:pt idx="281">
                  <c:v>104.94437577255859</c:v>
                </c:pt>
                <c:pt idx="282">
                  <c:v>104.69715698393082</c:v>
                </c:pt>
                <c:pt idx="283">
                  <c:v>105.31520395550062</c:v>
                </c:pt>
                <c:pt idx="284">
                  <c:v>106.30407911001235</c:v>
                </c:pt>
                <c:pt idx="285">
                  <c:v>106.5512978986403</c:v>
                </c:pt>
                <c:pt idx="286">
                  <c:v>105.68603213844227</c:v>
                </c:pt>
                <c:pt idx="287">
                  <c:v>104.82076637824464</c:v>
                </c:pt>
                <c:pt idx="288">
                  <c:v>104.82076637824464</c:v>
                </c:pt>
                <c:pt idx="289">
                  <c:v>104.20271940667485</c:v>
                </c:pt>
                <c:pt idx="290">
                  <c:v>105.06798516687272</c:v>
                </c:pt>
                <c:pt idx="291">
                  <c:v>104.20271940667485</c:v>
                </c:pt>
                <c:pt idx="292">
                  <c:v>104.57354758961685</c:v>
                </c:pt>
                <c:pt idx="293">
                  <c:v>104.32632880098866</c:v>
                </c:pt>
                <c:pt idx="294">
                  <c:v>104.32632880098866</c:v>
                </c:pt>
                <c:pt idx="295">
                  <c:v>104.20271940667485</c:v>
                </c:pt>
                <c:pt idx="296">
                  <c:v>103.21384425216321</c:v>
                </c:pt>
                <c:pt idx="297">
                  <c:v>103.21384425216321</c:v>
                </c:pt>
                <c:pt idx="298">
                  <c:v>102.96662546353554</c:v>
                </c:pt>
                <c:pt idx="299">
                  <c:v>102.59579728059335</c:v>
                </c:pt>
                <c:pt idx="300">
                  <c:v>103.09023485784924</c:v>
                </c:pt>
                <c:pt idx="301">
                  <c:v>104.32632880098866</c:v>
                </c:pt>
                <c:pt idx="302">
                  <c:v>103.83189122373304</c:v>
                </c:pt>
                <c:pt idx="303">
                  <c:v>104.32632880098866</c:v>
                </c:pt>
                <c:pt idx="304">
                  <c:v>103.95550061804717</c:v>
                </c:pt>
                <c:pt idx="305">
                  <c:v>103.09023485784924</c:v>
                </c:pt>
                <c:pt idx="306">
                  <c:v>102.96662546353554</c:v>
                </c:pt>
                <c:pt idx="307">
                  <c:v>103.33745364647731</c:v>
                </c:pt>
                <c:pt idx="308">
                  <c:v>103.09023485784924</c:v>
                </c:pt>
                <c:pt idx="309">
                  <c:v>102.59579728059335</c:v>
                </c:pt>
                <c:pt idx="310">
                  <c:v>103.2138442521632</c:v>
                </c:pt>
                <c:pt idx="311">
                  <c:v>102.59579728059335</c:v>
                </c:pt>
                <c:pt idx="312">
                  <c:v>102.59579728059335</c:v>
                </c:pt>
                <c:pt idx="313">
                  <c:v>100.00000000000004</c:v>
                </c:pt>
                <c:pt idx="314">
                  <c:v>95.302843016069033</c:v>
                </c:pt>
                <c:pt idx="315">
                  <c:v>92.954264524104047</c:v>
                </c:pt>
                <c:pt idx="316">
                  <c:v>96.538936959208911</c:v>
                </c:pt>
                <c:pt idx="317">
                  <c:v>97.03337453646445</c:v>
                </c:pt>
                <c:pt idx="318">
                  <c:v>96.41532756489498</c:v>
                </c:pt>
                <c:pt idx="319">
                  <c:v>96.786155747836887</c:v>
                </c:pt>
                <c:pt idx="320">
                  <c:v>96.291718170580765</c:v>
                </c:pt>
                <c:pt idx="321">
                  <c:v>97.156983930778779</c:v>
                </c:pt>
                <c:pt idx="322">
                  <c:v>96.662546353522615</c:v>
                </c:pt>
                <c:pt idx="323">
                  <c:v>95.673671199010954</c:v>
                </c:pt>
                <c:pt idx="324">
                  <c:v>96.168108776267019</c:v>
                </c:pt>
                <c:pt idx="325">
                  <c:v>94.93201483312734</c:v>
                </c:pt>
                <c:pt idx="326">
                  <c:v>95.302843016068977</c:v>
                </c:pt>
                <c:pt idx="327">
                  <c:v>93.819530284301621</c:v>
                </c:pt>
                <c:pt idx="328">
                  <c:v>94.561186650185462</c:v>
                </c:pt>
                <c:pt idx="329">
                  <c:v>94.561186650185462</c:v>
                </c:pt>
                <c:pt idx="330">
                  <c:v>94.684796044499166</c:v>
                </c:pt>
                <c:pt idx="331">
                  <c:v>95.550061804697179</c:v>
                </c:pt>
                <c:pt idx="332">
                  <c:v>95.055624227441328</c:v>
                </c:pt>
                <c:pt idx="333">
                  <c:v>96.538936959208911</c:v>
                </c:pt>
                <c:pt idx="334">
                  <c:v>97.404202719406712</c:v>
                </c:pt>
                <c:pt idx="335">
                  <c:v>97.15698393077875</c:v>
                </c:pt>
                <c:pt idx="336">
                  <c:v>96.786155747836872</c:v>
                </c:pt>
                <c:pt idx="337">
                  <c:v>95.673671199010954</c:v>
                </c:pt>
                <c:pt idx="338">
                  <c:v>96.538936959208911</c:v>
                </c:pt>
                <c:pt idx="339">
                  <c:v>95.920889987639072</c:v>
                </c:pt>
                <c:pt idx="340">
                  <c:v>95.67367119901094</c:v>
                </c:pt>
                <c:pt idx="341">
                  <c:v>97.404202719406669</c:v>
                </c:pt>
                <c:pt idx="342">
                  <c:v>96.786155747836844</c:v>
                </c:pt>
                <c:pt idx="343">
                  <c:v>97.15698393077875</c:v>
                </c:pt>
                <c:pt idx="344">
                  <c:v>96.538936959208883</c:v>
                </c:pt>
                <c:pt idx="345">
                  <c:v>95.179233621755273</c:v>
                </c:pt>
                <c:pt idx="346">
                  <c:v>95.67367119901094</c:v>
                </c:pt>
                <c:pt idx="347">
                  <c:v>96.04449938195323</c:v>
                </c:pt>
                <c:pt idx="348">
                  <c:v>96.04449938195323</c:v>
                </c:pt>
                <c:pt idx="349">
                  <c:v>96.415327564894909</c:v>
                </c:pt>
                <c:pt idx="350">
                  <c:v>96.168108776267019</c:v>
                </c:pt>
                <c:pt idx="351">
                  <c:v>96.415327564894909</c:v>
                </c:pt>
                <c:pt idx="352">
                  <c:v>96.662546353522586</c:v>
                </c:pt>
                <c:pt idx="353">
                  <c:v>95.179233621755273</c:v>
                </c:pt>
                <c:pt idx="354">
                  <c:v>95.302843016068977</c:v>
                </c:pt>
                <c:pt idx="355">
                  <c:v>95.302843016068977</c:v>
                </c:pt>
                <c:pt idx="356">
                  <c:v>94.808405438813352</c:v>
                </c:pt>
                <c:pt idx="357">
                  <c:v>95.9208899876391</c:v>
                </c:pt>
                <c:pt idx="358">
                  <c:v>95.055624227441328</c:v>
                </c:pt>
                <c:pt idx="359">
                  <c:v>94.190358467243556</c:v>
                </c:pt>
                <c:pt idx="360">
                  <c:v>92.954264524104019</c:v>
                </c:pt>
                <c:pt idx="361">
                  <c:v>93.819530284301635</c:v>
                </c:pt>
                <c:pt idx="362">
                  <c:v>93.325092707045584</c:v>
                </c:pt>
                <c:pt idx="363">
                  <c:v>94.43757725587146</c:v>
                </c:pt>
                <c:pt idx="364">
                  <c:v>94.808405438813381</c:v>
                </c:pt>
                <c:pt idx="365">
                  <c:v>94.684796044499194</c:v>
                </c:pt>
                <c:pt idx="366">
                  <c:v>94.190358467243556</c:v>
                </c:pt>
                <c:pt idx="367">
                  <c:v>94.313967861557515</c:v>
                </c:pt>
                <c:pt idx="368">
                  <c:v>95.055624227441328</c:v>
                </c:pt>
                <c:pt idx="369">
                  <c:v>94.437577255871474</c:v>
                </c:pt>
                <c:pt idx="370">
                  <c:v>94.313967861557515</c:v>
                </c:pt>
                <c:pt idx="371">
                  <c:v>94.313967861557515</c:v>
                </c:pt>
                <c:pt idx="372">
                  <c:v>94.561186650185462</c:v>
                </c:pt>
                <c:pt idx="373">
                  <c:v>95.055624227441328</c:v>
                </c:pt>
                <c:pt idx="374">
                  <c:v>95.426452410383149</c:v>
                </c:pt>
                <c:pt idx="375">
                  <c:v>95.797280593325127</c:v>
                </c:pt>
                <c:pt idx="376">
                  <c:v>95.797280593325127</c:v>
                </c:pt>
                <c:pt idx="377">
                  <c:v>95.550061804697179</c:v>
                </c:pt>
                <c:pt idx="378">
                  <c:v>95.550061804697179</c:v>
                </c:pt>
                <c:pt idx="379">
                  <c:v>95.055624227441328</c:v>
                </c:pt>
                <c:pt idx="380">
                  <c:v>94.190358467243556</c:v>
                </c:pt>
                <c:pt idx="381">
                  <c:v>93.572311495673688</c:v>
                </c:pt>
                <c:pt idx="382">
                  <c:v>93.695920889987704</c:v>
                </c:pt>
                <c:pt idx="383">
                  <c:v>94.190358467243584</c:v>
                </c:pt>
                <c:pt idx="384">
                  <c:v>94.684796044499208</c:v>
                </c:pt>
                <c:pt idx="385">
                  <c:v>94.437577255871517</c:v>
                </c:pt>
                <c:pt idx="386">
                  <c:v>94.437577255871517</c:v>
                </c:pt>
                <c:pt idx="387">
                  <c:v>94.313967861557572</c:v>
                </c:pt>
                <c:pt idx="388">
                  <c:v>94.932014833127383</c:v>
                </c:pt>
                <c:pt idx="389">
                  <c:v>95.302843016069048</c:v>
                </c:pt>
                <c:pt idx="390">
                  <c:v>94.932014833127383</c:v>
                </c:pt>
                <c:pt idx="391">
                  <c:v>93.94313967861585</c:v>
                </c:pt>
                <c:pt idx="392">
                  <c:v>93.695920889987704</c:v>
                </c:pt>
                <c:pt idx="393">
                  <c:v>93.695920889987704</c:v>
                </c:pt>
                <c:pt idx="394">
                  <c:v>93.819530284301692</c:v>
                </c:pt>
                <c:pt idx="395">
                  <c:v>92.830655129789918</c:v>
                </c:pt>
                <c:pt idx="396">
                  <c:v>90.482076637824278</c:v>
                </c:pt>
                <c:pt idx="397">
                  <c:v>89.122373300370654</c:v>
                </c:pt>
                <c:pt idx="398">
                  <c:v>87.762669962917499</c:v>
                </c:pt>
                <c:pt idx="399">
                  <c:v>89.3695920889988</c:v>
                </c:pt>
                <c:pt idx="400">
                  <c:v>89.3695920889988</c:v>
                </c:pt>
                <c:pt idx="401">
                  <c:v>89.3695920889988</c:v>
                </c:pt>
                <c:pt idx="402">
                  <c:v>88.504326328801014</c:v>
                </c:pt>
                <c:pt idx="403">
                  <c:v>88.998763906056908</c:v>
                </c:pt>
                <c:pt idx="404">
                  <c:v>88.627935723115002</c:v>
                </c:pt>
                <c:pt idx="405">
                  <c:v>88.257107540173095</c:v>
                </c:pt>
                <c:pt idx="406">
                  <c:v>86.526576019777551</c:v>
                </c:pt>
                <c:pt idx="407">
                  <c:v>88.009888751545148</c:v>
                </c:pt>
                <c:pt idx="408">
                  <c:v>88.751545117428705</c:v>
                </c:pt>
                <c:pt idx="409">
                  <c:v>88.627935723114959</c:v>
                </c:pt>
                <c:pt idx="410">
                  <c:v>87.762669962917499</c:v>
                </c:pt>
                <c:pt idx="411">
                  <c:v>87.639060568603242</c:v>
                </c:pt>
                <c:pt idx="412">
                  <c:v>87.762669962917499</c:v>
                </c:pt>
                <c:pt idx="413">
                  <c:v>88.009888751545049</c:v>
                </c:pt>
                <c:pt idx="414">
                  <c:v>87.639060568603213</c:v>
                </c:pt>
                <c:pt idx="415">
                  <c:v>87.391841779975294</c:v>
                </c:pt>
                <c:pt idx="416">
                  <c:v>87.639060568603213</c:v>
                </c:pt>
                <c:pt idx="417">
                  <c:v>86.897404202719414</c:v>
                </c:pt>
                <c:pt idx="418">
                  <c:v>85.537700865265776</c:v>
                </c:pt>
                <c:pt idx="419">
                  <c:v>85.537700865265776</c:v>
                </c:pt>
                <c:pt idx="420">
                  <c:v>86.402966625463563</c:v>
                </c:pt>
                <c:pt idx="421">
                  <c:v>87.515451174289069</c:v>
                </c:pt>
                <c:pt idx="422">
                  <c:v>87.515451174289069</c:v>
                </c:pt>
                <c:pt idx="423">
                  <c:v>87.886279357231118</c:v>
                </c:pt>
                <c:pt idx="424">
                  <c:v>88.380716934486756</c:v>
                </c:pt>
                <c:pt idx="425">
                  <c:v>89.245982694684628</c:v>
                </c:pt>
                <c:pt idx="426">
                  <c:v>89.987639060568597</c:v>
                </c:pt>
                <c:pt idx="427">
                  <c:v>90.358467243510489</c:v>
                </c:pt>
                <c:pt idx="428">
                  <c:v>90.482076637824207</c:v>
                </c:pt>
                <c:pt idx="429">
                  <c:v>90.482076637824207</c:v>
                </c:pt>
                <c:pt idx="430">
                  <c:v>90.605686032138195</c:v>
                </c:pt>
                <c:pt idx="431">
                  <c:v>90.605686032138195</c:v>
                </c:pt>
                <c:pt idx="432">
                  <c:v>91.100123609394458</c:v>
                </c:pt>
                <c:pt idx="433">
                  <c:v>91.223733003708219</c:v>
                </c:pt>
                <c:pt idx="434">
                  <c:v>91.347342398022178</c:v>
                </c:pt>
                <c:pt idx="435">
                  <c:v>90.482076637824207</c:v>
                </c:pt>
                <c:pt idx="436">
                  <c:v>89.864029666254623</c:v>
                </c:pt>
                <c:pt idx="437">
                  <c:v>89.740420271940849</c:v>
                </c:pt>
                <c:pt idx="438">
                  <c:v>90.111248454882556</c:v>
                </c:pt>
                <c:pt idx="439">
                  <c:v>90.729295426452381</c:v>
                </c:pt>
                <c:pt idx="440">
                  <c:v>91.47095179233618</c:v>
                </c:pt>
                <c:pt idx="441">
                  <c:v>91.47095179233618</c:v>
                </c:pt>
                <c:pt idx="442">
                  <c:v>91.223733003708219</c:v>
                </c:pt>
                <c:pt idx="443">
                  <c:v>91.223733003708219</c:v>
                </c:pt>
                <c:pt idx="444">
                  <c:v>91.100123609394458</c:v>
                </c:pt>
                <c:pt idx="445">
                  <c:v>91.594561186650168</c:v>
                </c:pt>
                <c:pt idx="446">
                  <c:v>91.718170580964113</c:v>
                </c:pt>
                <c:pt idx="447">
                  <c:v>91.347342398022178</c:v>
                </c:pt>
                <c:pt idx="448">
                  <c:v>91.347342398022178</c:v>
                </c:pt>
                <c:pt idx="449">
                  <c:v>91.347342398022178</c:v>
                </c:pt>
                <c:pt idx="450">
                  <c:v>91.223733003708219</c:v>
                </c:pt>
                <c:pt idx="451">
                  <c:v>91.47095179233618</c:v>
                </c:pt>
                <c:pt idx="452">
                  <c:v>91.47095179233618</c:v>
                </c:pt>
                <c:pt idx="453">
                  <c:v>91.47095179233618</c:v>
                </c:pt>
                <c:pt idx="454">
                  <c:v>91.718170580964113</c:v>
                </c:pt>
                <c:pt idx="455">
                  <c:v>91.594561186650154</c:v>
                </c:pt>
                <c:pt idx="456">
                  <c:v>91.718170580964113</c:v>
                </c:pt>
                <c:pt idx="457">
                  <c:v>90.852904820766184</c:v>
                </c:pt>
                <c:pt idx="458">
                  <c:v>91.47095179233618</c:v>
                </c:pt>
                <c:pt idx="459">
                  <c:v>91.347342398022178</c:v>
                </c:pt>
                <c:pt idx="460">
                  <c:v>90.85290482076617</c:v>
                </c:pt>
                <c:pt idx="461">
                  <c:v>90.111248454882528</c:v>
                </c:pt>
                <c:pt idx="462">
                  <c:v>89.245982694684599</c:v>
                </c:pt>
                <c:pt idx="463">
                  <c:v>89.122373300370597</c:v>
                </c:pt>
                <c:pt idx="464">
                  <c:v>89.122373300370597</c:v>
                </c:pt>
                <c:pt idx="465">
                  <c:v>90.358467243510418</c:v>
                </c:pt>
                <c:pt idx="466">
                  <c:v>90.852904820766156</c:v>
                </c:pt>
                <c:pt idx="467">
                  <c:v>91.10012360939443</c:v>
                </c:pt>
                <c:pt idx="468">
                  <c:v>91.223733003708148</c:v>
                </c:pt>
                <c:pt idx="469">
                  <c:v>90.852904820766128</c:v>
                </c:pt>
                <c:pt idx="470">
                  <c:v>91.223733003708148</c:v>
                </c:pt>
                <c:pt idx="471">
                  <c:v>91.223733003708148</c:v>
                </c:pt>
                <c:pt idx="472">
                  <c:v>90.111248454882485</c:v>
                </c:pt>
                <c:pt idx="473">
                  <c:v>89.864029666254567</c:v>
                </c:pt>
                <c:pt idx="474">
                  <c:v>88.99876390605678</c:v>
                </c:pt>
                <c:pt idx="475">
                  <c:v>89.987639060568597</c:v>
                </c:pt>
                <c:pt idx="476">
                  <c:v>89.740420271940806</c:v>
                </c:pt>
                <c:pt idx="477">
                  <c:v>90.234857849196487</c:v>
                </c:pt>
                <c:pt idx="478">
                  <c:v>90.482076637824179</c:v>
                </c:pt>
                <c:pt idx="479">
                  <c:v>89.864029666254595</c:v>
                </c:pt>
                <c:pt idx="480">
                  <c:v>89.49320148331303</c:v>
                </c:pt>
                <c:pt idx="481">
                  <c:v>89.616810877626406</c:v>
                </c:pt>
                <c:pt idx="482">
                  <c:v>90.482076637824207</c:v>
                </c:pt>
                <c:pt idx="483">
                  <c:v>90.234857849196501</c:v>
                </c:pt>
                <c:pt idx="484">
                  <c:v>90.358467243510418</c:v>
                </c:pt>
                <c:pt idx="485">
                  <c:v>90.482076637824207</c:v>
                </c:pt>
                <c:pt idx="486">
                  <c:v>90.234857849196501</c:v>
                </c:pt>
                <c:pt idx="487">
                  <c:v>90.111248454882528</c:v>
                </c:pt>
                <c:pt idx="488">
                  <c:v>89.864029666254595</c:v>
                </c:pt>
                <c:pt idx="489">
                  <c:v>89.122373300370597</c:v>
                </c:pt>
                <c:pt idx="490">
                  <c:v>88.998763906056809</c:v>
                </c:pt>
                <c:pt idx="491">
                  <c:v>87.762669962917414</c:v>
                </c:pt>
                <c:pt idx="492">
                  <c:v>87.515451174288998</c:v>
                </c:pt>
                <c:pt idx="493">
                  <c:v>86.897404202719372</c:v>
                </c:pt>
                <c:pt idx="494">
                  <c:v>86.279357231149518</c:v>
                </c:pt>
                <c:pt idx="495">
                  <c:v>86.279357231149518</c:v>
                </c:pt>
                <c:pt idx="496">
                  <c:v>86.155747836835161</c:v>
                </c:pt>
                <c:pt idx="497">
                  <c:v>89.245982694684599</c:v>
                </c:pt>
                <c:pt idx="498">
                  <c:v>89.493201483313001</c:v>
                </c:pt>
                <c:pt idx="499">
                  <c:v>89.493201483313001</c:v>
                </c:pt>
                <c:pt idx="500">
                  <c:v>89.740420271940806</c:v>
                </c:pt>
                <c:pt idx="501">
                  <c:v>89.369592088998701</c:v>
                </c:pt>
                <c:pt idx="502">
                  <c:v>89.616810877626378</c:v>
                </c:pt>
                <c:pt idx="503">
                  <c:v>90.111248454882499</c:v>
                </c:pt>
                <c:pt idx="504">
                  <c:v>90.234857849196473</c:v>
                </c:pt>
                <c:pt idx="505">
                  <c:v>90.358467243510418</c:v>
                </c:pt>
                <c:pt idx="506">
                  <c:v>90.358467243510418</c:v>
                </c:pt>
                <c:pt idx="507">
                  <c:v>90.111248454882514</c:v>
                </c:pt>
                <c:pt idx="508">
                  <c:v>90.605686032138138</c:v>
                </c:pt>
                <c:pt idx="509">
                  <c:v>90.9765142150803</c:v>
                </c:pt>
                <c:pt idx="510">
                  <c:v>90.729295426452353</c:v>
                </c:pt>
                <c:pt idx="511">
                  <c:v>90.729295426452353</c:v>
                </c:pt>
                <c:pt idx="512">
                  <c:v>91.100123609394444</c:v>
                </c:pt>
                <c:pt idx="513">
                  <c:v>92.336217552533725</c:v>
                </c:pt>
                <c:pt idx="514">
                  <c:v>91.841779975278229</c:v>
                </c:pt>
                <c:pt idx="515">
                  <c:v>91.841779975278229</c:v>
                </c:pt>
                <c:pt idx="516">
                  <c:v>92.088998763906019</c:v>
                </c:pt>
                <c:pt idx="517">
                  <c:v>91.841779975278229</c:v>
                </c:pt>
                <c:pt idx="518">
                  <c:v>91.47095179233618</c:v>
                </c:pt>
                <c:pt idx="519">
                  <c:v>91.594561186650139</c:v>
                </c:pt>
                <c:pt idx="520">
                  <c:v>92.088998763906019</c:v>
                </c:pt>
                <c:pt idx="521">
                  <c:v>92.212608158219979</c:v>
                </c:pt>
                <c:pt idx="522">
                  <c:v>91.96538936959206</c:v>
                </c:pt>
                <c:pt idx="523">
                  <c:v>90.358467243510418</c:v>
                </c:pt>
                <c:pt idx="524">
                  <c:v>90.482076637824207</c:v>
                </c:pt>
                <c:pt idx="525">
                  <c:v>90.976514215080329</c:v>
                </c:pt>
                <c:pt idx="526">
                  <c:v>90.976514215080329</c:v>
                </c:pt>
                <c:pt idx="527">
                  <c:v>91.594561186650168</c:v>
                </c:pt>
                <c:pt idx="528">
                  <c:v>92.088998763906019</c:v>
                </c:pt>
                <c:pt idx="529">
                  <c:v>92.212608158219979</c:v>
                </c:pt>
                <c:pt idx="530">
                  <c:v>92.583436341161757</c:v>
                </c:pt>
                <c:pt idx="531">
                  <c:v>92.088998763906019</c:v>
                </c:pt>
                <c:pt idx="532">
                  <c:v>91.965389369592046</c:v>
                </c:pt>
                <c:pt idx="533">
                  <c:v>91.965389369592046</c:v>
                </c:pt>
                <c:pt idx="534">
                  <c:v>91.965389369592046</c:v>
                </c:pt>
                <c:pt idx="535">
                  <c:v>92.212608158219979</c:v>
                </c:pt>
                <c:pt idx="536">
                  <c:v>92.212608158219979</c:v>
                </c:pt>
                <c:pt idx="537">
                  <c:v>91.841779975278229</c:v>
                </c:pt>
                <c:pt idx="538">
                  <c:v>91.718170580964113</c:v>
                </c:pt>
                <c:pt idx="539">
                  <c:v>91.47095179233618</c:v>
                </c:pt>
                <c:pt idx="540">
                  <c:v>91.718170580964113</c:v>
                </c:pt>
                <c:pt idx="541">
                  <c:v>91.965389369592103</c:v>
                </c:pt>
                <c:pt idx="542">
                  <c:v>91.965389369592103</c:v>
                </c:pt>
                <c:pt idx="543">
                  <c:v>92.088998763906048</c:v>
                </c:pt>
                <c:pt idx="544">
                  <c:v>93.077873918417808</c:v>
                </c:pt>
                <c:pt idx="545">
                  <c:v>93.572311495673659</c:v>
                </c:pt>
                <c:pt idx="546">
                  <c:v>93.325092707045556</c:v>
                </c:pt>
                <c:pt idx="547">
                  <c:v>94.437577255871432</c:v>
                </c:pt>
                <c:pt idx="548">
                  <c:v>93.695920889987633</c:v>
                </c:pt>
                <c:pt idx="549">
                  <c:v>93.448702101359558</c:v>
                </c:pt>
                <c:pt idx="550">
                  <c:v>93.448702101359558</c:v>
                </c:pt>
                <c:pt idx="551">
                  <c:v>92.830655129789818</c:v>
                </c:pt>
                <c:pt idx="552">
                  <c:v>92.707045735475901</c:v>
                </c:pt>
                <c:pt idx="553">
                  <c:v>92.954264524104005</c:v>
                </c:pt>
                <c:pt idx="554">
                  <c:v>91.965389369592103</c:v>
                </c:pt>
                <c:pt idx="555">
                  <c:v>91.841779975278286</c:v>
                </c:pt>
                <c:pt idx="556">
                  <c:v>92.336217552533753</c:v>
                </c:pt>
                <c:pt idx="557">
                  <c:v>92.088998763906048</c:v>
                </c:pt>
                <c:pt idx="558">
                  <c:v>92.088998763906048</c:v>
                </c:pt>
                <c:pt idx="559">
                  <c:v>92.088998763906048</c:v>
                </c:pt>
                <c:pt idx="560">
                  <c:v>92.954264524104005</c:v>
                </c:pt>
                <c:pt idx="561">
                  <c:v>92.830655129789818</c:v>
                </c:pt>
                <c:pt idx="562">
                  <c:v>93.201483312731554</c:v>
                </c:pt>
                <c:pt idx="563">
                  <c:v>93.201483312731554</c:v>
                </c:pt>
                <c:pt idx="564">
                  <c:v>93.325092707045556</c:v>
                </c:pt>
                <c:pt idx="565">
                  <c:v>93.201483312731554</c:v>
                </c:pt>
                <c:pt idx="566">
                  <c:v>93.448702101359558</c:v>
                </c:pt>
                <c:pt idx="567">
                  <c:v>93.201483312731554</c:v>
                </c:pt>
                <c:pt idx="568">
                  <c:v>93.201483312731554</c:v>
                </c:pt>
                <c:pt idx="569">
                  <c:v>93.448702101359558</c:v>
                </c:pt>
                <c:pt idx="570">
                  <c:v>93.448702101359558</c:v>
                </c:pt>
                <c:pt idx="571">
                  <c:v>91.718170580964141</c:v>
                </c:pt>
                <c:pt idx="572">
                  <c:v>91.841779975278271</c:v>
                </c:pt>
                <c:pt idx="573">
                  <c:v>91.965389369592103</c:v>
                </c:pt>
                <c:pt idx="574">
                  <c:v>92.212608158219979</c:v>
                </c:pt>
                <c:pt idx="575">
                  <c:v>90.976514215080357</c:v>
                </c:pt>
                <c:pt idx="576">
                  <c:v>90.852904820766227</c:v>
                </c:pt>
                <c:pt idx="577">
                  <c:v>91.347342398022249</c:v>
                </c:pt>
                <c:pt idx="578">
                  <c:v>91.223733003708219</c:v>
                </c:pt>
                <c:pt idx="579">
                  <c:v>91.347342398022249</c:v>
                </c:pt>
                <c:pt idx="580">
                  <c:v>91.470951792336209</c:v>
                </c:pt>
                <c:pt idx="581">
                  <c:v>91.100123609394487</c:v>
                </c:pt>
                <c:pt idx="582">
                  <c:v>90.976514215080357</c:v>
                </c:pt>
                <c:pt idx="583">
                  <c:v>91.594561186650211</c:v>
                </c:pt>
                <c:pt idx="584">
                  <c:v>91.965389369592103</c:v>
                </c:pt>
                <c:pt idx="585">
                  <c:v>91.841779975278286</c:v>
                </c:pt>
                <c:pt idx="586">
                  <c:v>91.965389369592103</c:v>
                </c:pt>
                <c:pt idx="587">
                  <c:v>91.965389369592103</c:v>
                </c:pt>
                <c:pt idx="588">
                  <c:v>92.336217552533753</c:v>
                </c:pt>
                <c:pt idx="589">
                  <c:v>91.718170580964156</c:v>
                </c:pt>
                <c:pt idx="590">
                  <c:v>91.965389369592103</c:v>
                </c:pt>
                <c:pt idx="591">
                  <c:v>92.088998763906048</c:v>
                </c:pt>
                <c:pt idx="592">
                  <c:v>91.223733003708219</c:v>
                </c:pt>
                <c:pt idx="593">
                  <c:v>91.470951792336209</c:v>
                </c:pt>
                <c:pt idx="594">
                  <c:v>90.605686032138209</c:v>
                </c:pt>
                <c:pt idx="595">
                  <c:v>90.852904820766227</c:v>
                </c:pt>
                <c:pt idx="596">
                  <c:v>90.976514215080371</c:v>
                </c:pt>
                <c:pt idx="597">
                  <c:v>91.223733003708219</c:v>
                </c:pt>
                <c:pt idx="598">
                  <c:v>90.976514215080371</c:v>
                </c:pt>
                <c:pt idx="599">
                  <c:v>91.100123609394487</c:v>
                </c:pt>
                <c:pt idx="600">
                  <c:v>91.594561186650182</c:v>
                </c:pt>
                <c:pt idx="601">
                  <c:v>91.841779975278286</c:v>
                </c:pt>
                <c:pt idx="602">
                  <c:v>91.470951792336209</c:v>
                </c:pt>
                <c:pt idx="603">
                  <c:v>91.470951792336209</c:v>
                </c:pt>
                <c:pt idx="604">
                  <c:v>91.841779975278286</c:v>
                </c:pt>
                <c:pt idx="605">
                  <c:v>91.841779975278286</c:v>
                </c:pt>
                <c:pt idx="606">
                  <c:v>91.841779975278286</c:v>
                </c:pt>
                <c:pt idx="607">
                  <c:v>92.336217552533753</c:v>
                </c:pt>
                <c:pt idx="608">
                  <c:v>93.325092707045556</c:v>
                </c:pt>
                <c:pt idx="609">
                  <c:v>93.572311495673659</c:v>
                </c:pt>
                <c:pt idx="610">
                  <c:v>93.943139678615807</c:v>
                </c:pt>
                <c:pt idx="611">
                  <c:v>94.066749072929341</c:v>
                </c:pt>
                <c:pt idx="612">
                  <c:v>93.448702101359558</c:v>
                </c:pt>
                <c:pt idx="613">
                  <c:v>93.572311495673659</c:v>
                </c:pt>
                <c:pt idx="614">
                  <c:v>93.572311495673659</c:v>
                </c:pt>
                <c:pt idx="615">
                  <c:v>93.325092707045556</c:v>
                </c:pt>
                <c:pt idx="616">
                  <c:v>93.20148331273154</c:v>
                </c:pt>
                <c:pt idx="617">
                  <c:v>92.830655129789818</c:v>
                </c:pt>
                <c:pt idx="618">
                  <c:v>92.954264524103934</c:v>
                </c:pt>
                <c:pt idx="619">
                  <c:v>92.336217552533725</c:v>
                </c:pt>
                <c:pt idx="620">
                  <c:v>92.336217552533725</c:v>
                </c:pt>
                <c:pt idx="621">
                  <c:v>92.459826946847897</c:v>
                </c:pt>
                <c:pt idx="622">
                  <c:v>93.572311495673588</c:v>
                </c:pt>
                <c:pt idx="623">
                  <c:v>93.448702101359558</c:v>
                </c:pt>
                <c:pt idx="624">
                  <c:v>94.066749072929284</c:v>
                </c:pt>
                <c:pt idx="625">
                  <c:v>93.943139678615736</c:v>
                </c:pt>
                <c:pt idx="626">
                  <c:v>93.695920889987576</c:v>
                </c:pt>
                <c:pt idx="627">
                  <c:v>93.572311495673588</c:v>
                </c:pt>
                <c:pt idx="628">
                  <c:v>93.448702101359558</c:v>
                </c:pt>
                <c:pt idx="629">
                  <c:v>93.448702101359558</c:v>
                </c:pt>
                <c:pt idx="630">
                  <c:v>93.201483312731526</c:v>
                </c:pt>
                <c:pt idx="631">
                  <c:v>93.325092707045528</c:v>
                </c:pt>
                <c:pt idx="632">
                  <c:v>93.201483312731526</c:v>
                </c:pt>
                <c:pt idx="633">
                  <c:v>93.201483312731526</c:v>
                </c:pt>
                <c:pt idx="634">
                  <c:v>92.707045735475873</c:v>
                </c:pt>
                <c:pt idx="635">
                  <c:v>92.830655129789818</c:v>
                </c:pt>
                <c:pt idx="636">
                  <c:v>92.707045735475873</c:v>
                </c:pt>
                <c:pt idx="637">
                  <c:v>92.212608158219979</c:v>
                </c:pt>
                <c:pt idx="638">
                  <c:v>90.605686032138166</c:v>
                </c:pt>
                <c:pt idx="639">
                  <c:v>90.605686032138166</c:v>
                </c:pt>
                <c:pt idx="640">
                  <c:v>90.234857849196501</c:v>
                </c:pt>
                <c:pt idx="641">
                  <c:v>90.605686032138166</c:v>
                </c:pt>
                <c:pt idx="642">
                  <c:v>90.234857849196501</c:v>
                </c:pt>
                <c:pt idx="643">
                  <c:v>89.864029666254595</c:v>
                </c:pt>
                <c:pt idx="644">
                  <c:v>89.864029666254595</c:v>
                </c:pt>
                <c:pt idx="645">
                  <c:v>89.616810877626406</c:v>
                </c:pt>
                <c:pt idx="646">
                  <c:v>90.111248454882528</c:v>
                </c:pt>
                <c:pt idx="647">
                  <c:v>88.875154511742849</c:v>
                </c:pt>
                <c:pt idx="648">
                  <c:v>89.245982694684614</c:v>
                </c:pt>
                <c:pt idx="649">
                  <c:v>88.009888751545049</c:v>
                </c:pt>
                <c:pt idx="650">
                  <c:v>88.133498145858809</c:v>
                </c:pt>
                <c:pt idx="651">
                  <c:v>88.998763906056809</c:v>
                </c:pt>
                <c:pt idx="652">
                  <c:v>89.616810877626406</c:v>
                </c:pt>
                <c:pt idx="653">
                  <c:v>89.616810877626406</c:v>
                </c:pt>
                <c:pt idx="654">
                  <c:v>89.122373300370597</c:v>
                </c:pt>
                <c:pt idx="655">
                  <c:v>88.627935723114888</c:v>
                </c:pt>
                <c:pt idx="656">
                  <c:v>88.133498145858795</c:v>
                </c:pt>
                <c:pt idx="657">
                  <c:v>88.257107540173024</c:v>
                </c:pt>
                <c:pt idx="658">
                  <c:v>88.627935723114888</c:v>
                </c:pt>
                <c:pt idx="659">
                  <c:v>88.257107540172996</c:v>
                </c:pt>
                <c:pt idx="660">
                  <c:v>88.009888751545049</c:v>
                </c:pt>
                <c:pt idx="661">
                  <c:v>88.751545117428606</c:v>
                </c:pt>
                <c:pt idx="662">
                  <c:v>89.245982694684571</c:v>
                </c:pt>
                <c:pt idx="663">
                  <c:v>89.245982694684571</c:v>
                </c:pt>
                <c:pt idx="664">
                  <c:v>89.987639060568526</c:v>
                </c:pt>
                <c:pt idx="665">
                  <c:v>89.987639060568526</c:v>
                </c:pt>
                <c:pt idx="666">
                  <c:v>89.987639060568526</c:v>
                </c:pt>
                <c:pt idx="667">
                  <c:v>90.482076637824136</c:v>
                </c:pt>
                <c:pt idx="668">
                  <c:v>91.594561186650083</c:v>
                </c:pt>
                <c:pt idx="669">
                  <c:v>91.841779975278214</c:v>
                </c:pt>
                <c:pt idx="670">
                  <c:v>91.71817058096407</c:v>
                </c:pt>
                <c:pt idx="671">
                  <c:v>91.34734239802215</c:v>
                </c:pt>
                <c:pt idx="672">
                  <c:v>91.718170580964056</c:v>
                </c:pt>
                <c:pt idx="673">
                  <c:v>92.336217552533668</c:v>
                </c:pt>
                <c:pt idx="674">
                  <c:v>91.965389369591989</c:v>
                </c:pt>
                <c:pt idx="675">
                  <c:v>92.459826946847897</c:v>
                </c:pt>
                <c:pt idx="676">
                  <c:v>91.470951792336109</c:v>
                </c:pt>
                <c:pt idx="677">
                  <c:v>91.470951792336109</c:v>
                </c:pt>
                <c:pt idx="678">
                  <c:v>91.470951792336109</c:v>
                </c:pt>
                <c:pt idx="679">
                  <c:v>90.729295426452282</c:v>
                </c:pt>
                <c:pt idx="680">
                  <c:v>90.482076637824107</c:v>
                </c:pt>
                <c:pt idx="681">
                  <c:v>89.987639060568497</c:v>
                </c:pt>
                <c:pt idx="682">
                  <c:v>90.482076637824079</c:v>
                </c:pt>
                <c:pt idx="683">
                  <c:v>90.852904820766085</c:v>
                </c:pt>
                <c:pt idx="684">
                  <c:v>90.729295426452282</c:v>
                </c:pt>
                <c:pt idx="685">
                  <c:v>90.605686032138067</c:v>
                </c:pt>
                <c:pt idx="686">
                  <c:v>90.852904820766085</c:v>
                </c:pt>
                <c:pt idx="687">
                  <c:v>90.976514215080229</c:v>
                </c:pt>
                <c:pt idx="688">
                  <c:v>91.718170580964028</c:v>
                </c:pt>
                <c:pt idx="689">
                  <c:v>91.718170580964028</c:v>
                </c:pt>
                <c:pt idx="690">
                  <c:v>91.470951792336081</c:v>
                </c:pt>
                <c:pt idx="691">
                  <c:v>91.718170580964028</c:v>
                </c:pt>
                <c:pt idx="692">
                  <c:v>92.088998763905849</c:v>
                </c:pt>
                <c:pt idx="693">
                  <c:v>92.088998763905849</c:v>
                </c:pt>
                <c:pt idx="694">
                  <c:v>92.459826946847826</c:v>
                </c:pt>
                <c:pt idx="695">
                  <c:v>92.459826946847826</c:v>
                </c:pt>
                <c:pt idx="696">
                  <c:v>92.088998763905849</c:v>
                </c:pt>
                <c:pt idx="697">
                  <c:v>91.965389369591918</c:v>
                </c:pt>
                <c:pt idx="698">
                  <c:v>91.965389369591918</c:v>
                </c:pt>
                <c:pt idx="699">
                  <c:v>92.459826946847826</c:v>
                </c:pt>
                <c:pt idx="700">
                  <c:v>91.965389369591918</c:v>
                </c:pt>
                <c:pt idx="701">
                  <c:v>92.212608158219879</c:v>
                </c:pt>
                <c:pt idx="702">
                  <c:v>91.965389369591918</c:v>
                </c:pt>
                <c:pt idx="703">
                  <c:v>92.088998763905849</c:v>
                </c:pt>
                <c:pt idx="704">
                  <c:v>92.088998763905849</c:v>
                </c:pt>
                <c:pt idx="705">
                  <c:v>93.07787391841768</c:v>
                </c:pt>
                <c:pt idx="706">
                  <c:v>92.459826946847897</c:v>
                </c:pt>
                <c:pt idx="707">
                  <c:v>92.707045735475774</c:v>
                </c:pt>
                <c:pt idx="708">
                  <c:v>92.336217552533654</c:v>
                </c:pt>
                <c:pt idx="709">
                  <c:v>92.336217552533654</c:v>
                </c:pt>
                <c:pt idx="710">
                  <c:v>92.212608158219879</c:v>
                </c:pt>
                <c:pt idx="711">
                  <c:v>91.718170580964014</c:v>
                </c:pt>
                <c:pt idx="712">
                  <c:v>92.088998763905849</c:v>
                </c:pt>
                <c:pt idx="713">
                  <c:v>92.459826946847826</c:v>
                </c:pt>
                <c:pt idx="714">
                  <c:v>92.459826946847826</c:v>
                </c:pt>
                <c:pt idx="715">
                  <c:v>92.583436341161658</c:v>
                </c:pt>
                <c:pt idx="716">
                  <c:v>92.212608158219851</c:v>
                </c:pt>
                <c:pt idx="717">
                  <c:v>92.336217552533626</c:v>
                </c:pt>
                <c:pt idx="718">
                  <c:v>92.583436341161658</c:v>
                </c:pt>
                <c:pt idx="719">
                  <c:v>92.336217552533597</c:v>
                </c:pt>
                <c:pt idx="720">
                  <c:v>92.088998763905849</c:v>
                </c:pt>
                <c:pt idx="721">
                  <c:v>92.212608158219851</c:v>
                </c:pt>
                <c:pt idx="722">
                  <c:v>92.088998763905849</c:v>
                </c:pt>
                <c:pt idx="723">
                  <c:v>92.212608158219851</c:v>
                </c:pt>
                <c:pt idx="724">
                  <c:v>91.841779975278115</c:v>
                </c:pt>
                <c:pt idx="725">
                  <c:v>92.212608158219851</c:v>
                </c:pt>
                <c:pt idx="726">
                  <c:v>92.336217552533597</c:v>
                </c:pt>
                <c:pt idx="727">
                  <c:v>92.583436341161658</c:v>
                </c:pt>
                <c:pt idx="728">
                  <c:v>92.707045735475717</c:v>
                </c:pt>
                <c:pt idx="729">
                  <c:v>92.583436341161658</c:v>
                </c:pt>
                <c:pt idx="730">
                  <c:v>92.95426452410382</c:v>
                </c:pt>
                <c:pt idx="731">
                  <c:v>93.077873918417581</c:v>
                </c:pt>
                <c:pt idx="732">
                  <c:v>93.448702101359459</c:v>
                </c:pt>
                <c:pt idx="733">
                  <c:v>94.684796044498924</c:v>
                </c:pt>
                <c:pt idx="734">
                  <c:v>94.066749072929156</c:v>
                </c:pt>
                <c:pt idx="735">
                  <c:v>94.190358467243271</c:v>
                </c:pt>
                <c:pt idx="736">
                  <c:v>94.313967861557231</c:v>
                </c:pt>
                <c:pt idx="737">
                  <c:v>94.561186650185192</c:v>
                </c:pt>
                <c:pt idx="738">
                  <c:v>95.055624227441044</c:v>
                </c:pt>
                <c:pt idx="739">
                  <c:v>94.93201483312707</c:v>
                </c:pt>
                <c:pt idx="740">
                  <c:v>95.426452410382879</c:v>
                </c:pt>
                <c:pt idx="741">
                  <c:v>96.04449938195296</c:v>
                </c:pt>
                <c:pt idx="742">
                  <c:v>95.920889987638816</c:v>
                </c:pt>
                <c:pt idx="743">
                  <c:v>95.673671199010727</c:v>
                </c:pt>
                <c:pt idx="744">
                  <c:v>96.044499381952974</c:v>
                </c:pt>
                <c:pt idx="745">
                  <c:v>95.797280593324871</c:v>
                </c:pt>
                <c:pt idx="746">
                  <c:v>96.909765142150519</c:v>
                </c:pt>
                <c:pt idx="747">
                  <c:v>96.538936959208641</c:v>
                </c:pt>
                <c:pt idx="748">
                  <c:v>97.15698393077848</c:v>
                </c:pt>
                <c:pt idx="749">
                  <c:v>96.538936959208613</c:v>
                </c:pt>
                <c:pt idx="750">
                  <c:v>96.291718170580438</c:v>
                </c:pt>
                <c:pt idx="751">
                  <c:v>96.291718170580438</c:v>
                </c:pt>
                <c:pt idx="752">
                  <c:v>96.538936959208613</c:v>
                </c:pt>
                <c:pt idx="753">
                  <c:v>96.168108776266507</c:v>
                </c:pt>
                <c:pt idx="754">
                  <c:v>95.797280593324842</c:v>
                </c:pt>
                <c:pt idx="755">
                  <c:v>95.550061804696668</c:v>
                </c:pt>
                <c:pt idx="756">
                  <c:v>95.550061804696668</c:v>
                </c:pt>
                <c:pt idx="757">
                  <c:v>95.797280593324842</c:v>
                </c:pt>
                <c:pt idx="758">
                  <c:v>94.561186650185192</c:v>
                </c:pt>
                <c:pt idx="759">
                  <c:v>94.066749072929156</c:v>
                </c:pt>
                <c:pt idx="760">
                  <c:v>93.448702101359359</c:v>
                </c:pt>
                <c:pt idx="761">
                  <c:v>93.448702101359359</c:v>
                </c:pt>
                <c:pt idx="762">
                  <c:v>92.583436341161658</c:v>
                </c:pt>
                <c:pt idx="763">
                  <c:v>93.572311495673389</c:v>
                </c:pt>
                <c:pt idx="764">
                  <c:v>94.43757725587119</c:v>
                </c:pt>
                <c:pt idx="765">
                  <c:v>93.695920889987391</c:v>
                </c:pt>
                <c:pt idx="766">
                  <c:v>92.707045735475646</c:v>
                </c:pt>
                <c:pt idx="767">
                  <c:v>92.583436341161658</c:v>
                </c:pt>
                <c:pt idx="768">
                  <c:v>92.70704573547566</c:v>
                </c:pt>
                <c:pt idx="769">
                  <c:v>93.819530284301365</c:v>
                </c:pt>
                <c:pt idx="770">
                  <c:v>92.954264524103777</c:v>
                </c:pt>
                <c:pt idx="771">
                  <c:v>93.201483312731341</c:v>
                </c:pt>
                <c:pt idx="772">
                  <c:v>93.572311495673418</c:v>
                </c:pt>
                <c:pt idx="773">
                  <c:v>92.830655129789548</c:v>
                </c:pt>
                <c:pt idx="774">
                  <c:v>93.077873918417538</c:v>
                </c:pt>
                <c:pt idx="775">
                  <c:v>92.707045735475646</c:v>
                </c:pt>
                <c:pt idx="776">
                  <c:v>91.841779975278044</c:v>
                </c:pt>
                <c:pt idx="777">
                  <c:v>91.841779975278044</c:v>
                </c:pt>
                <c:pt idx="778">
                  <c:v>90.358467243510248</c:v>
                </c:pt>
                <c:pt idx="779">
                  <c:v>89.987639060568426</c:v>
                </c:pt>
                <c:pt idx="780">
                  <c:v>89.987639060568426</c:v>
                </c:pt>
                <c:pt idx="781">
                  <c:v>87.639060568602986</c:v>
                </c:pt>
                <c:pt idx="782">
                  <c:v>88.87515451174265</c:v>
                </c:pt>
                <c:pt idx="783">
                  <c:v>89.122373300370427</c:v>
                </c:pt>
                <c:pt idx="784">
                  <c:v>90.111248454882329</c:v>
                </c:pt>
                <c:pt idx="785">
                  <c:v>89.36959208899853</c:v>
                </c:pt>
                <c:pt idx="786">
                  <c:v>87.021013597033146</c:v>
                </c:pt>
                <c:pt idx="787">
                  <c:v>80.469715698393045</c:v>
                </c:pt>
                <c:pt idx="788">
                  <c:v>82.818294190358245</c:v>
                </c:pt>
                <c:pt idx="789">
                  <c:v>83.43634116192807</c:v>
                </c:pt>
                <c:pt idx="790">
                  <c:v>80.346106304078873</c:v>
                </c:pt>
                <c:pt idx="791">
                  <c:v>82.941903584672531</c:v>
                </c:pt>
                <c:pt idx="792">
                  <c:v>80.964153275648968</c:v>
                </c:pt>
                <c:pt idx="793">
                  <c:v>81.087762669962842</c:v>
                </c:pt>
                <c:pt idx="794">
                  <c:v>77.873918417799288</c:v>
                </c:pt>
                <c:pt idx="795">
                  <c:v>76.019777503089756</c:v>
                </c:pt>
                <c:pt idx="796">
                  <c:v>78.36835599505541</c:v>
                </c:pt>
                <c:pt idx="797">
                  <c:v>75.772558714461823</c:v>
                </c:pt>
                <c:pt idx="798">
                  <c:v>77.750309023485457</c:v>
                </c:pt>
                <c:pt idx="799">
                  <c:v>79.110012360939251</c:v>
                </c:pt>
                <c:pt idx="800">
                  <c:v>78.491965389369639</c:v>
                </c:pt>
                <c:pt idx="801">
                  <c:v>79.110012360939251</c:v>
                </c:pt>
                <c:pt idx="802">
                  <c:v>77.873918417799317</c:v>
                </c:pt>
                <c:pt idx="803">
                  <c:v>79.851668726823078</c:v>
                </c:pt>
                <c:pt idx="804">
                  <c:v>79.11001236093928</c:v>
                </c:pt>
                <c:pt idx="805">
                  <c:v>79.480840543881158</c:v>
                </c:pt>
                <c:pt idx="806">
                  <c:v>81.087762669962899</c:v>
                </c:pt>
                <c:pt idx="807">
                  <c:v>81.334981458590619</c:v>
                </c:pt>
                <c:pt idx="808">
                  <c:v>81.82941903584657</c:v>
                </c:pt>
                <c:pt idx="809">
                  <c:v>81.087762669962913</c:v>
                </c:pt>
                <c:pt idx="810">
                  <c:v>82.32385661310245</c:v>
                </c:pt>
                <c:pt idx="811">
                  <c:v>82.447466007416423</c:v>
                </c:pt>
                <c:pt idx="812">
                  <c:v>81.582200247218637</c:v>
                </c:pt>
                <c:pt idx="813">
                  <c:v>81.705809641532625</c:v>
                </c:pt>
                <c:pt idx="814">
                  <c:v>81.211372064276745</c:v>
                </c:pt>
                <c:pt idx="815">
                  <c:v>80.840543881334867</c:v>
                </c:pt>
                <c:pt idx="816">
                  <c:v>80.593325092706849</c:v>
                </c:pt>
                <c:pt idx="817">
                  <c:v>80.222496909765013</c:v>
                </c:pt>
                <c:pt idx="818">
                  <c:v>77.626699629171696</c:v>
                </c:pt>
                <c:pt idx="819">
                  <c:v>77.379480840543508</c:v>
                </c:pt>
                <c:pt idx="820">
                  <c:v>78.862793572311318</c:v>
                </c:pt>
                <c:pt idx="821">
                  <c:v>79.728059332508906</c:v>
                </c:pt>
                <c:pt idx="822">
                  <c:v>80.222496909765013</c:v>
                </c:pt>
                <c:pt idx="823">
                  <c:v>80.469715698393131</c:v>
                </c:pt>
                <c:pt idx="824">
                  <c:v>81.087762669962927</c:v>
                </c:pt>
                <c:pt idx="825">
                  <c:v>78.615574783683286</c:v>
                </c:pt>
                <c:pt idx="826">
                  <c:v>80.222496909764857</c:v>
                </c:pt>
                <c:pt idx="827">
                  <c:v>80.098887515450727</c:v>
                </c:pt>
                <c:pt idx="828">
                  <c:v>80.964153275649068</c:v>
                </c:pt>
                <c:pt idx="829">
                  <c:v>81.334981458590619</c:v>
                </c:pt>
                <c:pt idx="830">
                  <c:v>81.458590852904436</c:v>
                </c:pt>
                <c:pt idx="831">
                  <c:v>81.953028430160543</c:v>
                </c:pt>
                <c:pt idx="832">
                  <c:v>82.200247218788448</c:v>
                </c:pt>
                <c:pt idx="833">
                  <c:v>81.953028430160515</c:v>
                </c:pt>
                <c:pt idx="834">
                  <c:v>82.200247218788448</c:v>
                </c:pt>
                <c:pt idx="835">
                  <c:v>82.447466007416395</c:v>
                </c:pt>
                <c:pt idx="836">
                  <c:v>82.818294190358287</c:v>
                </c:pt>
                <c:pt idx="837">
                  <c:v>83.189122373300179</c:v>
                </c:pt>
                <c:pt idx="838">
                  <c:v>83.930778739183737</c:v>
                </c:pt>
                <c:pt idx="839">
                  <c:v>82.941903584672602</c:v>
                </c:pt>
                <c:pt idx="840">
                  <c:v>82.941903584672602</c:v>
                </c:pt>
                <c:pt idx="841">
                  <c:v>83.559950556242086</c:v>
                </c:pt>
                <c:pt idx="842">
                  <c:v>84.177997527811726</c:v>
                </c:pt>
                <c:pt idx="843">
                  <c:v>84.425216316439588</c:v>
                </c:pt>
                <c:pt idx="844">
                  <c:v>85.537700865265563</c:v>
                </c:pt>
                <c:pt idx="845">
                  <c:v>86.773794808405071</c:v>
                </c:pt>
                <c:pt idx="846">
                  <c:v>87.144622991347461</c:v>
                </c:pt>
                <c:pt idx="847">
                  <c:v>86.155747836835005</c:v>
                </c:pt>
                <c:pt idx="848">
                  <c:v>86.650185414091084</c:v>
                </c:pt>
                <c:pt idx="849">
                  <c:v>87.268232385661108</c:v>
                </c:pt>
                <c:pt idx="850">
                  <c:v>86.402966625463336</c:v>
                </c:pt>
                <c:pt idx="851">
                  <c:v>86.402966625463336</c:v>
                </c:pt>
                <c:pt idx="852">
                  <c:v>86.402966625463336</c:v>
                </c:pt>
                <c:pt idx="853">
                  <c:v>85.661310259579508</c:v>
                </c:pt>
                <c:pt idx="854">
                  <c:v>84.548825710753789</c:v>
                </c:pt>
                <c:pt idx="855">
                  <c:v>85.290482076637588</c:v>
                </c:pt>
                <c:pt idx="856">
                  <c:v>85.043263288009911</c:v>
                </c:pt>
                <c:pt idx="857">
                  <c:v>85.66131025957948</c:v>
                </c:pt>
                <c:pt idx="858">
                  <c:v>85.414091470951547</c:v>
                </c:pt>
                <c:pt idx="859">
                  <c:v>85.290482076637588</c:v>
                </c:pt>
                <c:pt idx="860">
                  <c:v>86.155747836834962</c:v>
                </c:pt>
                <c:pt idx="861">
                  <c:v>85.908529048207669</c:v>
                </c:pt>
                <c:pt idx="862">
                  <c:v>85.784919653893496</c:v>
                </c:pt>
                <c:pt idx="863">
                  <c:v>85.908529048207669</c:v>
                </c:pt>
                <c:pt idx="864">
                  <c:v>85.166872682323472</c:v>
                </c:pt>
                <c:pt idx="865">
                  <c:v>84.177997527811698</c:v>
                </c:pt>
                <c:pt idx="866">
                  <c:v>83.930778739183708</c:v>
                </c:pt>
              </c:numCache>
            </c:numRef>
          </c:val>
          <c:smooth val="0"/>
          <c:extLst>
            <c:ext xmlns:c16="http://schemas.microsoft.com/office/drawing/2014/chart" uri="{C3380CC4-5D6E-409C-BE32-E72D297353CC}">
              <c16:uniqueId val="{00000001-68C6-478F-B6E5-1B0A158F0E9D}"/>
            </c:ext>
          </c:extLst>
        </c:ser>
        <c:ser>
          <c:idx val="2"/>
          <c:order val="2"/>
          <c:tx>
            <c:strRef>
              <c:f>Sheet1!$D$1</c:f>
              <c:strCache>
                <c:ptCount val="1"/>
                <c:pt idx="0">
                  <c:v>EUR/AMD</c:v>
                </c:pt>
              </c:strCache>
            </c:strRef>
          </c:tx>
          <c:spPr>
            <a:ln w="28575" cap="rnd">
              <a:solidFill>
                <a:srgbClr val="C00000"/>
              </a:solidFill>
              <a:round/>
            </a:ln>
            <a:effectLst/>
          </c:spPr>
          <c:marker>
            <c:symbol val="none"/>
          </c:marker>
          <c:cat>
            <c:strRef>
              <c:f>Sheet1!$A$2:$A$868</c:f>
              <c:strCache>
                <c:ptCount val="867"/>
                <c:pt idx="0">
                  <c:v>9/1/2017</c:v>
                </c:pt>
                <c:pt idx="1">
                  <c:v>10/1/2017</c:v>
                </c:pt>
                <c:pt idx="2">
                  <c:v>11/1/2017</c:v>
                </c:pt>
                <c:pt idx="3">
                  <c:v>12/1/2017</c:v>
                </c:pt>
                <c:pt idx="4">
                  <c:v>13/01/2017</c:v>
                </c:pt>
                <c:pt idx="5">
                  <c:v>16/01/2017</c:v>
                </c:pt>
                <c:pt idx="6">
                  <c:v>17/01/2017</c:v>
                </c:pt>
                <c:pt idx="7">
                  <c:v>18/01/2017</c:v>
                </c:pt>
                <c:pt idx="8">
                  <c:v>19/01/2017</c:v>
                </c:pt>
                <c:pt idx="9">
                  <c:v>20/01/2017</c:v>
                </c:pt>
                <c:pt idx="10">
                  <c:v>23/01/2017</c:v>
                </c:pt>
                <c:pt idx="11">
                  <c:v>24/01/2017</c:v>
                </c:pt>
                <c:pt idx="12">
                  <c:v>25/01/2017</c:v>
                </c:pt>
                <c:pt idx="13">
                  <c:v>26/01/2017</c:v>
                </c:pt>
                <c:pt idx="14">
                  <c:v>27/01/2017</c:v>
                </c:pt>
                <c:pt idx="15">
                  <c:v>30/01/2017</c:v>
                </c:pt>
                <c:pt idx="16">
                  <c:v>31/01/2017</c:v>
                </c:pt>
                <c:pt idx="17">
                  <c:v>1/2/2017</c:v>
                </c:pt>
                <c:pt idx="18">
                  <c:v>2/2/2017</c:v>
                </c:pt>
                <c:pt idx="19">
                  <c:v>3/2/2017</c:v>
                </c:pt>
                <c:pt idx="20">
                  <c:v>6/2/2017</c:v>
                </c:pt>
                <c:pt idx="21">
                  <c:v>7/2/2017</c:v>
                </c:pt>
                <c:pt idx="22">
                  <c:v>8/2/2017</c:v>
                </c:pt>
                <c:pt idx="23">
                  <c:v>9/2/2017</c:v>
                </c:pt>
                <c:pt idx="24">
                  <c:v>10/2/2017</c:v>
                </c:pt>
                <c:pt idx="25">
                  <c:v>13/02/2017</c:v>
                </c:pt>
                <c:pt idx="26">
                  <c:v>14/02/2017</c:v>
                </c:pt>
                <c:pt idx="27">
                  <c:v>15/02/2017</c:v>
                </c:pt>
                <c:pt idx="28">
                  <c:v>16/02/2017</c:v>
                </c:pt>
                <c:pt idx="29">
                  <c:v>17/02/2017</c:v>
                </c:pt>
                <c:pt idx="30">
                  <c:v>20/02/2017</c:v>
                </c:pt>
                <c:pt idx="31">
                  <c:v>21/02/2017</c:v>
                </c:pt>
                <c:pt idx="32">
                  <c:v>22/02/2017</c:v>
                </c:pt>
                <c:pt idx="33">
                  <c:v>23/02/2017</c:v>
                </c:pt>
                <c:pt idx="34">
                  <c:v>24/02/2017</c:v>
                </c:pt>
                <c:pt idx="35">
                  <c:v>27/02/2017</c:v>
                </c:pt>
                <c:pt idx="36">
                  <c:v>28/02/2017</c:v>
                </c:pt>
                <c:pt idx="37">
                  <c:v>1/3/2017</c:v>
                </c:pt>
                <c:pt idx="38">
                  <c:v>2/3/2017</c:v>
                </c:pt>
                <c:pt idx="39">
                  <c:v>3/3/2017</c:v>
                </c:pt>
                <c:pt idx="40">
                  <c:v>6/3/2017</c:v>
                </c:pt>
                <c:pt idx="41">
                  <c:v>7/3/2017</c:v>
                </c:pt>
                <c:pt idx="42">
                  <c:v>9/3/2017</c:v>
                </c:pt>
                <c:pt idx="43">
                  <c:v>10/3/2017</c:v>
                </c:pt>
                <c:pt idx="44">
                  <c:v>13/03/2017</c:v>
                </c:pt>
                <c:pt idx="45">
                  <c:v>14/03/2017</c:v>
                </c:pt>
                <c:pt idx="46">
                  <c:v>15/03/2017</c:v>
                </c:pt>
                <c:pt idx="47">
                  <c:v>16/03/2017</c:v>
                </c:pt>
                <c:pt idx="48">
                  <c:v>17/03/2017</c:v>
                </c:pt>
                <c:pt idx="49">
                  <c:v>20/03/2017</c:v>
                </c:pt>
                <c:pt idx="50">
                  <c:v>21/03/2017</c:v>
                </c:pt>
                <c:pt idx="51">
                  <c:v>22/03/2017</c:v>
                </c:pt>
                <c:pt idx="52">
                  <c:v>23/03/2017</c:v>
                </c:pt>
                <c:pt idx="53">
                  <c:v>24/03/2017</c:v>
                </c:pt>
                <c:pt idx="54">
                  <c:v>27/03/2017</c:v>
                </c:pt>
                <c:pt idx="55">
                  <c:v>28/03/2017</c:v>
                </c:pt>
                <c:pt idx="56">
                  <c:v>29/03/2017</c:v>
                </c:pt>
                <c:pt idx="57">
                  <c:v>30/03/2017</c:v>
                </c:pt>
                <c:pt idx="58">
                  <c:v>31/03/2017</c:v>
                </c:pt>
                <c:pt idx="59">
                  <c:v>3/4/2017</c:v>
                </c:pt>
                <c:pt idx="60">
                  <c:v>4/4/2017</c:v>
                </c:pt>
                <c:pt idx="61">
                  <c:v>5/4/2017</c:v>
                </c:pt>
                <c:pt idx="62">
                  <c:v>6/4/2017</c:v>
                </c:pt>
                <c:pt idx="63">
                  <c:v>7/4/2017</c:v>
                </c:pt>
                <c:pt idx="64">
                  <c:v>10/4/2017</c:v>
                </c:pt>
                <c:pt idx="65">
                  <c:v>11/4/2017</c:v>
                </c:pt>
                <c:pt idx="66">
                  <c:v>12/4/2017</c:v>
                </c:pt>
                <c:pt idx="67">
                  <c:v>13/04/2017</c:v>
                </c:pt>
                <c:pt idx="68">
                  <c:v>14/04/2017</c:v>
                </c:pt>
                <c:pt idx="69">
                  <c:v>18/04/2017</c:v>
                </c:pt>
                <c:pt idx="70">
                  <c:v>19/04/2017</c:v>
                </c:pt>
                <c:pt idx="71">
                  <c:v>20/04/2017</c:v>
                </c:pt>
                <c:pt idx="72">
                  <c:v>21/04/2017</c:v>
                </c:pt>
                <c:pt idx="73">
                  <c:v>25/04/2017</c:v>
                </c:pt>
                <c:pt idx="74">
                  <c:v>26/04/2017</c:v>
                </c:pt>
                <c:pt idx="75">
                  <c:v>27/04/2017</c:v>
                </c:pt>
                <c:pt idx="76">
                  <c:v>28/04/2017</c:v>
                </c:pt>
                <c:pt idx="77">
                  <c:v>2/5/2017</c:v>
                </c:pt>
                <c:pt idx="78">
                  <c:v>3/5/2017</c:v>
                </c:pt>
                <c:pt idx="79">
                  <c:v>4/5/2017</c:v>
                </c:pt>
                <c:pt idx="80">
                  <c:v>5/5/2017</c:v>
                </c:pt>
                <c:pt idx="81">
                  <c:v>6/5/2017</c:v>
                </c:pt>
                <c:pt idx="82">
                  <c:v>10/5/2017</c:v>
                </c:pt>
                <c:pt idx="83">
                  <c:v>11/5/2017</c:v>
                </c:pt>
                <c:pt idx="84">
                  <c:v>12/5/2017</c:v>
                </c:pt>
                <c:pt idx="85">
                  <c:v>15/05/2017</c:v>
                </c:pt>
                <c:pt idx="86">
                  <c:v>16/05/2017</c:v>
                </c:pt>
                <c:pt idx="87">
                  <c:v>17/05/2017</c:v>
                </c:pt>
                <c:pt idx="88">
                  <c:v>18/05/2017</c:v>
                </c:pt>
                <c:pt idx="89">
                  <c:v>19/05/2017</c:v>
                </c:pt>
                <c:pt idx="90">
                  <c:v>20/05/2017</c:v>
                </c:pt>
                <c:pt idx="91">
                  <c:v>22/05/2017</c:v>
                </c:pt>
                <c:pt idx="92">
                  <c:v>23/05/2017</c:v>
                </c:pt>
                <c:pt idx="93">
                  <c:v>24/05/2017</c:v>
                </c:pt>
                <c:pt idx="94">
                  <c:v>25/05/2017</c:v>
                </c:pt>
                <c:pt idx="95">
                  <c:v>26/05/2017</c:v>
                </c:pt>
                <c:pt idx="96">
                  <c:v>29/05/2017</c:v>
                </c:pt>
                <c:pt idx="97">
                  <c:v>30/05/2017</c:v>
                </c:pt>
                <c:pt idx="98">
                  <c:v>31/05/2017</c:v>
                </c:pt>
                <c:pt idx="99">
                  <c:v>1/6/2017</c:v>
                </c:pt>
                <c:pt idx="100">
                  <c:v>2/6/2017</c:v>
                </c:pt>
                <c:pt idx="101">
                  <c:v>5/6/2017</c:v>
                </c:pt>
                <c:pt idx="102">
                  <c:v>6/6/2017</c:v>
                </c:pt>
                <c:pt idx="103">
                  <c:v>7/6/2017</c:v>
                </c:pt>
                <c:pt idx="104">
                  <c:v>8/6/2017</c:v>
                </c:pt>
                <c:pt idx="105">
                  <c:v>9/6/2017</c:v>
                </c:pt>
                <c:pt idx="106">
                  <c:v>12/6/2017</c:v>
                </c:pt>
                <c:pt idx="107">
                  <c:v>13/06/2017</c:v>
                </c:pt>
                <c:pt idx="108">
                  <c:v>14/06/2017</c:v>
                </c:pt>
                <c:pt idx="109">
                  <c:v>15/06/2017</c:v>
                </c:pt>
                <c:pt idx="110">
                  <c:v>16/06/2017</c:v>
                </c:pt>
                <c:pt idx="111">
                  <c:v>19/06/2017</c:v>
                </c:pt>
                <c:pt idx="112">
                  <c:v>20/06/2017</c:v>
                </c:pt>
                <c:pt idx="113">
                  <c:v>21/06/2017</c:v>
                </c:pt>
                <c:pt idx="114">
                  <c:v>22/06/2017</c:v>
                </c:pt>
                <c:pt idx="115">
                  <c:v>23/06/2017</c:v>
                </c:pt>
                <c:pt idx="116">
                  <c:v>26/06/2017</c:v>
                </c:pt>
                <c:pt idx="117">
                  <c:v>27/06/2017</c:v>
                </c:pt>
                <c:pt idx="118">
                  <c:v>28/06/2017</c:v>
                </c:pt>
                <c:pt idx="119">
                  <c:v>29/06/2017</c:v>
                </c:pt>
                <c:pt idx="120">
                  <c:v>30/06/2017</c:v>
                </c:pt>
                <c:pt idx="121">
                  <c:v>3/7/2017</c:v>
                </c:pt>
                <c:pt idx="122">
                  <c:v>4/7/2017</c:v>
                </c:pt>
                <c:pt idx="123">
                  <c:v>6/7/2017</c:v>
                </c:pt>
                <c:pt idx="124">
                  <c:v>7/7/2017</c:v>
                </c:pt>
                <c:pt idx="125">
                  <c:v>10/7/2017</c:v>
                </c:pt>
                <c:pt idx="126">
                  <c:v>11/7/2017</c:v>
                </c:pt>
                <c:pt idx="127">
                  <c:v>12/7/2017</c:v>
                </c:pt>
                <c:pt idx="128">
                  <c:v>13/07/2017</c:v>
                </c:pt>
                <c:pt idx="129">
                  <c:v>14/07/2017</c:v>
                </c:pt>
                <c:pt idx="130">
                  <c:v>17/07/2017</c:v>
                </c:pt>
                <c:pt idx="131">
                  <c:v>18/07/2017</c:v>
                </c:pt>
                <c:pt idx="132">
                  <c:v>19/07/2017</c:v>
                </c:pt>
                <c:pt idx="133">
                  <c:v>20/07/2017</c:v>
                </c:pt>
                <c:pt idx="134">
                  <c:v>21/07/2017</c:v>
                </c:pt>
                <c:pt idx="135">
                  <c:v>24/07/2017</c:v>
                </c:pt>
                <c:pt idx="136">
                  <c:v>25/07/2017</c:v>
                </c:pt>
                <c:pt idx="137">
                  <c:v>26/07/2017</c:v>
                </c:pt>
                <c:pt idx="138">
                  <c:v>27/07/2017</c:v>
                </c:pt>
                <c:pt idx="139">
                  <c:v>28/07/2017</c:v>
                </c:pt>
                <c:pt idx="140">
                  <c:v>31/07/2017</c:v>
                </c:pt>
                <c:pt idx="141">
                  <c:v>1/8/2017</c:v>
                </c:pt>
                <c:pt idx="142">
                  <c:v>2/8/2017</c:v>
                </c:pt>
                <c:pt idx="143">
                  <c:v>3/8/2017</c:v>
                </c:pt>
                <c:pt idx="144">
                  <c:v>4/8/2017</c:v>
                </c:pt>
                <c:pt idx="145">
                  <c:v>7/8/2017</c:v>
                </c:pt>
                <c:pt idx="146">
                  <c:v>8/8/2017</c:v>
                </c:pt>
                <c:pt idx="147">
                  <c:v>9/8/2017</c:v>
                </c:pt>
                <c:pt idx="148">
                  <c:v>10/8/2017</c:v>
                </c:pt>
                <c:pt idx="149">
                  <c:v>11/8/2017</c:v>
                </c:pt>
                <c:pt idx="150">
                  <c:v>14/08/2017</c:v>
                </c:pt>
                <c:pt idx="151">
                  <c:v>15/08/2017</c:v>
                </c:pt>
                <c:pt idx="152">
                  <c:v>16/08/2017</c:v>
                </c:pt>
                <c:pt idx="153">
                  <c:v>17/08/2017</c:v>
                </c:pt>
                <c:pt idx="154">
                  <c:v>18/08/2017</c:v>
                </c:pt>
                <c:pt idx="155">
                  <c:v>21/08/2017</c:v>
                </c:pt>
                <c:pt idx="156">
                  <c:v>22/08/2017</c:v>
                </c:pt>
                <c:pt idx="157">
                  <c:v>23/08/2017</c:v>
                </c:pt>
                <c:pt idx="158">
                  <c:v>24/08/2017</c:v>
                </c:pt>
                <c:pt idx="159">
                  <c:v>25/08/2017</c:v>
                </c:pt>
                <c:pt idx="160">
                  <c:v>28/08/2017</c:v>
                </c:pt>
                <c:pt idx="161">
                  <c:v>29/08/2017</c:v>
                </c:pt>
                <c:pt idx="162">
                  <c:v>30/08/2017</c:v>
                </c:pt>
                <c:pt idx="163">
                  <c:v>31/08/2017</c:v>
                </c:pt>
                <c:pt idx="164">
                  <c:v>1/9/2017</c:v>
                </c:pt>
                <c:pt idx="165">
                  <c:v>4/9/2017</c:v>
                </c:pt>
                <c:pt idx="166">
                  <c:v>5/9/2017</c:v>
                </c:pt>
                <c:pt idx="167">
                  <c:v>6/9/2017</c:v>
                </c:pt>
                <c:pt idx="168">
                  <c:v>7/9/2017</c:v>
                </c:pt>
                <c:pt idx="169">
                  <c:v>8/9/2017</c:v>
                </c:pt>
                <c:pt idx="170">
                  <c:v>11/9/2017</c:v>
                </c:pt>
                <c:pt idx="171">
                  <c:v>12/9/2017</c:v>
                </c:pt>
                <c:pt idx="172">
                  <c:v>13/09/2017</c:v>
                </c:pt>
                <c:pt idx="173">
                  <c:v>14/09/2017</c:v>
                </c:pt>
                <c:pt idx="174">
                  <c:v>15/09/2017</c:v>
                </c:pt>
                <c:pt idx="175">
                  <c:v>19/09/2017</c:v>
                </c:pt>
                <c:pt idx="176">
                  <c:v>20/09/2017</c:v>
                </c:pt>
                <c:pt idx="177">
                  <c:v>22/09/2017</c:v>
                </c:pt>
                <c:pt idx="178">
                  <c:v>23/09/2017</c:v>
                </c:pt>
                <c:pt idx="179">
                  <c:v>25/09/2017</c:v>
                </c:pt>
                <c:pt idx="180">
                  <c:v>26/09/2017</c:v>
                </c:pt>
                <c:pt idx="181">
                  <c:v>27/09/2017</c:v>
                </c:pt>
                <c:pt idx="182">
                  <c:v>28/09/2017</c:v>
                </c:pt>
                <c:pt idx="183">
                  <c:v>29/09/2017</c:v>
                </c:pt>
                <c:pt idx="184">
                  <c:v>2/10/2017</c:v>
                </c:pt>
                <c:pt idx="185">
                  <c:v>3/10/2017</c:v>
                </c:pt>
                <c:pt idx="186">
                  <c:v>4/10/2017</c:v>
                </c:pt>
                <c:pt idx="187">
                  <c:v>5/10/2017</c:v>
                </c:pt>
                <c:pt idx="188">
                  <c:v>6/10/2017</c:v>
                </c:pt>
                <c:pt idx="189">
                  <c:v>9/10/2017</c:v>
                </c:pt>
                <c:pt idx="190">
                  <c:v>10/10/2017</c:v>
                </c:pt>
                <c:pt idx="191">
                  <c:v>11/10/2017</c:v>
                </c:pt>
                <c:pt idx="192">
                  <c:v>12/10/2017</c:v>
                </c:pt>
                <c:pt idx="193">
                  <c:v>13/10/2017</c:v>
                </c:pt>
                <c:pt idx="194">
                  <c:v>16/10/2017</c:v>
                </c:pt>
                <c:pt idx="195">
                  <c:v>17/10/2017</c:v>
                </c:pt>
                <c:pt idx="196">
                  <c:v>18/10/2017</c:v>
                </c:pt>
                <c:pt idx="197">
                  <c:v>19/10/2017</c:v>
                </c:pt>
                <c:pt idx="198">
                  <c:v>20/10/2017</c:v>
                </c:pt>
                <c:pt idx="199">
                  <c:v>23/10/2017</c:v>
                </c:pt>
                <c:pt idx="200">
                  <c:v>24/10/2017</c:v>
                </c:pt>
                <c:pt idx="201">
                  <c:v>25/10/2017</c:v>
                </c:pt>
                <c:pt idx="202">
                  <c:v>26/10/2017</c:v>
                </c:pt>
                <c:pt idx="203">
                  <c:v>27/10/2017</c:v>
                </c:pt>
                <c:pt idx="204">
                  <c:v>30/10/2017</c:v>
                </c:pt>
                <c:pt idx="205">
                  <c:v>31/10/2017</c:v>
                </c:pt>
                <c:pt idx="206">
                  <c:v>1/11/2017</c:v>
                </c:pt>
                <c:pt idx="207">
                  <c:v>2/11/2017</c:v>
                </c:pt>
                <c:pt idx="208">
                  <c:v>3/11/2017</c:v>
                </c:pt>
                <c:pt idx="209">
                  <c:v>6/11/2017</c:v>
                </c:pt>
                <c:pt idx="210">
                  <c:v>7/11/2017</c:v>
                </c:pt>
                <c:pt idx="211">
                  <c:v>8/11/2017</c:v>
                </c:pt>
                <c:pt idx="212">
                  <c:v>9/11/2017</c:v>
                </c:pt>
                <c:pt idx="213">
                  <c:v>10/11/2017</c:v>
                </c:pt>
                <c:pt idx="214">
                  <c:v>13/11/2017</c:v>
                </c:pt>
                <c:pt idx="215">
                  <c:v>14/11/2017</c:v>
                </c:pt>
                <c:pt idx="216">
                  <c:v>15/11/2017</c:v>
                </c:pt>
                <c:pt idx="217">
                  <c:v>16/11/2017</c:v>
                </c:pt>
                <c:pt idx="218">
                  <c:v>17/11/2017</c:v>
                </c:pt>
                <c:pt idx="219">
                  <c:v>20/11/2017</c:v>
                </c:pt>
                <c:pt idx="220">
                  <c:v>21/11/2017</c:v>
                </c:pt>
                <c:pt idx="221">
                  <c:v>22/11/2017</c:v>
                </c:pt>
                <c:pt idx="222">
                  <c:v>23/11/2017</c:v>
                </c:pt>
                <c:pt idx="223">
                  <c:v>24/11/2017</c:v>
                </c:pt>
                <c:pt idx="224">
                  <c:v>27/11/2017</c:v>
                </c:pt>
                <c:pt idx="225">
                  <c:v>28/11/2017</c:v>
                </c:pt>
                <c:pt idx="226">
                  <c:v>29/11/2017</c:v>
                </c:pt>
                <c:pt idx="227">
                  <c:v>30/11/2017</c:v>
                </c:pt>
                <c:pt idx="228">
                  <c:v>1/12/2017</c:v>
                </c:pt>
                <c:pt idx="229">
                  <c:v>4/12/2017</c:v>
                </c:pt>
                <c:pt idx="230">
                  <c:v>5/12/2017</c:v>
                </c:pt>
                <c:pt idx="231">
                  <c:v>6/12/2017</c:v>
                </c:pt>
                <c:pt idx="232">
                  <c:v>7/12/2017</c:v>
                </c:pt>
                <c:pt idx="233">
                  <c:v>8/12/2017</c:v>
                </c:pt>
                <c:pt idx="234">
                  <c:v>11/12/2017</c:v>
                </c:pt>
                <c:pt idx="235">
                  <c:v>12/12/2017</c:v>
                </c:pt>
                <c:pt idx="236">
                  <c:v>13/12/2017</c:v>
                </c:pt>
                <c:pt idx="237">
                  <c:v>14/12/2017</c:v>
                </c:pt>
                <c:pt idx="238">
                  <c:v>15/12/2017</c:v>
                </c:pt>
                <c:pt idx="239">
                  <c:v>18/12/2017</c:v>
                </c:pt>
                <c:pt idx="240">
                  <c:v>19/12/2017</c:v>
                </c:pt>
                <c:pt idx="241">
                  <c:v>20/12/2017</c:v>
                </c:pt>
                <c:pt idx="242">
                  <c:v>21/12/2017</c:v>
                </c:pt>
                <c:pt idx="243">
                  <c:v>22/12/2017</c:v>
                </c:pt>
                <c:pt idx="244">
                  <c:v>25/12/2017</c:v>
                </c:pt>
                <c:pt idx="245">
                  <c:v>26/12/2017</c:v>
                </c:pt>
                <c:pt idx="246">
                  <c:v>27/12/2017</c:v>
                </c:pt>
                <c:pt idx="247">
                  <c:v>28/12/2017</c:v>
                </c:pt>
                <c:pt idx="248">
                  <c:v>29/12/2017</c:v>
                </c:pt>
                <c:pt idx="249">
                  <c:v>8/1/2018</c:v>
                </c:pt>
                <c:pt idx="250">
                  <c:v>9/1/2018</c:v>
                </c:pt>
                <c:pt idx="251">
                  <c:v>10/1/2018</c:v>
                </c:pt>
                <c:pt idx="252">
                  <c:v>11/1/2018</c:v>
                </c:pt>
                <c:pt idx="253">
                  <c:v>12/1/2018</c:v>
                </c:pt>
                <c:pt idx="254">
                  <c:v>15/01/2018</c:v>
                </c:pt>
                <c:pt idx="255">
                  <c:v>16/01/2018</c:v>
                </c:pt>
                <c:pt idx="256">
                  <c:v>17/01/2018</c:v>
                </c:pt>
                <c:pt idx="257">
                  <c:v>18/01/2018</c:v>
                </c:pt>
                <c:pt idx="258">
                  <c:v>19/01/2018</c:v>
                </c:pt>
                <c:pt idx="259">
                  <c:v>22/01/2018</c:v>
                </c:pt>
                <c:pt idx="260">
                  <c:v>23/01/2018</c:v>
                </c:pt>
                <c:pt idx="261">
                  <c:v>24/01/2018</c:v>
                </c:pt>
                <c:pt idx="262">
                  <c:v>25/01/2018</c:v>
                </c:pt>
                <c:pt idx="263">
                  <c:v>26/01/2018</c:v>
                </c:pt>
                <c:pt idx="264">
                  <c:v>29/01/2018</c:v>
                </c:pt>
                <c:pt idx="265">
                  <c:v>30/01/2018</c:v>
                </c:pt>
                <c:pt idx="266">
                  <c:v>31/01/2018</c:v>
                </c:pt>
                <c:pt idx="267">
                  <c:v>1/2/2018</c:v>
                </c:pt>
                <c:pt idx="268">
                  <c:v>2/2/2018</c:v>
                </c:pt>
                <c:pt idx="269">
                  <c:v>5/2/2018</c:v>
                </c:pt>
                <c:pt idx="270">
                  <c:v>6/2/2018</c:v>
                </c:pt>
                <c:pt idx="271">
                  <c:v>7/2/2018</c:v>
                </c:pt>
                <c:pt idx="272">
                  <c:v>8/2/2018</c:v>
                </c:pt>
                <c:pt idx="273">
                  <c:v>9/2/2018</c:v>
                </c:pt>
                <c:pt idx="274">
                  <c:v>12/2/2018</c:v>
                </c:pt>
                <c:pt idx="275">
                  <c:v>13/02/2018</c:v>
                </c:pt>
                <c:pt idx="276">
                  <c:v>14/02/2018</c:v>
                </c:pt>
                <c:pt idx="277">
                  <c:v>15/02/2018</c:v>
                </c:pt>
                <c:pt idx="278">
                  <c:v>16/02/2018</c:v>
                </c:pt>
                <c:pt idx="279">
                  <c:v>19/02/2018</c:v>
                </c:pt>
                <c:pt idx="280">
                  <c:v>20/02/2018</c:v>
                </c:pt>
                <c:pt idx="281">
                  <c:v>21/02/2018</c:v>
                </c:pt>
                <c:pt idx="282">
                  <c:v>22/02/2018</c:v>
                </c:pt>
                <c:pt idx="283">
                  <c:v>23/02/2018</c:v>
                </c:pt>
                <c:pt idx="284">
                  <c:v>26/02/2018</c:v>
                </c:pt>
                <c:pt idx="285">
                  <c:v>27/02/2018</c:v>
                </c:pt>
                <c:pt idx="286">
                  <c:v>28/02/2018</c:v>
                </c:pt>
                <c:pt idx="287">
                  <c:v>1/3/2018</c:v>
                </c:pt>
                <c:pt idx="288">
                  <c:v>2/3/2018</c:v>
                </c:pt>
                <c:pt idx="289">
                  <c:v>5/3/2018</c:v>
                </c:pt>
                <c:pt idx="290">
                  <c:v>6/3/2018</c:v>
                </c:pt>
                <c:pt idx="291">
                  <c:v>7/3/2018</c:v>
                </c:pt>
                <c:pt idx="292">
                  <c:v>12/3/2018</c:v>
                </c:pt>
                <c:pt idx="293">
                  <c:v>13/03/2018</c:v>
                </c:pt>
                <c:pt idx="294">
                  <c:v>14/03/2018</c:v>
                </c:pt>
                <c:pt idx="295">
                  <c:v>15/03/2018</c:v>
                </c:pt>
                <c:pt idx="296">
                  <c:v>16/03/2018</c:v>
                </c:pt>
                <c:pt idx="297">
                  <c:v>17/03/2018</c:v>
                </c:pt>
                <c:pt idx="298">
                  <c:v>19/03/2018</c:v>
                </c:pt>
                <c:pt idx="299">
                  <c:v>20/03/2018</c:v>
                </c:pt>
                <c:pt idx="300">
                  <c:v>21/03/2018</c:v>
                </c:pt>
                <c:pt idx="301">
                  <c:v>22/03/2018</c:v>
                </c:pt>
                <c:pt idx="302">
                  <c:v>23/03/2018</c:v>
                </c:pt>
                <c:pt idx="303">
                  <c:v>26/03/2018</c:v>
                </c:pt>
                <c:pt idx="304">
                  <c:v>27/03/2018</c:v>
                </c:pt>
                <c:pt idx="305">
                  <c:v>28/03/2018</c:v>
                </c:pt>
                <c:pt idx="306">
                  <c:v>29/03/2018</c:v>
                </c:pt>
                <c:pt idx="307">
                  <c:v>30/03/2018</c:v>
                </c:pt>
                <c:pt idx="308">
                  <c:v>3/4/2018</c:v>
                </c:pt>
                <c:pt idx="309">
                  <c:v>4/4/2018</c:v>
                </c:pt>
                <c:pt idx="310">
                  <c:v>5/4/2018</c:v>
                </c:pt>
                <c:pt idx="311">
                  <c:v>6/4/2018</c:v>
                </c:pt>
                <c:pt idx="312">
                  <c:v>7/4/2018</c:v>
                </c:pt>
                <c:pt idx="313">
                  <c:v>9/4/2018</c:v>
                </c:pt>
                <c:pt idx="314">
                  <c:v>10/4/2018</c:v>
                </c:pt>
                <c:pt idx="315">
                  <c:v>11/4/2018</c:v>
                </c:pt>
                <c:pt idx="316">
                  <c:v>12/4/2018</c:v>
                </c:pt>
                <c:pt idx="317">
                  <c:v>13/04/2018</c:v>
                </c:pt>
                <c:pt idx="318">
                  <c:v>16/04/2018</c:v>
                </c:pt>
                <c:pt idx="319">
                  <c:v>17/04/2018</c:v>
                </c:pt>
                <c:pt idx="320">
                  <c:v>18/04/2018</c:v>
                </c:pt>
                <c:pt idx="321">
                  <c:v>19/04/2018</c:v>
                </c:pt>
                <c:pt idx="322">
                  <c:v>20/04/2018</c:v>
                </c:pt>
                <c:pt idx="323">
                  <c:v>23/04/2018</c:v>
                </c:pt>
                <c:pt idx="324">
                  <c:v>25/04/2018</c:v>
                </c:pt>
                <c:pt idx="325">
                  <c:v>26/04/2018</c:v>
                </c:pt>
                <c:pt idx="326">
                  <c:v>27/04/2018</c:v>
                </c:pt>
                <c:pt idx="327">
                  <c:v>2/5/2018</c:v>
                </c:pt>
                <c:pt idx="328">
                  <c:v>3/5/2018</c:v>
                </c:pt>
                <c:pt idx="329">
                  <c:v>4/5/2018</c:v>
                </c:pt>
                <c:pt idx="330">
                  <c:v>5/5/2018</c:v>
                </c:pt>
                <c:pt idx="331">
                  <c:v>7/5/2018</c:v>
                </c:pt>
                <c:pt idx="332">
                  <c:v>8/5/2018</c:v>
                </c:pt>
                <c:pt idx="333">
                  <c:v>10/5/2018</c:v>
                </c:pt>
                <c:pt idx="334">
                  <c:v>11/5/2018</c:v>
                </c:pt>
                <c:pt idx="335">
                  <c:v>14/05/2018</c:v>
                </c:pt>
                <c:pt idx="336">
                  <c:v>15/05/2018</c:v>
                </c:pt>
                <c:pt idx="337">
                  <c:v>16/05/2018</c:v>
                </c:pt>
                <c:pt idx="338">
                  <c:v>17/05/2018</c:v>
                </c:pt>
                <c:pt idx="339">
                  <c:v>18/05/2018</c:v>
                </c:pt>
                <c:pt idx="340">
                  <c:v>21/05/2018</c:v>
                </c:pt>
                <c:pt idx="341">
                  <c:v>22/05/2018</c:v>
                </c:pt>
                <c:pt idx="342">
                  <c:v>23/05/2018</c:v>
                </c:pt>
                <c:pt idx="343">
                  <c:v>24/05/2018</c:v>
                </c:pt>
                <c:pt idx="344">
                  <c:v>25/05/2018</c:v>
                </c:pt>
                <c:pt idx="345">
                  <c:v>29/05/2018</c:v>
                </c:pt>
                <c:pt idx="346">
                  <c:v>30/05/2018</c:v>
                </c:pt>
                <c:pt idx="347">
                  <c:v>31/05/2018</c:v>
                </c:pt>
                <c:pt idx="348">
                  <c:v>1/6/2018</c:v>
                </c:pt>
                <c:pt idx="349">
                  <c:v>4/6/2018</c:v>
                </c:pt>
                <c:pt idx="350">
                  <c:v>5/6/2018</c:v>
                </c:pt>
                <c:pt idx="351">
                  <c:v>6/6/2018</c:v>
                </c:pt>
                <c:pt idx="352">
                  <c:v>7/6/2018</c:v>
                </c:pt>
                <c:pt idx="353">
                  <c:v>8/6/2018</c:v>
                </c:pt>
                <c:pt idx="354">
                  <c:v>11/6/2018</c:v>
                </c:pt>
                <c:pt idx="355">
                  <c:v>12/6/2018</c:v>
                </c:pt>
                <c:pt idx="356">
                  <c:v>13/06/2018</c:v>
                </c:pt>
                <c:pt idx="357">
                  <c:v>14/06/2018</c:v>
                </c:pt>
                <c:pt idx="358">
                  <c:v>15/06/2018</c:v>
                </c:pt>
                <c:pt idx="359">
                  <c:v>18/06/2018</c:v>
                </c:pt>
                <c:pt idx="360">
                  <c:v>19/06/2018</c:v>
                </c:pt>
                <c:pt idx="361">
                  <c:v>20/06/2018</c:v>
                </c:pt>
                <c:pt idx="362">
                  <c:v>21/06/2018</c:v>
                </c:pt>
                <c:pt idx="363">
                  <c:v>22/06/2018</c:v>
                </c:pt>
                <c:pt idx="364">
                  <c:v>25/06/2018</c:v>
                </c:pt>
                <c:pt idx="365">
                  <c:v>26/06/2018</c:v>
                </c:pt>
                <c:pt idx="366">
                  <c:v>27/06/2018</c:v>
                </c:pt>
                <c:pt idx="367">
                  <c:v>28/06/2018</c:v>
                </c:pt>
                <c:pt idx="368">
                  <c:v>29/06/2018</c:v>
                </c:pt>
                <c:pt idx="369">
                  <c:v>2/7/2018</c:v>
                </c:pt>
                <c:pt idx="370">
                  <c:v>3/7/2018</c:v>
                </c:pt>
                <c:pt idx="371">
                  <c:v>4/7/2018</c:v>
                </c:pt>
                <c:pt idx="372">
                  <c:v>6/7/2018</c:v>
                </c:pt>
                <c:pt idx="373">
                  <c:v>9/7/2018</c:v>
                </c:pt>
                <c:pt idx="374">
                  <c:v>10/7/2018</c:v>
                </c:pt>
                <c:pt idx="375">
                  <c:v>11/7/2018</c:v>
                </c:pt>
                <c:pt idx="376">
                  <c:v>12/7/2018</c:v>
                </c:pt>
                <c:pt idx="377">
                  <c:v>13/07/2018</c:v>
                </c:pt>
                <c:pt idx="378">
                  <c:v>16/07/2018</c:v>
                </c:pt>
                <c:pt idx="379">
                  <c:v>17/07/2018</c:v>
                </c:pt>
                <c:pt idx="380">
                  <c:v>18/07/2018</c:v>
                </c:pt>
                <c:pt idx="381">
                  <c:v>19/07/2018</c:v>
                </c:pt>
                <c:pt idx="382">
                  <c:v>20/07/2018</c:v>
                </c:pt>
                <c:pt idx="383">
                  <c:v>23/07/2018</c:v>
                </c:pt>
                <c:pt idx="384">
                  <c:v>24/07/2018</c:v>
                </c:pt>
                <c:pt idx="385">
                  <c:v>25/07/2018</c:v>
                </c:pt>
                <c:pt idx="386">
                  <c:v>26/07/2018</c:v>
                </c:pt>
                <c:pt idx="387">
                  <c:v>27/07/2018</c:v>
                </c:pt>
                <c:pt idx="388">
                  <c:v>30/07/2018</c:v>
                </c:pt>
                <c:pt idx="389">
                  <c:v>31/07/2018</c:v>
                </c:pt>
                <c:pt idx="390">
                  <c:v>1/8/2018</c:v>
                </c:pt>
                <c:pt idx="391">
                  <c:v>2/8/2018</c:v>
                </c:pt>
                <c:pt idx="392">
                  <c:v>3/8/2018</c:v>
                </c:pt>
                <c:pt idx="393">
                  <c:v>6/8/2018</c:v>
                </c:pt>
                <c:pt idx="394">
                  <c:v>7/8/2018</c:v>
                </c:pt>
                <c:pt idx="395">
                  <c:v>8/8/2018</c:v>
                </c:pt>
                <c:pt idx="396">
                  <c:v>9/8/2018</c:v>
                </c:pt>
                <c:pt idx="397">
                  <c:v>10/8/2018</c:v>
                </c:pt>
                <c:pt idx="398">
                  <c:v>13/08/2018</c:v>
                </c:pt>
                <c:pt idx="399">
                  <c:v>14/08/2018</c:v>
                </c:pt>
                <c:pt idx="400">
                  <c:v>15/08/2018</c:v>
                </c:pt>
                <c:pt idx="401">
                  <c:v>16/08/2018</c:v>
                </c:pt>
                <c:pt idx="402">
                  <c:v>17/08/2018</c:v>
                </c:pt>
                <c:pt idx="403">
                  <c:v>20/08/2018</c:v>
                </c:pt>
                <c:pt idx="404">
                  <c:v>21/08/2018</c:v>
                </c:pt>
                <c:pt idx="405">
                  <c:v>22/08/2018</c:v>
                </c:pt>
                <c:pt idx="406">
                  <c:v>23/08/2018</c:v>
                </c:pt>
                <c:pt idx="407">
                  <c:v>24/08/2018</c:v>
                </c:pt>
                <c:pt idx="408">
                  <c:v>27/08/2018</c:v>
                </c:pt>
                <c:pt idx="409">
                  <c:v>28/08/2018</c:v>
                </c:pt>
                <c:pt idx="410">
                  <c:v>29/08/2018</c:v>
                </c:pt>
                <c:pt idx="411">
                  <c:v>30/08/2018</c:v>
                </c:pt>
                <c:pt idx="412">
                  <c:v>31/08/2018</c:v>
                </c:pt>
                <c:pt idx="413">
                  <c:v>3/9/2018</c:v>
                </c:pt>
                <c:pt idx="414">
                  <c:v>4/9/2018</c:v>
                </c:pt>
                <c:pt idx="415">
                  <c:v>5/9/2018</c:v>
                </c:pt>
                <c:pt idx="416">
                  <c:v>6/9/2018</c:v>
                </c:pt>
                <c:pt idx="417">
                  <c:v>7/9/2018</c:v>
                </c:pt>
                <c:pt idx="418">
                  <c:v>10/9/2018</c:v>
                </c:pt>
                <c:pt idx="419">
                  <c:v>11/9/2018</c:v>
                </c:pt>
                <c:pt idx="420">
                  <c:v>12/9/2018</c:v>
                </c:pt>
                <c:pt idx="421">
                  <c:v>13/09/2018</c:v>
                </c:pt>
                <c:pt idx="422">
                  <c:v>14/09/2018</c:v>
                </c:pt>
                <c:pt idx="423">
                  <c:v>17/09/2018</c:v>
                </c:pt>
                <c:pt idx="424">
                  <c:v>18/09/2018</c:v>
                </c:pt>
                <c:pt idx="425">
                  <c:v>19/09/2018</c:v>
                </c:pt>
                <c:pt idx="426">
                  <c:v>20/09/2018</c:v>
                </c:pt>
                <c:pt idx="427">
                  <c:v>24/09/2018</c:v>
                </c:pt>
                <c:pt idx="428">
                  <c:v>25/09/2018</c:v>
                </c:pt>
                <c:pt idx="429">
                  <c:v>26/09/2018</c:v>
                </c:pt>
                <c:pt idx="430">
                  <c:v>27/09/2018</c:v>
                </c:pt>
                <c:pt idx="431">
                  <c:v>28/09/2018</c:v>
                </c:pt>
                <c:pt idx="432">
                  <c:v>1/10/2018</c:v>
                </c:pt>
                <c:pt idx="433">
                  <c:v>2/10/2018</c:v>
                </c:pt>
                <c:pt idx="434">
                  <c:v>3/10/2018</c:v>
                </c:pt>
                <c:pt idx="435">
                  <c:v>4/10/2018</c:v>
                </c:pt>
                <c:pt idx="436">
                  <c:v>5/10/2018</c:v>
                </c:pt>
                <c:pt idx="437">
                  <c:v>8/10/2018</c:v>
                </c:pt>
                <c:pt idx="438">
                  <c:v>9/10/2018</c:v>
                </c:pt>
                <c:pt idx="439">
                  <c:v>10/10/2018</c:v>
                </c:pt>
                <c:pt idx="440">
                  <c:v>15/10/2018</c:v>
                </c:pt>
                <c:pt idx="441">
                  <c:v>16/10/2018</c:v>
                </c:pt>
                <c:pt idx="442">
                  <c:v>17/10/2018</c:v>
                </c:pt>
                <c:pt idx="443">
                  <c:v>18/10/2018</c:v>
                </c:pt>
                <c:pt idx="444">
                  <c:v>19/10/2018</c:v>
                </c:pt>
                <c:pt idx="445">
                  <c:v>22/10/2018</c:v>
                </c:pt>
                <c:pt idx="446">
                  <c:v>23/10/2018</c:v>
                </c:pt>
                <c:pt idx="447">
                  <c:v>24/10/2018</c:v>
                </c:pt>
                <c:pt idx="448">
                  <c:v>25/10/2018</c:v>
                </c:pt>
                <c:pt idx="449">
                  <c:v>26/10/2018</c:v>
                </c:pt>
                <c:pt idx="450">
                  <c:v>27/10/2018</c:v>
                </c:pt>
                <c:pt idx="451">
                  <c:v>29/10/2018</c:v>
                </c:pt>
                <c:pt idx="452">
                  <c:v>30/10/2018</c:v>
                </c:pt>
                <c:pt idx="453">
                  <c:v>31/10/2018</c:v>
                </c:pt>
                <c:pt idx="454">
                  <c:v>1/11/2018</c:v>
                </c:pt>
                <c:pt idx="455">
                  <c:v>2/11/2018</c:v>
                </c:pt>
                <c:pt idx="456">
                  <c:v>3/11/2018</c:v>
                </c:pt>
                <c:pt idx="457">
                  <c:v>5/11/2018</c:v>
                </c:pt>
                <c:pt idx="458">
                  <c:v>6/11/2018</c:v>
                </c:pt>
                <c:pt idx="459">
                  <c:v>7/11/2018</c:v>
                </c:pt>
                <c:pt idx="460">
                  <c:v>8/11/2018</c:v>
                </c:pt>
                <c:pt idx="461">
                  <c:v>9/11/2018</c:v>
                </c:pt>
                <c:pt idx="462">
                  <c:v>12/11/2018</c:v>
                </c:pt>
                <c:pt idx="463">
                  <c:v>13/11/2018</c:v>
                </c:pt>
                <c:pt idx="464">
                  <c:v>14/11/2018</c:v>
                </c:pt>
                <c:pt idx="465">
                  <c:v>15/11/2018</c:v>
                </c:pt>
                <c:pt idx="466">
                  <c:v>16/11/2018</c:v>
                </c:pt>
                <c:pt idx="467">
                  <c:v>19/11/2018</c:v>
                </c:pt>
                <c:pt idx="468">
                  <c:v>20/11/2018</c:v>
                </c:pt>
                <c:pt idx="469">
                  <c:v>21/11/2018</c:v>
                </c:pt>
                <c:pt idx="470">
                  <c:v>22/11/2018</c:v>
                </c:pt>
                <c:pt idx="471">
                  <c:v>23/11/2018</c:v>
                </c:pt>
                <c:pt idx="472">
                  <c:v>26/11/2018</c:v>
                </c:pt>
                <c:pt idx="473">
                  <c:v>27/11/2018</c:v>
                </c:pt>
                <c:pt idx="474">
                  <c:v>28/11/2018</c:v>
                </c:pt>
                <c:pt idx="475">
                  <c:v>29/11/2018</c:v>
                </c:pt>
                <c:pt idx="476">
                  <c:v>30/11/2018</c:v>
                </c:pt>
                <c:pt idx="477">
                  <c:v>3/12/2018</c:v>
                </c:pt>
                <c:pt idx="478">
                  <c:v>4/12/2018</c:v>
                </c:pt>
                <c:pt idx="479">
                  <c:v>5/12/2018</c:v>
                </c:pt>
                <c:pt idx="480">
                  <c:v>6/12/2018</c:v>
                </c:pt>
                <c:pt idx="481">
                  <c:v>7/12/2018</c:v>
                </c:pt>
                <c:pt idx="482">
                  <c:v>10/12/2018</c:v>
                </c:pt>
                <c:pt idx="483">
                  <c:v>11/12/2018</c:v>
                </c:pt>
                <c:pt idx="484">
                  <c:v>12/12/2018</c:v>
                </c:pt>
                <c:pt idx="485">
                  <c:v>13/12/2018</c:v>
                </c:pt>
                <c:pt idx="486">
                  <c:v>14/12/2018</c:v>
                </c:pt>
                <c:pt idx="487">
                  <c:v>17/12/2018</c:v>
                </c:pt>
                <c:pt idx="488">
                  <c:v>18/12/2018</c:v>
                </c:pt>
                <c:pt idx="489">
                  <c:v>19/12/2018</c:v>
                </c:pt>
                <c:pt idx="490">
                  <c:v>20/12/2018</c:v>
                </c:pt>
                <c:pt idx="491">
                  <c:v>21/12/2018</c:v>
                </c:pt>
                <c:pt idx="492">
                  <c:v>24/12/2018</c:v>
                </c:pt>
                <c:pt idx="493">
                  <c:v>25/12/2018</c:v>
                </c:pt>
                <c:pt idx="494">
                  <c:v>26/12/2018</c:v>
                </c:pt>
                <c:pt idx="495">
                  <c:v>27/12/2018</c:v>
                </c:pt>
                <c:pt idx="496">
                  <c:v>28/12/2018</c:v>
                </c:pt>
                <c:pt idx="497">
                  <c:v>8/1/2019</c:v>
                </c:pt>
                <c:pt idx="498">
                  <c:v>9/1/2019</c:v>
                </c:pt>
                <c:pt idx="499">
                  <c:v>10/1/2019</c:v>
                </c:pt>
                <c:pt idx="500">
                  <c:v>11/1/2019</c:v>
                </c:pt>
                <c:pt idx="501">
                  <c:v>14/01/2019</c:v>
                </c:pt>
                <c:pt idx="502">
                  <c:v>15/01/2019</c:v>
                </c:pt>
                <c:pt idx="503">
                  <c:v>16/01/2019</c:v>
                </c:pt>
                <c:pt idx="504">
                  <c:v>17/01/2019</c:v>
                </c:pt>
                <c:pt idx="505">
                  <c:v>18/01/2019</c:v>
                </c:pt>
                <c:pt idx="506">
                  <c:v>21/01/2019</c:v>
                </c:pt>
                <c:pt idx="507">
                  <c:v>22/01/2019</c:v>
                </c:pt>
                <c:pt idx="508">
                  <c:v>23/01/2019</c:v>
                </c:pt>
                <c:pt idx="509">
                  <c:v>24/01/2019</c:v>
                </c:pt>
                <c:pt idx="510">
                  <c:v>25/01/2019</c:v>
                </c:pt>
                <c:pt idx="511">
                  <c:v>29/01/2019</c:v>
                </c:pt>
                <c:pt idx="512">
                  <c:v>30/01/2019</c:v>
                </c:pt>
                <c:pt idx="513">
                  <c:v>31/01/2019</c:v>
                </c:pt>
                <c:pt idx="514">
                  <c:v>1/2/2019</c:v>
                </c:pt>
                <c:pt idx="515">
                  <c:v>4/2/2019</c:v>
                </c:pt>
                <c:pt idx="516">
                  <c:v>5/2/2019</c:v>
                </c:pt>
                <c:pt idx="517">
                  <c:v>6/2/2019</c:v>
                </c:pt>
                <c:pt idx="518">
                  <c:v>7/2/2019</c:v>
                </c:pt>
                <c:pt idx="519">
                  <c:v>8/2/2019</c:v>
                </c:pt>
                <c:pt idx="520">
                  <c:v>11/2/2019</c:v>
                </c:pt>
                <c:pt idx="521">
                  <c:v>12/2/2019</c:v>
                </c:pt>
                <c:pt idx="522">
                  <c:v>13/02/2019</c:v>
                </c:pt>
                <c:pt idx="523">
                  <c:v>14/02/2019</c:v>
                </c:pt>
                <c:pt idx="524">
                  <c:v>15/02/2019</c:v>
                </c:pt>
                <c:pt idx="525">
                  <c:v>18/02/2019</c:v>
                </c:pt>
                <c:pt idx="526">
                  <c:v>19/02/2019</c:v>
                </c:pt>
                <c:pt idx="527">
                  <c:v>20/02/2019</c:v>
                </c:pt>
                <c:pt idx="528">
                  <c:v>21/02/2019</c:v>
                </c:pt>
                <c:pt idx="529">
                  <c:v>22/02/2019</c:v>
                </c:pt>
                <c:pt idx="530">
                  <c:v>25/02/2019</c:v>
                </c:pt>
                <c:pt idx="531">
                  <c:v>26/02/2019</c:v>
                </c:pt>
                <c:pt idx="532">
                  <c:v>27/02/2019</c:v>
                </c:pt>
                <c:pt idx="533">
                  <c:v>28/02/2019</c:v>
                </c:pt>
                <c:pt idx="534">
                  <c:v>1/3/2019</c:v>
                </c:pt>
                <c:pt idx="535">
                  <c:v>4/3/2019</c:v>
                </c:pt>
                <c:pt idx="536">
                  <c:v>5/3/2019</c:v>
                </c:pt>
                <c:pt idx="537">
                  <c:v>6/3/2019</c:v>
                </c:pt>
                <c:pt idx="538">
                  <c:v>7/3/2019</c:v>
                </c:pt>
                <c:pt idx="539">
                  <c:v>11/3/2019</c:v>
                </c:pt>
                <c:pt idx="540">
                  <c:v>12/3/2019</c:v>
                </c:pt>
                <c:pt idx="541">
                  <c:v>13/03/2019</c:v>
                </c:pt>
                <c:pt idx="542">
                  <c:v>14/03/2019</c:v>
                </c:pt>
                <c:pt idx="543">
                  <c:v>15/03/2019</c:v>
                </c:pt>
                <c:pt idx="544">
                  <c:v>18/03/2019</c:v>
                </c:pt>
                <c:pt idx="545">
                  <c:v>19/03/2019</c:v>
                </c:pt>
                <c:pt idx="546">
                  <c:v>20/03/2019</c:v>
                </c:pt>
                <c:pt idx="547">
                  <c:v>21/03/2019</c:v>
                </c:pt>
                <c:pt idx="548">
                  <c:v>22/03/2019</c:v>
                </c:pt>
                <c:pt idx="549">
                  <c:v>25/03/2019</c:v>
                </c:pt>
                <c:pt idx="550">
                  <c:v>26/03/2019</c:v>
                </c:pt>
                <c:pt idx="551">
                  <c:v>27/03/2019</c:v>
                </c:pt>
                <c:pt idx="552">
                  <c:v>28/03/2019</c:v>
                </c:pt>
                <c:pt idx="553">
                  <c:v>29/03/2019</c:v>
                </c:pt>
                <c:pt idx="554">
                  <c:v>1/4/2019</c:v>
                </c:pt>
                <c:pt idx="555">
                  <c:v>2/4/2019</c:v>
                </c:pt>
                <c:pt idx="556">
                  <c:v>3/4/2019</c:v>
                </c:pt>
                <c:pt idx="557">
                  <c:v>4/4/2019</c:v>
                </c:pt>
                <c:pt idx="558">
                  <c:v>5/4/2019</c:v>
                </c:pt>
                <c:pt idx="559">
                  <c:v>8/4/2019</c:v>
                </c:pt>
                <c:pt idx="560">
                  <c:v>9/4/2019</c:v>
                </c:pt>
                <c:pt idx="561">
                  <c:v>10/4/2019</c:v>
                </c:pt>
                <c:pt idx="562">
                  <c:v>11/4/2019</c:v>
                </c:pt>
                <c:pt idx="563">
                  <c:v>12/4/2019</c:v>
                </c:pt>
                <c:pt idx="564">
                  <c:v>15/04/2019</c:v>
                </c:pt>
                <c:pt idx="565">
                  <c:v>16/04/2019</c:v>
                </c:pt>
                <c:pt idx="566">
                  <c:v>17/04/2019</c:v>
                </c:pt>
                <c:pt idx="567">
                  <c:v>18/04/2019</c:v>
                </c:pt>
                <c:pt idx="568">
                  <c:v>19/04/2019</c:v>
                </c:pt>
                <c:pt idx="569">
                  <c:v>22/04/2019</c:v>
                </c:pt>
                <c:pt idx="570">
                  <c:v>23/04/2019</c:v>
                </c:pt>
                <c:pt idx="571">
                  <c:v>25/04/2019</c:v>
                </c:pt>
                <c:pt idx="572">
                  <c:v>26/04/2019</c:v>
                </c:pt>
                <c:pt idx="573">
                  <c:v>29/04/2019</c:v>
                </c:pt>
                <c:pt idx="574">
                  <c:v>30/04/2019</c:v>
                </c:pt>
                <c:pt idx="575">
                  <c:v>2/5/2019</c:v>
                </c:pt>
                <c:pt idx="576">
                  <c:v>3/5/2019</c:v>
                </c:pt>
                <c:pt idx="577">
                  <c:v>6/5/2019</c:v>
                </c:pt>
                <c:pt idx="578">
                  <c:v>7/5/2019</c:v>
                </c:pt>
                <c:pt idx="579">
                  <c:v>8/5/2019</c:v>
                </c:pt>
                <c:pt idx="580">
                  <c:v>10/5/2019</c:v>
                </c:pt>
                <c:pt idx="581">
                  <c:v>13/05/2019</c:v>
                </c:pt>
                <c:pt idx="582">
                  <c:v>14/05/2019</c:v>
                </c:pt>
                <c:pt idx="583">
                  <c:v>15/05/2019</c:v>
                </c:pt>
                <c:pt idx="584">
                  <c:v>16/05/2019</c:v>
                </c:pt>
                <c:pt idx="585">
                  <c:v>17/05/2019</c:v>
                </c:pt>
                <c:pt idx="586">
                  <c:v>20/05/2019</c:v>
                </c:pt>
                <c:pt idx="587">
                  <c:v>21/05/2019</c:v>
                </c:pt>
                <c:pt idx="588">
                  <c:v>22/05/2019</c:v>
                </c:pt>
                <c:pt idx="589">
                  <c:v>23/05/2019</c:v>
                </c:pt>
                <c:pt idx="590">
                  <c:v>24/05/2019</c:v>
                </c:pt>
                <c:pt idx="591">
                  <c:v>27/05/2019</c:v>
                </c:pt>
                <c:pt idx="592">
                  <c:v>29/05/2019</c:v>
                </c:pt>
                <c:pt idx="593">
                  <c:v>30/05/2019</c:v>
                </c:pt>
                <c:pt idx="594">
                  <c:v>31/05/2019</c:v>
                </c:pt>
                <c:pt idx="595">
                  <c:v>3/6/2019</c:v>
                </c:pt>
                <c:pt idx="596">
                  <c:v>4/6/2019</c:v>
                </c:pt>
                <c:pt idx="597">
                  <c:v>5/6/2019</c:v>
                </c:pt>
                <c:pt idx="598">
                  <c:v>6/6/2019</c:v>
                </c:pt>
                <c:pt idx="599">
                  <c:v>7/6/2019</c:v>
                </c:pt>
                <c:pt idx="600">
                  <c:v>10/6/2019</c:v>
                </c:pt>
                <c:pt idx="601">
                  <c:v>11/6/2019</c:v>
                </c:pt>
                <c:pt idx="602">
                  <c:v>12/6/2019</c:v>
                </c:pt>
                <c:pt idx="603">
                  <c:v>13/06/2019</c:v>
                </c:pt>
                <c:pt idx="604">
                  <c:v>14/06/2019</c:v>
                </c:pt>
                <c:pt idx="605">
                  <c:v>17/06/2019</c:v>
                </c:pt>
                <c:pt idx="606">
                  <c:v>18/06/2019</c:v>
                </c:pt>
                <c:pt idx="607">
                  <c:v>19/06/2019</c:v>
                </c:pt>
                <c:pt idx="608">
                  <c:v>20/06/2019</c:v>
                </c:pt>
                <c:pt idx="609">
                  <c:v>21/06/2019</c:v>
                </c:pt>
                <c:pt idx="610">
                  <c:v>24/06/2019</c:v>
                </c:pt>
                <c:pt idx="611">
                  <c:v>25/06/2019</c:v>
                </c:pt>
                <c:pt idx="612">
                  <c:v>26/06/2019</c:v>
                </c:pt>
                <c:pt idx="613">
                  <c:v>27/06/2019</c:v>
                </c:pt>
                <c:pt idx="614">
                  <c:v>28/06/2019</c:v>
                </c:pt>
                <c:pt idx="615">
                  <c:v>1/7/2019</c:v>
                </c:pt>
                <c:pt idx="616">
                  <c:v>2/7/2019</c:v>
                </c:pt>
                <c:pt idx="617">
                  <c:v>3/7/2019</c:v>
                </c:pt>
                <c:pt idx="618">
                  <c:v>4/7/2019</c:v>
                </c:pt>
                <c:pt idx="619">
                  <c:v>8/7/2019</c:v>
                </c:pt>
                <c:pt idx="620">
                  <c:v>9/7/2019</c:v>
                </c:pt>
                <c:pt idx="621">
                  <c:v>10/7/2019</c:v>
                </c:pt>
                <c:pt idx="622">
                  <c:v>11/7/2019</c:v>
                </c:pt>
                <c:pt idx="623">
                  <c:v>12/7/2019</c:v>
                </c:pt>
                <c:pt idx="624">
                  <c:v>15/07/2019</c:v>
                </c:pt>
                <c:pt idx="625">
                  <c:v>16/07/2019</c:v>
                </c:pt>
                <c:pt idx="626">
                  <c:v>17/07/2019</c:v>
                </c:pt>
                <c:pt idx="627">
                  <c:v>18/07/2019</c:v>
                </c:pt>
                <c:pt idx="628">
                  <c:v>19/07/2019</c:v>
                </c:pt>
                <c:pt idx="629">
                  <c:v>22/07/2019</c:v>
                </c:pt>
                <c:pt idx="630">
                  <c:v>23/07/2019</c:v>
                </c:pt>
                <c:pt idx="631">
                  <c:v>24/07/2019</c:v>
                </c:pt>
                <c:pt idx="632">
                  <c:v>25/07/2019</c:v>
                </c:pt>
                <c:pt idx="633">
                  <c:v>26/07/2019</c:v>
                </c:pt>
                <c:pt idx="634">
                  <c:v>29/07/2019</c:v>
                </c:pt>
                <c:pt idx="635">
                  <c:v>30/07/2019</c:v>
                </c:pt>
                <c:pt idx="636">
                  <c:v>31/07/2019</c:v>
                </c:pt>
                <c:pt idx="637">
                  <c:v>1/8/2019</c:v>
                </c:pt>
                <c:pt idx="638">
                  <c:v>2/8/2019</c:v>
                </c:pt>
                <c:pt idx="639">
                  <c:v>5/8/2019</c:v>
                </c:pt>
                <c:pt idx="640">
                  <c:v>6/8/2019</c:v>
                </c:pt>
                <c:pt idx="641">
                  <c:v>7/8/2019</c:v>
                </c:pt>
                <c:pt idx="642">
                  <c:v>8/8/2019</c:v>
                </c:pt>
                <c:pt idx="643">
                  <c:v>9/8/2019</c:v>
                </c:pt>
                <c:pt idx="644">
                  <c:v>12/8/2019</c:v>
                </c:pt>
                <c:pt idx="645">
                  <c:v>13/08/2019</c:v>
                </c:pt>
                <c:pt idx="646">
                  <c:v>14/08/2019</c:v>
                </c:pt>
                <c:pt idx="647">
                  <c:v>15/08/2019</c:v>
                </c:pt>
                <c:pt idx="648">
                  <c:v>16/08/2019</c:v>
                </c:pt>
                <c:pt idx="649">
                  <c:v>19/08/2019</c:v>
                </c:pt>
                <c:pt idx="650">
                  <c:v>20/08/2019</c:v>
                </c:pt>
                <c:pt idx="651">
                  <c:v>21/08/2019</c:v>
                </c:pt>
                <c:pt idx="652">
                  <c:v>22/08/2019</c:v>
                </c:pt>
                <c:pt idx="653">
                  <c:v>23/08/2019</c:v>
                </c:pt>
                <c:pt idx="654">
                  <c:v>26/08/2019</c:v>
                </c:pt>
                <c:pt idx="655">
                  <c:v>27/08/2019</c:v>
                </c:pt>
                <c:pt idx="656">
                  <c:v>28/08/2019</c:v>
                </c:pt>
                <c:pt idx="657">
                  <c:v>29/08/2019</c:v>
                </c:pt>
                <c:pt idx="658">
                  <c:v>30/08/2019</c:v>
                </c:pt>
                <c:pt idx="659">
                  <c:v>2/9/2019</c:v>
                </c:pt>
                <c:pt idx="660">
                  <c:v>3/9/2019</c:v>
                </c:pt>
                <c:pt idx="661">
                  <c:v>4/9/2019</c:v>
                </c:pt>
                <c:pt idx="662">
                  <c:v>5/9/2019</c:v>
                </c:pt>
                <c:pt idx="663">
                  <c:v>6/9/2019</c:v>
                </c:pt>
                <c:pt idx="664">
                  <c:v>9/9/2019</c:v>
                </c:pt>
                <c:pt idx="665">
                  <c:v>10/9/2019</c:v>
                </c:pt>
                <c:pt idx="666">
                  <c:v>11/9/2019</c:v>
                </c:pt>
                <c:pt idx="667">
                  <c:v>12/9/2019</c:v>
                </c:pt>
                <c:pt idx="668">
                  <c:v>13/09/2019</c:v>
                </c:pt>
                <c:pt idx="669">
                  <c:v>16/09/2019</c:v>
                </c:pt>
                <c:pt idx="670">
                  <c:v>17/09/2019</c:v>
                </c:pt>
                <c:pt idx="671">
                  <c:v>18/09/2019</c:v>
                </c:pt>
                <c:pt idx="672">
                  <c:v>19/09/2019</c:v>
                </c:pt>
                <c:pt idx="673">
                  <c:v>20/09/2019</c:v>
                </c:pt>
                <c:pt idx="674">
                  <c:v>23/09/2019</c:v>
                </c:pt>
                <c:pt idx="675">
                  <c:v>24/09/2019</c:v>
                </c:pt>
                <c:pt idx="676">
                  <c:v>25/09/2019</c:v>
                </c:pt>
                <c:pt idx="677">
                  <c:v>26/09/2019</c:v>
                </c:pt>
                <c:pt idx="678">
                  <c:v>27/09/2019</c:v>
                </c:pt>
                <c:pt idx="679">
                  <c:v>30/09/2019</c:v>
                </c:pt>
                <c:pt idx="680">
                  <c:v>1/10/2019</c:v>
                </c:pt>
                <c:pt idx="681">
                  <c:v>2/10/2019</c:v>
                </c:pt>
                <c:pt idx="682">
                  <c:v>3/10/2019</c:v>
                </c:pt>
                <c:pt idx="683">
                  <c:v>4/10/2019</c:v>
                </c:pt>
                <c:pt idx="684">
                  <c:v>7/10/2019</c:v>
                </c:pt>
                <c:pt idx="685">
                  <c:v>8/10/2019</c:v>
                </c:pt>
                <c:pt idx="686">
                  <c:v>9/10/2019</c:v>
                </c:pt>
                <c:pt idx="687">
                  <c:v>10/10/2019</c:v>
                </c:pt>
                <c:pt idx="688">
                  <c:v>11/10/2019</c:v>
                </c:pt>
                <c:pt idx="689">
                  <c:v>14/10/2019</c:v>
                </c:pt>
                <c:pt idx="690">
                  <c:v>15/10/2019</c:v>
                </c:pt>
                <c:pt idx="691">
                  <c:v>16/10/2019</c:v>
                </c:pt>
                <c:pt idx="692">
                  <c:v>17/10/2019</c:v>
                </c:pt>
                <c:pt idx="693">
                  <c:v>18/10/2019</c:v>
                </c:pt>
                <c:pt idx="694">
                  <c:v>21/10/2019</c:v>
                </c:pt>
                <c:pt idx="695">
                  <c:v>22/10/2019</c:v>
                </c:pt>
                <c:pt idx="696">
                  <c:v>23/10/2019</c:v>
                </c:pt>
                <c:pt idx="697">
                  <c:v>24/10/2019</c:v>
                </c:pt>
                <c:pt idx="698">
                  <c:v>25/10/2019</c:v>
                </c:pt>
                <c:pt idx="699">
                  <c:v>28/10/2019</c:v>
                </c:pt>
                <c:pt idx="700">
                  <c:v>29/10/2019</c:v>
                </c:pt>
                <c:pt idx="701">
                  <c:v>30/10/2019</c:v>
                </c:pt>
                <c:pt idx="702">
                  <c:v>31/10/2019</c:v>
                </c:pt>
                <c:pt idx="703">
                  <c:v>1/11/2019</c:v>
                </c:pt>
                <c:pt idx="704">
                  <c:v>4/11/2019</c:v>
                </c:pt>
                <c:pt idx="705">
                  <c:v>5/11/2019</c:v>
                </c:pt>
                <c:pt idx="706">
                  <c:v>6/11/2019</c:v>
                </c:pt>
                <c:pt idx="707">
                  <c:v>7/11/2019</c:v>
                </c:pt>
                <c:pt idx="708">
                  <c:v>8/11/2019</c:v>
                </c:pt>
                <c:pt idx="709">
                  <c:v>11/11/2019</c:v>
                </c:pt>
                <c:pt idx="710">
                  <c:v>12/11/2019</c:v>
                </c:pt>
                <c:pt idx="711">
                  <c:v>13/11/2019</c:v>
                </c:pt>
                <c:pt idx="712">
                  <c:v>14/11/2019</c:v>
                </c:pt>
                <c:pt idx="713">
                  <c:v>15/11/2019</c:v>
                </c:pt>
                <c:pt idx="714">
                  <c:v>18/11/2019</c:v>
                </c:pt>
                <c:pt idx="715">
                  <c:v>19/11/2019</c:v>
                </c:pt>
                <c:pt idx="716">
                  <c:v>20/11/2019</c:v>
                </c:pt>
                <c:pt idx="717">
                  <c:v>21/11/2019</c:v>
                </c:pt>
                <c:pt idx="718">
                  <c:v>22/11/2019</c:v>
                </c:pt>
                <c:pt idx="719">
                  <c:v>25/11/2019</c:v>
                </c:pt>
                <c:pt idx="720">
                  <c:v>26/11/2019</c:v>
                </c:pt>
                <c:pt idx="721">
                  <c:v>27/11/2019</c:v>
                </c:pt>
                <c:pt idx="722">
                  <c:v>28/11/2019</c:v>
                </c:pt>
                <c:pt idx="723">
                  <c:v>29/11/2019</c:v>
                </c:pt>
                <c:pt idx="724">
                  <c:v>2/12/2019</c:v>
                </c:pt>
                <c:pt idx="725">
                  <c:v>3/12/2019</c:v>
                </c:pt>
                <c:pt idx="726">
                  <c:v>4/12/2019</c:v>
                </c:pt>
                <c:pt idx="727">
                  <c:v>5/12/2019</c:v>
                </c:pt>
                <c:pt idx="728">
                  <c:v>6/12/2019</c:v>
                </c:pt>
                <c:pt idx="729">
                  <c:v>9/12/2019</c:v>
                </c:pt>
                <c:pt idx="730">
                  <c:v>10/12/2019</c:v>
                </c:pt>
                <c:pt idx="731">
                  <c:v>11/12/2019</c:v>
                </c:pt>
                <c:pt idx="732">
                  <c:v>12/12/2019</c:v>
                </c:pt>
                <c:pt idx="733">
                  <c:v>13/12/2019</c:v>
                </c:pt>
                <c:pt idx="734">
                  <c:v>16/12/2019</c:v>
                </c:pt>
                <c:pt idx="735">
                  <c:v>17/12/2019</c:v>
                </c:pt>
                <c:pt idx="736">
                  <c:v>18/12/2019</c:v>
                </c:pt>
                <c:pt idx="737">
                  <c:v>19/12/2019</c:v>
                </c:pt>
                <c:pt idx="738">
                  <c:v>20/12/2019</c:v>
                </c:pt>
                <c:pt idx="739">
                  <c:v>23/12/2019</c:v>
                </c:pt>
                <c:pt idx="740">
                  <c:v>24/12/2019</c:v>
                </c:pt>
                <c:pt idx="741">
                  <c:v>25/12/2019</c:v>
                </c:pt>
                <c:pt idx="742">
                  <c:v>26/12/2019</c:v>
                </c:pt>
                <c:pt idx="743">
                  <c:v>27/12/2019</c:v>
                </c:pt>
                <c:pt idx="744">
                  <c:v>30/12/2019</c:v>
                </c:pt>
                <c:pt idx="745">
                  <c:v>8/1/2020</c:v>
                </c:pt>
                <c:pt idx="746">
                  <c:v>9/1/2020</c:v>
                </c:pt>
                <c:pt idx="747">
                  <c:v>10/1/2020</c:v>
                </c:pt>
                <c:pt idx="748">
                  <c:v>13/01/2020</c:v>
                </c:pt>
                <c:pt idx="749">
                  <c:v>14/01/2020</c:v>
                </c:pt>
                <c:pt idx="750">
                  <c:v>15/01/2020</c:v>
                </c:pt>
                <c:pt idx="751">
                  <c:v>16/01/2020</c:v>
                </c:pt>
                <c:pt idx="752">
                  <c:v>17/01/2020</c:v>
                </c:pt>
                <c:pt idx="753">
                  <c:v>20/01/2020</c:v>
                </c:pt>
                <c:pt idx="754">
                  <c:v>21/01/2020</c:v>
                </c:pt>
                <c:pt idx="755">
                  <c:v>22/01/2020</c:v>
                </c:pt>
                <c:pt idx="756">
                  <c:v>23/01/2020</c:v>
                </c:pt>
                <c:pt idx="757">
                  <c:v>24/01/2020</c:v>
                </c:pt>
                <c:pt idx="758">
                  <c:v>29/01/2020</c:v>
                </c:pt>
                <c:pt idx="759">
                  <c:v>30/01/2020</c:v>
                </c:pt>
                <c:pt idx="760">
                  <c:v>31/01/2020</c:v>
                </c:pt>
                <c:pt idx="761">
                  <c:v>1/2/2020</c:v>
                </c:pt>
                <c:pt idx="762">
                  <c:v>3/2/2020</c:v>
                </c:pt>
                <c:pt idx="763">
                  <c:v>4/2/2020</c:v>
                </c:pt>
                <c:pt idx="764">
                  <c:v>5/2/2020</c:v>
                </c:pt>
                <c:pt idx="765">
                  <c:v>6/2/2020</c:v>
                </c:pt>
                <c:pt idx="766">
                  <c:v>7/2/2020</c:v>
                </c:pt>
                <c:pt idx="767">
                  <c:v>10/2/2020</c:v>
                </c:pt>
                <c:pt idx="768">
                  <c:v>11/2/2020</c:v>
                </c:pt>
                <c:pt idx="769">
                  <c:v>12/2/2020</c:v>
                </c:pt>
                <c:pt idx="770">
                  <c:v>13/02/2020</c:v>
                </c:pt>
                <c:pt idx="771">
                  <c:v>14/02/2020</c:v>
                </c:pt>
                <c:pt idx="772">
                  <c:v>17/02/2020</c:v>
                </c:pt>
                <c:pt idx="773">
                  <c:v>18/02/2020</c:v>
                </c:pt>
                <c:pt idx="774">
                  <c:v>19/02/2020</c:v>
                </c:pt>
                <c:pt idx="775">
                  <c:v>20/02/2020</c:v>
                </c:pt>
                <c:pt idx="776">
                  <c:v>21/02/2020</c:v>
                </c:pt>
                <c:pt idx="777">
                  <c:v>24/02/2020</c:v>
                </c:pt>
                <c:pt idx="778">
                  <c:v>25/02/2020</c:v>
                </c:pt>
                <c:pt idx="779">
                  <c:v>26/02/2020</c:v>
                </c:pt>
                <c:pt idx="780">
                  <c:v>27/02/2020</c:v>
                </c:pt>
                <c:pt idx="781">
                  <c:v>28/02/2020</c:v>
                </c:pt>
                <c:pt idx="782">
                  <c:v>2/3/2020</c:v>
                </c:pt>
                <c:pt idx="783">
                  <c:v>3/3/2020</c:v>
                </c:pt>
                <c:pt idx="784">
                  <c:v>4/3/2020</c:v>
                </c:pt>
                <c:pt idx="785">
                  <c:v>5/3/2020</c:v>
                </c:pt>
                <c:pt idx="786">
                  <c:v>6/3/2020</c:v>
                </c:pt>
                <c:pt idx="787">
                  <c:v>9/3/2020</c:v>
                </c:pt>
                <c:pt idx="788">
                  <c:v>10/3/2020</c:v>
                </c:pt>
                <c:pt idx="789">
                  <c:v>11/3/2020</c:v>
                </c:pt>
                <c:pt idx="790">
                  <c:v>12/3/2020</c:v>
                </c:pt>
                <c:pt idx="791">
                  <c:v>13/03/2020</c:v>
                </c:pt>
                <c:pt idx="792">
                  <c:v>16/03/2020</c:v>
                </c:pt>
                <c:pt idx="793">
                  <c:v>17/03/2020</c:v>
                </c:pt>
                <c:pt idx="794">
                  <c:v>18/03/2020</c:v>
                </c:pt>
                <c:pt idx="795">
                  <c:v>19/03/2020</c:v>
                </c:pt>
                <c:pt idx="796">
                  <c:v>20/03/2020</c:v>
                </c:pt>
                <c:pt idx="797">
                  <c:v>23/03/2020</c:v>
                </c:pt>
                <c:pt idx="798">
                  <c:v>24/03/2020</c:v>
                </c:pt>
                <c:pt idx="799">
                  <c:v>25/03/2020</c:v>
                </c:pt>
                <c:pt idx="800">
                  <c:v>26/03/2020</c:v>
                </c:pt>
                <c:pt idx="801">
                  <c:v>27/03/2020</c:v>
                </c:pt>
                <c:pt idx="802">
                  <c:v>30/03/2020</c:v>
                </c:pt>
                <c:pt idx="803">
                  <c:v>31/03/2020</c:v>
                </c:pt>
                <c:pt idx="804">
                  <c:v>1/4/2020</c:v>
                </c:pt>
                <c:pt idx="805">
                  <c:v>2/4/2020</c:v>
                </c:pt>
                <c:pt idx="806">
                  <c:v>3/4/2020</c:v>
                </c:pt>
                <c:pt idx="807">
                  <c:v>6/4/2020</c:v>
                </c:pt>
                <c:pt idx="808">
                  <c:v>7/4/2020</c:v>
                </c:pt>
                <c:pt idx="809">
                  <c:v>8/4/2020</c:v>
                </c:pt>
                <c:pt idx="810">
                  <c:v>9/4/2020</c:v>
                </c:pt>
                <c:pt idx="811">
                  <c:v>10/4/2020</c:v>
                </c:pt>
                <c:pt idx="812">
                  <c:v>13/04/2020</c:v>
                </c:pt>
                <c:pt idx="813">
                  <c:v>14/04/2020</c:v>
                </c:pt>
                <c:pt idx="814">
                  <c:v>15/04/2020</c:v>
                </c:pt>
                <c:pt idx="815">
                  <c:v>16/04/2020</c:v>
                </c:pt>
                <c:pt idx="816">
                  <c:v>17/04/2020</c:v>
                </c:pt>
                <c:pt idx="817">
                  <c:v>20/04/2020</c:v>
                </c:pt>
                <c:pt idx="818">
                  <c:v>21/04/2020</c:v>
                </c:pt>
                <c:pt idx="819">
                  <c:v>22/04/2020</c:v>
                </c:pt>
                <c:pt idx="820">
                  <c:v>23/04/2020</c:v>
                </c:pt>
                <c:pt idx="821">
                  <c:v>27/04/2020</c:v>
                </c:pt>
                <c:pt idx="822">
                  <c:v>28/04/2020</c:v>
                </c:pt>
                <c:pt idx="823">
                  <c:v>29/04/2020</c:v>
                </c:pt>
                <c:pt idx="824">
                  <c:v>30/04/2020</c:v>
                </c:pt>
                <c:pt idx="825">
                  <c:v>4/5/2020</c:v>
                </c:pt>
                <c:pt idx="826">
                  <c:v>5/5/2020</c:v>
                </c:pt>
                <c:pt idx="827">
                  <c:v>6/5/2020</c:v>
                </c:pt>
                <c:pt idx="828">
                  <c:v>7/5/2020</c:v>
                </c:pt>
                <c:pt idx="829">
                  <c:v>8/5/2020</c:v>
                </c:pt>
                <c:pt idx="830">
                  <c:v>11/5/2020</c:v>
                </c:pt>
                <c:pt idx="831">
                  <c:v>12/5/2020</c:v>
                </c:pt>
                <c:pt idx="832">
                  <c:v>13/05/2020</c:v>
                </c:pt>
                <c:pt idx="833">
                  <c:v>14/05/2020</c:v>
                </c:pt>
                <c:pt idx="834">
                  <c:v>15/05/2020</c:v>
                </c:pt>
                <c:pt idx="835">
                  <c:v>18/05/2020</c:v>
                </c:pt>
                <c:pt idx="836">
                  <c:v>19/05/2020</c:v>
                </c:pt>
                <c:pt idx="837">
                  <c:v>20/05/2020</c:v>
                </c:pt>
                <c:pt idx="838">
                  <c:v>21/05/2020</c:v>
                </c:pt>
                <c:pt idx="839">
                  <c:v>22/05/2020</c:v>
                </c:pt>
                <c:pt idx="840">
                  <c:v>23/05/2020</c:v>
                </c:pt>
                <c:pt idx="841">
                  <c:v>25/05/2020</c:v>
                </c:pt>
                <c:pt idx="842">
                  <c:v>26/05/2020</c:v>
                </c:pt>
                <c:pt idx="843">
                  <c:v>27/05/2020</c:v>
                </c:pt>
                <c:pt idx="844">
                  <c:v>1/6/2020</c:v>
                </c:pt>
                <c:pt idx="845">
                  <c:v>2/6/2020</c:v>
                </c:pt>
                <c:pt idx="846">
                  <c:v>3/6/2020</c:v>
                </c:pt>
                <c:pt idx="847">
                  <c:v>4/6/2020</c:v>
                </c:pt>
                <c:pt idx="848">
                  <c:v>5/6/2020</c:v>
                </c:pt>
                <c:pt idx="849">
                  <c:v>8/6/2020</c:v>
                </c:pt>
                <c:pt idx="850">
                  <c:v>9/6/2020</c:v>
                </c:pt>
                <c:pt idx="851">
                  <c:v>10/6/2020</c:v>
                </c:pt>
                <c:pt idx="852">
                  <c:v>11/6/2020</c:v>
                </c:pt>
                <c:pt idx="853">
                  <c:v>12/6/2020</c:v>
                </c:pt>
                <c:pt idx="854">
                  <c:v>15/06/2020</c:v>
                </c:pt>
                <c:pt idx="855">
                  <c:v>16/06/2020</c:v>
                </c:pt>
                <c:pt idx="856">
                  <c:v>17/06/2020</c:v>
                </c:pt>
                <c:pt idx="857">
                  <c:v>18/06/2020</c:v>
                </c:pt>
                <c:pt idx="858">
                  <c:v>19/06/2020</c:v>
                </c:pt>
                <c:pt idx="859">
                  <c:v>22/06/2020</c:v>
                </c:pt>
                <c:pt idx="860">
                  <c:v>23/06/2020</c:v>
                </c:pt>
                <c:pt idx="861">
                  <c:v>24/06/2020</c:v>
                </c:pt>
                <c:pt idx="862">
                  <c:v>25/06/2020</c:v>
                </c:pt>
                <c:pt idx="863">
                  <c:v>26/06/2020</c:v>
                </c:pt>
                <c:pt idx="864">
                  <c:v>29/06/2020</c:v>
                </c:pt>
                <c:pt idx="865">
                  <c:v>30/06/2020</c:v>
                </c:pt>
                <c:pt idx="866">
                  <c:v>1/7/2020</c:v>
                </c:pt>
              </c:strCache>
            </c:strRef>
          </c:cat>
          <c:val>
            <c:numRef>
              <c:f>Sheet1!$D$2:$D$868</c:f>
              <c:numCache>
                <c:formatCode>0</c:formatCode>
                <c:ptCount val="867"/>
                <c:pt idx="0" formatCode="General">
                  <c:v>100</c:v>
                </c:pt>
                <c:pt idx="1">
                  <c:v>100.72951189378914</c:v>
                </c:pt>
                <c:pt idx="2">
                  <c:v>100.17061165257955</c:v>
                </c:pt>
                <c:pt idx="3">
                  <c:v>101.27860686760913</c:v>
                </c:pt>
                <c:pt idx="4">
                  <c:v>101.38842586237325</c:v>
                </c:pt>
                <c:pt idx="5">
                  <c:v>100.89424038593552</c:v>
                </c:pt>
                <c:pt idx="6">
                  <c:v>101.79828603926029</c:v>
                </c:pt>
                <c:pt idx="7">
                  <c:v>102.07087247269205</c:v>
                </c:pt>
                <c:pt idx="8">
                  <c:v>101.84535132273037</c:v>
                </c:pt>
                <c:pt idx="9">
                  <c:v>101.50805012452666</c:v>
                </c:pt>
                <c:pt idx="10">
                  <c:v>102.32384837134511</c:v>
                </c:pt>
                <c:pt idx="11">
                  <c:v>102.43562841958703</c:v>
                </c:pt>
                <c:pt idx="12">
                  <c:v>102.47681054262335</c:v>
                </c:pt>
                <c:pt idx="13">
                  <c:v>102.29835467613202</c:v>
                </c:pt>
                <c:pt idx="14">
                  <c:v>102.01007981487655</c:v>
                </c:pt>
                <c:pt idx="15">
                  <c:v>101.98850822661935</c:v>
                </c:pt>
                <c:pt idx="16">
                  <c:v>102.18853568136802</c:v>
                </c:pt>
                <c:pt idx="17">
                  <c:v>102.79254015256966</c:v>
                </c:pt>
                <c:pt idx="18">
                  <c:v>103.05532131861219</c:v>
                </c:pt>
                <c:pt idx="19">
                  <c:v>102.32777047830091</c:v>
                </c:pt>
                <c:pt idx="20">
                  <c:v>102.37287470829312</c:v>
                </c:pt>
                <c:pt idx="21">
                  <c:v>101.5923754240778</c:v>
                </c:pt>
                <c:pt idx="22">
                  <c:v>101.53942698017389</c:v>
                </c:pt>
                <c:pt idx="23">
                  <c:v>102.10813248877295</c:v>
                </c:pt>
                <c:pt idx="24">
                  <c:v>101.59041437059985</c:v>
                </c:pt>
                <c:pt idx="25">
                  <c:v>101.54334908712957</c:v>
                </c:pt>
                <c:pt idx="26">
                  <c:v>101.27468476065339</c:v>
                </c:pt>
                <c:pt idx="27">
                  <c:v>100.74323926813496</c:v>
                </c:pt>
                <c:pt idx="28">
                  <c:v>101.54138803365136</c:v>
                </c:pt>
                <c:pt idx="29">
                  <c:v>101.58060910321022</c:v>
                </c:pt>
                <c:pt idx="30">
                  <c:v>101.39430902280702</c:v>
                </c:pt>
                <c:pt idx="31">
                  <c:v>100.66871923597355</c:v>
                </c:pt>
                <c:pt idx="32">
                  <c:v>100.29219696821144</c:v>
                </c:pt>
                <c:pt idx="33">
                  <c:v>100.64714764771632</c:v>
                </c:pt>
                <c:pt idx="34">
                  <c:v>101.09230678720606</c:v>
                </c:pt>
                <c:pt idx="35">
                  <c:v>101.01778675504478</c:v>
                </c:pt>
                <c:pt idx="36">
                  <c:v>101.02759202243416</c:v>
                </c:pt>
                <c:pt idx="37">
                  <c:v>100.59027709685624</c:v>
                </c:pt>
                <c:pt idx="38">
                  <c:v>100.45692546035754</c:v>
                </c:pt>
                <c:pt idx="39">
                  <c:v>100.39417174906356</c:v>
                </c:pt>
                <c:pt idx="40">
                  <c:v>101.19232051458013</c:v>
                </c:pt>
                <c:pt idx="41">
                  <c:v>100.80207087247237</c:v>
                </c:pt>
                <c:pt idx="42">
                  <c:v>100.71186241248795</c:v>
                </c:pt>
                <c:pt idx="43">
                  <c:v>101.15506049849957</c:v>
                </c:pt>
                <c:pt idx="44">
                  <c:v>101.63159649363637</c:v>
                </c:pt>
                <c:pt idx="45">
                  <c:v>101.21389210283758</c:v>
                </c:pt>
                <c:pt idx="46">
                  <c:v>100.9099288137586</c:v>
                </c:pt>
                <c:pt idx="47">
                  <c:v>101.66297334928321</c:v>
                </c:pt>
                <c:pt idx="48">
                  <c:v>102.14931461180942</c:v>
                </c:pt>
                <c:pt idx="49">
                  <c:v>101.96693663836221</c:v>
                </c:pt>
                <c:pt idx="50">
                  <c:v>102.32973153177856</c:v>
                </c:pt>
                <c:pt idx="51">
                  <c:v>102.27089992744095</c:v>
                </c:pt>
                <c:pt idx="52">
                  <c:v>102.26109466005147</c:v>
                </c:pt>
                <c:pt idx="53">
                  <c:v>102.5827074304313</c:v>
                </c:pt>
                <c:pt idx="54">
                  <c:v>103.15337399250846</c:v>
                </c:pt>
                <c:pt idx="55">
                  <c:v>103.03963289078868</c:v>
                </c:pt>
                <c:pt idx="56">
                  <c:v>102.37483576177115</c:v>
                </c:pt>
                <c:pt idx="57">
                  <c:v>101.88261133881105</c:v>
                </c:pt>
                <c:pt idx="58">
                  <c:v>101.18839840762415</c:v>
                </c:pt>
                <c:pt idx="59">
                  <c:v>101.18251524719074</c:v>
                </c:pt>
                <c:pt idx="60">
                  <c:v>101.16878787284493</c:v>
                </c:pt>
                <c:pt idx="61">
                  <c:v>101.36293216715998</c:v>
                </c:pt>
                <c:pt idx="62">
                  <c:v>101.40411429019679</c:v>
                </c:pt>
                <c:pt idx="63">
                  <c:v>101.22761947718321</c:v>
                </c:pt>
                <c:pt idx="64">
                  <c:v>100.73539505422305</c:v>
                </c:pt>
                <c:pt idx="65">
                  <c:v>100.8236424607297</c:v>
                </c:pt>
                <c:pt idx="66">
                  <c:v>101.20212578197024</c:v>
                </c:pt>
                <c:pt idx="67">
                  <c:v>101.53942698017381</c:v>
                </c:pt>
                <c:pt idx="68">
                  <c:v>101.24526895848435</c:v>
                </c:pt>
                <c:pt idx="69">
                  <c:v>101.52177749887234</c:v>
                </c:pt>
                <c:pt idx="70">
                  <c:v>102.07675563312591</c:v>
                </c:pt>
                <c:pt idx="71">
                  <c:v>102.34345890612418</c:v>
                </c:pt>
                <c:pt idx="72">
                  <c:v>101.72376600709885</c:v>
                </c:pt>
                <c:pt idx="73">
                  <c:v>103.40242778420577</c:v>
                </c:pt>
                <c:pt idx="74">
                  <c:v>103.56127311591797</c:v>
                </c:pt>
                <c:pt idx="75">
                  <c:v>103.55146784852818</c:v>
                </c:pt>
                <c:pt idx="76">
                  <c:v>103.96328907889327</c:v>
                </c:pt>
                <c:pt idx="77">
                  <c:v>103.78287215892338</c:v>
                </c:pt>
                <c:pt idx="78">
                  <c:v>103.73188476849762</c:v>
                </c:pt>
                <c:pt idx="79">
                  <c:v>103.92602906281267</c:v>
                </c:pt>
                <c:pt idx="80">
                  <c:v>104.16331653364156</c:v>
                </c:pt>
                <c:pt idx="81">
                  <c:v>104.14370599886252</c:v>
                </c:pt>
                <c:pt idx="82">
                  <c:v>103.24162139901578</c:v>
                </c:pt>
                <c:pt idx="83">
                  <c:v>103.26711509422871</c:v>
                </c:pt>
                <c:pt idx="84">
                  <c:v>103.23769929205966</c:v>
                </c:pt>
                <c:pt idx="85">
                  <c:v>103.99074382758398</c:v>
                </c:pt>
                <c:pt idx="86">
                  <c:v>104.81830839526972</c:v>
                </c:pt>
                <c:pt idx="87">
                  <c:v>105.27719490910533</c:v>
                </c:pt>
                <c:pt idx="88">
                  <c:v>105.4007412782146</c:v>
                </c:pt>
                <c:pt idx="89">
                  <c:v>105.71058772772726</c:v>
                </c:pt>
                <c:pt idx="90">
                  <c:v>105.68901613946984</c:v>
                </c:pt>
                <c:pt idx="91">
                  <c:v>106.15574686721673</c:v>
                </c:pt>
                <c:pt idx="92">
                  <c:v>106.54403545584682</c:v>
                </c:pt>
                <c:pt idx="93">
                  <c:v>105.66744455121282</c:v>
                </c:pt>
                <c:pt idx="94">
                  <c:v>106.0851489420114</c:v>
                </c:pt>
                <c:pt idx="95">
                  <c:v>105.94787519855655</c:v>
                </c:pt>
                <c:pt idx="96">
                  <c:v>105.68705508599221</c:v>
                </c:pt>
                <c:pt idx="97">
                  <c:v>105.47918341733168</c:v>
                </c:pt>
                <c:pt idx="98">
                  <c:v>105.77138038554301</c:v>
                </c:pt>
                <c:pt idx="99">
                  <c:v>106.21850057851067</c:v>
                </c:pt>
                <c:pt idx="100">
                  <c:v>106.0812268350557</c:v>
                </c:pt>
                <c:pt idx="101">
                  <c:v>106.52246386758937</c:v>
                </c:pt>
                <c:pt idx="102">
                  <c:v>106.42637224717105</c:v>
                </c:pt>
                <c:pt idx="103">
                  <c:v>106.65189339713284</c:v>
                </c:pt>
                <c:pt idx="104">
                  <c:v>106.28321534328229</c:v>
                </c:pt>
                <c:pt idx="105">
                  <c:v>105.72431510207271</c:v>
                </c:pt>
                <c:pt idx="106">
                  <c:v>106.13417527895975</c:v>
                </c:pt>
                <c:pt idx="107">
                  <c:v>106.06357735375406</c:v>
                </c:pt>
                <c:pt idx="108">
                  <c:v>106.04984997940883</c:v>
                </c:pt>
                <c:pt idx="109">
                  <c:v>105.52232659384605</c:v>
                </c:pt>
                <c:pt idx="110">
                  <c:v>105.55958660992674</c:v>
                </c:pt>
                <c:pt idx="111">
                  <c:v>105.58704135861774</c:v>
                </c:pt>
                <c:pt idx="112">
                  <c:v>105.16737591434108</c:v>
                </c:pt>
                <c:pt idx="113">
                  <c:v>105.00460847567302</c:v>
                </c:pt>
                <c:pt idx="114">
                  <c:v>105.13599905869407</c:v>
                </c:pt>
                <c:pt idx="115">
                  <c:v>105.23012962563494</c:v>
                </c:pt>
                <c:pt idx="116">
                  <c:v>105.31837703214127</c:v>
                </c:pt>
                <c:pt idx="117">
                  <c:v>106.04200576549712</c:v>
                </c:pt>
                <c:pt idx="118">
                  <c:v>107.03037671837298</c:v>
                </c:pt>
                <c:pt idx="119">
                  <c:v>107.59516012001636</c:v>
                </c:pt>
                <c:pt idx="120">
                  <c:v>107.48926323220837</c:v>
                </c:pt>
                <c:pt idx="121">
                  <c:v>107.17157256878355</c:v>
                </c:pt>
                <c:pt idx="122">
                  <c:v>106.88721981448407</c:v>
                </c:pt>
                <c:pt idx="123">
                  <c:v>106.91075245621936</c:v>
                </c:pt>
                <c:pt idx="124">
                  <c:v>107.3363010609297</c:v>
                </c:pt>
                <c:pt idx="125">
                  <c:v>107.05783146706401</c:v>
                </c:pt>
                <c:pt idx="126">
                  <c:v>107.06763673445352</c:v>
                </c:pt>
                <c:pt idx="127">
                  <c:v>107.60104328045016</c:v>
                </c:pt>
                <c:pt idx="128">
                  <c:v>107.04410409271864</c:v>
                </c:pt>
                <c:pt idx="129">
                  <c:v>107.19902731747455</c:v>
                </c:pt>
                <c:pt idx="130">
                  <c:v>107.55790010393574</c:v>
                </c:pt>
                <c:pt idx="131">
                  <c:v>108.40899731335639</c:v>
                </c:pt>
                <c:pt idx="132">
                  <c:v>108.19328143078435</c:v>
                </c:pt>
                <c:pt idx="133">
                  <c:v>107.95795501343311</c:v>
                </c:pt>
                <c:pt idx="134">
                  <c:v>109.34638087580635</c:v>
                </c:pt>
                <c:pt idx="135">
                  <c:v>109.44639460318076</c:v>
                </c:pt>
                <c:pt idx="136">
                  <c:v>109.41305669405602</c:v>
                </c:pt>
                <c:pt idx="137">
                  <c:v>109.20910713235116</c:v>
                </c:pt>
                <c:pt idx="138">
                  <c:v>110.02882748612545</c:v>
                </c:pt>
                <c:pt idx="139">
                  <c:v>109.97391798874349</c:v>
                </c:pt>
                <c:pt idx="140">
                  <c:v>110.07589276959558</c:v>
                </c:pt>
                <c:pt idx="141">
                  <c:v>110.89365206989186</c:v>
                </c:pt>
                <c:pt idx="142">
                  <c:v>111.08387425725077</c:v>
                </c:pt>
                <c:pt idx="143">
                  <c:v>111.19957641244844</c:v>
                </c:pt>
                <c:pt idx="144">
                  <c:v>111.55060498499803</c:v>
                </c:pt>
                <c:pt idx="145">
                  <c:v>110.79167728903973</c:v>
                </c:pt>
                <c:pt idx="146">
                  <c:v>110.90541839075922</c:v>
                </c:pt>
                <c:pt idx="147">
                  <c:v>110.21316651305071</c:v>
                </c:pt>
                <c:pt idx="148">
                  <c:v>109.9307748122288</c:v>
                </c:pt>
                <c:pt idx="149">
                  <c:v>110.33671288216007</c:v>
                </c:pt>
                <c:pt idx="150">
                  <c:v>110.66420881297407</c:v>
                </c:pt>
                <c:pt idx="151">
                  <c:v>110.24650442217573</c:v>
                </c:pt>
                <c:pt idx="152">
                  <c:v>109.99745063047872</c:v>
                </c:pt>
                <c:pt idx="153">
                  <c:v>109.7856568548624</c:v>
                </c:pt>
                <c:pt idx="154">
                  <c:v>110.17002333653606</c:v>
                </c:pt>
                <c:pt idx="155">
                  <c:v>110.14649069480117</c:v>
                </c:pt>
                <c:pt idx="156">
                  <c:v>110.27003706391065</c:v>
                </c:pt>
                <c:pt idx="157">
                  <c:v>110.55046771125429</c:v>
                </c:pt>
                <c:pt idx="158">
                  <c:v>110.70539093601062</c:v>
                </c:pt>
                <c:pt idx="159">
                  <c:v>110.86619732120089</c:v>
                </c:pt>
                <c:pt idx="160">
                  <c:v>112.08008942403852</c:v>
                </c:pt>
                <c:pt idx="161">
                  <c:v>113.00570666562071</c:v>
                </c:pt>
                <c:pt idx="162">
                  <c:v>112.09969995881804</c:v>
                </c:pt>
                <c:pt idx="163">
                  <c:v>111.4172533484989</c:v>
                </c:pt>
                <c:pt idx="164">
                  <c:v>111.9075167179808</c:v>
                </c:pt>
                <c:pt idx="165">
                  <c:v>111.73102190496751</c:v>
                </c:pt>
                <c:pt idx="166">
                  <c:v>111.44666915066777</c:v>
                </c:pt>
                <c:pt idx="167">
                  <c:v>111.9369325201497</c:v>
                </c:pt>
                <c:pt idx="168">
                  <c:v>112.36640323181609</c:v>
                </c:pt>
                <c:pt idx="169">
                  <c:v>113.09591512560539</c:v>
                </c:pt>
                <c:pt idx="170">
                  <c:v>112.66056125350528</c:v>
                </c:pt>
                <c:pt idx="171">
                  <c:v>112.18402525836869</c:v>
                </c:pt>
                <c:pt idx="172">
                  <c:v>112.29384425313269</c:v>
                </c:pt>
                <c:pt idx="173">
                  <c:v>111.5780597336886</c:v>
                </c:pt>
                <c:pt idx="174">
                  <c:v>112.02517992665624</c:v>
                </c:pt>
                <c:pt idx="175">
                  <c:v>112.45268958484486</c:v>
                </c:pt>
                <c:pt idx="176">
                  <c:v>112.64291177220385</c:v>
                </c:pt>
                <c:pt idx="177">
                  <c:v>112.58408016786608</c:v>
                </c:pt>
                <c:pt idx="178">
                  <c:v>112.48602749396969</c:v>
                </c:pt>
                <c:pt idx="179">
                  <c:v>111.38195438589609</c:v>
                </c:pt>
                <c:pt idx="180">
                  <c:v>110.77010570078241</c:v>
                </c:pt>
                <c:pt idx="181">
                  <c:v>110.15041280175687</c:v>
                </c:pt>
                <c:pt idx="182">
                  <c:v>110.37593395171881</c:v>
                </c:pt>
                <c:pt idx="183">
                  <c:v>110.71519620340041</c:v>
                </c:pt>
                <c:pt idx="184">
                  <c:v>109.96411272135401</c:v>
                </c:pt>
                <c:pt idx="185">
                  <c:v>110.0739317161177</c:v>
                </c:pt>
                <c:pt idx="186">
                  <c:v>110.32298550781452</c:v>
                </c:pt>
                <c:pt idx="187">
                  <c:v>110.38770027258609</c:v>
                </c:pt>
                <c:pt idx="188">
                  <c:v>109.89351479614842</c:v>
                </c:pt>
                <c:pt idx="189">
                  <c:v>110.3053360265131</c:v>
                </c:pt>
                <c:pt idx="190">
                  <c:v>111.00935422508965</c:v>
                </c:pt>
                <c:pt idx="191">
                  <c:v>111.17212166375768</c:v>
                </c:pt>
                <c:pt idx="192">
                  <c:v>111.64669660541639</c:v>
                </c:pt>
                <c:pt idx="193">
                  <c:v>111.56629341282127</c:v>
                </c:pt>
                <c:pt idx="194">
                  <c:v>111.29370697938923</c:v>
                </c:pt>
                <c:pt idx="195">
                  <c:v>110.98974369031055</c:v>
                </c:pt>
                <c:pt idx="196">
                  <c:v>110.90149628380362</c:v>
                </c:pt>
                <c:pt idx="197">
                  <c:v>111.57805973368856</c:v>
                </c:pt>
                <c:pt idx="198">
                  <c:v>111.61531974976941</c:v>
                </c:pt>
                <c:pt idx="199">
                  <c:v>111.00935422508957</c:v>
                </c:pt>
                <c:pt idx="200">
                  <c:v>111.23487537505125</c:v>
                </c:pt>
                <c:pt idx="201">
                  <c:v>111.29959013982295</c:v>
                </c:pt>
                <c:pt idx="202">
                  <c:v>111.67807346106314</c:v>
                </c:pt>
                <c:pt idx="203">
                  <c:v>110.02294432569147</c:v>
                </c:pt>
                <c:pt idx="204">
                  <c:v>110.12491910654376</c:v>
                </c:pt>
                <c:pt idx="205">
                  <c:v>110.12884121349934</c:v>
                </c:pt>
                <c:pt idx="206">
                  <c:v>110.21904967348445</c:v>
                </c:pt>
                <c:pt idx="207">
                  <c:v>110.4975192673506</c:v>
                </c:pt>
                <c:pt idx="208">
                  <c:v>110.63283195732723</c:v>
                </c:pt>
                <c:pt idx="209">
                  <c:v>110.3935834330201</c:v>
                </c:pt>
                <c:pt idx="210">
                  <c:v>110.17394544349196</c:v>
                </c:pt>
                <c:pt idx="211">
                  <c:v>110.55831192516608</c:v>
                </c:pt>
                <c:pt idx="212">
                  <c:v>110.862275214245</c:v>
                </c:pt>
                <c:pt idx="213">
                  <c:v>111.40352597415335</c:v>
                </c:pt>
                <c:pt idx="214">
                  <c:v>111.31527856764635</c:v>
                </c:pt>
                <c:pt idx="215">
                  <c:v>112.11931049359706</c:v>
                </c:pt>
                <c:pt idx="216">
                  <c:v>113.28417625948634</c:v>
                </c:pt>
                <c:pt idx="217">
                  <c:v>112.52328751005012</c:v>
                </c:pt>
                <c:pt idx="218">
                  <c:v>112.56643068656457</c:v>
                </c:pt>
                <c:pt idx="219">
                  <c:v>112.13303786794255</c:v>
                </c:pt>
                <c:pt idx="220">
                  <c:v>111.23879748200723</c:v>
                </c:pt>
                <c:pt idx="221">
                  <c:v>111.51530602239511</c:v>
                </c:pt>
                <c:pt idx="222">
                  <c:v>112.34679269703668</c:v>
                </c:pt>
                <c:pt idx="223">
                  <c:v>112.64291177220385</c:v>
                </c:pt>
                <c:pt idx="224">
                  <c:v>113.27240993861891</c:v>
                </c:pt>
                <c:pt idx="225">
                  <c:v>112.91157609868009</c:v>
                </c:pt>
                <c:pt idx="226">
                  <c:v>112.7037044300197</c:v>
                </c:pt>
                <c:pt idx="227">
                  <c:v>112.27815582530924</c:v>
                </c:pt>
                <c:pt idx="228">
                  <c:v>113.00766771909859</c:v>
                </c:pt>
                <c:pt idx="229">
                  <c:v>112.60172964916771</c:v>
                </c:pt>
                <c:pt idx="230">
                  <c:v>112.66644441393908</c:v>
                </c:pt>
                <c:pt idx="231">
                  <c:v>112.4605337987566</c:v>
                </c:pt>
                <c:pt idx="232">
                  <c:v>112.20363579314802</c:v>
                </c:pt>
                <c:pt idx="233">
                  <c:v>111.6702292471515</c:v>
                </c:pt>
                <c:pt idx="234">
                  <c:v>112.12519365403087</c:v>
                </c:pt>
                <c:pt idx="235">
                  <c:v>111.86437354146638</c:v>
                </c:pt>
                <c:pt idx="236">
                  <c:v>111.43098072284424</c:v>
                </c:pt>
                <c:pt idx="237">
                  <c:v>111.90751671798081</c:v>
                </c:pt>
                <c:pt idx="238">
                  <c:v>111.58198184064459</c:v>
                </c:pt>
                <c:pt idx="239">
                  <c:v>111.47216284588075</c:v>
                </c:pt>
                <c:pt idx="240">
                  <c:v>111.60551448237989</c:v>
                </c:pt>
                <c:pt idx="241">
                  <c:v>111.78985350930532</c:v>
                </c:pt>
                <c:pt idx="242">
                  <c:v>112.10166101229578</c:v>
                </c:pt>
                <c:pt idx="243">
                  <c:v>111.63493028454883</c:v>
                </c:pt>
                <c:pt idx="244">
                  <c:v>111.71729453062181</c:v>
                </c:pt>
                <c:pt idx="245">
                  <c:v>112.0879336379503</c:v>
                </c:pt>
                <c:pt idx="246">
                  <c:v>112.44092326397775</c:v>
                </c:pt>
                <c:pt idx="247">
                  <c:v>113.04884984213517</c:v>
                </c:pt>
                <c:pt idx="248">
                  <c:v>113.76071225462302</c:v>
                </c:pt>
                <c:pt idx="249">
                  <c:v>114.05094816935645</c:v>
                </c:pt>
                <c:pt idx="250">
                  <c:v>113.5234247837938</c:v>
                </c:pt>
                <c:pt idx="251">
                  <c:v>113.47635950032353</c:v>
                </c:pt>
                <c:pt idx="252">
                  <c:v>113.47635950032353</c:v>
                </c:pt>
                <c:pt idx="253">
                  <c:v>114.94911066224805</c:v>
                </c:pt>
                <c:pt idx="254">
                  <c:v>116.16692487204121</c:v>
                </c:pt>
                <c:pt idx="255">
                  <c:v>115.86296158296233</c:v>
                </c:pt>
                <c:pt idx="256">
                  <c:v>115.92375424077809</c:v>
                </c:pt>
                <c:pt idx="257">
                  <c:v>115.61586884474328</c:v>
                </c:pt>
                <c:pt idx="258">
                  <c:v>116.07475535857844</c:v>
                </c:pt>
                <c:pt idx="259">
                  <c:v>115.6943109838605</c:v>
                </c:pt>
                <c:pt idx="260">
                  <c:v>115.54330986606003</c:v>
                </c:pt>
                <c:pt idx="261">
                  <c:v>116.33361441766516</c:v>
                </c:pt>
                <c:pt idx="262">
                  <c:v>117.14352950404962</c:v>
                </c:pt>
                <c:pt idx="263">
                  <c:v>117.32982958445274</c:v>
                </c:pt>
                <c:pt idx="264">
                  <c:v>117.00233365363859</c:v>
                </c:pt>
                <c:pt idx="265">
                  <c:v>116.89447571235254</c:v>
                </c:pt>
                <c:pt idx="266">
                  <c:v>117.45729806051827</c:v>
                </c:pt>
                <c:pt idx="267">
                  <c:v>117.39454434922442</c:v>
                </c:pt>
                <c:pt idx="268">
                  <c:v>117.77694977742031</c:v>
                </c:pt>
                <c:pt idx="269">
                  <c:v>117.6632086757006</c:v>
                </c:pt>
                <c:pt idx="270">
                  <c:v>117.24158217794601</c:v>
                </c:pt>
                <c:pt idx="271">
                  <c:v>116.81995568019157</c:v>
                </c:pt>
                <c:pt idx="272">
                  <c:v>115.55899829388323</c:v>
                </c:pt>
                <c:pt idx="273">
                  <c:v>116.19045751377622</c:v>
                </c:pt>
                <c:pt idx="274">
                  <c:v>116.05122271684351</c:v>
                </c:pt>
                <c:pt idx="275">
                  <c:v>116.47677132155368</c:v>
                </c:pt>
                <c:pt idx="276">
                  <c:v>116.66895456239094</c:v>
                </c:pt>
                <c:pt idx="277">
                  <c:v>117.82989822132438</c:v>
                </c:pt>
                <c:pt idx="278">
                  <c:v>118.15739415213835</c:v>
                </c:pt>
                <c:pt idx="279">
                  <c:v>117.00429470711683</c:v>
                </c:pt>
                <c:pt idx="280">
                  <c:v>116.33557547114314</c:v>
                </c:pt>
                <c:pt idx="281">
                  <c:v>116.16496381856338</c:v>
                </c:pt>
                <c:pt idx="282">
                  <c:v>115.83354578079347</c:v>
                </c:pt>
                <c:pt idx="283">
                  <c:v>115.99827427293947</c:v>
                </c:pt>
                <c:pt idx="284">
                  <c:v>116.36891338026805</c:v>
                </c:pt>
                <c:pt idx="285">
                  <c:v>116.32969231070911</c:v>
                </c:pt>
                <c:pt idx="286">
                  <c:v>115.21189182829019</c:v>
                </c:pt>
                <c:pt idx="287">
                  <c:v>114.88439589747603</c:v>
                </c:pt>
                <c:pt idx="288">
                  <c:v>115.73745416037499</c:v>
                </c:pt>
                <c:pt idx="289">
                  <c:v>116.16888592551921</c:v>
                </c:pt>
                <c:pt idx="290">
                  <c:v>116.13358696291651</c:v>
                </c:pt>
                <c:pt idx="291">
                  <c:v>117.10626948796912</c:v>
                </c:pt>
                <c:pt idx="292">
                  <c:v>116.08652167944626</c:v>
                </c:pt>
                <c:pt idx="293">
                  <c:v>116.16692487204128</c:v>
                </c:pt>
                <c:pt idx="294">
                  <c:v>116.48657658894362</c:v>
                </c:pt>
                <c:pt idx="295">
                  <c:v>116.44539446590738</c:v>
                </c:pt>
                <c:pt idx="296">
                  <c:v>116.0688721981446</c:v>
                </c:pt>
                <c:pt idx="297">
                  <c:v>116.08259957249022</c:v>
                </c:pt>
                <c:pt idx="298">
                  <c:v>115.68842782342645</c:v>
                </c:pt>
                <c:pt idx="299">
                  <c:v>115.93159845468988</c:v>
                </c:pt>
                <c:pt idx="300">
                  <c:v>115.65508991430201</c:v>
                </c:pt>
                <c:pt idx="301">
                  <c:v>116.1237816955266</c:v>
                </c:pt>
                <c:pt idx="302">
                  <c:v>116.04730060988783</c:v>
                </c:pt>
                <c:pt idx="303">
                  <c:v>116.88270939148488</c:v>
                </c:pt>
                <c:pt idx="304">
                  <c:v>116.91016414017641</c:v>
                </c:pt>
                <c:pt idx="305">
                  <c:v>116.71798089933922</c:v>
                </c:pt>
                <c:pt idx="306">
                  <c:v>115.92767634773405</c:v>
                </c:pt>
                <c:pt idx="307">
                  <c:v>116.03945639597599</c:v>
                </c:pt>
                <c:pt idx="308">
                  <c:v>115.90218265252074</c:v>
                </c:pt>
                <c:pt idx="309">
                  <c:v>115.6315572725667</c:v>
                </c:pt>
                <c:pt idx="310">
                  <c:v>115.5962583099642</c:v>
                </c:pt>
                <c:pt idx="311">
                  <c:v>115.35504873217872</c:v>
                </c:pt>
                <c:pt idx="312">
                  <c:v>115.42172455042855</c:v>
                </c:pt>
                <c:pt idx="313">
                  <c:v>115.67273939560309</c:v>
                </c:pt>
                <c:pt idx="314">
                  <c:v>116.42186182417214</c:v>
                </c:pt>
                <c:pt idx="315">
                  <c:v>117.26315376620344</c:v>
                </c:pt>
                <c:pt idx="316">
                  <c:v>117.01998313494016</c:v>
                </c:pt>
                <c:pt idx="317">
                  <c:v>116.8258388406249</c:v>
                </c:pt>
                <c:pt idx="318">
                  <c:v>116.95526837016851</c:v>
                </c:pt>
                <c:pt idx="319">
                  <c:v>116.8925146588748</c:v>
                </c:pt>
                <c:pt idx="320">
                  <c:v>116.65130508108955</c:v>
                </c:pt>
                <c:pt idx="321">
                  <c:v>116.47677132155368</c:v>
                </c:pt>
                <c:pt idx="322">
                  <c:v>115.83354578079344</c:v>
                </c:pt>
                <c:pt idx="323">
                  <c:v>115.16286549134196</c:v>
                </c:pt>
                <c:pt idx="324">
                  <c:v>114.99617594571826</c:v>
                </c:pt>
                <c:pt idx="325">
                  <c:v>115.0903065126583</c:v>
                </c:pt>
                <c:pt idx="326">
                  <c:v>114.50591257623579</c:v>
                </c:pt>
                <c:pt idx="327">
                  <c:v>113.74110171984402</c:v>
                </c:pt>
                <c:pt idx="328">
                  <c:v>113.97054497676145</c:v>
                </c:pt>
                <c:pt idx="329">
                  <c:v>113.70384170376315</c:v>
                </c:pt>
                <c:pt idx="330">
                  <c:v>113.84895966113014</c:v>
                </c:pt>
                <c:pt idx="331">
                  <c:v>113.73717961288803</c:v>
                </c:pt>
                <c:pt idx="332">
                  <c:v>113.37438471947108</c:v>
                </c:pt>
                <c:pt idx="333">
                  <c:v>113.30770890122156</c:v>
                </c:pt>
                <c:pt idx="334">
                  <c:v>113.7626733081011</c:v>
                </c:pt>
                <c:pt idx="335">
                  <c:v>113.98427235110698</c:v>
                </c:pt>
                <c:pt idx="336">
                  <c:v>113.32731943600101</c:v>
                </c:pt>
                <c:pt idx="337">
                  <c:v>111.99772517796559</c:v>
                </c:pt>
                <c:pt idx="338">
                  <c:v>111.8800619692899</c:v>
                </c:pt>
                <c:pt idx="339">
                  <c:v>111.63885239150441</c:v>
                </c:pt>
                <c:pt idx="340">
                  <c:v>111.29174592591153</c:v>
                </c:pt>
                <c:pt idx="341">
                  <c:v>111.92908830623796</c:v>
                </c:pt>
                <c:pt idx="342">
                  <c:v>110.91914576510528</c:v>
                </c:pt>
                <c:pt idx="343">
                  <c:v>111.01523738552351</c:v>
                </c:pt>
                <c:pt idx="344">
                  <c:v>110.87011942815681</c:v>
                </c:pt>
                <c:pt idx="345">
                  <c:v>109.32873139450477</c:v>
                </c:pt>
                <c:pt idx="346">
                  <c:v>109.97784009569938</c:v>
                </c:pt>
                <c:pt idx="347">
                  <c:v>110.72696252426802</c:v>
                </c:pt>
                <c:pt idx="348">
                  <c:v>110.93091208597278</c:v>
                </c:pt>
                <c:pt idx="349">
                  <c:v>111.09171847116269</c:v>
                </c:pt>
                <c:pt idx="350">
                  <c:v>110.84462573294385</c:v>
                </c:pt>
                <c:pt idx="351">
                  <c:v>111.57217657325488</c:v>
                </c:pt>
                <c:pt idx="352">
                  <c:v>112.09969995881811</c:v>
                </c:pt>
                <c:pt idx="353">
                  <c:v>111.46824073892491</c:v>
                </c:pt>
                <c:pt idx="354">
                  <c:v>111.71533347714389</c:v>
                </c:pt>
                <c:pt idx="355">
                  <c:v>111.66826819367347</c:v>
                </c:pt>
                <c:pt idx="356">
                  <c:v>111.31527856764639</c:v>
                </c:pt>
                <c:pt idx="357">
                  <c:v>111.94281568058362</c:v>
                </c:pt>
                <c:pt idx="358">
                  <c:v>109.82880003137669</c:v>
                </c:pt>
                <c:pt idx="359">
                  <c:v>109.74251367834832</c:v>
                </c:pt>
                <c:pt idx="360">
                  <c:v>109.23263977408664</c:v>
                </c:pt>
                <c:pt idx="361">
                  <c:v>109.32873139450473</c:v>
                </c:pt>
                <c:pt idx="362">
                  <c:v>108.91691016414035</c:v>
                </c:pt>
                <c:pt idx="363">
                  <c:v>110.17198439001425</c:v>
                </c:pt>
                <c:pt idx="364">
                  <c:v>110.1778675504479</c:v>
                </c:pt>
                <c:pt idx="365">
                  <c:v>110.15237385523469</c:v>
                </c:pt>
                <c:pt idx="366">
                  <c:v>110.05236012786045</c:v>
                </c:pt>
                <c:pt idx="367">
                  <c:v>109.41697880101181</c:v>
                </c:pt>
                <c:pt idx="368">
                  <c:v>110.173945443492</c:v>
                </c:pt>
                <c:pt idx="369">
                  <c:v>110.14649069480116</c:v>
                </c:pt>
                <c:pt idx="370">
                  <c:v>110.32690761477058</c:v>
                </c:pt>
                <c:pt idx="371">
                  <c:v>110.18375071088151</c:v>
                </c:pt>
                <c:pt idx="372">
                  <c:v>110.93679524640628</c:v>
                </c:pt>
                <c:pt idx="373">
                  <c:v>111.41333124154289</c:v>
                </c:pt>
                <c:pt idx="374">
                  <c:v>110.8171709842528</c:v>
                </c:pt>
                <c:pt idx="375">
                  <c:v>110.70146882905485</c:v>
                </c:pt>
                <c:pt idx="376">
                  <c:v>110.23866020826379</c:v>
                </c:pt>
                <c:pt idx="377">
                  <c:v>109.78761790834051</c:v>
                </c:pt>
                <c:pt idx="378">
                  <c:v>110.35436236346131</c:v>
                </c:pt>
                <c:pt idx="379">
                  <c:v>110.49948032082824</c:v>
                </c:pt>
                <c:pt idx="380">
                  <c:v>109.52287568881994</c:v>
                </c:pt>
                <c:pt idx="381">
                  <c:v>109.37579667797525</c:v>
                </c:pt>
                <c:pt idx="382">
                  <c:v>109.85037161963371</c:v>
                </c:pt>
                <c:pt idx="383">
                  <c:v>110.31514129390298</c:v>
                </c:pt>
                <c:pt idx="384">
                  <c:v>110.25238758260903</c:v>
                </c:pt>
                <c:pt idx="385">
                  <c:v>110.36220657737326</c:v>
                </c:pt>
                <c:pt idx="386">
                  <c:v>110.47790873257088</c:v>
                </c:pt>
                <c:pt idx="387">
                  <c:v>109.62877257662758</c:v>
                </c:pt>
                <c:pt idx="388">
                  <c:v>110.1798286039258</c:v>
                </c:pt>
                <c:pt idx="389">
                  <c:v>110.5681171925555</c:v>
                </c:pt>
                <c:pt idx="390">
                  <c:v>110.18963387131556</c:v>
                </c:pt>
                <c:pt idx="391">
                  <c:v>109.57778518620172</c:v>
                </c:pt>
                <c:pt idx="392">
                  <c:v>109.25617241582152</c:v>
                </c:pt>
                <c:pt idx="393">
                  <c:v>109.19341870452783</c:v>
                </c:pt>
                <c:pt idx="394">
                  <c:v>109.47188829839381</c:v>
                </c:pt>
                <c:pt idx="395">
                  <c:v>109.54836938403302</c:v>
                </c:pt>
                <c:pt idx="396">
                  <c:v>109.55621359794473</c:v>
                </c:pt>
                <c:pt idx="397">
                  <c:v>108.37762045770981</c:v>
                </c:pt>
                <c:pt idx="398">
                  <c:v>107.75400545172863</c:v>
                </c:pt>
                <c:pt idx="399">
                  <c:v>108.02463083168261</c:v>
                </c:pt>
                <c:pt idx="400">
                  <c:v>107.26374208224657</c:v>
                </c:pt>
                <c:pt idx="401">
                  <c:v>107.73635597042728</c:v>
                </c:pt>
                <c:pt idx="402">
                  <c:v>107.83048653736785</c:v>
                </c:pt>
                <c:pt idx="403">
                  <c:v>108.07757927558667</c:v>
                </c:pt>
                <c:pt idx="404">
                  <c:v>109.0620281215067</c:v>
                </c:pt>
                <c:pt idx="405">
                  <c:v>109.746435785304</c:v>
                </c:pt>
                <c:pt idx="406">
                  <c:v>109.46600513796011</c:v>
                </c:pt>
                <c:pt idx="407">
                  <c:v>109.53071990273175</c:v>
                </c:pt>
                <c:pt idx="408">
                  <c:v>109.99156747004511</c:v>
                </c:pt>
                <c:pt idx="409">
                  <c:v>110.80736571686305</c:v>
                </c:pt>
                <c:pt idx="410">
                  <c:v>110.45437609083601</c:v>
                </c:pt>
                <c:pt idx="411">
                  <c:v>110.73676779165767</c:v>
                </c:pt>
                <c:pt idx="412">
                  <c:v>110.53477928343105</c:v>
                </c:pt>
                <c:pt idx="413">
                  <c:v>109.9405800796189</c:v>
                </c:pt>
                <c:pt idx="414">
                  <c:v>109.64249995097366</c:v>
                </c:pt>
                <c:pt idx="415">
                  <c:v>109.8876316357147</c:v>
                </c:pt>
                <c:pt idx="416">
                  <c:v>110.40927186084363</c:v>
                </c:pt>
                <c:pt idx="417">
                  <c:v>110.60929931559231</c:v>
                </c:pt>
                <c:pt idx="418">
                  <c:v>110.07981487655135</c:v>
                </c:pt>
                <c:pt idx="419">
                  <c:v>110.37397289824069</c:v>
                </c:pt>
                <c:pt idx="420">
                  <c:v>110.34651814954994</c:v>
                </c:pt>
                <c:pt idx="421">
                  <c:v>110.54066244386482</c:v>
                </c:pt>
                <c:pt idx="422">
                  <c:v>111.28194065852175</c:v>
                </c:pt>
                <c:pt idx="423">
                  <c:v>110.83089835859796</c:v>
                </c:pt>
                <c:pt idx="424">
                  <c:v>110.8975741768478</c:v>
                </c:pt>
                <c:pt idx="425">
                  <c:v>110.91522365814946</c:v>
                </c:pt>
                <c:pt idx="426">
                  <c:v>110.72107936383425</c:v>
                </c:pt>
                <c:pt idx="427">
                  <c:v>111.31527856764639</c:v>
                </c:pt>
                <c:pt idx="428">
                  <c:v>111.11721216637579</c:v>
                </c:pt>
                <c:pt idx="429">
                  <c:v>111.10936795246378</c:v>
                </c:pt>
                <c:pt idx="430">
                  <c:v>110.71519620340048</c:v>
                </c:pt>
                <c:pt idx="431">
                  <c:v>109.75035789225944</c:v>
                </c:pt>
                <c:pt idx="432">
                  <c:v>110.07981487655135</c:v>
                </c:pt>
                <c:pt idx="433">
                  <c:v>109.17184711627058</c:v>
                </c:pt>
                <c:pt idx="434">
                  <c:v>109.85625478006799</c:v>
                </c:pt>
                <c:pt idx="435">
                  <c:v>109.36206930362972</c:v>
                </c:pt>
                <c:pt idx="436">
                  <c:v>109.45423881709245</c:v>
                </c:pt>
                <c:pt idx="437">
                  <c:v>109.37187457101948</c:v>
                </c:pt>
                <c:pt idx="438">
                  <c:v>109.13458710019015</c:v>
                </c:pt>
                <c:pt idx="439">
                  <c:v>109.43266722883546</c:v>
                </c:pt>
                <c:pt idx="440">
                  <c:v>110.26023179652091</c:v>
                </c:pt>
                <c:pt idx="441">
                  <c:v>109.97391798874352</c:v>
                </c:pt>
                <c:pt idx="442">
                  <c:v>109.75624105269331</c:v>
                </c:pt>
                <c:pt idx="443">
                  <c:v>109.26205557625551</c:v>
                </c:pt>
                <c:pt idx="444">
                  <c:v>108.75610377895002</c:v>
                </c:pt>
                <c:pt idx="445">
                  <c:v>109.1914576510501</c:v>
                </c:pt>
                <c:pt idx="446">
                  <c:v>109.0600670680289</c:v>
                </c:pt>
                <c:pt idx="447">
                  <c:v>108.50508893377503</c:v>
                </c:pt>
                <c:pt idx="448">
                  <c:v>108.5384268428998</c:v>
                </c:pt>
                <c:pt idx="449">
                  <c:v>108.23642460729911</c:v>
                </c:pt>
                <c:pt idx="450">
                  <c:v>108.20504775165205</c:v>
                </c:pt>
                <c:pt idx="451">
                  <c:v>108.48155629204012</c:v>
                </c:pt>
                <c:pt idx="452">
                  <c:v>108.27564567685758</c:v>
                </c:pt>
                <c:pt idx="453">
                  <c:v>108.09326770341026</c:v>
                </c:pt>
                <c:pt idx="454">
                  <c:v>108.57372580550268</c:v>
                </c:pt>
                <c:pt idx="455">
                  <c:v>109.20322397191805</c:v>
                </c:pt>
                <c:pt idx="456">
                  <c:v>109.27186084364519</c:v>
                </c:pt>
                <c:pt idx="457">
                  <c:v>108.83650697154509</c:v>
                </c:pt>
                <c:pt idx="458">
                  <c:v>109.0894828701977</c:v>
                </c:pt>
                <c:pt idx="459">
                  <c:v>109.86213794050147</c:v>
                </c:pt>
                <c:pt idx="460">
                  <c:v>109.20126291843975</c:v>
                </c:pt>
                <c:pt idx="461">
                  <c:v>108.48351734551802</c:v>
                </c:pt>
                <c:pt idx="462">
                  <c:v>107.82656443041202</c:v>
                </c:pt>
                <c:pt idx="463">
                  <c:v>107.66771909869981</c:v>
                </c:pt>
                <c:pt idx="464">
                  <c:v>107.8442139117136</c:v>
                </c:pt>
                <c:pt idx="465">
                  <c:v>107.79714862824333</c:v>
                </c:pt>
                <c:pt idx="466">
                  <c:v>107.99717608299177</c:v>
                </c:pt>
                <c:pt idx="467">
                  <c:v>108.6933500676562</c:v>
                </c:pt>
                <c:pt idx="468">
                  <c:v>108.63451846331863</c:v>
                </c:pt>
                <c:pt idx="469">
                  <c:v>108.11680034514542</c:v>
                </c:pt>
                <c:pt idx="470">
                  <c:v>108.28937305120311</c:v>
                </c:pt>
                <c:pt idx="471">
                  <c:v>108.09915086384406</c:v>
                </c:pt>
                <c:pt idx="472">
                  <c:v>108.11091718471164</c:v>
                </c:pt>
                <c:pt idx="473">
                  <c:v>107.60692644088407</c:v>
                </c:pt>
                <c:pt idx="474">
                  <c:v>107.30492420528321</c:v>
                </c:pt>
                <c:pt idx="475">
                  <c:v>108.17170984252716</c:v>
                </c:pt>
                <c:pt idx="476">
                  <c:v>108.20308669817426</c:v>
                </c:pt>
                <c:pt idx="477">
                  <c:v>108.11680034514542</c:v>
                </c:pt>
                <c:pt idx="478">
                  <c:v>108.56588159159082</c:v>
                </c:pt>
                <c:pt idx="479">
                  <c:v>107.86382444649267</c:v>
                </c:pt>
                <c:pt idx="480">
                  <c:v>107.89520130213941</c:v>
                </c:pt>
                <c:pt idx="481">
                  <c:v>108.11091718471165</c:v>
                </c:pt>
                <c:pt idx="482">
                  <c:v>108.54038789637798</c:v>
                </c:pt>
                <c:pt idx="483">
                  <c:v>108.3187888533719</c:v>
                </c:pt>
                <c:pt idx="484">
                  <c:v>107.82656443041209</c:v>
                </c:pt>
                <c:pt idx="485">
                  <c:v>108.21093091208589</c:v>
                </c:pt>
                <c:pt idx="486">
                  <c:v>107.34218422136379</c:v>
                </c:pt>
                <c:pt idx="487">
                  <c:v>107.68536858000108</c:v>
                </c:pt>
                <c:pt idx="488">
                  <c:v>108.1364108799246</c:v>
                </c:pt>
                <c:pt idx="489">
                  <c:v>108.17367089600516</c:v>
                </c:pt>
                <c:pt idx="490">
                  <c:v>109.03457337281594</c:v>
                </c:pt>
                <c:pt idx="491">
                  <c:v>108.53842684290008</c:v>
                </c:pt>
                <c:pt idx="492">
                  <c:v>108.15994352165976</c:v>
                </c:pt>
                <c:pt idx="493">
                  <c:v>108.1560214147039</c:v>
                </c:pt>
                <c:pt idx="494">
                  <c:v>108.00894240385919</c:v>
                </c:pt>
                <c:pt idx="495">
                  <c:v>108.14033298688042</c:v>
                </c:pt>
                <c:pt idx="496">
                  <c:v>108.57372580550275</c:v>
                </c:pt>
                <c:pt idx="497">
                  <c:v>108.75218167199424</c:v>
                </c:pt>
                <c:pt idx="498">
                  <c:v>108.96985860804429</c:v>
                </c:pt>
                <c:pt idx="499">
                  <c:v>109.68564312748792</c:v>
                </c:pt>
                <c:pt idx="500">
                  <c:v>109.76996842703907</c:v>
                </c:pt>
                <c:pt idx="501">
                  <c:v>109.33265350146107</c:v>
                </c:pt>
                <c:pt idx="502">
                  <c:v>109.11497656541101</c:v>
                </c:pt>
                <c:pt idx="503">
                  <c:v>108.86592277371408</c:v>
                </c:pt>
                <c:pt idx="504">
                  <c:v>108.53058262898836</c:v>
                </c:pt>
                <c:pt idx="505">
                  <c:v>108.52077736159846</c:v>
                </c:pt>
                <c:pt idx="506">
                  <c:v>108.18543721687267</c:v>
                </c:pt>
                <c:pt idx="507">
                  <c:v>108.08346243602054</c:v>
                </c:pt>
                <c:pt idx="508">
                  <c:v>108.03835820602809</c:v>
                </c:pt>
                <c:pt idx="509">
                  <c:v>108.08738454297654</c:v>
                </c:pt>
                <c:pt idx="510">
                  <c:v>107.90892867648505</c:v>
                </c:pt>
                <c:pt idx="511">
                  <c:v>109.162041848881</c:v>
                </c:pt>
                <c:pt idx="512">
                  <c:v>109.05614496107327</c:v>
                </c:pt>
                <c:pt idx="513">
                  <c:v>109.65230521836317</c:v>
                </c:pt>
                <c:pt idx="514">
                  <c:v>109.55817465142275</c:v>
                </c:pt>
                <c:pt idx="515">
                  <c:v>109.38364089188715</c:v>
                </c:pt>
                <c:pt idx="516">
                  <c:v>109.21106818582946</c:v>
                </c:pt>
                <c:pt idx="517">
                  <c:v>109.0404565332497</c:v>
                </c:pt>
                <c:pt idx="518">
                  <c:v>108.68550585374439</c:v>
                </c:pt>
                <c:pt idx="519">
                  <c:v>108.6541289980978</c:v>
                </c:pt>
                <c:pt idx="520">
                  <c:v>108.57960896593652</c:v>
                </c:pt>
                <c:pt idx="521">
                  <c:v>108.25015198164456</c:v>
                </c:pt>
                <c:pt idx="522">
                  <c:v>108.50116682681939</c:v>
                </c:pt>
                <c:pt idx="523">
                  <c:v>107.86970760692631</c:v>
                </c:pt>
                <c:pt idx="524">
                  <c:v>107.87951287431608</c:v>
                </c:pt>
                <c:pt idx="525">
                  <c:v>108.15798246818177</c:v>
                </c:pt>
                <c:pt idx="526">
                  <c:v>108.06777400819723</c:v>
                </c:pt>
                <c:pt idx="527">
                  <c:v>108.48940050595181</c:v>
                </c:pt>
                <c:pt idx="528">
                  <c:v>108.3952699390114</c:v>
                </c:pt>
                <c:pt idx="529">
                  <c:v>108.67177847939895</c:v>
                </c:pt>
                <c:pt idx="530">
                  <c:v>108.79336379503086</c:v>
                </c:pt>
                <c:pt idx="531">
                  <c:v>108.96985860804426</c:v>
                </c:pt>
                <c:pt idx="532">
                  <c:v>109.36795246406372</c:v>
                </c:pt>
                <c:pt idx="533">
                  <c:v>109.39540721275435</c:v>
                </c:pt>
                <c:pt idx="534">
                  <c:v>109.18165238366048</c:v>
                </c:pt>
                <c:pt idx="535">
                  <c:v>109.14831447453571</c:v>
                </c:pt>
                <c:pt idx="536">
                  <c:v>108.96593650108838</c:v>
                </c:pt>
                <c:pt idx="537">
                  <c:v>108.53058262898827</c:v>
                </c:pt>
                <c:pt idx="538">
                  <c:v>108.456062596827</c:v>
                </c:pt>
                <c:pt idx="539">
                  <c:v>107.80695389563272</c:v>
                </c:pt>
                <c:pt idx="540">
                  <c:v>107.90108446257329</c:v>
                </c:pt>
                <c:pt idx="541">
                  <c:v>107.96776028082299</c:v>
                </c:pt>
                <c:pt idx="542">
                  <c:v>107.96776028082299</c:v>
                </c:pt>
                <c:pt idx="543">
                  <c:v>108.04620241993999</c:v>
                </c:pt>
                <c:pt idx="544">
                  <c:v>108.27956778381343</c:v>
                </c:pt>
                <c:pt idx="545">
                  <c:v>108.26191830251206</c:v>
                </c:pt>
                <c:pt idx="546">
                  <c:v>108.14425509383639</c:v>
                </c:pt>
                <c:pt idx="547">
                  <c:v>108.73061008373696</c:v>
                </c:pt>
                <c:pt idx="548">
                  <c:v>107.70497911478029</c:v>
                </c:pt>
                <c:pt idx="549">
                  <c:v>107.87362971388225</c:v>
                </c:pt>
                <c:pt idx="550">
                  <c:v>107.88343498127189</c:v>
                </c:pt>
                <c:pt idx="551">
                  <c:v>107.57554958523727</c:v>
                </c:pt>
                <c:pt idx="552">
                  <c:v>107.33630106092974</c:v>
                </c:pt>
                <c:pt idx="553">
                  <c:v>106.9362461514325</c:v>
                </c:pt>
                <c:pt idx="554">
                  <c:v>107.17941678269548</c:v>
                </c:pt>
                <c:pt idx="555">
                  <c:v>106.87545349361665</c:v>
                </c:pt>
                <c:pt idx="556">
                  <c:v>107.36963897005452</c:v>
                </c:pt>
                <c:pt idx="557">
                  <c:v>107.28531367050377</c:v>
                </c:pt>
                <c:pt idx="558">
                  <c:v>107.32453474006232</c:v>
                </c:pt>
                <c:pt idx="559">
                  <c:v>107.40689898613533</c:v>
                </c:pt>
                <c:pt idx="560">
                  <c:v>107.5696664248035</c:v>
                </c:pt>
                <c:pt idx="561">
                  <c:v>107.44023689526024</c:v>
                </c:pt>
                <c:pt idx="562">
                  <c:v>107.26766418920275</c:v>
                </c:pt>
                <c:pt idx="563">
                  <c:v>107.61280960131803</c:v>
                </c:pt>
                <c:pt idx="564">
                  <c:v>107.54417272959029</c:v>
                </c:pt>
                <c:pt idx="565">
                  <c:v>107.24217049398931</c:v>
                </c:pt>
                <c:pt idx="566">
                  <c:v>107.18726099660736</c:v>
                </c:pt>
                <c:pt idx="567">
                  <c:v>106.5342301884572</c:v>
                </c:pt>
                <c:pt idx="568">
                  <c:v>106.35969642892158</c:v>
                </c:pt>
                <c:pt idx="569">
                  <c:v>106.32439746631886</c:v>
                </c:pt>
                <c:pt idx="570">
                  <c:v>106.28909850371615</c:v>
                </c:pt>
                <c:pt idx="571">
                  <c:v>105.15757064695137</c:v>
                </c:pt>
                <c:pt idx="572">
                  <c:v>105.12423273782645</c:v>
                </c:pt>
                <c:pt idx="573">
                  <c:v>105.34387072735456</c:v>
                </c:pt>
                <c:pt idx="574">
                  <c:v>105.63606769556604</c:v>
                </c:pt>
                <c:pt idx="575">
                  <c:v>105.5085992195007</c:v>
                </c:pt>
                <c:pt idx="576">
                  <c:v>105.16737591434115</c:v>
                </c:pt>
                <c:pt idx="577">
                  <c:v>105.6615613907791</c:v>
                </c:pt>
                <c:pt idx="578">
                  <c:v>105.80471829466788</c:v>
                </c:pt>
                <c:pt idx="579">
                  <c:v>105.86551095248343</c:v>
                </c:pt>
                <c:pt idx="580">
                  <c:v>106.21457847155479</c:v>
                </c:pt>
                <c:pt idx="581">
                  <c:v>106.08710999548958</c:v>
                </c:pt>
                <c:pt idx="582">
                  <c:v>105.95179730551251</c:v>
                </c:pt>
                <c:pt idx="583">
                  <c:v>105.54978134253706</c:v>
                </c:pt>
                <c:pt idx="584">
                  <c:v>105.55958660992684</c:v>
                </c:pt>
                <c:pt idx="585">
                  <c:v>105.02618006393033</c:v>
                </c:pt>
                <c:pt idx="586">
                  <c:v>105.03794638479792</c:v>
                </c:pt>
                <c:pt idx="587">
                  <c:v>104.87713999960779</c:v>
                </c:pt>
                <c:pt idx="588">
                  <c:v>105.04579059870949</c:v>
                </c:pt>
                <c:pt idx="589">
                  <c:v>104.81046418135838</c:v>
                </c:pt>
                <c:pt idx="590">
                  <c:v>105.33798756692082</c:v>
                </c:pt>
                <c:pt idx="591">
                  <c:v>105.40074127821468</c:v>
                </c:pt>
                <c:pt idx="592">
                  <c:v>105.09285588217988</c:v>
                </c:pt>
                <c:pt idx="593">
                  <c:v>104.94773792481332</c:v>
                </c:pt>
                <c:pt idx="594">
                  <c:v>104.99676426176158</c:v>
                </c:pt>
                <c:pt idx="595">
                  <c:v>105.22620751867908</c:v>
                </c:pt>
                <c:pt idx="596">
                  <c:v>105.88316043378505</c:v>
                </c:pt>
                <c:pt idx="597">
                  <c:v>106.15182476026122</c:v>
                </c:pt>
                <c:pt idx="598">
                  <c:v>105.66156139077913</c:v>
                </c:pt>
                <c:pt idx="599">
                  <c:v>105.84786147118247</c:v>
                </c:pt>
                <c:pt idx="600">
                  <c:v>106.32635851979657</c:v>
                </c:pt>
                <c:pt idx="601">
                  <c:v>106.40480065891411</c:v>
                </c:pt>
                <c:pt idx="602">
                  <c:v>106.42245014021529</c:v>
                </c:pt>
                <c:pt idx="603">
                  <c:v>105.94983625203443</c:v>
                </c:pt>
                <c:pt idx="604">
                  <c:v>105.71254878120538</c:v>
                </c:pt>
                <c:pt idx="605">
                  <c:v>105.05363481262104</c:v>
                </c:pt>
                <c:pt idx="606">
                  <c:v>104.78889259310085</c:v>
                </c:pt>
                <c:pt idx="607">
                  <c:v>105.0242190104524</c:v>
                </c:pt>
                <c:pt idx="608">
                  <c:v>105.85766673857194</c:v>
                </c:pt>
                <c:pt idx="609">
                  <c:v>105.79295197380031</c:v>
                </c:pt>
                <c:pt idx="610">
                  <c:v>106.74406291059557</c:v>
                </c:pt>
                <c:pt idx="611">
                  <c:v>106.46755437020791</c:v>
                </c:pt>
                <c:pt idx="612">
                  <c:v>106.32831957327461</c:v>
                </c:pt>
                <c:pt idx="613">
                  <c:v>106.47539858411938</c:v>
                </c:pt>
                <c:pt idx="614">
                  <c:v>106.52246386758944</c:v>
                </c:pt>
                <c:pt idx="615">
                  <c:v>105.93218677073318</c:v>
                </c:pt>
                <c:pt idx="616">
                  <c:v>105.78118565293269</c:v>
                </c:pt>
                <c:pt idx="617">
                  <c:v>105.58508030513971</c:v>
                </c:pt>
                <c:pt idx="618">
                  <c:v>105.56546977036059</c:v>
                </c:pt>
                <c:pt idx="619">
                  <c:v>105.01637479654065</c:v>
                </c:pt>
                <c:pt idx="620">
                  <c:v>104.78693153962291</c:v>
                </c:pt>
                <c:pt idx="621">
                  <c:v>104.89282842743106</c:v>
                </c:pt>
                <c:pt idx="622">
                  <c:v>105.36152020865606</c:v>
                </c:pt>
                <c:pt idx="623">
                  <c:v>105.23012962563503</c:v>
                </c:pt>
                <c:pt idx="624">
                  <c:v>105.43604024081758</c:v>
                </c:pt>
                <c:pt idx="625">
                  <c:v>105.00853058262875</c:v>
                </c:pt>
                <c:pt idx="626">
                  <c:v>104.80458102092435</c:v>
                </c:pt>
                <c:pt idx="627">
                  <c:v>104.93597160394563</c:v>
                </c:pt>
                <c:pt idx="628">
                  <c:v>105.01833585001845</c:v>
                </c:pt>
                <c:pt idx="629">
                  <c:v>104.75555468397633</c:v>
                </c:pt>
                <c:pt idx="630">
                  <c:v>104.36138293491258</c:v>
                </c:pt>
                <c:pt idx="631">
                  <c:v>103.97309434628278</c:v>
                </c:pt>
                <c:pt idx="632">
                  <c:v>103.88092483282003</c:v>
                </c:pt>
                <c:pt idx="633">
                  <c:v>104.00054909497382</c:v>
                </c:pt>
                <c:pt idx="634">
                  <c:v>103.86523640499674</c:v>
                </c:pt>
                <c:pt idx="635">
                  <c:v>104.00447120192965</c:v>
                </c:pt>
                <c:pt idx="636">
                  <c:v>103.990743827584</c:v>
                </c:pt>
                <c:pt idx="637">
                  <c:v>103.02786656992133</c:v>
                </c:pt>
                <c:pt idx="638">
                  <c:v>103.557351008962</c:v>
                </c:pt>
                <c:pt idx="639">
                  <c:v>104.10644598278166</c:v>
                </c:pt>
                <c:pt idx="640">
                  <c:v>104.59867040574193</c:v>
                </c:pt>
                <c:pt idx="641">
                  <c:v>104.51826721314687</c:v>
                </c:pt>
                <c:pt idx="642">
                  <c:v>104.69083991920455</c:v>
                </c:pt>
                <c:pt idx="643">
                  <c:v>104.60651461965361</c:v>
                </c:pt>
                <c:pt idx="644">
                  <c:v>104.37118820230221</c:v>
                </c:pt>
                <c:pt idx="645">
                  <c:v>104.56729355009521</c:v>
                </c:pt>
                <c:pt idx="646">
                  <c:v>104.28686290275115</c:v>
                </c:pt>
                <c:pt idx="647">
                  <c:v>104.0574196458339</c:v>
                </c:pt>
                <c:pt idx="648">
                  <c:v>103.43772674680839</c:v>
                </c:pt>
                <c:pt idx="649">
                  <c:v>103.57500049026331</c:v>
                </c:pt>
                <c:pt idx="650">
                  <c:v>103.42399937246275</c:v>
                </c:pt>
                <c:pt idx="651">
                  <c:v>103.56323416939593</c:v>
                </c:pt>
                <c:pt idx="652">
                  <c:v>103.42596042594093</c:v>
                </c:pt>
                <c:pt idx="653">
                  <c:v>103.22985507814796</c:v>
                </c:pt>
                <c:pt idx="654">
                  <c:v>103.81032690761477</c:v>
                </c:pt>
                <c:pt idx="655">
                  <c:v>103.62794893416741</c:v>
                </c:pt>
                <c:pt idx="656">
                  <c:v>103.47106465593335</c:v>
                </c:pt>
                <c:pt idx="657">
                  <c:v>103.3906614633383</c:v>
                </c:pt>
                <c:pt idx="658">
                  <c:v>103.09454238817092</c:v>
                </c:pt>
                <c:pt idx="659">
                  <c:v>102.37287470829308</c:v>
                </c:pt>
                <c:pt idx="660">
                  <c:v>102.21010726962537</c:v>
                </c:pt>
                <c:pt idx="661">
                  <c:v>102.95726864471617</c:v>
                </c:pt>
                <c:pt idx="662">
                  <c:v>103.16514031337618</c:v>
                </c:pt>
                <c:pt idx="663">
                  <c:v>103.08865922773712</c:v>
                </c:pt>
                <c:pt idx="664">
                  <c:v>103.17690663424388</c:v>
                </c:pt>
                <c:pt idx="665">
                  <c:v>103.18671190163339</c:v>
                </c:pt>
                <c:pt idx="666">
                  <c:v>102.9219696821135</c:v>
                </c:pt>
                <c:pt idx="667">
                  <c:v>102.99060655384069</c:v>
                </c:pt>
                <c:pt idx="668">
                  <c:v>103.66324789677005</c:v>
                </c:pt>
                <c:pt idx="669">
                  <c:v>103.25730982683891</c:v>
                </c:pt>
                <c:pt idx="670">
                  <c:v>102.85137175690762</c:v>
                </c:pt>
                <c:pt idx="671">
                  <c:v>103.19455611554524</c:v>
                </c:pt>
                <c:pt idx="672">
                  <c:v>103.29653089639751</c:v>
                </c:pt>
                <c:pt idx="673">
                  <c:v>103.14749083207475</c:v>
                </c:pt>
                <c:pt idx="674">
                  <c:v>102.55917478869645</c:v>
                </c:pt>
                <c:pt idx="675">
                  <c:v>102.69252642519562</c:v>
                </c:pt>
                <c:pt idx="676">
                  <c:v>102.68664326476178</c:v>
                </c:pt>
                <c:pt idx="677">
                  <c:v>102.07871668660384</c:v>
                </c:pt>
                <c:pt idx="678">
                  <c:v>101.98066401270756</c:v>
                </c:pt>
                <c:pt idx="679">
                  <c:v>101.93752083619313</c:v>
                </c:pt>
                <c:pt idx="680">
                  <c:v>101.68454493754038</c:v>
                </c:pt>
                <c:pt idx="681">
                  <c:v>101.95909242445028</c:v>
                </c:pt>
                <c:pt idx="682">
                  <c:v>102.22775675092645</c:v>
                </c:pt>
                <c:pt idx="683">
                  <c:v>102.55525268174071</c:v>
                </c:pt>
                <c:pt idx="684">
                  <c:v>102.55917478869641</c:v>
                </c:pt>
                <c:pt idx="685">
                  <c:v>102.69840958562935</c:v>
                </c:pt>
                <c:pt idx="686">
                  <c:v>102.6787990508498</c:v>
                </c:pt>
                <c:pt idx="687">
                  <c:v>103.11219186947218</c:v>
                </c:pt>
                <c:pt idx="688">
                  <c:v>103.02590551644307</c:v>
                </c:pt>
                <c:pt idx="689">
                  <c:v>103.12199713686152</c:v>
                </c:pt>
                <c:pt idx="690">
                  <c:v>102.93373600298054</c:v>
                </c:pt>
                <c:pt idx="691">
                  <c:v>103.19063400858921</c:v>
                </c:pt>
                <c:pt idx="692">
                  <c:v>103.8750416723861</c:v>
                </c:pt>
                <c:pt idx="693">
                  <c:v>103.96917223932688</c:v>
                </c:pt>
                <c:pt idx="694">
                  <c:v>104.31823975839816</c:v>
                </c:pt>
                <c:pt idx="695">
                  <c:v>104.00643225540745</c:v>
                </c:pt>
                <c:pt idx="696">
                  <c:v>103.7240405545857</c:v>
                </c:pt>
                <c:pt idx="697">
                  <c:v>103.85347008412897</c:v>
                </c:pt>
                <c:pt idx="698">
                  <c:v>103.72600160806377</c:v>
                </c:pt>
                <c:pt idx="699">
                  <c:v>103.54558468809439</c:v>
                </c:pt>
                <c:pt idx="700">
                  <c:v>103.42203831898455</c:v>
                </c:pt>
                <c:pt idx="701">
                  <c:v>103.77895005196785</c:v>
                </c:pt>
                <c:pt idx="702">
                  <c:v>104.27117447492786</c:v>
                </c:pt>
                <c:pt idx="703">
                  <c:v>104.16331653364153</c:v>
                </c:pt>
                <c:pt idx="704">
                  <c:v>104.34961661404519</c:v>
                </c:pt>
                <c:pt idx="705">
                  <c:v>104.0181985762751</c:v>
                </c:pt>
                <c:pt idx="706">
                  <c:v>103.71227423371829</c:v>
                </c:pt>
                <c:pt idx="707">
                  <c:v>103.70050791285057</c:v>
                </c:pt>
                <c:pt idx="708">
                  <c:v>103.29849194987557</c:v>
                </c:pt>
                <c:pt idx="709">
                  <c:v>103.21612770380258</c:v>
                </c:pt>
                <c:pt idx="710">
                  <c:v>103.31025827074299</c:v>
                </c:pt>
                <c:pt idx="711">
                  <c:v>103.1553350459864</c:v>
                </c:pt>
                <c:pt idx="712">
                  <c:v>103.02590551644313</c:v>
                </c:pt>
                <c:pt idx="713">
                  <c:v>103.20632243641278</c:v>
                </c:pt>
                <c:pt idx="714">
                  <c:v>103.54362363461671</c:v>
                </c:pt>
                <c:pt idx="715">
                  <c:v>103.52793520679298</c:v>
                </c:pt>
                <c:pt idx="716">
                  <c:v>103.48086992332286</c:v>
                </c:pt>
                <c:pt idx="717">
                  <c:v>103.6338320946009</c:v>
                </c:pt>
                <c:pt idx="718">
                  <c:v>103.46518149549931</c:v>
                </c:pt>
                <c:pt idx="719">
                  <c:v>102.92196968211344</c:v>
                </c:pt>
                <c:pt idx="720">
                  <c:v>102.99845076775236</c:v>
                </c:pt>
                <c:pt idx="721">
                  <c:v>102.98864550036269</c:v>
                </c:pt>
                <c:pt idx="722">
                  <c:v>103.0808150138252</c:v>
                </c:pt>
                <c:pt idx="723">
                  <c:v>103.13376345772924</c:v>
                </c:pt>
                <c:pt idx="724">
                  <c:v>103.26319298727283</c:v>
                </c:pt>
                <c:pt idx="725">
                  <c:v>103.90445747455524</c:v>
                </c:pt>
                <c:pt idx="726">
                  <c:v>103.76914478457833</c:v>
                </c:pt>
                <c:pt idx="727">
                  <c:v>103.96132802541531</c:v>
                </c:pt>
                <c:pt idx="728">
                  <c:v>104.02800384366449</c:v>
                </c:pt>
                <c:pt idx="729">
                  <c:v>103.71423528719635</c:v>
                </c:pt>
                <c:pt idx="730">
                  <c:v>103.83778165630568</c:v>
                </c:pt>
                <c:pt idx="731">
                  <c:v>103.89465220716562</c:v>
                </c:pt>
                <c:pt idx="732">
                  <c:v>104.23979761928098</c:v>
                </c:pt>
                <c:pt idx="733">
                  <c:v>104.700645186594</c:v>
                </c:pt>
                <c:pt idx="734">
                  <c:v>104.25352499362648</c:v>
                </c:pt>
                <c:pt idx="735">
                  <c:v>104.37707136273573</c:v>
                </c:pt>
                <c:pt idx="736">
                  <c:v>104.26725236797223</c:v>
                </c:pt>
                <c:pt idx="737">
                  <c:v>104.37314925578011</c:v>
                </c:pt>
                <c:pt idx="738">
                  <c:v>104.28490184927342</c:v>
                </c:pt>
                <c:pt idx="739">
                  <c:v>103.96917223932688</c:v>
                </c:pt>
                <c:pt idx="740">
                  <c:v>104.06526385974551</c:v>
                </c:pt>
                <c:pt idx="741">
                  <c:v>104.25940815406013</c:v>
                </c:pt>
                <c:pt idx="742">
                  <c:v>104.25156394014886</c:v>
                </c:pt>
                <c:pt idx="743">
                  <c:v>104.73398309571908</c:v>
                </c:pt>
                <c:pt idx="744">
                  <c:v>105.35955915517806</c:v>
                </c:pt>
                <c:pt idx="745">
                  <c:v>104.75163257702025</c:v>
                </c:pt>
                <c:pt idx="746">
                  <c:v>104.39275979055924</c:v>
                </c:pt>
                <c:pt idx="747">
                  <c:v>104.28686290275108</c:v>
                </c:pt>
                <c:pt idx="748">
                  <c:v>104.46727982272068</c:v>
                </c:pt>
                <c:pt idx="749">
                  <c:v>104.64377463573425</c:v>
                </c:pt>
                <c:pt idx="750">
                  <c:v>104.65750201007958</c:v>
                </c:pt>
                <c:pt idx="751">
                  <c:v>104.93989371090143</c:v>
                </c:pt>
                <c:pt idx="752">
                  <c:v>104.66338517051329</c:v>
                </c:pt>
                <c:pt idx="753">
                  <c:v>104.2476418331927</c:v>
                </c:pt>
                <c:pt idx="754">
                  <c:v>104.29274606318505</c:v>
                </c:pt>
                <c:pt idx="755">
                  <c:v>104.17900496146521</c:v>
                </c:pt>
                <c:pt idx="756">
                  <c:v>104.05741964583385</c:v>
                </c:pt>
                <c:pt idx="757">
                  <c:v>103.62794893416731</c:v>
                </c:pt>
                <c:pt idx="758">
                  <c:v>103.25534877336074</c:v>
                </c:pt>
                <c:pt idx="759">
                  <c:v>103.43968780028621</c:v>
                </c:pt>
                <c:pt idx="760">
                  <c:v>103.50440256505784</c:v>
                </c:pt>
                <c:pt idx="761">
                  <c:v>103.53970152766043</c:v>
                </c:pt>
                <c:pt idx="762">
                  <c:v>103.98093856019445</c:v>
                </c:pt>
                <c:pt idx="763">
                  <c:v>103.80052164022516</c:v>
                </c:pt>
                <c:pt idx="764">
                  <c:v>103.50244151157966</c:v>
                </c:pt>
                <c:pt idx="765">
                  <c:v>103.30437511030897</c:v>
                </c:pt>
                <c:pt idx="766">
                  <c:v>102.79057909909191</c:v>
                </c:pt>
                <c:pt idx="767">
                  <c:v>102.8533328103853</c:v>
                </c:pt>
                <c:pt idx="768">
                  <c:v>102.51210950522609</c:v>
                </c:pt>
                <c:pt idx="769">
                  <c:v>102.62977271390137</c:v>
                </c:pt>
                <c:pt idx="770">
                  <c:v>102.24344517874991</c:v>
                </c:pt>
                <c:pt idx="771">
                  <c:v>101.88261133881105</c:v>
                </c:pt>
                <c:pt idx="772">
                  <c:v>101.86300080403166</c:v>
                </c:pt>
                <c:pt idx="773">
                  <c:v>101.6551291353714</c:v>
                </c:pt>
                <c:pt idx="774">
                  <c:v>101.39823112976278</c:v>
                </c:pt>
                <c:pt idx="775">
                  <c:v>101.32567215107917</c:v>
                </c:pt>
                <c:pt idx="776">
                  <c:v>101.39627007628462</c:v>
                </c:pt>
                <c:pt idx="777">
                  <c:v>101.49432275018125</c:v>
                </c:pt>
                <c:pt idx="778">
                  <c:v>101.47667326887992</c:v>
                </c:pt>
                <c:pt idx="779">
                  <c:v>102.15519777224296</c:v>
                </c:pt>
                <c:pt idx="780">
                  <c:v>102.58859059086527</c:v>
                </c:pt>
                <c:pt idx="781">
                  <c:v>103.65540368285828</c:v>
                </c:pt>
                <c:pt idx="782">
                  <c:v>104.0162375227971</c:v>
                </c:pt>
                <c:pt idx="783">
                  <c:v>104.50257878532331</c:v>
                </c:pt>
                <c:pt idx="784">
                  <c:v>104.82026944874794</c:v>
                </c:pt>
                <c:pt idx="785">
                  <c:v>105.09481693565766</c:v>
                </c:pt>
                <c:pt idx="786">
                  <c:v>106.28125428980456</c:v>
                </c:pt>
                <c:pt idx="787">
                  <c:v>107.40689898613519</c:v>
                </c:pt>
                <c:pt idx="788">
                  <c:v>107.29315788441536</c:v>
                </c:pt>
                <c:pt idx="789">
                  <c:v>107.09509148314457</c:v>
                </c:pt>
                <c:pt idx="790">
                  <c:v>106.77543976624226</c:v>
                </c:pt>
                <c:pt idx="791">
                  <c:v>106.79701135449945</c:v>
                </c:pt>
                <c:pt idx="792">
                  <c:v>107.51083482046538</c:v>
                </c:pt>
                <c:pt idx="793">
                  <c:v>106.74014080363955</c:v>
                </c:pt>
                <c:pt idx="794">
                  <c:v>105.88316043378467</c:v>
                </c:pt>
                <c:pt idx="795">
                  <c:v>104.40452611142688</c:v>
                </c:pt>
                <c:pt idx="796">
                  <c:v>103.76326162414453</c:v>
                </c:pt>
                <c:pt idx="797">
                  <c:v>103.69462475241681</c:v>
                </c:pt>
                <c:pt idx="798">
                  <c:v>105.40466338517069</c:v>
                </c:pt>
                <c:pt idx="799">
                  <c:v>105.45368972211868</c:v>
                </c:pt>
                <c:pt idx="800">
                  <c:v>106.7460239640736</c:v>
                </c:pt>
                <c:pt idx="801">
                  <c:v>107.50887376698741</c:v>
                </c:pt>
                <c:pt idx="802">
                  <c:v>108.70903849547958</c:v>
                </c:pt>
                <c:pt idx="803">
                  <c:v>108.53450473594408</c:v>
                </c:pt>
                <c:pt idx="804">
                  <c:v>108.26387935598969</c:v>
                </c:pt>
                <c:pt idx="805">
                  <c:v>108.17563194948281</c:v>
                </c:pt>
                <c:pt idx="806">
                  <c:v>106.65385445061067</c:v>
                </c:pt>
                <c:pt idx="807">
                  <c:v>106.36361853587729</c:v>
                </c:pt>
                <c:pt idx="808">
                  <c:v>106.49697017237638</c:v>
                </c:pt>
                <c:pt idx="809">
                  <c:v>105.78510775988838</c:v>
                </c:pt>
                <c:pt idx="810">
                  <c:v>105.22816857215651</c:v>
                </c:pt>
                <c:pt idx="811">
                  <c:v>105.42623497342753</c:v>
                </c:pt>
                <c:pt idx="812">
                  <c:v>104.33196713274336</c:v>
                </c:pt>
                <c:pt idx="813">
                  <c:v>104.19077128233265</c:v>
                </c:pt>
                <c:pt idx="814">
                  <c:v>104.23391445884734</c:v>
                </c:pt>
                <c:pt idx="815">
                  <c:v>103.30437511030888</c:v>
                </c:pt>
                <c:pt idx="816">
                  <c:v>102.65134430215866</c:v>
                </c:pt>
                <c:pt idx="817">
                  <c:v>102.93373600298042</c:v>
                </c:pt>
                <c:pt idx="818">
                  <c:v>102.1571588257208</c:v>
                </c:pt>
                <c:pt idx="819">
                  <c:v>102.1571588257208</c:v>
                </c:pt>
                <c:pt idx="820">
                  <c:v>101.35508795324812</c:v>
                </c:pt>
                <c:pt idx="821">
                  <c:v>102.01400192183235</c:v>
                </c:pt>
                <c:pt idx="822">
                  <c:v>102.316004157433</c:v>
                </c:pt>
                <c:pt idx="823">
                  <c:v>102.08656090051556</c:v>
                </c:pt>
                <c:pt idx="824">
                  <c:v>102.11989880964028</c:v>
                </c:pt>
                <c:pt idx="825">
                  <c:v>102.94158021689226</c:v>
                </c:pt>
                <c:pt idx="826">
                  <c:v>102.24540623222768</c:v>
                </c:pt>
                <c:pt idx="827">
                  <c:v>101.93555978271517</c:v>
                </c:pt>
                <c:pt idx="828">
                  <c:v>102.31600415743297</c:v>
                </c:pt>
                <c:pt idx="829">
                  <c:v>102.9023591473337</c:v>
                </c:pt>
                <c:pt idx="830">
                  <c:v>103.19259506206708</c:v>
                </c:pt>
                <c:pt idx="831">
                  <c:v>103.35732355421312</c:v>
                </c:pt>
                <c:pt idx="832">
                  <c:v>103.6750142176373</c:v>
                </c:pt>
                <c:pt idx="833">
                  <c:v>103.62206577373323</c:v>
                </c:pt>
                <c:pt idx="834">
                  <c:v>103.42792147941861</c:v>
                </c:pt>
                <c:pt idx="835">
                  <c:v>102.96315180514949</c:v>
                </c:pt>
                <c:pt idx="836">
                  <c:v>104.03388700409835</c:v>
                </c:pt>
                <c:pt idx="837">
                  <c:v>103.85150903065089</c:v>
                </c:pt>
                <c:pt idx="838">
                  <c:v>103.55735100896175</c:v>
                </c:pt>
                <c:pt idx="839">
                  <c:v>102.9435412703704</c:v>
                </c:pt>
                <c:pt idx="840">
                  <c:v>102.99648971427429</c:v>
                </c:pt>
                <c:pt idx="841">
                  <c:v>103.26319298727272</c:v>
                </c:pt>
                <c:pt idx="842">
                  <c:v>104.016237522797</c:v>
                </c:pt>
                <c:pt idx="843">
                  <c:v>104.65357990312357</c:v>
                </c:pt>
                <c:pt idx="844">
                  <c:v>105.26542858823751</c:v>
                </c:pt>
                <c:pt idx="845">
                  <c:v>105.75569195771945</c:v>
                </c:pt>
                <c:pt idx="846">
                  <c:v>106.07142156766594</c:v>
                </c:pt>
                <c:pt idx="847">
                  <c:v>105.87139411291712</c:v>
                </c:pt>
                <c:pt idx="848">
                  <c:v>107.07351989488733</c:v>
                </c:pt>
                <c:pt idx="849">
                  <c:v>106.61659443453001</c:v>
                </c:pt>
                <c:pt idx="850">
                  <c:v>106.31851430588488</c:v>
                </c:pt>
                <c:pt idx="851">
                  <c:v>107.1519620340043</c:v>
                </c:pt>
                <c:pt idx="852">
                  <c:v>107.4990684995979</c:v>
                </c:pt>
                <c:pt idx="853">
                  <c:v>106.98135038142468</c:v>
                </c:pt>
                <c:pt idx="854">
                  <c:v>106.20869531112091</c:v>
                </c:pt>
                <c:pt idx="855">
                  <c:v>106.93232404447646</c:v>
                </c:pt>
                <c:pt idx="856">
                  <c:v>105.80079618771167</c:v>
                </c:pt>
                <c:pt idx="857">
                  <c:v>105.8713941129171</c:v>
                </c:pt>
                <c:pt idx="858">
                  <c:v>105.46741709646398</c:v>
                </c:pt>
                <c:pt idx="859">
                  <c:v>105.32622124605318</c:v>
                </c:pt>
                <c:pt idx="860">
                  <c:v>106.11848685113608</c:v>
                </c:pt>
                <c:pt idx="861">
                  <c:v>106.43225540760476</c:v>
                </c:pt>
                <c:pt idx="862">
                  <c:v>105.96748573333576</c:v>
                </c:pt>
                <c:pt idx="863">
                  <c:v>106.03220049810754</c:v>
                </c:pt>
                <c:pt idx="864">
                  <c:v>106.65189339713274</c:v>
                </c:pt>
                <c:pt idx="865">
                  <c:v>105.98317416115918</c:v>
                </c:pt>
                <c:pt idx="866">
                  <c:v>106.04592787245265</c:v>
                </c:pt>
              </c:numCache>
            </c:numRef>
          </c:val>
          <c:smooth val="0"/>
          <c:extLst>
            <c:ext xmlns:c16="http://schemas.microsoft.com/office/drawing/2014/chart" uri="{C3380CC4-5D6E-409C-BE32-E72D297353CC}">
              <c16:uniqueId val="{00000002-68C6-478F-B6E5-1B0A158F0E9D}"/>
            </c:ext>
          </c:extLst>
        </c:ser>
        <c:dLbls>
          <c:showLegendKey val="0"/>
          <c:showVal val="0"/>
          <c:showCatName val="0"/>
          <c:showSerName val="0"/>
          <c:showPercent val="0"/>
          <c:showBubbleSize val="0"/>
        </c:dLbls>
        <c:smooth val="0"/>
        <c:axId val="-684487536"/>
        <c:axId val="-684467952"/>
      </c:lineChart>
      <c:catAx>
        <c:axId val="-68448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684467952"/>
        <c:crosses val="autoZero"/>
        <c:auto val="1"/>
        <c:lblAlgn val="ctr"/>
        <c:lblOffset val="100"/>
        <c:noMultiLvlLbl val="0"/>
      </c:catAx>
      <c:valAx>
        <c:axId val="-684467952"/>
        <c:scaling>
          <c:orientation val="minMax"/>
          <c:min val="7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hy-AM" sz="900"/>
                  <a:t>Ինդեքս, 201</a:t>
                </a:r>
                <a:r>
                  <a:rPr lang="en-US" sz="900"/>
                  <a:t>7</a:t>
                </a:r>
                <a:r>
                  <a:rPr lang="hy-AM" sz="900"/>
                  <a:t> թ. </a:t>
                </a:r>
                <a:r>
                  <a:rPr lang="en-US" sz="900"/>
                  <a:t>հունվար 9=100</a:t>
                </a:r>
              </a:p>
              <a:p>
                <a:pPr>
                  <a:defRPr sz="900" b="0" i="0" u="none" strike="noStrike" kern="1200" baseline="0">
                    <a:solidFill>
                      <a:schemeClr val="tx1">
                        <a:lumMod val="65000"/>
                        <a:lumOff val="35000"/>
                      </a:schemeClr>
                    </a:solidFill>
                    <a:latin typeface="+mn-lt"/>
                    <a:ea typeface="+mn-ea"/>
                    <a:cs typeface="+mn-cs"/>
                  </a:defRPr>
                </a:pPr>
                <a:endParaRPr lang="en-US" sz="900"/>
              </a:p>
            </c:rich>
          </c:tx>
          <c:layout>
            <c:manualLayout>
              <c:xMode val="edge"/>
              <c:yMode val="edge"/>
              <c:x val="7.7972709551656924E-3"/>
              <c:y val="6.2146892655367263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487536"/>
        <c:crosses val="autoZero"/>
        <c:crossBetween val="between"/>
      </c:valAx>
      <c:spPr>
        <a:noFill/>
        <a:ln>
          <a:noFill/>
        </a:ln>
        <a:effectLst/>
      </c:spPr>
    </c:plotArea>
    <c:legend>
      <c:legendPos val="b"/>
      <c:layout>
        <c:manualLayout>
          <c:xMode val="edge"/>
          <c:yMode val="edge"/>
          <c:x val="0"/>
          <c:y val="0.88503824118759367"/>
          <c:w val="1"/>
          <c:h val="0.1013520607221394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91089970058726"/>
          <c:y val="6.6066066066066062E-2"/>
          <c:w val="0.82107834761124066"/>
          <c:h val="0.56289234116005749"/>
        </c:manualLayout>
      </c:layout>
      <c:lineChart>
        <c:grouping val="standard"/>
        <c:varyColors val="0"/>
        <c:ser>
          <c:idx val="0"/>
          <c:order val="0"/>
          <c:tx>
            <c:strRef>
              <c:f>Sheet1!$B$1</c:f>
              <c:strCache>
                <c:ptCount val="1"/>
                <c:pt idx="0">
                  <c:v>Իրական</c:v>
                </c:pt>
              </c:strCache>
            </c:strRef>
          </c:tx>
          <c:spPr>
            <a:ln w="28575" cap="rnd">
              <a:solidFill>
                <a:srgbClr val="0070C0"/>
              </a:solidFill>
              <a:round/>
            </a:ln>
            <a:effectLst/>
          </c:spPr>
          <c:marker>
            <c:symbol val="none"/>
          </c:marker>
          <c:cat>
            <c:strRef>
              <c:f>Sheet1!$A$2:$A$42</c:f>
              <c:strCache>
                <c:ptCount val="41"/>
                <c:pt idx="0">
                  <c:v>17-M1</c:v>
                </c:pt>
                <c:pt idx="1">
                  <c:v>17-M2</c:v>
                </c:pt>
                <c:pt idx="2">
                  <c:v>17-M3</c:v>
                </c:pt>
                <c:pt idx="3">
                  <c:v>17-M4</c:v>
                </c:pt>
                <c:pt idx="4">
                  <c:v>17-M5</c:v>
                </c:pt>
                <c:pt idx="5">
                  <c:v>17-M6</c:v>
                </c:pt>
                <c:pt idx="6">
                  <c:v>17-M7</c:v>
                </c:pt>
                <c:pt idx="7">
                  <c:v>17-M8</c:v>
                </c:pt>
                <c:pt idx="8">
                  <c:v>17-M9</c:v>
                </c:pt>
                <c:pt idx="9">
                  <c:v>17-M10</c:v>
                </c:pt>
                <c:pt idx="10">
                  <c:v>17-M11</c:v>
                </c:pt>
                <c:pt idx="11">
                  <c:v>17-M12</c:v>
                </c:pt>
                <c:pt idx="12">
                  <c:v>18-M1</c:v>
                </c:pt>
                <c:pt idx="13">
                  <c:v>18-M2</c:v>
                </c:pt>
                <c:pt idx="14">
                  <c:v>18-M3</c:v>
                </c:pt>
                <c:pt idx="15">
                  <c:v>18-M4</c:v>
                </c:pt>
                <c:pt idx="16">
                  <c:v>18-M5</c:v>
                </c:pt>
                <c:pt idx="17">
                  <c:v>18-M6</c:v>
                </c:pt>
                <c:pt idx="18">
                  <c:v>18-M7</c:v>
                </c:pt>
                <c:pt idx="19">
                  <c:v>18-M8</c:v>
                </c:pt>
                <c:pt idx="20">
                  <c:v>18-M9</c:v>
                </c:pt>
                <c:pt idx="21">
                  <c:v>18-M10</c:v>
                </c:pt>
                <c:pt idx="22">
                  <c:v>18-M11</c:v>
                </c:pt>
                <c:pt idx="23">
                  <c:v>18-M12</c:v>
                </c:pt>
                <c:pt idx="24">
                  <c:v>19-M1</c:v>
                </c:pt>
                <c:pt idx="25">
                  <c:v>19-M2</c:v>
                </c:pt>
                <c:pt idx="26">
                  <c:v>19-M3</c:v>
                </c:pt>
                <c:pt idx="27">
                  <c:v>19-M4</c:v>
                </c:pt>
                <c:pt idx="28">
                  <c:v>19-M5</c:v>
                </c:pt>
                <c:pt idx="29">
                  <c:v>19-M6</c:v>
                </c:pt>
                <c:pt idx="30">
                  <c:v>19-M7</c:v>
                </c:pt>
                <c:pt idx="31">
                  <c:v>19-M8</c:v>
                </c:pt>
                <c:pt idx="32">
                  <c:v>19-M9</c:v>
                </c:pt>
                <c:pt idx="33">
                  <c:v>19-M10</c:v>
                </c:pt>
                <c:pt idx="34">
                  <c:v>19-M11</c:v>
                </c:pt>
                <c:pt idx="35">
                  <c:v>19-M12</c:v>
                </c:pt>
                <c:pt idx="36">
                  <c:v>20-M1</c:v>
                </c:pt>
                <c:pt idx="37">
                  <c:v>20-M2</c:v>
                </c:pt>
                <c:pt idx="38">
                  <c:v>20-M3</c:v>
                </c:pt>
                <c:pt idx="39">
                  <c:v>20-M4</c:v>
                </c:pt>
                <c:pt idx="40">
                  <c:v>20-M5</c:v>
                </c:pt>
              </c:strCache>
            </c:strRef>
          </c:cat>
          <c:val>
            <c:numRef>
              <c:f>Sheet1!$B$2:$B$42</c:f>
              <c:numCache>
                <c:formatCode>0.0</c:formatCode>
                <c:ptCount val="41"/>
                <c:pt idx="0">
                  <c:v>-5.3796840922609324</c:v>
                </c:pt>
                <c:pt idx="1">
                  <c:v>-4.9969776344952495</c:v>
                </c:pt>
                <c:pt idx="2">
                  <c:v>-4.63589650723228</c:v>
                </c:pt>
                <c:pt idx="3">
                  <c:v>-4.0276752450769946</c:v>
                </c:pt>
                <c:pt idx="4">
                  <c:v>-3.7646537764183452</c:v>
                </c:pt>
                <c:pt idx="5">
                  <c:v>-3.7529873082902299</c:v>
                </c:pt>
                <c:pt idx="6">
                  <c:v>-3.7984946150458683</c:v>
                </c:pt>
                <c:pt idx="7">
                  <c:v>-3.9382701912320357</c:v>
                </c:pt>
                <c:pt idx="8">
                  <c:v>-4.1951334565038065</c:v>
                </c:pt>
                <c:pt idx="9">
                  <c:v>-4.3042808571651543</c:v>
                </c:pt>
                <c:pt idx="10">
                  <c:v>-4.4703877950088495</c:v>
                </c:pt>
                <c:pt idx="11">
                  <c:v>-4.559755866767607</c:v>
                </c:pt>
                <c:pt idx="12">
                  <c:v>-4.8613536355381513</c:v>
                </c:pt>
                <c:pt idx="13">
                  <c:v>-4.5033580770590325</c:v>
                </c:pt>
                <c:pt idx="14">
                  <c:v>-4.1183033065109456</c:v>
                </c:pt>
                <c:pt idx="15">
                  <c:v>-3.4489544015312958</c:v>
                </c:pt>
                <c:pt idx="16">
                  <c:v>-2.5657620342005738</c:v>
                </c:pt>
                <c:pt idx="17">
                  <c:v>-1.7429456504706855</c:v>
                </c:pt>
                <c:pt idx="18">
                  <c:v>-0.76680573907795235</c:v>
                </c:pt>
                <c:pt idx="19">
                  <c:v>0.68588615023475086</c:v>
                </c:pt>
                <c:pt idx="20">
                  <c:v>2.1508464701006829</c:v>
                </c:pt>
                <c:pt idx="21">
                  <c:v>3.0833932902632601</c:v>
                </c:pt>
                <c:pt idx="22">
                  <c:v>3.6939456581952044</c:v>
                </c:pt>
                <c:pt idx="23">
                  <c:v>4.1659953649196355</c:v>
                </c:pt>
                <c:pt idx="24">
                  <c:v>8.8099258497907709</c:v>
                </c:pt>
                <c:pt idx="25">
                  <c:v>9.3685223571217531</c:v>
                </c:pt>
                <c:pt idx="26">
                  <c:v>9.5781551715601179</c:v>
                </c:pt>
                <c:pt idx="27">
                  <c:v>9.408407907657562</c:v>
                </c:pt>
                <c:pt idx="28">
                  <c:v>9.2151681993298684</c:v>
                </c:pt>
                <c:pt idx="29">
                  <c:v>8.6043401989768658</c:v>
                </c:pt>
                <c:pt idx="30">
                  <c:v>7.6990018453279685</c:v>
                </c:pt>
                <c:pt idx="31">
                  <c:v>6.5052274962660732</c:v>
                </c:pt>
                <c:pt idx="32">
                  <c:v>5.3823907455012829</c:v>
                </c:pt>
                <c:pt idx="33">
                  <c:v>4.5993552843656333</c:v>
                </c:pt>
                <c:pt idx="34">
                  <c:v>3.9949444277952177</c:v>
                </c:pt>
                <c:pt idx="35">
                  <c:v>3.5068203044597928</c:v>
                </c:pt>
                <c:pt idx="36">
                  <c:v>-2.6179070238175512</c:v>
                </c:pt>
                <c:pt idx="37">
                  <c:v>-1.4519240532033801</c:v>
                </c:pt>
                <c:pt idx="38">
                  <c:v>-0.39536407383140376</c:v>
                </c:pt>
                <c:pt idx="39">
                  <c:v>0.76374659192902072</c:v>
                </c:pt>
                <c:pt idx="40">
                  <c:v>1.2771996215704866</c:v>
                </c:pt>
              </c:numCache>
            </c:numRef>
          </c:val>
          <c:smooth val="0"/>
          <c:extLst>
            <c:ext xmlns:c16="http://schemas.microsoft.com/office/drawing/2014/chart" uri="{C3380CC4-5D6E-409C-BE32-E72D297353CC}">
              <c16:uniqueId val="{00000000-4E9A-4AFF-BF47-0C60B29A6904}"/>
            </c:ext>
          </c:extLst>
        </c:ser>
        <c:ser>
          <c:idx val="1"/>
          <c:order val="1"/>
          <c:tx>
            <c:strRef>
              <c:f>Sheet1!$C$1</c:f>
              <c:strCache>
                <c:ptCount val="1"/>
                <c:pt idx="0">
                  <c:v>Անվանական</c:v>
                </c:pt>
              </c:strCache>
            </c:strRef>
          </c:tx>
          <c:spPr>
            <a:ln w="28575" cap="rnd">
              <a:solidFill>
                <a:srgbClr val="C00000"/>
              </a:solidFill>
              <a:round/>
            </a:ln>
            <a:effectLst/>
          </c:spPr>
          <c:marker>
            <c:symbol val="none"/>
          </c:marker>
          <c:cat>
            <c:strRef>
              <c:f>Sheet1!$A$2:$A$42</c:f>
              <c:strCache>
                <c:ptCount val="41"/>
                <c:pt idx="0">
                  <c:v>17-M1</c:v>
                </c:pt>
                <c:pt idx="1">
                  <c:v>17-M2</c:v>
                </c:pt>
                <c:pt idx="2">
                  <c:v>17-M3</c:v>
                </c:pt>
                <c:pt idx="3">
                  <c:v>17-M4</c:v>
                </c:pt>
                <c:pt idx="4">
                  <c:v>17-M5</c:v>
                </c:pt>
                <c:pt idx="5">
                  <c:v>17-M6</c:v>
                </c:pt>
                <c:pt idx="6">
                  <c:v>17-M7</c:v>
                </c:pt>
                <c:pt idx="7">
                  <c:v>17-M8</c:v>
                </c:pt>
                <c:pt idx="8">
                  <c:v>17-M9</c:v>
                </c:pt>
                <c:pt idx="9">
                  <c:v>17-M10</c:v>
                </c:pt>
                <c:pt idx="10">
                  <c:v>17-M11</c:v>
                </c:pt>
                <c:pt idx="11">
                  <c:v>17-M12</c:v>
                </c:pt>
                <c:pt idx="12">
                  <c:v>18-M1</c:v>
                </c:pt>
                <c:pt idx="13">
                  <c:v>18-M2</c:v>
                </c:pt>
                <c:pt idx="14">
                  <c:v>18-M3</c:v>
                </c:pt>
                <c:pt idx="15">
                  <c:v>18-M4</c:v>
                </c:pt>
                <c:pt idx="16">
                  <c:v>18-M5</c:v>
                </c:pt>
                <c:pt idx="17">
                  <c:v>18-M6</c:v>
                </c:pt>
                <c:pt idx="18">
                  <c:v>18-M7</c:v>
                </c:pt>
                <c:pt idx="19">
                  <c:v>18-M8</c:v>
                </c:pt>
                <c:pt idx="20">
                  <c:v>18-M9</c:v>
                </c:pt>
                <c:pt idx="21">
                  <c:v>18-M10</c:v>
                </c:pt>
                <c:pt idx="22">
                  <c:v>18-M11</c:v>
                </c:pt>
                <c:pt idx="23">
                  <c:v>18-M12</c:v>
                </c:pt>
                <c:pt idx="24">
                  <c:v>19-M1</c:v>
                </c:pt>
                <c:pt idx="25">
                  <c:v>19-M2</c:v>
                </c:pt>
                <c:pt idx="26">
                  <c:v>19-M3</c:v>
                </c:pt>
                <c:pt idx="27">
                  <c:v>19-M4</c:v>
                </c:pt>
                <c:pt idx="28">
                  <c:v>19-M5</c:v>
                </c:pt>
                <c:pt idx="29">
                  <c:v>19-M6</c:v>
                </c:pt>
                <c:pt idx="30">
                  <c:v>19-M7</c:v>
                </c:pt>
                <c:pt idx="31">
                  <c:v>19-M8</c:v>
                </c:pt>
                <c:pt idx="32">
                  <c:v>19-M9</c:v>
                </c:pt>
                <c:pt idx="33">
                  <c:v>19-M10</c:v>
                </c:pt>
                <c:pt idx="34">
                  <c:v>19-M11</c:v>
                </c:pt>
                <c:pt idx="35">
                  <c:v>19-M12</c:v>
                </c:pt>
                <c:pt idx="36">
                  <c:v>20-M1</c:v>
                </c:pt>
                <c:pt idx="37">
                  <c:v>20-M2</c:v>
                </c:pt>
                <c:pt idx="38">
                  <c:v>20-M3</c:v>
                </c:pt>
                <c:pt idx="39">
                  <c:v>20-M4</c:v>
                </c:pt>
                <c:pt idx="40">
                  <c:v>20-M5</c:v>
                </c:pt>
              </c:strCache>
            </c:strRef>
          </c:cat>
          <c:val>
            <c:numRef>
              <c:f>Sheet1!$C$2:$C$42</c:f>
              <c:numCache>
                <c:formatCode>0.0</c:formatCode>
                <c:ptCount val="41"/>
                <c:pt idx="0">
                  <c:v>-0.745695799978082</c:v>
                </c:pt>
                <c:pt idx="1">
                  <c:v>-0.56531506647515073</c:v>
                </c:pt>
                <c:pt idx="2">
                  <c:v>-0.26534365088180328</c:v>
                </c:pt>
                <c:pt idx="3">
                  <c:v>1.4906184203169946E-2</c:v>
                </c:pt>
                <c:pt idx="4">
                  <c:v>-2.7658795123088002E-2</c:v>
                </c:pt>
                <c:pt idx="5">
                  <c:v>-0.14101644151875833</c:v>
                </c:pt>
                <c:pt idx="6">
                  <c:v>-0.28188450758467953</c:v>
                </c:pt>
                <c:pt idx="7">
                  <c:v>-0.50605534307371169</c:v>
                </c:pt>
                <c:pt idx="8">
                  <c:v>-0.83679572119564261</c:v>
                </c:pt>
                <c:pt idx="9">
                  <c:v>-1.0381360687751027</c:v>
                </c:pt>
                <c:pt idx="10">
                  <c:v>-1.3649920095546122</c:v>
                </c:pt>
                <c:pt idx="11">
                  <c:v>-1.6220159562909255</c:v>
                </c:pt>
                <c:pt idx="12">
                  <c:v>-4.1431885979449845</c:v>
                </c:pt>
                <c:pt idx="13">
                  <c:v>-3.9519250356488063</c:v>
                </c:pt>
                <c:pt idx="14">
                  <c:v>-3.7853289115477979</c:v>
                </c:pt>
                <c:pt idx="15">
                  <c:v>-2.9146561842129728</c:v>
                </c:pt>
                <c:pt idx="16">
                  <c:v>-1.6898965125321415</c:v>
                </c:pt>
                <c:pt idx="17">
                  <c:v>-0.46613637925754942</c:v>
                </c:pt>
                <c:pt idx="18">
                  <c:v>0.66620536504512984</c:v>
                </c:pt>
                <c:pt idx="19">
                  <c:v>2.2071970338584492</c:v>
                </c:pt>
                <c:pt idx="20">
                  <c:v>3.8132945237366158</c:v>
                </c:pt>
                <c:pt idx="21">
                  <c:v>4.9536727264479339</c:v>
                </c:pt>
                <c:pt idx="22">
                  <c:v>5.7959298805658079</c:v>
                </c:pt>
                <c:pt idx="23">
                  <c:v>6.4208516747920896</c:v>
                </c:pt>
                <c:pt idx="24">
                  <c:v>13.911940986629801</c:v>
                </c:pt>
                <c:pt idx="25">
                  <c:v>13.91882772582666</c:v>
                </c:pt>
                <c:pt idx="26">
                  <c:v>14.057335408280069</c:v>
                </c:pt>
                <c:pt idx="27">
                  <c:v>13.851763012712894</c:v>
                </c:pt>
                <c:pt idx="28">
                  <c:v>13.471660226961575</c:v>
                </c:pt>
                <c:pt idx="29">
                  <c:v>12.668478840878118</c:v>
                </c:pt>
                <c:pt idx="30">
                  <c:v>11.711452488663681</c:v>
                </c:pt>
                <c:pt idx="31">
                  <c:v>10.532033900645899</c:v>
                </c:pt>
                <c:pt idx="32">
                  <c:v>9.3252693710837047</c:v>
                </c:pt>
                <c:pt idx="33">
                  <c:v>8.4146451275956053</c:v>
                </c:pt>
                <c:pt idx="34">
                  <c:v>7.7115163890451726</c:v>
                </c:pt>
                <c:pt idx="35">
                  <c:v>7.1842207482216907</c:v>
                </c:pt>
                <c:pt idx="36">
                  <c:v>1.3457452190630335</c:v>
                </c:pt>
                <c:pt idx="37">
                  <c:v>2.8163292938866631</c:v>
                </c:pt>
                <c:pt idx="38">
                  <c:v>3.7053324763483459</c:v>
                </c:pt>
                <c:pt idx="39">
                  <c:v>4.4470849977246303</c:v>
                </c:pt>
                <c:pt idx="40">
                  <c:v>4.5988953535136972</c:v>
                </c:pt>
              </c:numCache>
            </c:numRef>
          </c:val>
          <c:smooth val="0"/>
          <c:extLst>
            <c:ext xmlns:c16="http://schemas.microsoft.com/office/drawing/2014/chart" uri="{C3380CC4-5D6E-409C-BE32-E72D297353CC}">
              <c16:uniqueId val="{00000001-4E9A-4AFF-BF47-0C60B29A6904}"/>
            </c:ext>
          </c:extLst>
        </c:ser>
        <c:dLbls>
          <c:showLegendKey val="0"/>
          <c:showVal val="0"/>
          <c:showCatName val="0"/>
          <c:showSerName val="0"/>
          <c:showPercent val="0"/>
          <c:showBubbleSize val="0"/>
        </c:dLbls>
        <c:smooth val="0"/>
        <c:axId val="-684470672"/>
        <c:axId val="-684471216"/>
      </c:lineChart>
      <c:catAx>
        <c:axId val="-6844706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471216"/>
        <c:crosses val="autoZero"/>
        <c:auto val="1"/>
        <c:lblAlgn val="ctr"/>
        <c:lblOffset val="100"/>
        <c:noMultiLvlLbl val="0"/>
      </c:catAx>
      <c:valAx>
        <c:axId val="-684471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y-AM" sz="1000" b="0" i="0" u="none" strike="noStrike" kern="1200" baseline="0">
                    <a:solidFill>
                      <a:sysClr val="windowText" lastClr="000000">
                        <a:lumMod val="65000"/>
                        <a:lumOff val="35000"/>
                      </a:sysClr>
                    </a:solidFill>
                    <a:latin typeface="+mn-lt"/>
                    <a:ea typeface="+mn-ea"/>
                    <a:cs typeface="+mn-cs"/>
                  </a:rPr>
                  <a:t>տոկոս</a:t>
                </a:r>
                <a:endParaRPr lang="en-US"/>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470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ysClr val="windowText" lastClr="000000"/>
                </a:solidFill>
                <a:latin typeface="GHEA Grapalat" panose="02000506050000020003" pitchFamily="50" charset="0"/>
                <a:ea typeface="+mj-ea"/>
                <a:cs typeface="+mj-cs"/>
              </a:defRPr>
            </a:pPr>
            <a:r>
              <a:rPr lang="en-US" sz="900" i="1"/>
              <a:t>12</a:t>
            </a:r>
            <a:r>
              <a:rPr lang="hy-AM" sz="900" i="1"/>
              <a:t> ամսյա գնաճը</a:t>
            </a:r>
            <a:r>
              <a:rPr lang="en-US" sz="900" i="1"/>
              <a:t>,</a:t>
            </a:r>
            <a:r>
              <a:rPr lang="en-US" sz="900" i="1" baseline="0"/>
              <a:t> %</a:t>
            </a:r>
            <a:endParaRPr lang="en-US" sz="900" i="1"/>
          </a:p>
        </c:rich>
      </c:tx>
      <c:layout>
        <c:manualLayout>
          <c:xMode val="edge"/>
          <c:yMode val="edge"/>
          <c:x val="0.28161808163810031"/>
          <c:y val="0"/>
        </c:manualLayout>
      </c:layout>
      <c:overlay val="0"/>
      <c:spPr>
        <a:noFill/>
        <a:ln>
          <a:noFill/>
        </a:ln>
        <a:effectLst/>
      </c:spPr>
    </c:title>
    <c:autoTitleDeleted val="0"/>
    <c:plotArea>
      <c:layout>
        <c:manualLayout>
          <c:layoutTarget val="inner"/>
          <c:xMode val="edge"/>
          <c:yMode val="edge"/>
          <c:x val="0.11270836908098351"/>
          <c:y val="0.11961308574745928"/>
          <c:w val="0.84290099330804125"/>
          <c:h val="0.68117431582734356"/>
        </c:manualLayout>
      </c:layout>
      <c:barChart>
        <c:barDir val="col"/>
        <c:grouping val="stacked"/>
        <c:varyColors val="0"/>
        <c:ser>
          <c:idx val="1"/>
          <c:order val="1"/>
          <c:tx>
            <c:strRef>
              <c:f>Sheet1!$C$1</c:f>
              <c:strCache>
                <c:ptCount val="1"/>
                <c:pt idx="0">
                  <c:v>Սննդամթերք և ոչ ալկոհոլային խմիչքներ</c:v>
                </c:pt>
              </c:strCache>
            </c:strRef>
          </c:tx>
          <c:spPr>
            <a:solidFill>
              <a:schemeClr val="accent2"/>
            </a:solidFill>
            <a:ln>
              <a:noFill/>
            </a:ln>
            <a:effectLst/>
          </c:spPr>
          <c:invertIfNegative val="0"/>
          <c:cat>
            <c:numRef>
              <c:f>Sheet1!$A$2:$A$42</c:f>
              <c:numCache>
                <c:formatCode>General</c:formatCode>
                <c:ptCount val="14"/>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pt idx="12">
                  <c:v>2020.3</c:v>
                </c:pt>
                <c:pt idx="13">
                  <c:v>2020.5</c:v>
                </c:pt>
              </c:numCache>
            </c:numRef>
          </c:cat>
          <c:val>
            <c:numRef>
              <c:f>Sheet1!$C$2:$C$42</c:f>
              <c:numCache>
                <c:formatCode>0.0</c:formatCode>
                <c:ptCount val="14"/>
                <c:pt idx="0">
                  <c:v>1.39825654216655</c:v>
                </c:pt>
                <c:pt idx="1">
                  <c:v>2.0768222170414887</c:v>
                </c:pt>
                <c:pt idx="2">
                  <c:v>1.1926305800832337</c:v>
                </c:pt>
                <c:pt idx="3">
                  <c:v>2.261885582916479</c:v>
                </c:pt>
                <c:pt idx="4">
                  <c:v>1.8984840000000003</c:v>
                </c:pt>
                <c:pt idx="5">
                  <c:v>-0.89628000000000019</c:v>
                </c:pt>
                <c:pt idx="6">
                  <c:v>2.1592199999999977</c:v>
                </c:pt>
                <c:pt idx="7">
                  <c:v>0.65184000000000208</c:v>
                </c:pt>
                <c:pt idx="8">
                  <c:v>1.4224399999999977</c:v>
                </c:pt>
                <c:pt idx="9">
                  <c:v>1.9020999999999999</c:v>
                </c:pt>
                <c:pt idx="10">
                  <c:v>-0.57890000000000064</c:v>
                </c:pt>
                <c:pt idx="11">
                  <c:v>-0.13645500000000024</c:v>
                </c:pt>
                <c:pt idx="12">
                  <c:v>-1.1761594000000022</c:v>
                </c:pt>
                <c:pt idx="13">
                  <c:v>0.39230000000000093</c:v>
                </c:pt>
              </c:numCache>
            </c:numRef>
          </c:val>
          <c:extLst>
            <c:ext xmlns:c16="http://schemas.microsoft.com/office/drawing/2014/chart" uri="{C3380CC4-5D6E-409C-BE32-E72D297353CC}">
              <c16:uniqueId val="{00000000-41B6-482D-9A83-6F4DB03EE968}"/>
            </c:ext>
          </c:extLst>
        </c:ser>
        <c:ser>
          <c:idx val="2"/>
          <c:order val="2"/>
          <c:tx>
            <c:strRef>
              <c:f>Sheet1!$D$1</c:f>
              <c:strCache>
                <c:ptCount val="1"/>
                <c:pt idx="0">
                  <c:v>Ալկոհոլային խմիչքներ, ծխախոտ</c:v>
                </c:pt>
              </c:strCache>
            </c:strRef>
          </c:tx>
          <c:spPr>
            <a:solidFill>
              <a:schemeClr val="accent3"/>
            </a:solidFill>
            <a:ln>
              <a:noFill/>
            </a:ln>
            <a:effectLst/>
          </c:spPr>
          <c:invertIfNegative val="0"/>
          <c:cat>
            <c:numRef>
              <c:f>Sheet1!$A$2:$A$42</c:f>
              <c:numCache>
                <c:formatCode>General</c:formatCode>
                <c:ptCount val="14"/>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pt idx="12">
                  <c:v>2020.3</c:v>
                </c:pt>
                <c:pt idx="13">
                  <c:v>2020.5</c:v>
                </c:pt>
              </c:numCache>
            </c:numRef>
          </c:cat>
          <c:val>
            <c:numRef>
              <c:f>Sheet1!$D$2:$D$42</c:f>
              <c:numCache>
                <c:formatCode>0.0</c:formatCode>
                <c:ptCount val="14"/>
                <c:pt idx="0">
                  <c:v>9.6798629569375252E-2</c:v>
                </c:pt>
                <c:pt idx="1">
                  <c:v>0.16059772633100888</c:v>
                </c:pt>
                <c:pt idx="2">
                  <c:v>0.16719763289255724</c:v>
                </c:pt>
                <c:pt idx="3">
                  <c:v>0.17599750830795499</c:v>
                </c:pt>
                <c:pt idx="4">
                  <c:v>0.15984000000000043</c:v>
                </c:pt>
                <c:pt idx="5">
                  <c:v>0.19872000000000001</c:v>
                </c:pt>
                <c:pt idx="6">
                  <c:v>0.2160000000000003</c:v>
                </c:pt>
                <c:pt idx="7">
                  <c:v>0.16847999999999999</c:v>
                </c:pt>
                <c:pt idx="8">
                  <c:v>0.19976000000000024</c:v>
                </c:pt>
                <c:pt idx="9">
                  <c:v>0.18160000000000001</c:v>
                </c:pt>
                <c:pt idx="10">
                  <c:v>0.21338000000000001</c:v>
                </c:pt>
                <c:pt idx="11">
                  <c:v>0.20702399999999999</c:v>
                </c:pt>
                <c:pt idx="12">
                  <c:v>0.45172999999999996</c:v>
                </c:pt>
                <c:pt idx="13">
                  <c:v>0.48789000000000032</c:v>
                </c:pt>
              </c:numCache>
            </c:numRef>
          </c:val>
          <c:extLst>
            <c:ext xmlns:c16="http://schemas.microsoft.com/office/drawing/2014/chart" uri="{C3380CC4-5D6E-409C-BE32-E72D297353CC}">
              <c16:uniqueId val="{00000001-41B6-482D-9A83-6F4DB03EE968}"/>
            </c:ext>
          </c:extLst>
        </c:ser>
        <c:ser>
          <c:idx val="3"/>
          <c:order val="3"/>
          <c:tx>
            <c:strRef>
              <c:f>Sheet1!$E$1</c:f>
              <c:strCache>
                <c:ptCount val="1"/>
                <c:pt idx="0">
                  <c:v>Ոչ պարենային ապրանքներ</c:v>
                </c:pt>
              </c:strCache>
            </c:strRef>
          </c:tx>
          <c:spPr>
            <a:solidFill>
              <a:schemeClr val="accent4"/>
            </a:solidFill>
            <a:ln>
              <a:noFill/>
            </a:ln>
            <a:effectLst/>
          </c:spPr>
          <c:invertIfNegative val="0"/>
          <c:cat>
            <c:numRef>
              <c:f>Sheet1!$A$2:$A$42</c:f>
              <c:numCache>
                <c:formatCode>General</c:formatCode>
                <c:ptCount val="14"/>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pt idx="12">
                  <c:v>2020.3</c:v>
                </c:pt>
                <c:pt idx="13">
                  <c:v>2020.5</c:v>
                </c:pt>
              </c:numCache>
            </c:numRef>
          </c:cat>
          <c:val>
            <c:numRef>
              <c:f>Sheet1!$E$2:$E$42</c:f>
              <c:numCache>
                <c:formatCode>0.0</c:formatCode>
                <c:ptCount val="14"/>
                <c:pt idx="0">
                  <c:v>-0.74167100978775335</c:v>
                </c:pt>
                <c:pt idx="1">
                  <c:v>-0.62300364822171272</c:v>
                </c:pt>
                <c:pt idx="2">
                  <c:v>-0.1483342019575507</c:v>
                </c:pt>
                <c:pt idx="3">
                  <c:v>0.36024020475405188</c:v>
                </c:pt>
                <c:pt idx="4">
                  <c:v>1.0925</c:v>
                </c:pt>
                <c:pt idx="5">
                  <c:v>1.1580500000000027</c:v>
                </c:pt>
                <c:pt idx="6">
                  <c:v>0.85215000000000063</c:v>
                </c:pt>
                <c:pt idx="7">
                  <c:v>0.69920000000000004</c:v>
                </c:pt>
                <c:pt idx="8">
                  <c:v>0.20015999999999998</c:v>
                </c:pt>
                <c:pt idx="9">
                  <c:v>0.42256000000000032</c:v>
                </c:pt>
                <c:pt idx="10">
                  <c:v>0.53376000000000001</c:v>
                </c:pt>
                <c:pt idx="11">
                  <c:v>0.31136000000000086</c:v>
                </c:pt>
                <c:pt idx="12">
                  <c:v>0.27800000000000002</c:v>
                </c:pt>
                <c:pt idx="13">
                  <c:v>0</c:v>
                </c:pt>
              </c:numCache>
            </c:numRef>
          </c:val>
          <c:extLst>
            <c:ext xmlns:c16="http://schemas.microsoft.com/office/drawing/2014/chart" uri="{C3380CC4-5D6E-409C-BE32-E72D297353CC}">
              <c16:uniqueId val="{00000002-41B6-482D-9A83-6F4DB03EE968}"/>
            </c:ext>
          </c:extLst>
        </c:ser>
        <c:ser>
          <c:idx val="4"/>
          <c:order val="4"/>
          <c:tx>
            <c:strRef>
              <c:f>Sheet1!$F$1</c:f>
              <c:strCache>
                <c:ptCount val="1"/>
                <c:pt idx="0">
                  <c:v>Ծառայություններ </c:v>
                </c:pt>
              </c:strCache>
            </c:strRef>
          </c:tx>
          <c:spPr>
            <a:solidFill>
              <a:schemeClr val="accent5"/>
            </a:solidFill>
            <a:ln>
              <a:noFill/>
            </a:ln>
            <a:effectLst/>
          </c:spPr>
          <c:invertIfNegative val="0"/>
          <c:cat>
            <c:numRef>
              <c:f>Sheet1!$A$2:$A$42</c:f>
              <c:numCache>
                <c:formatCode>General</c:formatCode>
                <c:ptCount val="14"/>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pt idx="12">
                  <c:v>2020.3</c:v>
                </c:pt>
                <c:pt idx="13">
                  <c:v>2020.5</c:v>
                </c:pt>
              </c:numCache>
            </c:numRef>
          </c:cat>
          <c:val>
            <c:numRef>
              <c:f>Sheet1!$F$2:$F$42</c:f>
              <c:numCache>
                <c:formatCode>0.0</c:formatCode>
                <c:ptCount val="14"/>
                <c:pt idx="0">
                  <c:v>-0.86539100949568926</c:v>
                </c:pt>
                <c:pt idx="1">
                  <c:v>-0.46597977434383264</c:v>
                </c:pt>
                <c:pt idx="2">
                  <c:v>-0.16642134797993996</c:v>
                </c:pt>
                <c:pt idx="3">
                  <c:v>-0.16642134797993996</c:v>
                </c:pt>
                <c:pt idx="4">
                  <c:v>0.59543999999999875</c:v>
                </c:pt>
                <c:pt idx="5">
                  <c:v>0.46312000000000031</c:v>
                </c:pt>
                <c:pt idx="6">
                  <c:v>0.23155999999999999</c:v>
                </c:pt>
                <c:pt idx="7">
                  <c:v>0.26464000000000004</c:v>
                </c:pt>
                <c:pt idx="8">
                  <c:v>3.1870000000000016E-2</c:v>
                </c:pt>
                <c:pt idx="9">
                  <c:v>3.1870000000000016E-2</c:v>
                </c:pt>
                <c:pt idx="10">
                  <c:v>0.35057000000000038</c:v>
                </c:pt>
                <c:pt idx="11">
                  <c:v>0.33782200000000123</c:v>
                </c:pt>
                <c:pt idx="12">
                  <c:v>0.39837500000000092</c:v>
                </c:pt>
                <c:pt idx="13">
                  <c:v>0.35570000000000002</c:v>
                </c:pt>
              </c:numCache>
            </c:numRef>
          </c:val>
          <c:extLst>
            <c:ext xmlns:c16="http://schemas.microsoft.com/office/drawing/2014/chart" uri="{C3380CC4-5D6E-409C-BE32-E72D297353CC}">
              <c16:uniqueId val="{00000003-41B6-482D-9A83-6F4DB03EE968}"/>
            </c:ext>
          </c:extLst>
        </c:ser>
        <c:dLbls>
          <c:showLegendKey val="0"/>
          <c:showVal val="0"/>
          <c:showCatName val="0"/>
          <c:showSerName val="0"/>
          <c:showPercent val="0"/>
          <c:showBubbleSize val="0"/>
        </c:dLbls>
        <c:gapWidth val="100"/>
        <c:overlap val="100"/>
        <c:axId val="-684492976"/>
        <c:axId val="-684467408"/>
      </c:barChart>
      <c:lineChart>
        <c:grouping val="standard"/>
        <c:varyColors val="0"/>
        <c:ser>
          <c:idx val="0"/>
          <c:order val="0"/>
          <c:tx>
            <c:strRef>
              <c:f>Sheet1!$B$1</c:f>
              <c:strCache>
                <c:ptCount val="1"/>
                <c:pt idx="0">
                  <c:v>12-ամսյա գնաճ</c:v>
                </c:pt>
              </c:strCache>
            </c:strRef>
          </c:tx>
          <c:spPr>
            <a:ln w="34925" cap="rnd">
              <a:solidFill>
                <a:schemeClr val="accent1"/>
              </a:solidFill>
              <a:round/>
            </a:ln>
            <a:effectLst/>
          </c:spPr>
          <c:marker>
            <c:symbol val="none"/>
          </c:marker>
          <c:dPt>
            <c:idx val="3"/>
            <c:marker>
              <c:symbol val="square"/>
              <c:size val="6"/>
              <c:spPr>
                <a:solidFill>
                  <a:schemeClr val="accent1"/>
                </a:solidFill>
                <a:ln w="15875">
                  <a:solidFill>
                    <a:schemeClr val="accent1"/>
                  </a:solidFill>
                  <a:round/>
                </a:ln>
                <a:effectLst/>
              </c:spPr>
            </c:marker>
            <c:bubble3D val="0"/>
            <c:extLst>
              <c:ext xmlns:c16="http://schemas.microsoft.com/office/drawing/2014/chart" uri="{C3380CC4-5D6E-409C-BE32-E72D297353CC}">
                <c16:uniqueId val="{00000004-41B6-482D-9A83-6F4DB03EE968}"/>
              </c:ext>
            </c:extLst>
          </c:dPt>
          <c:dPt>
            <c:idx val="7"/>
            <c:marker>
              <c:symbol val="square"/>
              <c:size val="6"/>
              <c:spPr>
                <a:solidFill>
                  <a:schemeClr val="accent1"/>
                </a:solidFill>
                <a:ln w="15875">
                  <a:solidFill>
                    <a:schemeClr val="accent1"/>
                  </a:solidFill>
                  <a:round/>
                </a:ln>
                <a:effectLst/>
              </c:spPr>
            </c:marker>
            <c:bubble3D val="0"/>
            <c:extLst>
              <c:ext xmlns:c16="http://schemas.microsoft.com/office/drawing/2014/chart" uri="{C3380CC4-5D6E-409C-BE32-E72D297353CC}">
                <c16:uniqueId val="{00000005-41B6-482D-9A83-6F4DB03EE968}"/>
              </c:ext>
            </c:extLst>
          </c:dPt>
          <c:dPt>
            <c:idx val="11"/>
            <c:marker>
              <c:symbol val="square"/>
              <c:size val="6"/>
              <c:spPr>
                <a:solidFill>
                  <a:schemeClr val="accent1"/>
                </a:solidFill>
                <a:ln w="15875">
                  <a:solidFill>
                    <a:schemeClr val="accent1"/>
                  </a:solidFill>
                  <a:round/>
                </a:ln>
                <a:effectLst/>
              </c:spPr>
            </c:marker>
            <c:bubble3D val="0"/>
            <c:extLst>
              <c:ext xmlns:c16="http://schemas.microsoft.com/office/drawing/2014/chart" uri="{C3380CC4-5D6E-409C-BE32-E72D297353CC}">
                <c16:uniqueId val="{00000006-41B6-482D-9A83-6F4DB03EE968}"/>
              </c:ext>
            </c:extLst>
          </c:dPt>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B6-482D-9A83-6F4DB03EE968}"/>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B6-482D-9A83-6F4DB03EE968}"/>
                </c:ext>
              </c:extLst>
            </c:dLbl>
            <c:dLbl>
              <c:idx val="1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B6-482D-9A83-6F4DB03EE96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Sheet1!$A$2:$A$42</c:f>
              <c:numCache>
                <c:formatCode>General</c:formatCode>
                <c:ptCount val="14"/>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pt idx="12">
                  <c:v>2020.3</c:v>
                </c:pt>
                <c:pt idx="13">
                  <c:v>2020.5</c:v>
                </c:pt>
              </c:numCache>
            </c:numRef>
          </c:cat>
          <c:val>
            <c:numRef>
              <c:f>Sheet1!$B$2:$B$42</c:f>
              <c:numCache>
                <c:formatCode>0.0</c:formatCode>
                <c:ptCount val="14"/>
                <c:pt idx="0">
                  <c:v>-0.11200684754751929</c:v>
                </c:pt>
                <c:pt idx="1">
                  <c:v>1.1484365208069558</c:v>
                </c:pt>
                <c:pt idx="2">
                  <c:v>1.045072663038298</c:v>
                </c:pt>
                <c:pt idx="3">
                  <c:v>2.6317019479985402</c:v>
                </c:pt>
                <c:pt idx="4">
                  <c:v>3.746264</c:v>
                </c:pt>
                <c:pt idx="5">
                  <c:v>0.92360999999999982</c:v>
                </c:pt>
                <c:pt idx="6">
                  <c:v>3.4589300000000001</c:v>
                </c:pt>
                <c:pt idx="7">
                  <c:v>1.78416</c:v>
                </c:pt>
                <c:pt idx="8">
                  <c:v>1.8542299999999998</c:v>
                </c:pt>
                <c:pt idx="9">
                  <c:v>2.5381299999999998</c:v>
                </c:pt>
                <c:pt idx="10">
                  <c:v>0.5188100000000001</c:v>
                </c:pt>
                <c:pt idx="11">
                  <c:v>0.71975100000000136</c:v>
                </c:pt>
                <c:pt idx="12">
                  <c:v>-5.8054400000000082E-2</c:v>
                </c:pt>
                <c:pt idx="13">
                  <c:v>1.2258899999999975</c:v>
                </c:pt>
              </c:numCache>
            </c:numRef>
          </c:val>
          <c:smooth val="0"/>
          <c:extLst>
            <c:ext xmlns:c16="http://schemas.microsoft.com/office/drawing/2014/chart" uri="{C3380CC4-5D6E-409C-BE32-E72D297353CC}">
              <c16:uniqueId val="{00000007-41B6-482D-9A83-6F4DB03EE968}"/>
            </c:ext>
          </c:extLst>
        </c:ser>
        <c:dLbls>
          <c:showLegendKey val="0"/>
          <c:showVal val="0"/>
          <c:showCatName val="0"/>
          <c:showSerName val="0"/>
          <c:showPercent val="0"/>
          <c:showBubbleSize val="0"/>
        </c:dLbls>
        <c:marker val="1"/>
        <c:smooth val="0"/>
        <c:axId val="-684492976"/>
        <c:axId val="-684467408"/>
      </c:lineChart>
      <c:catAx>
        <c:axId val="-6844929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GHEA Grapalat" panose="02000506050000020003" pitchFamily="50" charset="0"/>
                <a:ea typeface="+mn-ea"/>
                <a:cs typeface="+mn-cs"/>
              </a:defRPr>
            </a:pPr>
            <a:endParaRPr lang="en-US"/>
          </a:p>
        </c:txPr>
        <c:crossAx val="-684467408"/>
        <c:crosses val="autoZero"/>
        <c:auto val="1"/>
        <c:lblAlgn val="ctr"/>
        <c:lblOffset val="100"/>
        <c:noMultiLvlLbl val="0"/>
      </c:catAx>
      <c:valAx>
        <c:axId val="-684467408"/>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68449297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lgn="l">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ysClr val="windowText" lastClr="000000"/>
                </a:solidFill>
                <a:latin typeface="GHEA Grapalat" panose="02000506050000020003" pitchFamily="50" charset="0"/>
                <a:ea typeface="+mj-ea"/>
                <a:cs typeface="+mj-cs"/>
              </a:defRPr>
            </a:pPr>
            <a:r>
              <a:rPr lang="en-US" sz="900" i="1"/>
              <a:t>Մ</a:t>
            </a:r>
            <a:r>
              <a:rPr lang="hy-AM" sz="900" i="1"/>
              <a:t>իջին գնաճը</a:t>
            </a:r>
            <a:r>
              <a:rPr lang="en-US" sz="900" i="1"/>
              <a:t>,</a:t>
            </a:r>
            <a:r>
              <a:rPr lang="en-US" sz="900" i="1" baseline="0"/>
              <a:t> %</a:t>
            </a:r>
            <a:endParaRPr lang="en-US" sz="900" i="1"/>
          </a:p>
        </c:rich>
      </c:tx>
      <c:layout>
        <c:manualLayout>
          <c:xMode val="edge"/>
          <c:yMode val="edge"/>
          <c:x val="0.31103696783664886"/>
          <c:y val="0"/>
        </c:manualLayout>
      </c:layout>
      <c:overlay val="0"/>
      <c:spPr>
        <a:noFill/>
        <a:ln>
          <a:noFill/>
        </a:ln>
        <a:effectLst/>
      </c:spPr>
    </c:title>
    <c:autoTitleDeleted val="0"/>
    <c:plotArea>
      <c:layout>
        <c:manualLayout>
          <c:layoutTarget val="inner"/>
          <c:xMode val="edge"/>
          <c:yMode val="edge"/>
          <c:x val="0.11270836908098351"/>
          <c:y val="0.12480519374330552"/>
          <c:w val="0.84290099330804125"/>
          <c:h val="0.67598220783149765"/>
        </c:manualLayout>
      </c:layout>
      <c:barChart>
        <c:barDir val="col"/>
        <c:grouping val="stacked"/>
        <c:varyColors val="0"/>
        <c:ser>
          <c:idx val="1"/>
          <c:order val="1"/>
          <c:tx>
            <c:strRef>
              <c:f>Sheet1!$C$1</c:f>
              <c:strCache>
                <c:ptCount val="1"/>
                <c:pt idx="0">
                  <c:v>Սննդամթերք և ոչ ալկոհոլային խմիչքներ</c:v>
                </c:pt>
              </c:strCache>
            </c:strRef>
          </c:tx>
          <c:spPr>
            <a:solidFill>
              <a:schemeClr val="accent2"/>
            </a:solidFill>
            <a:ln>
              <a:noFill/>
            </a:ln>
            <a:effectLst/>
          </c:spPr>
          <c:invertIfNegative val="0"/>
          <c:cat>
            <c:numRef>
              <c:f>Sheet1!$A$2:$A$42</c:f>
              <c:numCache>
                <c:formatCode>General</c:formatCode>
                <c:ptCount val="14"/>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pt idx="12">
                  <c:v>2020.3</c:v>
                </c:pt>
                <c:pt idx="13">
                  <c:v>2020.5</c:v>
                </c:pt>
              </c:numCache>
            </c:numRef>
          </c:cat>
          <c:val>
            <c:numRef>
              <c:f>Sheet1!$C$2:$C$42</c:f>
              <c:numCache>
                <c:formatCode>0.0</c:formatCode>
                <c:ptCount val="14"/>
                <c:pt idx="0">
                  <c:v>1.1515053876665682</c:v>
                </c:pt>
                <c:pt idx="1">
                  <c:v>1.7437081584665173</c:v>
                </c:pt>
                <c:pt idx="2">
                  <c:v>1.5421947156248652</c:v>
                </c:pt>
                <c:pt idx="3">
                  <c:v>1.6861328890831901</c:v>
                </c:pt>
                <c:pt idx="4">
                  <c:v>1.7110799999999977</c:v>
                </c:pt>
                <c:pt idx="5">
                  <c:v>0.75369000000000208</c:v>
                </c:pt>
                <c:pt idx="6">
                  <c:v>0.97776000000000063</c:v>
                </c:pt>
                <c:pt idx="7">
                  <c:v>0.93701999999999996</c:v>
                </c:pt>
                <c:pt idx="8">
                  <c:v>0.9923999999999995</c:v>
                </c:pt>
                <c:pt idx="9">
                  <c:v>1.4472499999999975</c:v>
                </c:pt>
                <c:pt idx="10">
                  <c:v>1.0130749999999977</c:v>
                </c:pt>
                <c:pt idx="11">
                  <c:v>0.76497500000000185</c:v>
                </c:pt>
                <c:pt idx="12">
                  <c:v>-1.2156899999999977</c:v>
                </c:pt>
                <c:pt idx="13">
                  <c:v>-0.66160000000000185</c:v>
                </c:pt>
              </c:numCache>
            </c:numRef>
          </c:val>
          <c:extLst>
            <c:ext xmlns:c16="http://schemas.microsoft.com/office/drawing/2014/chart" uri="{C3380CC4-5D6E-409C-BE32-E72D297353CC}">
              <c16:uniqueId val="{00000000-279A-4134-A0BF-88C4A21350FE}"/>
            </c:ext>
          </c:extLst>
        </c:ser>
        <c:ser>
          <c:idx val="2"/>
          <c:order val="2"/>
          <c:tx>
            <c:strRef>
              <c:f>Sheet1!$D$1</c:f>
              <c:strCache>
                <c:ptCount val="1"/>
                <c:pt idx="0">
                  <c:v>Ալկոհոլային խմիչքներ, ծխախոտ</c:v>
                </c:pt>
              </c:strCache>
            </c:strRef>
          </c:tx>
          <c:spPr>
            <a:solidFill>
              <a:schemeClr val="accent3"/>
            </a:solidFill>
            <a:ln>
              <a:noFill/>
            </a:ln>
            <a:effectLst/>
          </c:spPr>
          <c:invertIfNegative val="0"/>
          <c:cat>
            <c:numRef>
              <c:f>Sheet1!$A$2:$A$42</c:f>
              <c:numCache>
                <c:formatCode>General</c:formatCode>
                <c:ptCount val="14"/>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pt idx="12">
                  <c:v>2020.3</c:v>
                </c:pt>
                <c:pt idx="13">
                  <c:v>2020.5</c:v>
                </c:pt>
              </c:numCache>
            </c:numRef>
          </c:cat>
          <c:val>
            <c:numRef>
              <c:f>Sheet1!$D$2:$D$42</c:f>
              <c:numCache>
                <c:formatCode>0.0</c:formatCode>
                <c:ptCount val="14"/>
                <c:pt idx="0">
                  <c:v>7.4798941030881055E-2</c:v>
                </c:pt>
                <c:pt idx="1">
                  <c:v>0.11175841777555143</c:v>
                </c:pt>
                <c:pt idx="2">
                  <c:v>0.12539822466941788</c:v>
                </c:pt>
                <c:pt idx="3">
                  <c:v>0.14079800664636452</c:v>
                </c:pt>
                <c:pt idx="4">
                  <c:v>0.16416</c:v>
                </c:pt>
                <c:pt idx="5">
                  <c:v>0.16632000000000002</c:v>
                </c:pt>
                <c:pt idx="6">
                  <c:v>0.18576000000000034</c:v>
                </c:pt>
                <c:pt idx="7">
                  <c:v>0.18144000000000049</c:v>
                </c:pt>
                <c:pt idx="8">
                  <c:v>0.18614000000000028</c:v>
                </c:pt>
                <c:pt idx="9">
                  <c:v>0.19068000000000002</c:v>
                </c:pt>
                <c:pt idx="10">
                  <c:v>0.19295000000000001</c:v>
                </c:pt>
                <c:pt idx="11">
                  <c:v>0.19295000000000001</c:v>
                </c:pt>
                <c:pt idx="12">
                  <c:v>0.36093000000000008</c:v>
                </c:pt>
                <c:pt idx="13">
                  <c:v>0.42676000000000008</c:v>
                </c:pt>
              </c:numCache>
            </c:numRef>
          </c:val>
          <c:extLst>
            <c:ext xmlns:c16="http://schemas.microsoft.com/office/drawing/2014/chart" uri="{C3380CC4-5D6E-409C-BE32-E72D297353CC}">
              <c16:uniqueId val="{00000001-279A-4134-A0BF-88C4A21350FE}"/>
            </c:ext>
          </c:extLst>
        </c:ser>
        <c:ser>
          <c:idx val="3"/>
          <c:order val="3"/>
          <c:tx>
            <c:strRef>
              <c:f>Sheet1!$E$1</c:f>
              <c:strCache>
                <c:ptCount val="1"/>
                <c:pt idx="0">
                  <c:v>Ոչ պարենային ապրանքներ</c:v>
                </c:pt>
              </c:strCache>
            </c:strRef>
          </c:tx>
          <c:spPr>
            <a:solidFill>
              <a:schemeClr val="accent4"/>
            </a:solidFill>
            <a:ln>
              <a:noFill/>
            </a:ln>
            <a:effectLst/>
          </c:spPr>
          <c:invertIfNegative val="0"/>
          <c:cat>
            <c:numRef>
              <c:f>Sheet1!$A$2:$A$42</c:f>
              <c:numCache>
                <c:formatCode>General</c:formatCode>
                <c:ptCount val="14"/>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pt idx="12">
                  <c:v>2020.3</c:v>
                </c:pt>
                <c:pt idx="13">
                  <c:v>2020.5</c:v>
                </c:pt>
              </c:numCache>
            </c:numRef>
          </c:cat>
          <c:val>
            <c:numRef>
              <c:f>Sheet1!$E$2:$E$42</c:f>
              <c:numCache>
                <c:formatCode>0.0</c:formatCode>
                <c:ptCount val="14"/>
                <c:pt idx="0">
                  <c:v>-0.74167100978775335</c:v>
                </c:pt>
                <c:pt idx="1">
                  <c:v>-0.65690860866915546</c:v>
                </c:pt>
                <c:pt idx="2">
                  <c:v>-0.55095560727090265</c:v>
                </c:pt>
                <c:pt idx="3">
                  <c:v>-0.38143080503370247</c:v>
                </c:pt>
                <c:pt idx="4">
                  <c:v>0.96140000000000014</c:v>
                </c:pt>
                <c:pt idx="5">
                  <c:v>1.0378749999999974</c:v>
                </c:pt>
                <c:pt idx="6">
                  <c:v>1.0488000000000002</c:v>
                </c:pt>
                <c:pt idx="7">
                  <c:v>0.98325000000000007</c:v>
                </c:pt>
                <c:pt idx="8">
                  <c:v>0.17792000000000024</c:v>
                </c:pt>
                <c:pt idx="9">
                  <c:v>0.26688000000000062</c:v>
                </c:pt>
                <c:pt idx="10">
                  <c:v>0.34472000000000008</c:v>
                </c:pt>
                <c:pt idx="11">
                  <c:v>0.32248000000000104</c:v>
                </c:pt>
                <c:pt idx="12">
                  <c:v>0.36696000000000062</c:v>
                </c:pt>
                <c:pt idx="13">
                  <c:v>0.26688000000000062</c:v>
                </c:pt>
              </c:numCache>
            </c:numRef>
          </c:val>
          <c:extLst>
            <c:ext xmlns:c16="http://schemas.microsoft.com/office/drawing/2014/chart" uri="{C3380CC4-5D6E-409C-BE32-E72D297353CC}">
              <c16:uniqueId val="{00000002-279A-4134-A0BF-88C4A21350FE}"/>
            </c:ext>
          </c:extLst>
        </c:ser>
        <c:ser>
          <c:idx val="4"/>
          <c:order val="4"/>
          <c:tx>
            <c:strRef>
              <c:f>Sheet1!$F$1</c:f>
              <c:strCache>
                <c:ptCount val="1"/>
                <c:pt idx="0">
                  <c:v>Ծառայություններ </c:v>
                </c:pt>
              </c:strCache>
            </c:strRef>
          </c:tx>
          <c:spPr>
            <a:solidFill>
              <a:schemeClr val="accent5"/>
            </a:solidFill>
            <a:ln>
              <a:noFill/>
            </a:ln>
            <a:effectLst/>
          </c:spPr>
          <c:invertIfNegative val="0"/>
          <c:cat>
            <c:numRef>
              <c:f>Sheet1!$A$2:$A$42</c:f>
              <c:numCache>
                <c:formatCode>General</c:formatCode>
                <c:ptCount val="14"/>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pt idx="12">
                  <c:v>2020.3</c:v>
                </c:pt>
                <c:pt idx="13">
                  <c:v>2020.5</c:v>
                </c:pt>
              </c:numCache>
            </c:numRef>
          </c:cat>
          <c:val>
            <c:numRef>
              <c:f>Sheet1!$F$2:$F$42</c:f>
              <c:numCache>
                <c:formatCode>0.0</c:formatCode>
                <c:ptCount val="14"/>
                <c:pt idx="0">
                  <c:v>-0.83210673989969952</c:v>
                </c:pt>
                <c:pt idx="1">
                  <c:v>-0.73225393111173587</c:v>
                </c:pt>
                <c:pt idx="2">
                  <c:v>-0.47929348218222706</c:v>
                </c:pt>
                <c:pt idx="3">
                  <c:v>-0.43269550474784463</c:v>
                </c:pt>
                <c:pt idx="4">
                  <c:v>0.46312000000000031</c:v>
                </c:pt>
                <c:pt idx="5">
                  <c:v>0.47966000000000031</c:v>
                </c:pt>
                <c:pt idx="6">
                  <c:v>0.43004000000000031</c:v>
                </c:pt>
                <c:pt idx="7">
                  <c:v>0.39696000000000087</c:v>
                </c:pt>
                <c:pt idx="8">
                  <c:v>0.12748000000000001</c:v>
                </c:pt>
                <c:pt idx="9">
                  <c:v>6.3740000000000019E-2</c:v>
                </c:pt>
                <c:pt idx="10">
                  <c:v>9.5610000000000028E-2</c:v>
                </c:pt>
                <c:pt idx="11">
                  <c:v>0.14660200000000001</c:v>
                </c:pt>
                <c:pt idx="12">
                  <c:v>0.43024500000000004</c:v>
                </c:pt>
                <c:pt idx="13">
                  <c:v>0.39837500000000092</c:v>
                </c:pt>
              </c:numCache>
            </c:numRef>
          </c:val>
          <c:extLst>
            <c:ext xmlns:c16="http://schemas.microsoft.com/office/drawing/2014/chart" uri="{C3380CC4-5D6E-409C-BE32-E72D297353CC}">
              <c16:uniqueId val="{00000003-279A-4134-A0BF-88C4A21350FE}"/>
            </c:ext>
          </c:extLst>
        </c:ser>
        <c:dLbls>
          <c:showLegendKey val="0"/>
          <c:showVal val="0"/>
          <c:showCatName val="0"/>
          <c:showSerName val="0"/>
          <c:showPercent val="0"/>
          <c:showBubbleSize val="0"/>
        </c:dLbls>
        <c:gapWidth val="100"/>
        <c:overlap val="100"/>
        <c:axId val="-684469040"/>
        <c:axId val="-684488624"/>
      </c:barChart>
      <c:lineChart>
        <c:grouping val="standard"/>
        <c:varyColors val="0"/>
        <c:ser>
          <c:idx val="0"/>
          <c:order val="0"/>
          <c:tx>
            <c:strRef>
              <c:f>Sheet1!$B$1</c:f>
              <c:strCache>
                <c:ptCount val="1"/>
                <c:pt idx="0">
                  <c:v>12-ամսյա գնաճ</c:v>
                </c:pt>
              </c:strCache>
            </c:strRef>
          </c:tx>
          <c:spPr>
            <a:ln w="34925" cap="rnd">
              <a:solidFill>
                <a:schemeClr val="accent1"/>
              </a:solidFill>
              <a:round/>
            </a:ln>
            <a:effectLst/>
          </c:spPr>
          <c:marker>
            <c:symbol val="none"/>
          </c:marker>
          <c:dPt>
            <c:idx val="3"/>
            <c:marker>
              <c:symbol val="square"/>
              <c:size val="6"/>
              <c:spPr>
                <a:solidFill>
                  <a:schemeClr val="accent1"/>
                </a:solidFill>
                <a:ln w="15875">
                  <a:solidFill>
                    <a:schemeClr val="accent1"/>
                  </a:solidFill>
                  <a:round/>
                </a:ln>
                <a:effectLst/>
              </c:spPr>
            </c:marker>
            <c:bubble3D val="0"/>
            <c:extLst>
              <c:ext xmlns:c16="http://schemas.microsoft.com/office/drawing/2014/chart" uri="{C3380CC4-5D6E-409C-BE32-E72D297353CC}">
                <c16:uniqueId val="{00000004-279A-4134-A0BF-88C4A21350FE}"/>
              </c:ext>
            </c:extLst>
          </c:dPt>
          <c:dPt>
            <c:idx val="7"/>
            <c:marker>
              <c:symbol val="square"/>
              <c:size val="6"/>
              <c:spPr>
                <a:solidFill>
                  <a:schemeClr val="accent1"/>
                </a:solidFill>
                <a:ln w="15875">
                  <a:solidFill>
                    <a:schemeClr val="accent1"/>
                  </a:solidFill>
                  <a:round/>
                </a:ln>
                <a:effectLst/>
              </c:spPr>
            </c:marker>
            <c:bubble3D val="0"/>
            <c:extLst>
              <c:ext xmlns:c16="http://schemas.microsoft.com/office/drawing/2014/chart" uri="{C3380CC4-5D6E-409C-BE32-E72D297353CC}">
                <c16:uniqueId val="{00000005-279A-4134-A0BF-88C4A21350FE}"/>
              </c:ext>
            </c:extLst>
          </c:dPt>
          <c:dPt>
            <c:idx val="11"/>
            <c:marker>
              <c:symbol val="square"/>
              <c:size val="6"/>
              <c:spPr>
                <a:solidFill>
                  <a:schemeClr val="accent1"/>
                </a:solidFill>
                <a:ln w="15875">
                  <a:solidFill>
                    <a:schemeClr val="accent1"/>
                  </a:solidFill>
                  <a:round/>
                </a:ln>
                <a:effectLst/>
              </c:spPr>
            </c:marker>
            <c:bubble3D val="0"/>
            <c:extLst>
              <c:ext xmlns:c16="http://schemas.microsoft.com/office/drawing/2014/chart" uri="{C3380CC4-5D6E-409C-BE32-E72D297353CC}">
                <c16:uniqueId val="{00000006-279A-4134-A0BF-88C4A21350FE}"/>
              </c:ext>
            </c:extLst>
          </c:dPt>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9A-4134-A0BF-88C4A21350FE}"/>
                </c:ext>
              </c:extLst>
            </c:dLbl>
            <c:dLbl>
              <c:idx val="7"/>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9A-4134-A0BF-88C4A21350FE}"/>
                </c:ext>
              </c:extLst>
            </c:dLbl>
            <c:dLbl>
              <c:idx val="1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79A-4134-A0BF-88C4A21350F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Sheet1!$A$2:$A$42</c:f>
              <c:numCache>
                <c:formatCode>General</c:formatCode>
                <c:ptCount val="14"/>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pt idx="12">
                  <c:v>2020.3</c:v>
                </c:pt>
                <c:pt idx="13">
                  <c:v>2020.5</c:v>
                </c:pt>
              </c:numCache>
            </c:numRef>
          </c:cat>
          <c:val>
            <c:numRef>
              <c:f>Sheet1!$B$2:$B$42</c:f>
              <c:numCache>
                <c:formatCode>0.0</c:formatCode>
                <c:ptCount val="14"/>
                <c:pt idx="0">
                  <c:v>-0.34747342099000467</c:v>
                </c:pt>
                <c:pt idx="1">
                  <c:v>0.46630403646117979</c:v>
                </c:pt>
                <c:pt idx="2">
                  <c:v>0.63734385084115663</c:v>
                </c:pt>
                <c:pt idx="3">
                  <c:v>1.0128045859480073</c:v>
                </c:pt>
                <c:pt idx="4">
                  <c:v>3.29976</c:v>
                </c:pt>
                <c:pt idx="5">
                  <c:v>2.4375449999999987</c:v>
                </c:pt>
                <c:pt idx="6">
                  <c:v>2.64236</c:v>
                </c:pt>
                <c:pt idx="7">
                  <c:v>2.4986699999999957</c:v>
                </c:pt>
                <c:pt idx="8">
                  <c:v>1.4839399999999969</c:v>
                </c:pt>
                <c:pt idx="9">
                  <c:v>1.9685500000000025</c:v>
                </c:pt>
                <c:pt idx="10">
                  <c:v>1.6463550000000025</c:v>
                </c:pt>
                <c:pt idx="11">
                  <c:v>1.4270069999999977</c:v>
                </c:pt>
                <c:pt idx="12">
                  <c:v>-5.7554999999999974E-2</c:v>
                </c:pt>
                <c:pt idx="13">
                  <c:v>0.43041500000000038</c:v>
                </c:pt>
              </c:numCache>
            </c:numRef>
          </c:val>
          <c:smooth val="0"/>
          <c:extLst>
            <c:ext xmlns:c16="http://schemas.microsoft.com/office/drawing/2014/chart" uri="{C3380CC4-5D6E-409C-BE32-E72D297353CC}">
              <c16:uniqueId val="{00000007-279A-4134-A0BF-88C4A21350FE}"/>
            </c:ext>
          </c:extLst>
        </c:ser>
        <c:dLbls>
          <c:showLegendKey val="0"/>
          <c:showVal val="0"/>
          <c:showCatName val="0"/>
          <c:showSerName val="0"/>
          <c:showPercent val="0"/>
          <c:showBubbleSize val="0"/>
        </c:dLbls>
        <c:marker val="1"/>
        <c:smooth val="0"/>
        <c:axId val="-684469040"/>
        <c:axId val="-684488624"/>
      </c:lineChart>
      <c:catAx>
        <c:axId val="-68446904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GHEA Grapalat" panose="02000506050000020003" pitchFamily="50" charset="0"/>
                <a:ea typeface="+mn-ea"/>
                <a:cs typeface="+mn-cs"/>
              </a:defRPr>
            </a:pPr>
            <a:endParaRPr lang="en-US"/>
          </a:p>
        </c:txPr>
        <c:crossAx val="-684488624"/>
        <c:crosses val="autoZero"/>
        <c:auto val="1"/>
        <c:lblAlgn val="ctr"/>
        <c:lblOffset val="100"/>
        <c:noMultiLvlLbl val="0"/>
      </c:catAx>
      <c:valAx>
        <c:axId val="-684488624"/>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68446904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lgn="l">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70836908098351"/>
          <c:y val="9.4702319668604998E-2"/>
          <c:w val="0.84290099330804125"/>
          <c:h val="1.9030841865487539E-2"/>
        </c:manualLayout>
      </c:layout>
      <c:barChart>
        <c:barDir val="col"/>
        <c:grouping val="stacked"/>
        <c:varyColors val="0"/>
        <c:ser>
          <c:idx val="1"/>
          <c:order val="1"/>
          <c:tx>
            <c:strRef>
              <c:f>Sheet1!$C$1</c:f>
              <c:strCache>
                <c:ptCount val="1"/>
                <c:pt idx="0">
                  <c:v>Սննդամթերք և ոչ ալկոհոլային խմիչքներ</c:v>
                </c:pt>
              </c:strCache>
            </c:strRef>
          </c:tx>
          <c:spPr>
            <a:solidFill>
              <a:schemeClr val="accent2"/>
            </a:solidFill>
            <a:ln>
              <a:noFill/>
            </a:ln>
            <a:effectLst/>
          </c:spPr>
          <c:invertIfNegative val="0"/>
          <c:cat>
            <c:numRef>
              <c:f>Sheet1!$A$2:$A$37</c:f>
              <c:numCache>
                <c:formatCode>General</c:formatCode>
                <c:ptCount val="12"/>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numCache>
            </c:numRef>
          </c:cat>
          <c:val>
            <c:numRef>
              <c:f>Sheet1!$C$2:$C$37</c:f>
              <c:numCache>
                <c:formatCode>General</c:formatCode>
                <c:ptCount val="12"/>
              </c:numCache>
            </c:numRef>
          </c:val>
          <c:extLst>
            <c:ext xmlns:c16="http://schemas.microsoft.com/office/drawing/2014/chart" uri="{C3380CC4-5D6E-409C-BE32-E72D297353CC}">
              <c16:uniqueId val="{00000000-4242-440B-B1BC-7560D023111D}"/>
            </c:ext>
          </c:extLst>
        </c:ser>
        <c:ser>
          <c:idx val="2"/>
          <c:order val="2"/>
          <c:tx>
            <c:strRef>
              <c:f>Sheet1!$D$1</c:f>
              <c:strCache>
                <c:ptCount val="1"/>
                <c:pt idx="0">
                  <c:v>Ալկոհոլային խմիչքներ, ծխախոտ</c:v>
                </c:pt>
              </c:strCache>
            </c:strRef>
          </c:tx>
          <c:spPr>
            <a:solidFill>
              <a:schemeClr val="accent3"/>
            </a:solidFill>
            <a:ln>
              <a:noFill/>
            </a:ln>
            <a:effectLst/>
          </c:spPr>
          <c:invertIfNegative val="0"/>
          <c:cat>
            <c:numRef>
              <c:f>Sheet1!$A$2:$A$37</c:f>
              <c:numCache>
                <c:formatCode>General</c:formatCode>
                <c:ptCount val="12"/>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numCache>
            </c:numRef>
          </c:cat>
          <c:val>
            <c:numRef>
              <c:f>Sheet1!$D$2:$D$37</c:f>
              <c:numCache>
                <c:formatCode>General</c:formatCode>
                <c:ptCount val="12"/>
              </c:numCache>
            </c:numRef>
          </c:val>
          <c:extLst>
            <c:ext xmlns:c16="http://schemas.microsoft.com/office/drawing/2014/chart" uri="{C3380CC4-5D6E-409C-BE32-E72D297353CC}">
              <c16:uniqueId val="{00000001-4242-440B-B1BC-7560D023111D}"/>
            </c:ext>
          </c:extLst>
        </c:ser>
        <c:ser>
          <c:idx val="3"/>
          <c:order val="3"/>
          <c:tx>
            <c:strRef>
              <c:f>Sheet1!$E$1</c:f>
              <c:strCache>
                <c:ptCount val="1"/>
                <c:pt idx="0">
                  <c:v>Ոչ պարենային ապրանքներ</c:v>
                </c:pt>
              </c:strCache>
            </c:strRef>
          </c:tx>
          <c:spPr>
            <a:solidFill>
              <a:schemeClr val="accent4"/>
            </a:solidFill>
            <a:ln>
              <a:noFill/>
            </a:ln>
            <a:effectLst/>
          </c:spPr>
          <c:invertIfNegative val="0"/>
          <c:cat>
            <c:numRef>
              <c:f>Sheet1!$A$2:$A$37</c:f>
              <c:numCache>
                <c:formatCode>General</c:formatCode>
                <c:ptCount val="12"/>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numCache>
            </c:numRef>
          </c:cat>
          <c:val>
            <c:numRef>
              <c:f>Sheet1!$E$2:$E$37</c:f>
              <c:numCache>
                <c:formatCode>General</c:formatCode>
                <c:ptCount val="12"/>
              </c:numCache>
            </c:numRef>
          </c:val>
          <c:extLst>
            <c:ext xmlns:c16="http://schemas.microsoft.com/office/drawing/2014/chart" uri="{C3380CC4-5D6E-409C-BE32-E72D297353CC}">
              <c16:uniqueId val="{00000002-4242-440B-B1BC-7560D023111D}"/>
            </c:ext>
          </c:extLst>
        </c:ser>
        <c:ser>
          <c:idx val="4"/>
          <c:order val="4"/>
          <c:tx>
            <c:strRef>
              <c:f>Sheet1!$F$1</c:f>
              <c:strCache>
                <c:ptCount val="1"/>
                <c:pt idx="0">
                  <c:v>Ծառայություններ </c:v>
                </c:pt>
              </c:strCache>
            </c:strRef>
          </c:tx>
          <c:spPr>
            <a:solidFill>
              <a:schemeClr val="accent5"/>
            </a:solidFill>
            <a:ln>
              <a:noFill/>
            </a:ln>
            <a:effectLst/>
          </c:spPr>
          <c:invertIfNegative val="0"/>
          <c:cat>
            <c:numRef>
              <c:f>Sheet1!$A$2:$A$37</c:f>
              <c:numCache>
                <c:formatCode>General</c:formatCode>
                <c:ptCount val="12"/>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numCache>
            </c:numRef>
          </c:cat>
          <c:val>
            <c:numRef>
              <c:f>Sheet1!$F$2:$F$37</c:f>
              <c:numCache>
                <c:formatCode>General</c:formatCode>
                <c:ptCount val="12"/>
              </c:numCache>
            </c:numRef>
          </c:val>
          <c:extLst>
            <c:ext xmlns:c16="http://schemas.microsoft.com/office/drawing/2014/chart" uri="{C3380CC4-5D6E-409C-BE32-E72D297353CC}">
              <c16:uniqueId val="{00000003-4242-440B-B1BC-7560D023111D}"/>
            </c:ext>
          </c:extLst>
        </c:ser>
        <c:dLbls>
          <c:showLegendKey val="0"/>
          <c:showVal val="0"/>
          <c:showCatName val="0"/>
          <c:showSerName val="0"/>
          <c:showPercent val="0"/>
          <c:showBubbleSize val="0"/>
        </c:dLbls>
        <c:gapWidth val="100"/>
        <c:overlap val="100"/>
        <c:axId val="-684492432"/>
        <c:axId val="-684494608"/>
      </c:barChart>
      <c:lineChart>
        <c:grouping val="standard"/>
        <c:varyColors val="0"/>
        <c:ser>
          <c:idx val="0"/>
          <c:order val="0"/>
          <c:tx>
            <c:strRef>
              <c:f>Sheet1!$B$1</c:f>
              <c:strCache>
                <c:ptCount val="1"/>
                <c:pt idx="0">
                  <c:v>Գնաճի տեմպ</c:v>
                </c:pt>
              </c:strCache>
            </c:strRef>
          </c:tx>
          <c:spPr>
            <a:ln w="34925" cap="rnd">
              <a:solidFill>
                <a:schemeClr val="accent1"/>
              </a:solidFill>
              <a:round/>
            </a:ln>
            <a:effectLst/>
          </c:spPr>
          <c:marker>
            <c:symbol val="none"/>
          </c:marker>
          <c:cat>
            <c:numRef>
              <c:f>Sheet1!$A$2:$A$37</c:f>
              <c:numCache>
                <c:formatCode>General</c:formatCode>
                <c:ptCount val="12"/>
                <c:pt idx="0">
                  <c:v>2017.3</c:v>
                </c:pt>
                <c:pt idx="1">
                  <c:v>2017.6</c:v>
                </c:pt>
                <c:pt idx="2">
                  <c:v>2017.9</c:v>
                </c:pt>
                <c:pt idx="3">
                  <c:v>2017.12</c:v>
                </c:pt>
                <c:pt idx="4">
                  <c:v>2018.3</c:v>
                </c:pt>
                <c:pt idx="5">
                  <c:v>2018.6</c:v>
                </c:pt>
                <c:pt idx="6">
                  <c:v>2018.9</c:v>
                </c:pt>
                <c:pt idx="7">
                  <c:v>2018.12</c:v>
                </c:pt>
                <c:pt idx="8">
                  <c:v>2019.3</c:v>
                </c:pt>
                <c:pt idx="9">
                  <c:v>2019.6</c:v>
                </c:pt>
                <c:pt idx="10">
                  <c:v>2019.9</c:v>
                </c:pt>
                <c:pt idx="11">
                  <c:v>2019.12</c:v>
                </c:pt>
              </c:numCache>
            </c:numRef>
          </c:cat>
          <c:val>
            <c:numRef>
              <c:f>Sheet1!$B$2:$B$37</c:f>
              <c:numCache>
                <c:formatCode>General</c:formatCode>
                <c:ptCount val="12"/>
              </c:numCache>
            </c:numRef>
          </c:val>
          <c:smooth val="0"/>
          <c:extLst>
            <c:ext xmlns:c16="http://schemas.microsoft.com/office/drawing/2014/chart" uri="{C3380CC4-5D6E-409C-BE32-E72D297353CC}">
              <c16:uniqueId val="{00000004-4242-440B-B1BC-7560D023111D}"/>
            </c:ext>
          </c:extLst>
        </c:ser>
        <c:dLbls>
          <c:showLegendKey val="0"/>
          <c:showVal val="0"/>
          <c:showCatName val="0"/>
          <c:showSerName val="0"/>
          <c:showPercent val="0"/>
          <c:showBubbleSize val="0"/>
        </c:dLbls>
        <c:marker val="1"/>
        <c:smooth val="0"/>
        <c:axId val="-684492432"/>
        <c:axId val="-684494608"/>
      </c:lineChart>
      <c:catAx>
        <c:axId val="-684492432"/>
        <c:scaling>
          <c:orientation val="minMax"/>
        </c:scaling>
        <c:delete val="1"/>
        <c:axPos val="b"/>
        <c:numFmt formatCode="General" sourceLinked="1"/>
        <c:majorTickMark val="out"/>
        <c:minorTickMark val="none"/>
        <c:tickLblPos val="none"/>
        <c:crossAx val="-684494608"/>
        <c:crosses val="autoZero"/>
        <c:auto val="1"/>
        <c:lblAlgn val="ctr"/>
        <c:lblOffset val="100"/>
        <c:noMultiLvlLbl val="0"/>
      </c:catAx>
      <c:valAx>
        <c:axId val="-684494608"/>
        <c:scaling>
          <c:orientation val="minMax"/>
        </c:scaling>
        <c:delete val="1"/>
        <c:axPos val="l"/>
        <c:numFmt formatCode="General" sourceLinked="1"/>
        <c:majorTickMark val="none"/>
        <c:minorTickMark val="none"/>
        <c:tickLblPos val="none"/>
        <c:crossAx val="-684492432"/>
        <c:crosses val="autoZero"/>
        <c:crossBetween val="between"/>
      </c:valAx>
      <c:spPr>
        <a:noFill/>
        <a:ln>
          <a:noFill/>
        </a:ln>
        <a:effectLst/>
      </c:spPr>
    </c:plotArea>
    <c:legend>
      <c:legendPos val="b"/>
      <c:layout>
        <c:manualLayout>
          <c:xMode val="edge"/>
          <c:yMode val="edge"/>
          <c:x val="2.4091860941327401E-2"/>
          <c:y val="0.10991302557768533"/>
          <c:w val="0.95949541633383073"/>
          <c:h val="0.8769288604549443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ysClr val="windowText" lastClr="000000"/>
                </a:solidFill>
                <a:latin typeface="GHEA Grapalat" panose="02000506050000020003" pitchFamily="50" charset="0"/>
                <a:ea typeface="+mj-ea"/>
                <a:cs typeface="+mj-cs"/>
              </a:defRPr>
            </a:pPr>
            <a:r>
              <a:rPr lang="hy-AM" sz="1100"/>
              <a:t>Գնաճի կանխատեսումները և նպատակային միջակայքը</a:t>
            </a:r>
            <a:r>
              <a:rPr lang="en-US" sz="1100"/>
              <a:t>, %</a:t>
            </a:r>
          </a:p>
        </c:rich>
      </c:tx>
      <c:layout>
        <c:manualLayout>
          <c:xMode val="edge"/>
          <c:yMode val="edge"/>
          <c:x val="0.21738990489660431"/>
          <c:y val="1.2091606196284284E-2"/>
        </c:manualLayout>
      </c:layout>
      <c:overlay val="0"/>
      <c:spPr>
        <a:noFill/>
        <a:ln>
          <a:noFill/>
        </a:ln>
        <a:effectLst/>
      </c:spPr>
    </c:title>
    <c:autoTitleDeleted val="0"/>
    <c:plotArea>
      <c:layout>
        <c:manualLayout>
          <c:layoutTarget val="inner"/>
          <c:xMode val="edge"/>
          <c:yMode val="edge"/>
          <c:x val="4.286978223573857E-2"/>
          <c:y val="0.15820767267105321"/>
          <c:w val="0.9349795935193983"/>
          <c:h val="0.6595433789954338"/>
        </c:manualLayout>
      </c:layout>
      <c:lineChart>
        <c:grouping val="standard"/>
        <c:varyColors val="0"/>
        <c:ser>
          <c:idx val="0"/>
          <c:order val="0"/>
          <c:tx>
            <c:strRef>
              <c:f>Sheet1!$B$1</c:f>
              <c:strCache>
                <c:ptCount val="1"/>
                <c:pt idx="0">
                  <c:v>12 ամսյա գնաճ</c:v>
                </c:pt>
              </c:strCache>
            </c:strRef>
          </c:tx>
          <c:spPr>
            <a:ln w="31750" cap="rnd">
              <a:solidFill>
                <a:schemeClr val="accent1"/>
              </a:solidFill>
              <a:round/>
            </a:ln>
            <a:effectLst/>
          </c:spPr>
          <c:marker>
            <c:symbol val="circle"/>
            <c:size val="7"/>
            <c:spPr>
              <a:solidFill>
                <a:schemeClr val="accent1"/>
              </a:solidFill>
              <a:ln w="15875">
                <a:solidFill>
                  <a:schemeClr val="accent1"/>
                </a:solidFill>
                <a:round/>
              </a:ln>
              <a:effectLst/>
            </c:spPr>
          </c:marker>
          <c:dLbls>
            <c:dLbl>
              <c:idx val="1"/>
              <c:layout>
                <c:manualLayout>
                  <c:x val="-3.435360451067259E-2"/>
                  <c:y val="5.90326797385622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66-4A40-8A57-2C6741BEAD39}"/>
                </c:ext>
              </c:extLst>
            </c:dLbl>
            <c:dLbl>
              <c:idx val="2"/>
              <c:layout>
                <c:manualLayout>
                  <c:x val="-3.3729359645589999E-2"/>
                  <c:y val="4.33464052287580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66-4A40-8A57-2C6741BEAD39}"/>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Sheet1!$B$2:$B$8</c:f>
              <c:numCache>
                <c:formatCode>0.0</c:formatCode>
                <c:ptCount val="7"/>
                <c:pt idx="0">
                  <c:v>2.6391820853362873</c:v>
                </c:pt>
                <c:pt idx="1">
                  <c:v>1.7710353790077846</c:v>
                </c:pt>
                <c:pt idx="2">
                  <c:v>0.74073867036182306</c:v>
                </c:pt>
                <c:pt idx="3">
                  <c:v>1.3501884147624141</c:v>
                </c:pt>
                <c:pt idx="4">
                  <c:v>3.1792826198854267</c:v>
                </c:pt>
                <c:pt idx="5">
                  <c:v>3.4973181588783859</c:v>
                </c:pt>
                <c:pt idx="6">
                  <c:v>3.9047879154094431</c:v>
                </c:pt>
              </c:numCache>
            </c:numRef>
          </c:val>
          <c:smooth val="0"/>
          <c:extLst>
            <c:ext xmlns:c16="http://schemas.microsoft.com/office/drawing/2014/chart" uri="{C3380CC4-5D6E-409C-BE32-E72D297353CC}">
              <c16:uniqueId val="{00000002-0766-4A40-8A57-2C6741BEAD39}"/>
            </c:ext>
          </c:extLst>
        </c:ser>
        <c:ser>
          <c:idx val="1"/>
          <c:order val="1"/>
          <c:tx>
            <c:strRef>
              <c:f>Sheet1!$C$1</c:f>
              <c:strCache>
                <c:ptCount val="1"/>
                <c:pt idx="0">
                  <c:v>Միջին գնաճ</c:v>
                </c:pt>
              </c:strCache>
            </c:strRef>
          </c:tx>
          <c:spPr>
            <a:ln w="28575" cap="rnd">
              <a:solidFill>
                <a:srgbClr val="FF0000"/>
              </a:solidFill>
              <a:round/>
            </a:ln>
            <a:effectLst/>
          </c:spPr>
          <c:marker>
            <c:symbol val="square"/>
            <c:size val="7"/>
            <c:spPr>
              <a:solidFill>
                <a:srgbClr val="FF0000"/>
              </a:solidFill>
              <a:ln w="15875">
                <a:solidFill>
                  <a:srgbClr val="FF0000"/>
                </a:solidFill>
                <a:round/>
              </a:ln>
              <a:effectLst/>
            </c:spPr>
          </c:marker>
          <c:dLbls>
            <c:dLbl>
              <c:idx val="1"/>
              <c:layout>
                <c:manualLayout>
                  <c:x val="-3.3296494905514985E-2"/>
                  <c:y val="-5.90326797385622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66-4A40-8A57-2C6741BEAD39}"/>
                </c:ext>
              </c:extLst>
            </c:dLbl>
            <c:dLbl>
              <c:idx val="2"/>
              <c:layout>
                <c:manualLayout>
                  <c:x val="-3.1735803463552245E-2"/>
                  <c:y val="-6.4261437908496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766-4A40-8A57-2C6741BEAD39}"/>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Sheet1!$C$2:$C$8</c:f>
              <c:numCache>
                <c:formatCode>0.0</c:formatCode>
                <c:ptCount val="7"/>
                <c:pt idx="0">
                  <c:v>0.96505083976387773</c:v>
                </c:pt>
                <c:pt idx="1">
                  <c:v>2.5490680730946256</c:v>
                </c:pt>
                <c:pt idx="2">
                  <c:v>1.4309835696169295</c:v>
                </c:pt>
                <c:pt idx="3">
                  <c:v>1.015244056416293</c:v>
                </c:pt>
                <c:pt idx="4">
                  <c:v>2.8086531984832623</c:v>
                </c:pt>
                <c:pt idx="5">
                  <c:v>3.4502328588586981</c:v>
                </c:pt>
                <c:pt idx="6">
                  <c:v>3.9047879154094289</c:v>
                </c:pt>
              </c:numCache>
            </c:numRef>
          </c:val>
          <c:smooth val="0"/>
          <c:extLst>
            <c:ext xmlns:c16="http://schemas.microsoft.com/office/drawing/2014/chart" uri="{C3380CC4-5D6E-409C-BE32-E72D297353CC}">
              <c16:uniqueId val="{00000005-0766-4A40-8A57-2C6741BEAD39}"/>
            </c:ext>
          </c:extLst>
        </c:ser>
        <c:ser>
          <c:idx val="2"/>
          <c:order val="2"/>
          <c:tx>
            <c:strRef>
              <c:f>Sheet1!$D$1</c:f>
              <c:strCache>
                <c:ptCount val="1"/>
                <c:pt idx="0">
                  <c:v>Column2</c:v>
                </c:pt>
              </c:strCache>
            </c:strRef>
          </c:tx>
          <c:spPr>
            <a:ln w="19050" cap="rnd">
              <a:solidFill>
                <a:srgbClr val="C00000"/>
              </a:solidFill>
              <a:prstDash val="dash"/>
              <a:round/>
            </a:ln>
            <a:effectLst/>
          </c:spPr>
          <c:marker>
            <c:symbol val="none"/>
          </c:marker>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Sheet1!$D$2:$D$8</c:f>
              <c:numCache>
                <c:formatCode>General</c:formatCode>
                <c:ptCount val="7"/>
                <c:pt idx="0">
                  <c:v>4</c:v>
                </c:pt>
                <c:pt idx="1">
                  <c:v>4</c:v>
                </c:pt>
                <c:pt idx="2">
                  <c:v>4</c:v>
                </c:pt>
                <c:pt idx="3">
                  <c:v>4</c:v>
                </c:pt>
                <c:pt idx="4">
                  <c:v>4</c:v>
                </c:pt>
                <c:pt idx="5">
                  <c:v>4</c:v>
                </c:pt>
                <c:pt idx="6">
                  <c:v>4</c:v>
                </c:pt>
              </c:numCache>
            </c:numRef>
          </c:val>
          <c:smooth val="0"/>
          <c:extLst>
            <c:ext xmlns:c16="http://schemas.microsoft.com/office/drawing/2014/chart" uri="{C3380CC4-5D6E-409C-BE32-E72D297353CC}">
              <c16:uniqueId val="{00000006-0766-4A40-8A57-2C6741BEAD39}"/>
            </c:ext>
          </c:extLst>
        </c:ser>
        <c:ser>
          <c:idx val="3"/>
          <c:order val="3"/>
          <c:tx>
            <c:strRef>
              <c:f>Sheet1!$E$1</c:f>
              <c:strCache>
                <c:ptCount val="1"/>
                <c:pt idx="0">
                  <c:v>Column3</c:v>
                </c:pt>
              </c:strCache>
            </c:strRef>
          </c:tx>
          <c:spPr>
            <a:ln w="12700" cap="rnd">
              <a:solidFill>
                <a:schemeClr val="accent2"/>
              </a:solidFill>
              <a:prstDash val="sysDash"/>
              <a:round/>
            </a:ln>
            <a:effectLst/>
          </c:spPr>
          <c:marker>
            <c:symbol val="none"/>
          </c:marker>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Sheet1!$E$2:$E$8</c:f>
              <c:numCache>
                <c:formatCode>General</c:formatCode>
                <c:ptCount val="7"/>
                <c:pt idx="0">
                  <c:v>5.5</c:v>
                </c:pt>
                <c:pt idx="1">
                  <c:v>5.5</c:v>
                </c:pt>
                <c:pt idx="2">
                  <c:v>5.5</c:v>
                </c:pt>
                <c:pt idx="3">
                  <c:v>5.5</c:v>
                </c:pt>
                <c:pt idx="4">
                  <c:v>5.5</c:v>
                </c:pt>
                <c:pt idx="5">
                  <c:v>5.5</c:v>
                </c:pt>
                <c:pt idx="6">
                  <c:v>5.5</c:v>
                </c:pt>
              </c:numCache>
            </c:numRef>
          </c:val>
          <c:smooth val="0"/>
          <c:extLst>
            <c:ext xmlns:c16="http://schemas.microsoft.com/office/drawing/2014/chart" uri="{C3380CC4-5D6E-409C-BE32-E72D297353CC}">
              <c16:uniqueId val="{00000007-0766-4A40-8A57-2C6741BEAD39}"/>
            </c:ext>
          </c:extLst>
        </c:ser>
        <c:ser>
          <c:idx val="4"/>
          <c:order val="4"/>
          <c:tx>
            <c:strRef>
              <c:f>Sheet1!$F$1</c:f>
              <c:strCache>
                <c:ptCount val="1"/>
                <c:pt idx="0">
                  <c:v>Column4</c:v>
                </c:pt>
              </c:strCache>
            </c:strRef>
          </c:tx>
          <c:spPr>
            <a:ln w="15875" cap="rnd">
              <a:solidFill>
                <a:schemeClr val="accent2"/>
              </a:solidFill>
              <a:prstDash val="sysDash"/>
              <a:round/>
            </a:ln>
            <a:effectLst/>
          </c:spPr>
          <c:marker>
            <c:symbol val="none"/>
          </c:marker>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Sheet1!$F$2:$F$8</c:f>
              <c:numCache>
                <c:formatCode>General</c:formatCode>
                <c:ptCount val="7"/>
                <c:pt idx="0">
                  <c:v>2.5</c:v>
                </c:pt>
                <c:pt idx="1">
                  <c:v>2.5</c:v>
                </c:pt>
                <c:pt idx="2">
                  <c:v>2.5</c:v>
                </c:pt>
                <c:pt idx="3">
                  <c:v>2.5</c:v>
                </c:pt>
                <c:pt idx="4">
                  <c:v>2.5</c:v>
                </c:pt>
                <c:pt idx="5">
                  <c:v>2.5</c:v>
                </c:pt>
                <c:pt idx="6">
                  <c:v>2.5</c:v>
                </c:pt>
              </c:numCache>
            </c:numRef>
          </c:val>
          <c:smooth val="0"/>
          <c:extLst>
            <c:ext xmlns:c16="http://schemas.microsoft.com/office/drawing/2014/chart" uri="{C3380CC4-5D6E-409C-BE32-E72D297353CC}">
              <c16:uniqueId val="{00000008-0766-4A40-8A57-2C6741BEAD39}"/>
            </c:ext>
          </c:extLst>
        </c:ser>
        <c:dLbls>
          <c:showLegendKey val="0"/>
          <c:showVal val="0"/>
          <c:showCatName val="0"/>
          <c:showSerName val="0"/>
          <c:showPercent val="0"/>
          <c:showBubbleSize val="0"/>
        </c:dLbls>
        <c:marker val="1"/>
        <c:smooth val="0"/>
        <c:axId val="-684491888"/>
        <c:axId val="-684475024"/>
      </c:lineChart>
      <c:catAx>
        <c:axId val="-68449188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GHEA Grapalat" panose="02000506050000020003" pitchFamily="50" charset="0"/>
                <a:ea typeface="+mn-ea"/>
                <a:cs typeface="+mn-cs"/>
              </a:defRPr>
            </a:pPr>
            <a:endParaRPr lang="en-US"/>
          </a:p>
        </c:txPr>
        <c:crossAx val="-684475024"/>
        <c:crosses val="autoZero"/>
        <c:auto val="1"/>
        <c:lblAlgn val="ctr"/>
        <c:lblOffset val="100"/>
        <c:noMultiLvlLbl val="0"/>
      </c:catAx>
      <c:valAx>
        <c:axId val="-684475024"/>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684491888"/>
        <c:crosses val="autoZero"/>
        <c:crossBetween val="between"/>
      </c:valAx>
      <c:spPr>
        <a:pattFill prst="ltDnDiag">
          <a:fgClr>
            <a:schemeClr val="dk1">
              <a:lumMod val="15000"/>
              <a:lumOff val="85000"/>
            </a:schemeClr>
          </a:fgClr>
          <a:bgClr>
            <a:schemeClr val="lt1"/>
          </a:bgClr>
        </a:pattFill>
        <a:ln>
          <a:noFill/>
        </a:ln>
        <a:effectLst/>
      </c:spPr>
    </c:plotArea>
    <c:legend>
      <c:legendPos val="b"/>
      <c:legendEntry>
        <c:idx val="2"/>
        <c:delete val="1"/>
      </c:legendEntry>
      <c:legendEntry>
        <c:idx val="3"/>
        <c:delete val="1"/>
      </c:legendEntry>
      <c:legendEntry>
        <c:idx val="4"/>
        <c:delete val="1"/>
      </c:legendEntry>
      <c:layout>
        <c:manualLayout>
          <c:xMode val="edge"/>
          <c:yMode val="edge"/>
          <c:x val="0.3021062912846742"/>
          <c:y val="0.9088850537518427"/>
          <c:w val="0.39578741743065543"/>
          <c:h val="8.1982526156833227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GHEA Grapalat" panose="02000506050000020003" pitchFamily="50" charset="0"/>
        </a:defRPr>
      </a:pPr>
      <a:endParaRPr lang="en-US"/>
    </a:p>
  </c:txPr>
  <c:externalData r:id="rId2">
    <c:autoUpdate val="0"/>
  </c:externalData>
  <c:userShapes r:id="rId3"/>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cap="none" spc="0" normalizeH="0" baseline="0">
                <a:solidFill>
                  <a:schemeClr val="tx1"/>
                </a:solidFill>
                <a:latin typeface="GHEA Grapalat" panose="02000506050000020003" pitchFamily="50" charset="0"/>
                <a:ea typeface="+mj-ea"/>
                <a:cs typeface="+mj-cs"/>
              </a:defRPr>
            </a:pPr>
            <a:r>
              <a:rPr lang="hy-AM" sz="900" i="1"/>
              <a:t>Կարճաժամկետ տոկոսադրույքներ, </a:t>
            </a:r>
            <a:r>
              <a:rPr lang="en-US" sz="900" i="1"/>
              <a:t>%</a:t>
            </a:r>
          </a:p>
        </c:rich>
      </c:tx>
      <c:overlay val="0"/>
      <c:spPr>
        <a:noFill/>
        <a:ln>
          <a:noFill/>
        </a:ln>
        <a:effectLst/>
      </c:spPr>
    </c:title>
    <c:autoTitleDeleted val="0"/>
    <c:plotArea>
      <c:layout>
        <c:manualLayout>
          <c:layoutTarget val="inner"/>
          <c:xMode val="edge"/>
          <c:yMode val="edge"/>
          <c:x val="0.11873660719946239"/>
          <c:y val="0.19546619172603474"/>
          <c:w val="0.83697997895190634"/>
          <c:h val="0.34204632060829027"/>
        </c:manualLayout>
      </c:layout>
      <c:lineChart>
        <c:grouping val="standard"/>
        <c:varyColors val="0"/>
        <c:ser>
          <c:idx val="0"/>
          <c:order val="0"/>
          <c:tx>
            <c:strRef>
              <c:f>Sheet1!$B$1</c:f>
              <c:strCache>
                <c:ptCount val="1"/>
                <c:pt idx="0">
                  <c:v>ԿԲ վերաֆինանսավորման տոկոսադրույք</c:v>
                </c:pt>
              </c:strCache>
            </c:strRef>
          </c:tx>
          <c:spPr>
            <a:ln w="22225" cap="rnd">
              <a:solidFill>
                <a:schemeClr val="accent1"/>
              </a:solidFill>
              <a:round/>
            </a:ln>
            <a:effectLst/>
          </c:spPr>
          <c:marker>
            <c:symbol val="none"/>
          </c:marker>
          <c:cat>
            <c:strRef>
              <c:f>Sheet1!$A$2:$A$42</c:f>
              <c:strCache>
                <c:ptCount val="41"/>
                <c:pt idx="0">
                  <c:v>2017/1</c:v>
                </c:pt>
                <c:pt idx="1">
                  <c:v>2017/2</c:v>
                </c:pt>
                <c:pt idx="2">
                  <c:v>2017/3</c:v>
                </c:pt>
                <c:pt idx="3">
                  <c:v>2017/4</c:v>
                </c:pt>
                <c:pt idx="4">
                  <c:v>2017/5</c:v>
                </c:pt>
                <c:pt idx="5">
                  <c:v>2017/6</c:v>
                </c:pt>
                <c:pt idx="6">
                  <c:v>2017/7</c:v>
                </c:pt>
                <c:pt idx="7">
                  <c:v>2017/8</c:v>
                </c:pt>
                <c:pt idx="8">
                  <c:v>2017/9</c:v>
                </c:pt>
                <c:pt idx="9">
                  <c:v>2017/10</c:v>
                </c:pt>
                <c:pt idx="10">
                  <c:v>2017/11</c:v>
                </c:pt>
                <c:pt idx="11">
                  <c:v>2017/12</c:v>
                </c:pt>
                <c:pt idx="12">
                  <c:v>2018/1</c:v>
                </c:pt>
                <c:pt idx="13">
                  <c:v>2018/2</c:v>
                </c:pt>
                <c:pt idx="14">
                  <c:v>2018/3</c:v>
                </c:pt>
                <c:pt idx="15">
                  <c:v>2018/4</c:v>
                </c:pt>
                <c:pt idx="16">
                  <c:v>2018/5</c:v>
                </c:pt>
                <c:pt idx="17">
                  <c:v>2018/6</c:v>
                </c:pt>
                <c:pt idx="18">
                  <c:v>2018/7</c:v>
                </c:pt>
                <c:pt idx="19">
                  <c:v>2018/8</c:v>
                </c:pt>
                <c:pt idx="20">
                  <c:v>2018/9</c:v>
                </c:pt>
                <c:pt idx="21">
                  <c:v>2018/10</c:v>
                </c:pt>
                <c:pt idx="22">
                  <c:v>2018/11</c:v>
                </c:pt>
                <c:pt idx="23">
                  <c:v>2018/12</c:v>
                </c:pt>
                <c:pt idx="24">
                  <c:v>2019/1</c:v>
                </c:pt>
                <c:pt idx="25">
                  <c:v>2019/2</c:v>
                </c:pt>
                <c:pt idx="26">
                  <c:v>2019/3</c:v>
                </c:pt>
                <c:pt idx="27">
                  <c:v>2019/4</c:v>
                </c:pt>
                <c:pt idx="28">
                  <c:v>2019/5</c:v>
                </c:pt>
                <c:pt idx="29">
                  <c:v>2019/6</c:v>
                </c:pt>
                <c:pt idx="30">
                  <c:v>2019/7</c:v>
                </c:pt>
                <c:pt idx="31">
                  <c:v>2019/8</c:v>
                </c:pt>
                <c:pt idx="32">
                  <c:v>2019/9</c:v>
                </c:pt>
                <c:pt idx="33">
                  <c:v>2019/10</c:v>
                </c:pt>
                <c:pt idx="34">
                  <c:v>2019/11</c:v>
                </c:pt>
                <c:pt idx="35">
                  <c:v>2019/12</c:v>
                </c:pt>
                <c:pt idx="36">
                  <c:v>2020/1</c:v>
                </c:pt>
                <c:pt idx="37">
                  <c:v>2020/2</c:v>
                </c:pt>
                <c:pt idx="38">
                  <c:v>2020/3</c:v>
                </c:pt>
                <c:pt idx="39">
                  <c:v>2020/4</c:v>
                </c:pt>
                <c:pt idx="40">
                  <c:v>2020/5</c:v>
                </c:pt>
              </c:strCache>
            </c:strRef>
          </c:cat>
          <c:val>
            <c:numRef>
              <c:f>Sheet1!$B$2:$B$42</c:f>
              <c:numCache>
                <c:formatCode>0.0</c:formatCode>
                <c:ptCount val="41"/>
                <c:pt idx="0">
                  <c:v>6.25</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5.75</c:v>
                </c:pt>
                <c:pt idx="25">
                  <c:v>5.75</c:v>
                </c:pt>
                <c:pt idx="26">
                  <c:v>5.75</c:v>
                </c:pt>
                <c:pt idx="27">
                  <c:v>5.75</c:v>
                </c:pt>
                <c:pt idx="28">
                  <c:v>5.75</c:v>
                </c:pt>
                <c:pt idx="29">
                  <c:v>5.75</c:v>
                </c:pt>
                <c:pt idx="30">
                  <c:v>5.75</c:v>
                </c:pt>
                <c:pt idx="31">
                  <c:v>5.75</c:v>
                </c:pt>
                <c:pt idx="32">
                  <c:v>5.5</c:v>
                </c:pt>
                <c:pt idx="33">
                  <c:v>5.5</c:v>
                </c:pt>
                <c:pt idx="34">
                  <c:v>5.5</c:v>
                </c:pt>
                <c:pt idx="35">
                  <c:v>5.5</c:v>
                </c:pt>
                <c:pt idx="36">
                  <c:v>5.5</c:v>
                </c:pt>
                <c:pt idx="37">
                  <c:v>5.5</c:v>
                </c:pt>
                <c:pt idx="38">
                  <c:v>5.25</c:v>
                </c:pt>
                <c:pt idx="39">
                  <c:v>5</c:v>
                </c:pt>
                <c:pt idx="40">
                  <c:v>5</c:v>
                </c:pt>
              </c:numCache>
            </c:numRef>
          </c:val>
          <c:smooth val="0"/>
          <c:extLst>
            <c:ext xmlns:c16="http://schemas.microsoft.com/office/drawing/2014/chart" uri="{C3380CC4-5D6E-409C-BE32-E72D297353CC}">
              <c16:uniqueId val="{00000000-095A-47F7-B0C1-D303914D0E4F}"/>
            </c:ext>
          </c:extLst>
        </c:ser>
        <c:ser>
          <c:idx val="1"/>
          <c:order val="1"/>
          <c:tx>
            <c:strRef>
              <c:f>Sheet1!$C$1</c:f>
              <c:strCache>
                <c:ptCount val="1"/>
                <c:pt idx="0">
                  <c:v>Միջբանկային ռեպո տոկոսադրույք </c:v>
                </c:pt>
              </c:strCache>
            </c:strRef>
          </c:tx>
          <c:spPr>
            <a:ln w="22225" cap="rnd">
              <a:solidFill>
                <a:schemeClr val="accent2"/>
              </a:solidFill>
              <a:round/>
            </a:ln>
            <a:effectLst/>
          </c:spPr>
          <c:marker>
            <c:symbol val="none"/>
          </c:marker>
          <c:cat>
            <c:strRef>
              <c:f>Sheet1!$A$2:$A$42</c:f>
              <c:strCache>
                <c:ptCount val="41"/>
                <c:pt idx="0">
                  <c:v>2017/1</c:v>
                </c:pt>
                <c:pt idx="1">
                  <c:v>2017/2</c:v>
                </c:pt>
                <c:pt idx="2">
                  <c:v>2017/3</c:v>
                </c:pt>
                <c:pt idx="3">
                  <c:v>2017/4</c:v>
                </c:pt>
                <c:pt idx="4">
                  <c:v>2017/5</c:v>
                </c:pt>
                <c:pt idx="5">
                  <c:v>2017/6</c:v>
                </c:pt>
                <c:pt idx="6">
                  <c:v>2017/7</c:v>
                </c:pt>
                <c:pt idx="7">
                  <c:v>2017/8</c:v>
                </c:pt>
                <c:pt idx="8">
                  <c:v>2017/9</c:v>
                </c:pt>
                <c:pt idx="9">
                  <c:v>2017/10</c:v>
                </c:pt>
                <c:pt idx="10">
                  <c:v>2017/11</c:v>
                </c:pt>
                <c:pt idx="11">
                  <c:v>2017/12</c:v>
                </c:pt>
                <c:pt idx="12">
                  <c:v>2018/1</c:v>
                </c:pt>
                <c:pt idx="13">
                  <c:v>2018/2</c:v>
                </c:pt>
                <c:pt idx="14">
                  <c:v>2018/3</c:v>
                </c:pt>
                <c:pt idx="15">
                  <c:v>2018/4</c:v>
                </c:pt>
                <c:pt idx="16">
                  <c:v>2018/5</c:v>
                </c:pt>
                <c:pt idx="17">
                  <c:v>2018/6</c:v>
                </c:pt>
                <c:pt idx="18">
                  <c:v>2018/7</c:v>
                </c:pt>
                <c:pt idx="19">
                  <c:v>2018/8</c:v>
                </c:pt>
                <c:pt idx="20">
                  <c:v>2018/9</c:v>
                </c:pt>
                <c:pt idx="21">
                  <c:v>2018/10</c:v>
                </c:pt>
                <c:pt idx="22">
                  <c:v>2018/11</c:v>
                </c:pt>
                <c:pt idx="23">
                  <c:v>2018/12</c:v>
                </c:pt>
                <c:pt idx="24">
                  <c:v>2019/1</c:v>
                </c:pt>
                <c:pt idx="25">
                  <c:v>2019/2</c:v>
                </c:pt>
                <c:pt idx="26">
                  <c:v>2019/3</c:v>
                </c:pt>
                <c:pt idx="27">
                  <c:v>2019/4</c:v>
                </c:pt>
                <c:pt idx="28">
                  <c:v>2019/5</c:v>
                </c:pt>
                <c:pt idx="29">
                  <c:v>2019/6</c:v>
                </c:pt>
                <c:pt idx="30">
                  <c:v>2019/7</c:v>
                </c:pt>
                <c:pt idx="31">
                  <c:v>2019/8</c:v>
                </c:pt>
                <c:pt idx="32">
                  <c:v>2019/9</c:v>
                </c:pt>
                <c:pt idx="33">
                  <c:v>2019/10</c:v>
                </c:pt>
                <c:pt idx="34">
                  <c:v>2019/11</c:v>
                </c:pt>
                <c:pt idx="35">
                  <c:v>2019/12</c:v>
                </c:pt>
                <c:pt idx="36">
                  <c:v>2020/1</c:v>
                </c:pt>
                <c:pt idx="37">
                  <c:v>2020/2</c:v>
                </c:pt>
                <c:pt idx="38">
                  <c:v>2020/3</c:v>
                </c:pt>
                <c:pt idx="39">
                  <c:v>2020/4</c:v>
                </c:pt>
                <c:pt idx="40">
                  <c:v>2020/5</c:v>
                </c:pt>
              </c:strCache>
            </c:strRef>
          </c:cat>
          <c:val>
            <c:numRef>
              <c:f>Sheet1!$C$2:$C$42</c:f>
              <c:numCache>
                <c:formatCode>0.0</c:formatCode>
                <c:ptCount val="41"/>
                <c:pt idx="0">
                  <c:v>6.02</c:v>
                </c:pt>
                <c:pt idx="1">
                  <c:v>6.1199999999999966</c:v>
                </c:pt>
                <c:pt idx="2">
                  <c:v>6.03</c:v>
                </c:pt>
                <c:pt idx="3">
                  <c:v>6.04</c:v>
                </c:pt>
                <c:pt idx="4">
                  <c:v>5.89</c:v>
                </c:pt>
                <c:pt idx="5">
                  <c:v>5.64</c:v>
                </c:pt>
                <c:pt idx="6">
                  <c:v>5.6</c:v>
                </c:pt>
                <c:pt idx="7">
                  <c:v>5.24</c:v>
                </c:pt>
                <c:pt idx="8">
                  <c:v>5.1899999999999995</c:v>
                </c:pt>
                <c:pt idx="9">
                  <c:v>5.7</c:v>
                </c:pt>
                <c:pt idx="10">
                  <c:v>5.8599999999999985</c:v>
                </c:pt>
                <c:pt idx="11">
                  <c:v>6.1199999999999966</c:v>
                </c:pt>
                <c:pt idx="12">
                  <c:v>6.03</c:v>
                </c:pt>
                <c:pt idx="13">
                  <c:v>5.85</c:v>
                </c:pt>
                <c:pt idx="14">
                  <c:v>5.99</c:v>
                </c:pt>
                <c:pt idx="15">
                  <c:v>5.9300000000000024</c:v>
                </c:pt>
                <c:pt idx="16">
                  <c:v>6.23</c:v>
                </c:pt>
                <c:pt idx="17">
                  <c:v>6.45</c:v>
                </c:pt>
                <c:pt idx="18">
                  <c:v>6.22</c:v>
                </c:pt>
                <c:pt idx="19">
                  <c:v>6.17</c:v>
                </c:pt>
                <c:pt idx="20">
                  <c:v>6.14</c:v>
                </c:pt>
                <c:pt idx="21">
                  <c:v>6.1</c:v>
                </c:pt>
                <c:pt idx="22">
                  <c:v>6.1599999999999975</c:v>
                </c:pt>
                <c:pt idx="23">
                  <c:v>6.22</c:v>
                </c:pt>
                <c:pt idx="24">
                  <c:v>6.1499999999999995</c:v>
                </c:pt>
                <c:pt idx="25">
                  <c:v>5.8</c:v>
                </c:pt>
                <c:pt idx="26">
                  <c:v>5.84</c:v>
                </c:pt>
                <c:pt idx="27">
                  <c:v>5.95</c:v>
                </c:pt>
                <c:pt idx="28">
                  <c:v>5.83</c:v>
                </c:pt>
                <c:pt idx="29">
                  <c:v>5.84</c:v>
                </c:pt>
                <c:pt idx="30">
                  <c:v>5.81</c:v>
                </c:pt>
                <c:pt idx="31">
                  <c:v>5.83</c:v>
                </c:pt>
                <c:pt idx="32">
                  <c:v>5.68</c:v>
                </c:pt>
                <c:pt idx="33">
                  <c:v>5.59</c:v>
                </c:pt>
                <c:pt idx="34">
                  <c:v>5.5</c:v>
                </c:pt>
                <c:pt idx="35">
                  <c:v>5.56</c:v>
                </c:pt>
                <c:pt idx="36">
                  <c:v>5.55</c:v>
                </c:pt>
                <c:pt idx="37">
                  <c:v>5.54</c:v>
                </c:pt>
                <c:pt idx="38">
                  <c:v>5.33</c:v>
                </c:pt>
                <c:pt idx="39">
                  <c:v>5.2700000000000014</c:v>
                </c:pt>
                <c:pt idx="40">
                  <c:v>5.1499999999999995</c:v>
                </c:pt>
              </c:numCache>
            </c:numRef>
          </c:val>
          <c:smooth val="0"/>
          <c:extLst>
            <c:ext xmlns:c16="http://schemas.microsoft.com/office/drawing/2014/chart" uri="{C3380CC4-5D6E-409C-BE32-E72D297353CC}">
              <c16:uniqueId val="{00000001-095A-47F7-B0C1-D303914D0E4F}"/>
            </c:ext>
          </c:extLst>
        </c:ser>
        <c:ser>
          <c:idx val="2"/>
          <c:order val="2"/>
          <c:tx>
            <c:strRef>
              <c:f>Sheet1!$D$1</c:f>
              <c:strCache>
                <c:ptCount val="1"/>
                <c:pt idx="0">
                  <c:v>1 տարի ժ․կ․ ՊՊ եկամտ․</c:v>
                </c:pt>
              </c:strCache>
            </c:strRef>
          </c:tx>
          <c:spPr>
            <a:ln w="22225" cap="rnd">
              <a:solidFill>
                <a:schemeClr val="accent3"/>
              </a:solidFill>
              <a:round/>
            </a:ln>
            <a:effectLst/>
          </c:spPr>
          <c:marker>
            <c:symbol val="none"/>
          </c:marker>
          <c:cat>
            <c:strRef>
              <c:f>Sheet1!$A$2:$A$42</c:f>
              <c:strCache>
                <c:ptCount val="41"/>
                <c:pt idx="0">
                  <c:v>2017/1</c:v>
                </c:pt>
                <c:pt idx="1">
                  <c:v>2017/2</c:v>
                </c:pt>
                <c:pt idx="2">
                  <c:v>2017/3</c:v>
                </c:pt>
                <c:pt idx="3">
                  <c:v>2017/4</c:v>
                </c:pt>
                <c:pt idx="4">
                  <c:v>2017/5</c:v>
                </c:pt>
                <c:pt idx="5">
                  <c:v>2017/6</c:v>
                </c:pt>
                <c:pt idx="6">
                  <c:v>2017/7</c:v>
                </c:pt>
                <c:pt idx="7">
                  <c:v>2017/8</c:v>
                </c:pt>
                <c:pt idx="8">
                  <c:v>2017/9</c:v>
                </c:pt>
                <c:pt idx="9">
                  <c:v>2017/10</c:v>
                </c:pt>
                <c:pt idx="10">
                  <c:v>2017/11</c:v>
                </c:pt>
                <c:pt idx="11">
                  <c:v>2017/12</c:v>
                </c:pt>
                <c:pt idx="12">
                  <c:v>2018/1</c:v>
                </c:pt>
                <c:pt idx="13">
                  <c:v>2018/2</c:v>
                </c:pt>
                <c:pt idx="14">
                  <c:v>2018/3</c:v>
                </c:pt>
                <c:pt idx="15">
                  <c:v>2018/4</c:v>
                </c:pt>
                <c:pt idx="16">
                  <c:v>2018/5</c:v>
                </c:pt>
                <c:pt idx="17">
                  <c:v>2018/6</c:v>
                </c:pt>
                <c:pt idx="18">
                  <c:v>2018/7</c:v>
                </c:pt>
                <c:pt idx="19">
                  <c:v>2018/8</c:v>
                </c:pt>
                <c:pt idx="20">
                  <c:v>2018/9</c:v>
                </c:pt>
                <c:pt idx="21">
                  <c:v>2018/10</c:v>
                </c:pt>
                <c:pt idx="22">
                  <c:v>2018/11</c:v>
                </c:pt>
                <c:pt idx="23">
                  <c:v>2018/12</c:v>
                </c:pt>
                <c:pt idx="24">
                  <c:v>2019/1</c:v>
                </c:pt>
                <c:pt idx="25">
                  <c:v>2019/2</c:v>
                </c:pt>
                <c:pt idx="26">
                  <c:v>2019/3</c:v>
                </c:pt>
                <c:pt idx="27">
                  <c:v>2019/4</c:v>
                </c:pt>
                <c:pt idx="28">
                  <c:v>2019/5</c:v>
                </c:pt>
                <c:pt idx="29">
                  <c:v>2019/6</c:v>
                </c:pt>
                <c:pt idx="30">
                  <c:v>2019/7</c:v>
                </c:pt>
                <c:pt idx="31">
                  <c:v>2019/8</c:v>
                </c:pt>
                <c:pt idx="32">
                  <c:v>2019/9</c:v>
                </c:pt>
                <c:pt idx="33">
                  <c:v>2019/10</c:v>
                </c:pt>
                <c:pt idx="34">
                  <c:v>2019/11</c:v>
                </c:pt>
                <c:pt idx="35">
                  <c:v>2019/12</c:v>
                </c:pt>
                <c:pt idx="36">
                  <c:v>2020/1</c:v>
                </c:pt>
                <c:pt idx="37">
                  <c:v>2020/2</c:v>
                </c:pt>
                <c:pt idx="38">
                  <c:v>2020/3</c:v>
                </c:pt>
                <c:pt idx="39">
                  <c:v>2020/4</c:v>
                </c:pt>
                <c:pt idx="40">
                  <c:v>2020/5</c:v>
                </c:pt>
              </c:strCache>
            </c:strRef>
          </c:cat>
          <c:val>
            <c:numRef>
              <c:f>Sheet1!$D$2:$D$42</c:f>
              <c:numCache>
                <c:formatCode>0.0</c:formatCode>
                <c:ptCount val="41"/>
                <c:pt idx="0">
                  <c:v>7.8422000000000001</c:v>
                </c:pt>
                <c:pt idx="1">
                  <c:v>7.8104999999999976</c:v>
                </c:pt>
                <c:pt idx="2">
                  <c:v>7.1676999999999955</c:v>
                </c:pt>
                <c:pt idx="3">
                  <c:v>6.7956000000000003</c:v>
                </c:pt>
                <c:pt idx="4">
                  <c:v>6.7788000000000004</c:v>
                </c:pt>
                <c:pt idx="5">
                  <c:v>6.7080000000000002</c:v>
                </c:pt>
                <c:pt idx="6">
                  <c:v>6.6270999999999898</c:v>
                </c:pt>
                <c:pt idx="7">
                  <c:v>6.6393000000000004</c:v>
                </c:pt>
                <c:pt idx="8">
                  <c:v>6.5145999999999908</c:v>
                </c:pt>
                <c:pt idx="9">
                  <c:v>6.3975999999999908</c:v>
                </c:pt>
                <c:pt idx="10">
                  <c:v>6.2988</c:v>
                </c:pt>
                <c:pt idx="11">
                  <c:v>6.2483000000000004</c:v>
                </c:pt>
                <c:pt idx="12">
                  <c:v>6.2997000000000014</c:v>
                </c:pt>
                <c:pt idx="13">
                  <c:v>6.2244999999999955</c:v>
                </c:pt>
                <c:pt idx="14">
                  <c:v>6.3673999999999955</c:v>
                </c:pt>
                <c:pt idx="15">
                  <c:v>6.47820000000001</c:v>
                </c:pt>
                <c:pt idx="16">
                  <c:v>6.5214999999999996</c:v>
                </c:pt>
                <c:pt idx="17">
                  <c:v>6.5461999999999998</c:v>
                </c:pt>
                <c:pt idx="18">
                  <c:v>6.5838999999999999</c:v>
                </c:pt>
                <c:pt idx="19">
                  <c:v>6.5258999999999965</c:v>
                </c:pt>
                <c:pt idx="20">
                  <c:v>6.6818</c:v>
                </c:pt>
                <c:pt idx="21">
                  <c:v>6.6275999999999877</c:v>
                </c:pt>
                <c:pt idx="22">
                  <c:v>6.6434999999999995</c:v>
                </c:pt>
                <c:pt idx="23">
                  <c:v>6.6265999999999945</c:v>
                </c:pt>
                <c:pt idx="24">
                  <c:v>6.6568999999999985</c:v>
                </c:pt>
                <c:pt idx="25">
                  <c:v>6.5744999999999996</c:v>
                </c:pt>
                <c:pt idx="26">
                  <c:v>6.5628999999999955</c:v>
                </c:pt>
                <c:pt idx="27">
                  <c:v>6.4889000000000001</c:v>
                </c:pt>
                <c:pt idx="28">
                  <c:v>6.2850999999999999</c:v>
                </c:pt>
                <c:pt idx="29">
                  <c:v>6.2453000000000003</c:v>
                </c:pt>
                <c:pt idx="30">
                  <c:v>6.2606000000000002</c:v>
                </c:pt>
                <c:pt idx="31">
                  <c:v>6.2698999999999998</c:v>
                </c:pt>
                <c:pt idx="32">
                  <c:v>6.1853999999999996</c:v>
                </c:pt>
                <c:pt idx="33">
                  <c:v>6.0438999999999998</c:v>
                </c:pt>
                <c:pt idx="34">
                  <c:v>6.0017000000000014</c:v>
                </c:pt>
                <c:pt idx="35">
                  <c:v>5.9264000000000001</c:v>
                </c:pt>
                <c:pt idx="36">
                  <c:v>5.8770999999999995</c:v>
                </c:pt>
                <c:pt idx="37">
                  <c:v>5.7817000000000034</c:v>
                </c:pt>
                <c:pt idx="38">
                  <c:v>5.7742000000000004</c:v>
                </c:pt>
                <c:pt idx="39">
                  <c:v>5.8629999999999907</c:v>
                </c:pt>
                <c:pt idx="40">
                  <c:v>5.8614999999999995</c:v>
                </c:pt>
              </c:numCache>
            </c:numRef>
          </c:val>
          <c:smooth val="0"/>
          <c:extLst>
            <c:ext xmlns:c16="http://schemas.microsoft.com/office/drawing/2014/chart" uri="{C3380CC4-5D6E-409C-BE32-E72D297353CC}">
              <c16:uniqueId val="{00000002-095A-47F7-B0C1-D303914D0E4F}"/>
            </c:ext>
          </c:extLst>
        </c:ser>
        <c:dLbls>
          <c:showLegendKey val="0"/>
          <c:showVal val="0"/>
          <c:showCatName val="0"/>
          <c:showSerName val="0"/>
          <c:showPercent val="0"/>
          <c:showBubbleSize val="0"/>
        </c:dLbls>
        <c:smooth val="0"/>
        <c:axId val="-684472848"/>
        <c:axId val="-684495696"/>
      </c:lineChart>
      <c:catAx>
        <c:axId val="-68447284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GHEA Grapalat" panose="02000506050000020003" pitchFamily="50" charset="0"/>
                <a:ea typeface="+mn-ea"/>
                <a:cs typeface="+mn-cs"/>
              </a:defRPr>
            </a:pPr>
            <a:endParaRPr lang="en-US"/>
          </a:p>
        </c:txPr>
        <c:crossAx val="-684495696"/>
        <c:crosses val="autoZero"/>
        <c:auto val="1"/>
        <c:lblAlgn val="ctr"/>
        <c:lblOffset val="100"/>
        <c:noMultiLvlLbl val="0"/>
      </c:catAx>
      <c:valAx>
        <c:axId val="-684495696"/>
        <c:scaling>
          <c:orientation val="minMax"/>
          <c:min val="4"/>
        </c:scaling>
        <c:delete val="0"/>
        <c:axPos val="l"/>
        <c:majorGridlines>
          <c:spPr>
            <a:ln w="9525" cap="flat" cmpd="sng" algn="ctr">
              <a:solidFill>
                <a:schemeClr val="dk1">
                  <a:lumMod val="15000"/>
                  <a:lumOff val="85000"/>
                  <a:alpha val="54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GHEA Grapalat" panose="02000506050000020003" pitchFamily="50" charset="0"/>
                <a:ea typeface="+mn-ea"/>
                <a:cs typeface="+mn-cs"/>
              </a:defRPr>
            </a:pPr>
            <a:endParaRPr lang="en-US"/>
          </a:p>
        </c:txPr>
        <c:crossAx val="-684472848"/>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2.5422546819328741E-2"/>
          <c:y val="0.77057094314875862"/>
          <c:w val="0.95318035426731051"/>
          <c:h val="0.2058509331557099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GHEA Grapalat" panose="02000506050000020003" pitchFamily="50"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solidFill>
            <a:schemeClr val="tx1"/>
          </a:solidFill>
          <a:latin typeface="GHEA Grapalat" panose="02000506050000020003" pitchFamily="50" charset="0"/>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cap="none" spc="0" normalizeH="0" baseline="0">
                <a:solidFill>
                  <a:schemeClr val="tx1"/>
                </a:solidFill>
                <a:latin typeface="GHEA Grapalat" panose="02000506050000020003" pitchFamily="50" charset="0"/>
                <a:ea typeface="+mj-ea"/>
                <a:cs typeface="+mj-cs"/>
              </a:defRPr>
            </a:pPr>
            <a:r>
              <a:rPr lang="hy-AM" sz="900" b="1" i="1"/>
              <a:t>ԿԲ գործառնություններ, մլն դրամ</a:t>
            </a:r>
            <a:endParaRPr lang="en-US" sz="900" b="1" i="1"/>
          </a:p>
        </c:rich>
      </c:tx>
      <c:overlay val="0"/>
      <c:spPr>
        <a:noFill/>
        <a:ln>
          <a:noFill/>
        </a:ln>
        <a:effectLst/>
      </c:spPr>
    </c:title>
    <c:autoTitleDeleted val="0"/>
    <c:plotArea>
      <c:layout>
        <c:manualLayout>
          <c:layoutTarget val="inner"/>
          <c:xMode val="edge"/>
          <c:yMode val="edge"/>
          <c:x val="0.19427659505524772"/>
          <c:y val="0.14718253968253969"/>
          <c:w val="0.76045591523281864"/>
          <c:h val="0.49661948506436793"/>
        </c:manualLayout>
      </c:layout>
      <c:areaChart>
        <c:grouping val="standard"/>
        <c:varyColors val="0"/>
        <c:ser>
          <c:idx val="0"/>
          <c:order val="0"/>
          <c:tx>
            <c:strRef>
              <c:f>Sheet1!$B$1</c:f>
              <c:strCache>
                <c:ptCount val="1"/>
                <c:pt idx="0">
                  <c:v>Ռեպո համաձայնագրեր</c:v>
                </c:pt>
              </c:strCache>
            </c:strRef>
          </c:tx>
          <c:spPr>
            <a:solidFill>
              <a:schemeClr val="accent1"/>
            </a:solidFill>
            <a:ln>
              <a:noFill/>
            </a:ln>
            <a:effectLst/>
          </c:spPr>
          <c:cat>
            <c:strRef>
              <c:f>Sheet1!$A$2:$A$42</c:f>
              <c:strCache>
                <c:ptCount val="41"/>
                <c:pt idx="0">
                  <c:v>2017/1</c:v>
                </c:pt>
                <c:pt idx="1">
                  <c:v>2017/2</c:v>
                </c:pt>
                <c:pt idx="2">
                  <c:v>2017/3</c:v>
                </c:pt>
                <c:pt idx="3">
                  <c:v>2017/4</c:v>
                </c:pt>
                <c:pt idx="4">
                  <c:v>2017/5</c:v>
                </c:pt>
                <c:pt idx="5">
                  <c:v>2017/6</c:v>
                </c:pt>
                <c:pt idx="6">
                  <c:v>2017/7</c:v>
                </c:pt>
                <c:pt idx="7">
                  <c:v>2017/8</c:v>
                </c:pt>
                <c:pt idx="8">
                  <c:v>2017/9</c:v>
                </c:pt>
                <c:pt idx="9">
                  <c:v>2017/10</c:v>
                </c:pt>
                <c:pt idx="10">
                  <c:v>2017/11</c:v>
                </c:pt>
                <c:pt idx="11">
                  <c:v>2017/12</c:v>
                </c:pt>
                <c:pt idx="12">
                  <c:v>2018/1</c:v>
                </c:pt>
                <c:pt idx="13">
                  <c:v>2018/2</c:v>
                </c:pt>
                <c:pt idx="14">
                  <c:v>2018/3</c:v>
                </c:pt>
                <c:pt idx="15">
                  <c:v>2018/4</c:v>
                </c:pt>
                <c:pt idx="16">
                  <c:v>2018/5</c:v>
                </c:pt>
                <c:pt idx="17">
                  <c:v>2018/6</c:v>
                </c:pt>
                <c:pt idx="18">
                  <c:v>2018/7</c:v>
                </c:pt>
                <c:pt idx="19">
                  <c:v>2018/8</c:v>
                </c:pt>
                <c:pt idx="20">
                  <c:v>2018/9</c:v>
                </c:pt>
                <c:pt idx="21">
                  <c:v>2018/10</c:v>
                </c:pt>
                <c:pt idx="22">
                  <c:v>2018/11</c:v>
                </c:pt>
                <c:pt idx="23">
                  <c:v>2018/12</c:v>
                </c:pt>
                <c:pt idx="24">
                  <c:v>2019/1</c:v>
                </c:pt>
                <c:pt idx="25">
                  <c:v>2019/2</c:v>
                </c:pt>
                <c:pt idx="26">
                  <c:v>2019/3</c:v>
                </c:pt>
                <c:pt idx="27">
                  <c:v>2019/4</c:v>
                </c:pt>
                <c:pt idx="28">
                  <c:v>2019/5</c:v>
                </c:pt>
                <c:pt idx="29">
                  <c:v>2019/6</c:v>
                </c:pt>
                <c:pt idx="30">
                  <c:v>2019/7</c:v>
                </c:pt>
                <c:pt idx="31">
                  <c:v>2019/8</c:v>
                </c:pt>
                <c:pt idx="32">
                  <c:v>2019/9</c:v>
                </c:pt>
                <c:pt idx="33">
                  <c:v>2019/10</c:v>
                </c:pt>
                <c:pt idx="34">
                  <c:v>2019/11</c:v>
                </c:pt>
                <c:pt idx="35">
                  <c:v>2019/12</c:v>
                </c:pt>
                <c:pt idx="36">
                  <c:v>2020/1</c:v>
                </c:pt>
                <c:pt idx="37">
                  <c:v>2020/2</c:v>
                </c:pt>
                <c:pt idx="38">
                  <c:v>2020/3</c:v>
                </c:pt>
                <c:pt idx="39">
                  <c:v>2020/4</c:v>
                </c:pt>
                <c:pt idx="40">
                  <c:v>2020/5</c:v>
                </c:pt>
              </c:strCache>
            </c:strRef>
          </c:cat>
          <c:val>
            <c:numRef>
              <c:f>Sheet1!$B$2:$B$42</c:f>
              <c:numCache>
                <c:formatCode>#,##0</c:formatCode>
                <c:ptCount val="41"/>
                <c:pt idx="0">
                  <c:v>10010.340092</c:v>
                </c:pt>
                <c:pt idx="1">
                  <c:v>10010.026423000001</c:v>
                </c:pt>
                <c:pt idx="2">
                  <c:v>30010.117533999954</c:v>
                </c:pt>
                <c:pt idx="3">
                  <c:v>4963.1806970000034</c:v>
                </c:pt>
                <c:pt idx="4">
                  <c:v>0</c:v>
                </c:pt>
                <c:pt idx="5">
                  <c:v>28708.224384000041</c:v>
                </c:pt>
                <c:pt idx="6">
                  <c:v>0</c:v>
                </c:pt>
                <c:pt idx="7">
                  <c:v>0</c:v>
                </c:pt>
                <c:pt idx="8">
                  <c:v>8003.9846569999991</c:v>
                </c:pt>
                <c:pt idx="9">
                  <c:v>10009.918903999978</c:v>
                </c:pt>
                <c:pt idx="10">
                  <c:v>15002.515935999978</c:v>
                </c:pt>
                <c:pt idx="11">
                  <c:v>36918.863014000002</c:v>
                </c:pt>
                <c:pt idx="12">
                  <c:v>3100</c:v>
                </c:pt>
                <c:pt idx="13">
                  <c:v>0</c:v>
                </c:pt>
                <c:pt idx="14">
                  <c:v>23007.619177999914</c:v>
                </c:pt>
                <c:pt idx="15">
                  <c:v>31752.306124999999</c:v>
                </c:pt>
                <c:pt idx="16">
                  <c:v>9601.6037530000049</c:v>
                </c:pt>
                <c:pt idx="17">
                  <c:v>55427.193008999995</c:v>
                </c:pt>
                <c:pt idx="18">
                  <c:v>67770.798931999918</c:v>
                </c:pt>
                <c:pt idx="19">
                  <c:v>66187.783616999994</c:v>
                </c:pt>
                <c:pt idx="20">
                  <c:v>120590.769421</c:v>
                </c:pt>
                <c:pt idx="21">
                  <c:v>90000</c:v>
                </c:pt>
                <c:pt idx="22">
                  <c:v>120040.73906399999</c:v>
                </c:pt>
                <c:pt idx="23">
                  <c:v>163433.11258099999</c:v>
                </c:pt>
                <c:pt idx="24">
                  <c:v>180879.100263</c:v>
                </c:pt>
                <c:pt idx="25">
                  <c:v>180073.80962699966</c:v>
                </c:pt>
                <c:pt idx="26">
                  <c:v>220323.28971799964</c:v>
                </c:pt>
                <c:pt idx="27">
                  <c:v>260627.031609</c:v>
                </c:pt>
                <c:pt idx="28">
                  <c:v>190557.54955299967</c:v>
                </c:pt>
                <c:pt idx="29">
                  <c:v>190642.64951199995</c:v>
                </c:pt>
                <c:pt idx="30">
                  <c:v>170338.63131</c:v>
                </c:pt>
                <c:pt idx="31">
                  <c:v>150411.2699450003</c:v>
                </c:pt>
                <c:pt idx="32">
                  <c:v>150458.40972699967</c:v>
                </c:pt>
                <c:pt idx="33">
                  <c:v>108677.60079200008</c:v>
                </c:pt>
                <c:pt idx="34">
                  <c:v>65252.792568999997</c:v>
                </c:pt>
                <c:pt idx="35">
                  <c:v>126669.77420100001</c:v>
                </c:pt>
                <c:pt idx="36">
                  <c:v>130040.291826</c:v>
                </c:pt>
                <c:pt idx="37">
                  <c:v>70032.156334999992</c:v>
                </c:pt>
                <c:pt idx="38">
                  <c:v>150133.33468199967</c:v>
                </c:pt>
                <c:pt idx="39">
                  <c:v>195027.59827900011</c:v>
                </c:pt>
                <c:pt idx="40">
                  <c:v>196812.30303499967</c:v>
                </c:pt>
              </c:numCache>
            </c:numRef>
          </c:val>
          <c:extLst>
            <c:ext xmlns:c16="http://schemas.microsoft.com/office/drawing/2014/chart" uri="{C3380CC4-5D6E-409C-BE32-E72D297353CC}">
              <c16:uniqueId val="{00000000-4C74-4821-BE5F-DB82D70CD568}"/>
            </c:ext>
          </c:extLst>
        </c:ser>
        <c:ser>
          <c:idx val="1"/>
          <c:order val="1"/>
          <c:tx>
            <c:strRef>
              <c:f>Sheet1!$C$1</c:f>
              <c:strCache>
                <c:ptCount val="1"/>
                <c:pt idx="0">
                  <c:v>Արտարժույթի ներգրավման սվոփ</c:v>
                </c:pt>
              </c:strCache>
            </c:strRef>
          </c:tx>
          <c:spPr>
            <a:solidFill>
              <a:schemeClr val="accent2"/>
            </a:solidFill>
            <a:ln>
              <a:noFill/>
            </a:ln>
            <a:effectLst/>
          </c:spPr>
          <c:cat>
            <c:strRef>
              <c:f>Sheet1!$A$2:$A$42</c:f>
              <c:strCache>
                <c:ptCount val="41"/>
                <c:pt idx="0">
                  <c:v>2017/1</c:v>
                </c:pt>
                <c:pt idx="1">
                  <c:v>2017/2</c:v>
                </c:pt>
                <c:pt idx="2">
                  <c:v>2017/3</c:v>
                </c:pt>
                <c:pt idx="3">
                  <c:v>2017/4</c:v>
                </c:pt>
                <c:pt idx="4">
                  <c:v>2017/5</c:v>
                </c:pt>
                <c:pt idx="5">
                  <c:v>2017/6</c:v>
                </c:pt>
                <c:pt idx="6">
                  <c:v>2017/7</c:v>
                </c:pt>
                <c:pt idx="7">
                  <c:v>2017/8</c:v>
                </c:pt>
                <c:pt idx="8">
                  <c:v>2017/9</c:v>
                </c:pt>
                <c:pt idx="9">
                  <c:v>2017/10</c:v>
                </c:pt>
                <c:pt idx="10">
                  <c:v>2017/11</c:v>
                </c:pt>
                <c:pt idx="11">
                  <c:v>2017/12</c:v>
                </c:pt>
                <c:pt idx="12">
                  <c:v>2018/1</c:v>
                </c:pt>
                <c:pt idx="13">
                  <c:v>2018/2</c:v>
                </c:pt>
                <c:pt idx="14">
                  <c:v>2018/3</c:v>
                </c:pt>
                <c:pt idx="15">
                  <c:v>2018/4</c:v>
                </c:pt>
                <c:pt idx="16">
                  <c:v>2018/5</c:v>
                </c:pt>
                <c:pt idx="17">
                  <c:v>2018/6</c:v>
                </c:pt>
                <c:pt idx="18">
                  <c:v>2018/7</c:v>
                </c:pt>
                <c:pt idx="19">
                  <c:v>2018/8</c:v>
                </c:pt>
                <c:pt idx="20">
                  <c:v>2018/9</c:v>
                </c:pt>
                <c:pt idx="21">
                  <c:v>2018/10</c:v>
                </c:pt>
                <c:pt idx="22">
                  <c:v>2018/11</c:v>
                </c:pt>
                <c:pt idx="23">
                  <c:v>2018/12</c:v>
                </c:pt>
                <c:pt idx="24">
                  <c:v>2019/1</c:v>
                </c:pt>
                <c:pt idx="25">
                  <c:v>2019/2</c:v>
                </c:pt>
                <c:pt idx="26">
                  <c:v>2019/3</c:v>
                </c:pt>
                <c:pt idx="27">
                  <c:v>2019/4</c:v>
                </c:pt>
                <c:pt idx="28">
                  <c:v>2019/5</c:v>
                </c:pt>
                <c:pt idx="29">
                  <c:v>2019/6</c:v>
                </c:pt>
                <c:pt idx="30">
                  <c:v>2019/7</c:v>
                </c:pt>
                <c:pt idx="31">
                  <c:v>2019/8</c:v>
                </c:pt>
                <c:pt idx="32">
                  <c:v>2019/9</c:v>
                </c:pt>
                <c:pt idx="33">
                  <c:v>2019/10</c:v>
                </c:pt>
                <c:pt idx="34">
                  <c:v>2019/11</c:v>
                </c:pt>
                <c:pt idx="35">
                  <c:v>2019/12</c:v>
                </c:pt>
                <c:pt idx="36">
                  <c:v>2020/1</c:v>
                </c:pt>
                <c:pt idx="37">
                  <c:v>2020/2</c:v>
                </c:pt>
                <c:pt idx="38">
                  <c:v>2020/3</c:v>
                </c:pt>
                <c:pt idx="39">
                  <c:v>2020/4</c:v>
                </c:pt>
                <c:pt idx="40">
                  <c:v>2020/5</c:v>
                </c:pt>
              </c:strCache>
            </c:strRef>
          </c:cat>
          <c:val>
            <c:numRef>
              <c:f>Sheet1!$C$2:$C$42</c:f>
              <c:numCache>
                <c:formatCode>#,##0</c:formatCode>
                <c:ptCount val="4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10007.649315000002</c:v>
                </c:pt>
                <c:pt idx="15">
                  <c:v>25025.623835999999</c:v>
                </c:pt>
                <c:pt idx="16">
                  <c:v>9601.6037530000049</c:v>
                </c:pt>
                <c:pt idx="17">
                  <c:v>0</c:v>
                </c:pt>
                <c:pt idx="18">
                  <c:v>0</c:v>
                </c:pt>
                <c:pt idx="19">
                  <c:v>0</c:v>
                </c:pt>
                <c:pt idx="20">
                  <c:v>0</c:v>
                </c:pt>
                <c:pt idx="21">
                  <c:v>0</c:v>
                </c:pt>
                <c:pt idx="22">
                  <c:v>0</c:v>
                </c:pt>
                <c:pt idx="23">
                  <c:v>5351.1608177000007</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numCache>
            </c:numRef>
          </c:val>
          <c:extLst>
            <c:ext xmlns:c16="http://schemas.microsoft.com/office/drawing/2014/chart" uri="{C3380CC4-5D6E-409C-BE32-E72D297353CC}">
              <c16:uniqueId val="{00000001-4C74-4821-BE5F-DB82D70CD568}"/>
            </c:ext>
          </c:extLst>
        </c:ser>
        <c:ser>
          <c:idx val="2"/>
          <c:order val="2"/>
          <c:tx>
            <c:strRef>
              <c:f>Sheet1!$D$1</c:f>
              <c:strCache>
                <c:ptCount val="1"/>
                <c:pt idx="0">
                  <c:v>Ավանդներ </c:v>
                </c:pt>
              </c:strCache>
            </c:strRef>
          </c:tx>
          <c:spPr>
            <a:solidFill>
              <a:schemeClr val="accent3"/>
            </a:solidFill>
            <a:ln>
              <a:noFill/>
            </a:ln>
            <a:effectLst/>
          </c:spPr>
          <c:cat>
            <c:strRef>
              <c:f>Sheet1!$A$2:$A$42</c:f>
              <c:strCache>
                <c:ptCount val="41"/>
                <c:pt idx="0">
                  <c:v>2017/1</c:v>
                </c:pt>
                <c:pt idx="1">
                  <c:v>2017/2</c:v>
                </c:pt>
                <c:pt idx="2">
                  <c:v>2017/3</c:v>
                </c:pt>
                <c:pt idx="3">
                  <c:v>2017/4</c:v>
                </c:pt>
                <c:pt idx="4">
                  <c:v>2017/5</c:v>
                </c:pt>
                <c:pt idx="5">
                  <c:v>2017/6</c:v>
                </c:pt>
                <c:pt idx="6">
                  <c:v>2017/7</c:v>
                </c:pt>
                <c:pt idx="7">
                  <c:v>2017/8</c:v>
                </c:pt>
                <c:pt idx="8">
                  <c:v>2017/9</c:v>
                </c:pt>
                <c:pt idx="9">
                  <c:v>2017/10</c:v>
                </c:pt>
                <c:pt idx="10">
                  <c:v>2017/11</c:v>
                </c:pt>
                <c:pt idx="11">
                  <c:v>2017/12</c:v>
                </c:pt>
                <c:pt idx="12">
                  <c:v>2018/1</c:v>
                </c:pt>
                <c:pt idx="13">
                  <c:v>2018/2</c:v>
                </c:pt>
                <c:pt idx="14">
                  <c:v>2018/3</c:v>
                </c:pt>
                <c:pt idx="15">
                  <c:v>2018/4</c:v>
                </c:pt>
                <c:pt idx="16">
                  <c:v>2018/5</c:v>
                </c:pt>
                <c:pt idx="17">
                  <c:v>2018/6</c:v>
                </c:pt>
                <c:pt idx="18">
                  <c:v>2018/7</c:v>
                </c:pt>
                <c:pt idx="19">
                  <c:v>2018/8</c:v>
                </c:pt>
                <c:pt idx="20">
                  <c:v>2018/9</c:v>
                </c:pt>
                <c:pt idx="21">
                  <c:v>2018/10</c:v>
                </c:pt>
                <c:pt idx="22">
                  <c:v>2018/11</c:v>
                </c:pt>
                <c:pt idx="23">
                  <c:v>2018/12</c:v>
                </c:pt>
                <c:pt idx="24">
                  <c:v>2019/1</c:v>
                </c:pt>
                <c:pt idx="25">
                  <c:v>2019/2</c:v>
                </c:pt>
                <c:pt idx="26">
                  <c:v>2019/3</c:v>
                </c:pt>
                <c:pt idx="27">
                  <c:v>2019/4</c:v>
                </c:pt>
                <c:pt idx="28">
                  <c:v>2019/5</c:v>
                </c:pt>
                <c:pt idx="29">
                  <c:v>2019/6</c:v>
                </c:pt>
                <c:pt idx="30">
                  <c:v>2019/7</c:v>
                </c:pt>
                <c:pt idx="31">
                  <c:v>2019/8</c:v>
                </c:pt>
                <c:pt idx="32">
                  <c:v>2019/9</c:v>
                </c:pt>
                <c:pt idx="33">
                  <c:v>2019/10</c:v>
                </c:pt>
                <c:pt idx="34">
                  <c:v>2019/11</c:v>
                </c:pt>
                <c:pt idx="35">
                  <c:v>2019/12</c:v>
                </c:pt>
                <c:pt idx="36">
                  <c:v>2020/1</c:v>
                </c:pt>
                <c:pt idx="37">
                  <c:v>2020/2</c:v>
                </c:pt>
                <c:pt idx="38">
                  <c:v>2020/3</c:v>
                </c:pt>
                <c:pt idx="39">
                  <c:v>2020/4</c:v>
                </c:pt>
                <c:pt idx="40">
                  <c:v>2020/5</c:v>
                </c:pt>
              </c:strCache>
            </c:strRef>
          </c:cat>
          <c:val>
            <c:numRef>
              <c:f>Sheet1!$D$2:$D$42</c:f>
              <c:numCache>
                <c:formatCode>#,##0</c:formatCode>
                <c:ptCount val="41"/>
                <c:pt idx="0">
                  <c:v>0</c:v>
                </c:pt>
                <c:pt idx="1">
                  <c:v>0</c:v>
                </c:pt>
                <c:pt idx="2">
                  <c:v>-5300.6534247000054</c:v>
                </c:pt>
                <c:pt idx="3">
                  <c:v>-1500.5547944999998</c:v>
                </c:pt>
                <c:pt idx="4">
                  <c:v>-14001.7260274</c:v>
                </c:pt>
                <c:pt idx="5">
                  <c:v>-1200.1479451999999</c:v>
                </c:pt>
                <c:pt idx="6">
                  <c:v>-38004.6849315</c:v>
                </c:pt>
                <c:pt idx="7">
                  <c:v>-36504.500000100001</c:v>
                </c:pt>
                <c:pt idx="8">
                  <c:v>-3000.7397259999998</c:v>
                </c:pt>
                <c:pt idx="9">
                  <c:v>0</c:v>
                </c:pt>
                <c:pt idx="10">
                  <c:v>0</c:v>
                </c:pt>
                <c:pt idx="11">
                  <c:v>-66024.410958799999</c:v>
                </c:pt>
                <c:pt idx="12">
                  <c:v>0</c:v>
                </c:pt>
                <c:pt idx="13">
                  <c:v>-4000.4931507000056</c:v>
                </c:pt>
                <c:pt idx="14">
                  <c:v>0</c:v>
                </c:pt>
                <c:pt idx="15">
                  <c:v>0</c:v>
                </c:pt>
                <c:pt idx="16">
                  <c:v>0</c:v>
                </c:pt>
                <c:pt idx="17">
                  <c:v>0</c:v>
                </c:pt>
                <c:pt idx="18">
                  <c:v>0</c:v>
                </c:pt>
                <c:pt idx="19">
                  <c:v>0</c:v>
                </c:pt>
                <c:pt idx="20">
                  <c:v>0</c:v>
                </c:pt>
                <c:pt idx="21">
                  <c:v>0</c:v>
                </c:pt>
                <c:pt idx="22">
                  <c:v>0</c:v>
                </c:pt>
                <c:pt idx="23">
                  <c:v>-12306.065753399997</c:v>
                </c:pt>
                <c:pt idx="24">
                  <c:v>0</c:v>
                </c:pt>
                <c:pt idx="25">
                  <c:v>0</c:v>
                </c:pt>
                <c:pt idx="26">
                  <c:v>0</c:v>
                </c:pt>
                <c:pt idx="27">
                  <c:v>0</c:v>
                </c:pt>
                <c:pt idx="28">
                  <c:v>-6000.6986301000024</c:v>
                </c:pt>
                <c:pt idx="29">
                  <c:v>-5001.7465753000006</c:v>
                </c:pt>
                <c:pt idx="30">
                  <c:v>-4400.5123288000004</c:v>
                </c:pt>
                <c:pt idx="31">
                  <c:v>0</c:v>
                </c:pt>
                <c:pt idx="32">
                  <c:v>-4000.4383562000066</c:v>
                </c:pt>
                <c:pt idx="33">
                  <c:v>-4000.4383562000066</c:v>
                </c:pt>
                <c:pt idx="34">
                  <c:v>-5501.2054795000004</c:v>
                </c:pt>
                <c:pt idx="35">
                  <c:v>-38508.438356100043</c:v>
                </c:pt>
                <c:pt idx="36">
                  <c:v>0</c:v>
                </c:pt>
                <c:pt idx="37">
                  <c:v>-2200.4808742999999</c:v>
                </c:pt>
                <c:pt idx="38">
                  <c:v>0</c:v>
                </c:pt>
                <c:pt idx="39">
                  <c:v>0</c:v>
                </c:pt>
                <c:pt idx="40">
                  <c:v>0</c:v>
                </c:pt>
              </c:numCache>
            </c:numRef>
          </c:val>
          <c:extLst>
            <c:ext xmlns:c16="http://schemas.microsoft.com/office/drawing/2014/chart" uri="{C3380CC4-5D6E-409C-BE32-E72D297353CC}">
              <c16:uniqueId val="{00000002-4C74-4821-BE5F-DB82D70CD568}"/>
            </c:ext>
          </c:extLst>
        </c:ser>
        <c:ser>
          <c:idx val="3"/>
          <c:order val="3"/>
          <c:tx>
            <c:strRef>
              <c:f>Sheet1!$E$1</c:f>
              <c:strCache>
                <c:ptCount val="1"/>
                <c:pt idx="0">
                  <c:v>Հակադարձ ռեպո</c:v>
                </c:pt>
              </c:strCache>
            </c:strRef>
          </c:tx>
          <c:spPr>
            <a:solidFill>
              <a:schemeClr val="accent4"/>
            </a:solidFill>
            <a:ln>
              <a:noFill/>
            </a:ln>
            <a:effectLst/>
          </c:spPr>
          <c:cat>
            <c:strRef>
              <c:f>Sheet1!$A$2:$A$42</c:f>
              <c:strCache>
                <c:ptCount val="41"/>
                <c:pt idx="0">
                  <c:v>2017/1</c:v>
                </c:pt>
                <c:pt idx="1">
                  <c:v>2017/2</c:v>
                </c:pt>
                <c:pt idx="2">
                  <c:v>2017/3</c:v>
                </c:pt>
                <c:pt idx="3">
                  <c:v>2017/4</c:v>
                </c:pt>
                <c:pt idx="4">
                  <c:v>2017/5</c:v>
                </c:pt>
                <c:pt idx="5">
                  <c:v>2017/6</c:v>
                </c:pt>
                <c:pt idx="6">
                  <c:v>2017/7</c:v>
                </c:pt>
                <c:pt idx="7">
                  <c:v>2017/8</c:v>
                </c:pt>
                <c:pt idx="8">
                  <c:v>2017/9</c:v>
                </c:pt>
                <c:pt idx="9">
                  <c:v>2017/10</c:v>
                </c:pt>
                <c:pt idx="10">
                  <c:v>2017/11</c:v>
                </c:pt>
                <c:pt idx="11">
                  <c:v>2017/12</c:v>
                </c:pt>
                <c:pt idx="12">
                  <c:v>2018/1</c:v>
                </c:pt>
                <c:pt idx="13">
                  <c:v>2018/2</c:v>
                </c:pt>
                <c:pt idx="14">
                  <c:v>2018/3</c:v>
                </c:pt>
                <c:pt idx="15">
                  <c:v>2018/4</c:v>
                </c:pt>
                <c:pt idx="16">
                  <c:v>2018/5</c:v>
                </c:pt>
                <c:pt idx="17">
                  <c:v>2018/6</c:v>
                </c:pt>
                <c:pt idx="18">
                  <c:v>2018/7</c:v>
                </c:pt>
                <c:pt idx="19">
                  <c:v>2018/8</c:v>
                </c:pt>
                <c:pt idx="20">
                  <c:v>2018/9</c:v>
                </c:pt>
                <c:pt idx="21">
                  <c:v>2018/10</c:v>
                </c:pt>
                <c:pt idx="22">
                  <c:v>2018/11</c:v>
                </c:pt>
                <c:pt idx="23">
                  <c:v>2018/12</c:v>
                </c:pt>
                <c:pt idx="24">
                  <c:v>2019/1</c:v>
                </c:pt>
                <c:pt idx="25">
                  <c:v>2019/2</c:v>
                </c:pt>
                <c:pt idx="26">
                  <c:v>2019/3</c:v>
                </c:pt>
                <c:pt idx="27">
                  <c:v>2019/4</c:v>
                </c:pt>
                <c:pt idx="28">
                  <c:v>2019/5</c:v>
                </c:pt>
                <c:pt idx="29">
                  <c:v>2019/6</c:v>
                </c:pt>
                <c:pt idx="30">
                  <c:v>2019/7</c:v>
                </c:pt>
                <c:pt idx="31">
                  <c:v>2019/8</c:v>
                </c:pt>
                <c:pt idx="32">
                  <c:v>2019/9</c:v>
                </c:pt>
                <c:pt idx="33">
                  <c:v>2019/10</c:v>
                </c:pt>
                <c:pt idx="34">
                  <c:v>2019/11</c:v>
                </c:pt>
                <c:pt idx="35">
                  <c:v>2019/12</c:v>
                </c:pt>
                <c:pt idx="36">
                  <c:v>2020/1</c:v>
                </c:pt>
                <c:pt idx="37">
                  <c:v>2020/2</c:v>
                </c:pt>
                <c:pt idx="38">
                  <c:v>2020/3</c:v>
                </c:pt>
                <c:pt idx="39">
                  <c:v>2020/4</c:v>
                </c:pt>
                <c:pt idx="40">
                  <c:v>2020/5</c:v>
                </c:pt>
              </c:strCache>
            </c:strRef>
          </c:cat>
          <c:val>
            <c:numRef>
              <c:f>Sheet1!$E$2:$E$42</c:f>
              <c:numCache>
                <c:formatCode>#,##0</c:formatCode>
                <c:ptCount val="4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numCache>
            </c:numRef>
          </c:val>
          <c:extLst>
            <c:ext xmlns:c16="http://schemas.microsoft.com/office/drawing/2014/chart" uri="{C3380CC4-5D6E-409C-BE32-E72D297353CC}">
              <c16:uniqueId val="{00000003-4C74-4821-BE5F-DB82D70CD568}"/>
            </c:ext>
          </c:extLst>
        </c:ser>
        <c:ser>
          <c:idx val="4"/>
          <c:order val="4"/>
          <c:tx>
            <c:strRef>
              <c:f>Sheet1!$F$1</c:f>
              <c:strCache>
                <c:ptCount val="1"/>
                <c:pt idx="0">
                  <c:v>Արտարժույթի տրամադրման սվոփ</c:v>
                </c:pt>
              </c:strCache>
            </c:strRef>
          </c:tx>
          <c:spPr>
            <a:solidFill>
              <a:schemeClr val="accent5"/>
            </a:solidFill>
            <a:ln>
              <a:noFill/>
            </a:ln>
            <a:effectLst/>
          </c:spPr>
          <c:cat>
            <c:strRef>
              <c:f>Sheet1!$A$2:$A$42</c:f>
              <c:strCache>
                <c:ptCount val="41"/>
                <c:pt idx="0">
                  <c:v>2017/1</c:v>
                </c:pt>
                <c:pt idx="1">
                  <c:v>2017/2</c:v>
                </c:pt>
                <c:pt idx="2">
                  <c:v>2017/3</c:v>
                </c:pt>
                <c:pt idx="3">
                  <c:v>2017/4</c:v>
                </c:pt>
                <c:pt idx="4">
                  <c:v>2017/5</c:v>
                </c:pt>
                <c:pt idx="5">
                  <c:v>2017/6</c:v>
                </c:pt>
                <c:pt idx="6">
                  <c:v>2017/7</c:v>
                </c:pt>
                <c:pt idx="7">
                  <c:v>2017/8</c:v>
                </c:pt>
                <c:pt idx="8">
                  <c:v>2017/9</c:v>
                </c:pt>
                <c:pt idx="9">
                  <c:v>2017/10</c:v>
                </c:pt>
                <c:pt idx="10">
                  <c:v>2017/11</c:v>
                </c:pt>
                <c:pt idx="11">
                  <c:v>2017/12</c:v>
                </c:pt>
                <c:pt idx="12">
                  <c:v>2018/1</c:v>
                </c:pt>
                <c:pt idx="13">
                  <c:v>2018/2</c:v>
                </c:pt>
                <c:pt idx="14">
                  <c:v>2018/3</c:v>
                </c:pt>
                <c:pt idx="15">
                  <c:v>2018/4</c:v>
                </c:pt>
                <c:pt idx="16">
                  <c:v>2018/5</c:v>
                </c:pt>
                <c:pt idx="17">
                  <c:v>2018/6</c:v>
                </c:pt>
                <c:pt idx="18">
                  <c:v>2018/7</c:v>
                </c:pt>
                <c:pt idx="19">
                  <c:v>2018/8</c:v>
                </c:pt>
                <c:pt idx="20">
                  <c:v>2018/9</c:v>
                </c:pt>
                <c:pt idx="21">
                  <c:v>2018/10</c:v>
                </c:pt>
                <c:pt idx="22">
                  <c:v>2018/11</c:v>
                </c:pt>
                <c:pt idx="23">
                  <c:v>2018/12</c:v>
                </c:pt>
                <c:pt idx="24">
                  <c:v>2019/1</c:v>
                </c:pt>
                <c:pt idx="25">
                  <c:v>2019/2</c:v>
                </c:pt>
                <c:pt idx="26">
                  <c:v>2019/3</c:v>
                </c:pt>
                <c:pt idx="27">
                  <c:v>2019/4</c:v>
                </c:pt>
                <c:pt idx="28">
                  <c:v>2019/5</c:v>
                </c:pt>
                <c:pt idx="29">
                  <c:v>2019/6</c:v>
                </c:pt>
                <c:pt idx="30">
                  <c:v>2019/7</c:v>
                </c:pt>
                <c:pt idx="31">
                  <c:v>2019/8</c:v>
                </c:pt>
                <c:pt idx="32">
                  <c:v>2019/9</c:v>
                </c:pt>
                <c:pt idx="33">
                  <c:v>2019/10</c:v>
                </c:pt>
                <c:pt idx="34">
                  <c:v>2019/11</c:v>
                </c:pt>
                <c:pt idx="35">
                  <c:v>2019/12</c:v>
                </c:pt>
                <c:pt idx="36">
                  <c:v>2020/1</c:v>
                </c:pt>
                <c:pt idx="37">
                  <c:v>2020/2</c:v>
                </c:pt>
                <c:pt idx="38">
                  <c:v>2020/3</c:v>
                </c:pt>
                <c:pt idx="39">
                  <c:v>2020/4</c:v>
                </c:pt>
                <c:pt idx="40">
                  <c:v>2020/5</c:v>
                </c:pt>
              </c:strCache>
            </c:strRef>
          </c:cat>
          <c:val>
            <c:numRef>
              <c:f>Sheet1!$F$2:$F$42</c:f>
              <c:numCache>
                <c:formatCode>#,##0</c:formatCode>
                <c:ptCount val="4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-17699.178399999997</c:v>
                </c:pt>
                <c:pt idx="17">
                  <c:v>-12087.536472600004</c:v>
                </c:pt>
                <c:pt idx="18">
                  <c:v>-8697.4428230000012</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-25957.6985981</c:v>
                </c:pt>
                <c:pt idx="39">
                  <c:v>-15287.9520557</c:v>
                </c:pt>
                <c:pt idx="40">
                  <c:v>-3415.819057200008</c:v>
                </c:pt>
              </c:numCache>
            </c:numRef>
          </c:val>
          <c:extLst>
            <c:ext xmlns:c16="http://schemas.microsoft.com/office/drawing/2014/chart" uri="{C3380CC4-5D6E-409C-BE32-E72D297353CC}">
              <c16:uniqueId val="{00000004-4C74-4821-BE5F-DB82D70CD568}"/>
            </c:ext>
          </c:extLst>
        </c:ser>
        <c:dLbls>
          <c:showLegendKey val="0"/>
          <c:showVal val="0"/>
          <c:showCatName val="0"/>
          <c:showSerName val="0"/>
          <c:showPercent val="0"/>
          <c:showBubbleSize val="0"/>
        </c:dLbls>
        <c:axId val="-684479376"/>
        <c:axId val="-684495152"/>
      </c:areaChart>
      <c:lineChart>
        <c:grouping val="standard"/>
        <c:varyColors val="0"/>
        <c:ser>
          <c:idx val="5"/>
          <c:order val="5"/>
          <c:tx>
            <c:strRef>
              <c:f>Sheet1!$G$1</c:f>
              <c:strCache>
                <c:ptCount val="1"/>
                <c:pt idx="0">
                  <c:v>Զուտ իրացվելիության տրամադրում</c:v>
                </c:pt>
              </c:strCache>
            </c:strRef>
          </c:tx>
          <c:spPr>
            <a:ln w="28575" cap="rnd">
              <a:solidFill>
                <a:srgbClr val="C00000"/>
              </a:solidFill>
              <a:round/>
            </a:ln>
            <a:effectLst/>
          </c:spPr>
          <c:marker>
            <c:symbol val="none"/>
          </c:marker>
          <c:cat>
            <c:strRef>
              <c:f>Sheet1!$A$2:$A$42</c:f>
              <c:strCache>
                <c:ptCount val="41"/>
                <c:pt idx="0">
                  <c:v>2017/1</c:v>
                </c:pt>
                <c:pt idx="1">
                  <c:v>2017/2</c:v>
                </c:pt>
                <c:pt idx="2">
                  <c:v>2017/3</c:v>
                </c:pt>
                <c:pt idx="3">
                  <c:v>2017/4</c:v>
                </c:pt>
                <c:pt idx="4">
                  <c:v>2017/5</c:v>
                </c:pt>
                <c:pt idx="5">
                  <c:v>2017/6</c:v>
                </c:pt>
                <c:pt idx="6">
                  <c:v>2017/7</c:v>
                </c:pt>
                <c:pt idx="7">
                  <c:v>2017/8</c:v>
                </c:pt>
                <c:pt idx="8">
                  <c:v>2017/9</c:v>
                </c:pt>
                <c:pt idx="9">
                  <c:v>2017/10</c:v>
                </c:pt>
                <c:pt idx="10">
                  <c:v>2017/11</c:v>
                </c:pt>
                <c:pt idx="11">
                  <c:v>2017/12</c:v>
                </c:pt>
                <c:pt idx="12">
                  <c:v>2018/1</c:v>
                </c:pt>
                <c:pt idx="13">
                  <c:v>2018/2</c:v>
                </c:pt>
                <c:pt idx="14">
                  <c:v>2018/3</c:v>
                </c:pt>
                <c:pt idx="15">
                  <c:v>2018/4</c:v>
                </c:pt>
                <c:pt idx="16">
                  <c:v>2018/5</c:v>
                </c:pt>
                <c:pt idx="17">
                  <c:v>2018/6</c:v>
                </c:pt>
                <c:pt idx="18">
                  <c:v>2018/7</c:v>
                </c:pt>
                <c:pt idx="19">
                  <c:v>2018/8</c:v>
                </c:pt>
                <c:pt idx="20">
                  <c:v>2018/9</c:v>
                </c:pt>
                <c:pt idx="21">
                  <c:v>2018/10</c:v>
                </c:pt>
                <c:pt idx="22">
                  <c:v>2018/11</c:v>
                </c:pt>
                <c:pt idx="23">
                  <c:v>2018/12</c:v>
                </c:pt>
                <c:pt idx="24">
                  <c:v>2019/1</c:v>
                </c:pt>
                <c:pt idx="25">
                  <c:v>2019/2</c:v>
                </c:pt>
                <c:pt idx="26">
                  <c:v>2019/3</c:v>
                </c:pt>
                <c:pt idx="27">
                  <c:v>2019/4</c:v>
                </c:pt>
                <c:pt idx="28">
                  <c:v>2019/5</c:v>
                </c:pt>
                <c:pt idx="29">
                  <c:v>2019/6</c:v>
                </c:pt>
                <c:pt idx="30">
                  <c:v>2019/7</c:v>
                </c:pt>
                <c:pt idx="31">
                  <c:v>2019/8</c:v>
                </c:pt>
                <c:pt idx="32">
                  <c:v>2019/9</c:v>
                </c:pt>
                <c:pt idx="33">
                  <c:v>2019/10</c:v>
                </c:pt>
                <c:pt idx="34">
                  <c:v>2019/11</c:v>
                </c:pt>
                <c:pt idx="35">
                  <c:v>2019/12</c:v>
                </c:pt>
                <c:pt idx="36">
                  <c:v>2020/1</c:v>
                </c:pt>
                <c:pt idx="37">
                  <c:v>2020/2</c:v>
                </c:pt>
                <c:pt idx="38">
                  <c:v>2020/3</c:v>
                </c:pt>
                <c:pt idx="39">
                  <c:v>2020/4</c:v>
                </c:pt>
                <c:pt idx="40">
                  <c:v>2020/5</c:v>
                </c:pt>
              </c:strCache>
            </c:strRef>
          </c:cat>
          <c:val>
            <c:numRef>
              <c:f>Sheet1!$G$2:$G$42</c:f>
              <c:numCache>
                <c:formatCode>#,##0</c:formatCode>
                <c:ptCount val="41"/>
                <c:pt idx="0">
                  <c:v>10010.340092</c:v>
                </c:pt>
                <c:pt idx="1">
                  <c:v>10010.026423000001</c:v>
                </c:pt>
                <c:pt idx="2">
                  <c:v>24709.464109300021</c:v>
                </c:pt>
                <c:pt idx="3">
                  <c:v>3462.6259024999999</c:v>
                </c:pt>
                <c:pt idx="4">
                  <c:v>-14001.7260274</c:v>
                </c:pt>
                <c:pt idx="5">
                  <c:v>27508.076438800003</c:v>
                </c:pt>
                <c:pt idx="6">
                  <c:v>-38004.6849315</c:v>
                </c:pt>
                <c:pt idx="7">
                  <c:v>-36504.500000100001</c:v>
                </c:pt>
                <c:pt idx="8">
                  <c:v>5003.2449310000002</c:v>
                </c:pt>
                <c:pt idx="9">
                  <c:v>10009.918903999978</c:v>
                </c:pt>
                <c:pt idx="10">
                  <c:v>15002.515935999978</c:v>
                </c:pt>
                <c:pt idx="11">
                  <c:v>-29105.547944800004</c:v>
                </c:pt>
                <c:pt idx="12">
                  <c:v>3100</c:v>
                </c:pt>
                <c:pt idx="13">
                  <c:v>-4000.4931507000056</c:v>
                </c:pt>
                <c:pt idx="14">
                  <c:v>33015.268492999996</c:v>
                </c:pt>
                <c:pt idx="15">
                  <c:v>56777.929960999994</c:v>
                </c:pt>
                <c:pt idx="16">
                  <c:v>1504.0291060000054</c:v>
                </c:pt>
                <c:pt idx="17">
                  <c:v>43339.656536400129</c:v>
                </c:pt>
                <c:pt idx="18">
                  <c:v>59073.356109000066</c:v>
                </c:pt>
                <c:pt idx="19">
                  <c:v>66187.783616999994</c:v>
                </c:pt>
                <c:pt idx="20">
                  <c:v>120590.769421</c:v>
                </c:pt>
                <c:pt idx="21">
                  <c:v>90000</c:v>
                </c:pt>
                <c:pt idx="22">
                  <c:v>120040.73906399999</c:v>
                </c:pt>
                <c:pt idx="23">
                  <c:v>156478.2076453004</c:v>
                </c:pt>
                <c:pt idx="24">
                  <c:v>180879.100263</c:v>
                </c:pt>
                <c:pt idx="25">
                  <c:v>180073.80962699966</c:v>
                </c:pt>
                <c:pt idx="26">
                  <c:v>220323.28971799964</c:v>
                </c:pt>
                <c:pt idx="27">
                  <c:v>260627.031609</c:v>
                </c:pt>
                <c:pt idx="28">
                  <c:v>184556.85092289967</c:v>
                </c:pt>
                <c:pt idx="29">
                  <c:v>185640.9029367</c:v>
                </c:pt>
                <c:pt idx="30">
                  <c:v>165938.1189812003</c:v>
                </c:pt>
                <c:pt idx="31">
                  <c:v>150411.2699450003</c:v>
                </c:pt>
                <c:pt idx="32">
                  <c:v>146457.97137079999</c:v>
                </c:pt>
                <c:pt idx="33">
                  <c:v>104677.1624358</c:v>
                </c:pt>
                <c:pt idx="34">
                  <c:v>59751.587089500004</c:v>
                </c:pt>
                <c:pt idx="35">
                  <c:v>88161.335844899993</c:v>
                </c:pt>
                <c:pt idx="36">
                  <c:v>130040.291826</c:v>
                </c:pt>
                <c:pt idx="37">
                  <c:v>67831.675460700309</c:v>
                </c:pt>
                <c:pt idx="38">
                  <c:v>124175.63608390001</c:v>
                </c:pt>
                <c:pt idx="39">
                  <c:v>179739.64622330011</c:v>
                </c:pt>
                <c:pt idx="40">
                  <c:v>193396.4839778</c:v>
                </c:pt>
              </c:numCache>
            </c:numRef>
          </c:val>
          <c:smooth val="0"/>
          <c:extLst>
            <c:ext xmlns:c16="http://schemas.microsoft.com/office/drawing/2014/chart" uri="{C3380CC4-5D6E-409C-BE32-E72D297353CC}">
              <c16:uniqueId val="{00000005-4C74-4821-BE5F-DB82D70CD568}"/>
            </c:ext>
          </c:extLst>
        </c:ser>
        <c:dLbls>
          <c:showLegendKey val="0"/>
          <c:showVal val="0"/>
          <c:showCatName val="0"/>
          <c:showSerName val="0"/>
          <c:showPercent val="0"/>
          <c:showBubbleSize val="0"/>
        </c:dLbls>
        <c:marker val="1"/>
        <c:smooth val="0"/>
        <c:axId val="-684479376"/>
        <c:axId val="-684495152"/>
      </c:lineChart>
      <c:catAx>
        <c:axId val="-68447937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GHEA Grapalat" panose="02000506050000020003" pitchFamily="50" charset="0"/>
                <a:ea typeface="+mn-ea"/>
                <a:cs typeface="+mn-cs"/>
              </a:defRPr>
            </a:pPr>
            <a:endParaRPr lang="en-US"/>
          </a:p>
        </c:txPr>
        <c:crossAx val="-684495152"/>
        <c:crosses val="autoZero"/>
        <c:auto val="1"/>
        <c:lblAlgn val="ctr"/>
        <c:lblOffset val="100"/>
        <c:noMultiLvlLbl val="0"/>
      </c:catAx>
      <c:valAx>
        <c:axId val="-684495152"/>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GHEA Grapalat" panose="02000506050000020003" pitchFamily="50" charset="0"/>
                <a:ea typeface="+mn-ea"/>
                <a:cs typeface="+mn-cs"/>
              </a:defRPr>
            </a:pPr>
            <a:endParaRPr lang="en-US"/>
          </a:p>
        </c:txPr>
        <c:crossAx val="-684479376"/>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2.3405268785846273E-2"/>
          <c:y val="0.69940194975627956"/>
          <c:w val="0.95318946242830893"/>
          <c:h val="0.276788526434195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GHEA Grapalat" panose="02000506050000020003" pitchFamily="50"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solidFill>
            <a:schemeClr val="tx1"/>
          </a:solidFill>
          <a:latin typeface="GHEA Grapalat" panose="02000506050000020003" pitchFamily="50" charset="0"/>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y-AM" sz="1000">
                <a:solidFill>
                  <a:sysClr val="windowText" lastClr="000000"/>
                </a:solidFill>
                <a:latin typeface="GHEA Grapalat" panose="02000506050000020003" pitchFamily="50" charset="0"/>
              </a:rPr>
              <a:t>Վերաֆինանսավորման</a:t>
            </a:r>
            <a:r>
              <a:rPr lang="hy-AM" sz="1000" baseline="0">
                <a:solidFill>
                  <a:sysClr val="windowText" lastClr="000000"/>
                </a:solidFill>
                <a:latin typeface="GHEA Grapalat" panose="02000506050000020003" pitchFamily="50" charset="0"/>
              </a:rPr>
              <a:t> </a:t>
            </a:r>
            <a:r>
              <a:rPr lang="en-US" sz="1000" b="0" i="0" u="none" strike="noStrike" kern="1200" spc="0" baseline="0">
                <a:solidFill>
                  <a:sysClr val="windowText" lastClr="000000"/>
                </a:solidFill>
                <a:latin typeface="GHEA Grapalat" panose="02000506050000020003" pitchFamily="50" charset="0"/>
                <a:ea typeface="+mn-ea"/>
                <a:cs typeface="+mn-cs"/>
              </a:rPr>
              <a:t>տոկոս</a:t>
            </a:r>
            <a:r>
              <a:rPr lang="hy-AM" sz="1000" baseline="0">
                <a:solidFill>
                  <a:sysClr val="windowText" lastClr="000000"/>
                </a:solidFill>
                <a:latin typeface="GHEA Grapalat" panose="02000506050000020003" pitchFamily="50" charset="0"/>
              </a:rPr>
              <a:t>ադրույքի նվազեցման չափը </a:t>
            </a:r>
            <a:r>
              <a:rPr lang="en-US" sz="1000" baseline="0">
                <a:solidFill>
                  <a:sysClr val="windowText" lastClr="000000"/>
                </a:solidFill>
                <a:latin typeface="GHEA Grapalat" panose="02000506050000020003" pitchFamily="50" charset="0"/>
              </a:rPr>
              <a:t>(</a:t>
            </a:r>
            <a:r>
              <a:rPr lang="ru-RU" sz="1000" baseline="0">
                <a:solidFill>
                  <a:sysClr val="windowText" lastClr="000000"/>
                </a:solidFill>
                <a:latin typeface="GHEA Grapalat" panose="02000506050000020003" pitchFamily="50" charset="0"/>
              </a:rPr>
              <a:t>+</a:t>
            </a:r>
            <a:r>
              <a:rPr lang="en-US" sz="1000" baseline="0">
                <a:solidFill>
                  <a:sysClr val="windowText" lastClr="000000"/>
                </a:solidFill>
                <a:latin typeface="GHEA Grapalat" panose="02000506050000020003" pitchFamily="50" charset="0"/>
              </a:rPr>
              <a:t>)</a:t>
            </a:r>
            <a:r>
              <a:rPr lang="ru-RU" sz="1000" baseline="0">
                <a:solidFill>
                  <a:sysClr val="windowText" lastClr="000000"/>
                </a:solidFill>
                <a:latin typeface="GHEA Grapalat" panose="02000506050000020003" pitchFamily="50" charset="0"/>
              </a:rPr>
              <a:t> </a:t>
            </a:r>
            <a:r>
              <a:rPr lang="hy-AM" sz="1000" baseline="0">
                <a:solidFill>
                  <a:sysClr val="windowText" lastClr="000000"/>
                </a:solidFill>
                <a:latin typeface="GHEA Grapalat" panose="02000506050000020003" pitchFamily="50" charset="0"/>
              </a:rPr>
              <a:t>առանձին երկրներում տարեսկզբից, </a:t>
            </a:r>
            <a:r>
              <a:rPr lang="en-US" sz="1000" baseline="0">
                <a:solidFill>
                  <a:sysClr val="windowText" lastClr="000000"/>
                </a:solidFill>
                <a:latin typeface="GHEA Grapalat" panose="02000506050000020003" pitchFamily="50" charset="0"/>
              </a:rPr>
              <a:t>տոկոսայ</a:t>
            </a:r>
            <a:r>
              <a:rPr lang="hy-AM" sz="1000" baseline="0">
                <a:solidFill>
                  <a:sysClr val="windowText" lastClr="000000"/>
                </a:solidFill>
                <a:latin typeface="GHEA Grapalat" panose="02000506050000020003" pitchFamily="50" charset="0"/>
              </a:rPr>
              <a:t>ին կետ</a:t>
            </a:r>
            <a:endParaRPr lang="en-US" sz="1000">
              <a:solidFill>
                <a:sysClr val="windowText" lastClr="000000"/>
              </a:solidFill>
              <a:latin typeface="GHEA Grapalat" panose="02000506050000020003" pitchFamily="50"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0.00</c:v>
                </c:pt>
              </c:strCache>
            </c:strRef>
          </c:tx>
          <c:spPr>
            <a:solidFill>
              <a:schemeClr val="accent1"/>
            </a:solidFill>
            <a:ln>
              <a:noFill/>
            </a:ln>
            <a:effectLst/>
          </c:spPr>
          <c:invertIfNegative val="0"/>
          <c:dPt>
            <c:idx val="17"/>
            <c:invertIfNegative val="0"/>
            <c:bubble3D val="0"/>
            <c:spPr>
              <a:solidFill>
                <a:srgbClr val="C00000"/>
              </a:solidFill>
              <a:ln>
                <a:noFill/>
              </a:ln>
              <a:effectLst/>
            </c:spPr>
            <c:extLst>
              <c:ext xmlns:c16="http://schemas.microsoft.com/office/drawing/2014/chart" uri="{C3380CC4-5D6E-409C-BE32-E72D297353CC}">
                <c16:uniqueId val="{00000001-820D-4415-AC56-FF44FA35C1FD}"/>
              </c:ext>
            </c:extLst>
          </c:dPt>
          <c:dLbls>
            <c:dLbl>
              <c:idx val="17"/>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0D-4415-AC56-FF44FA35C1F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Sheet1!$A$2:$A$40</c:f>
              <c:strCache>
                <c:ptCount val="39"/>
                <c:pt idx="0">
                  <c:v>Ղազախստան</c:v>
                </c:pt>
                <c:pt idx="1">
                  <c:v>Հունգարիա</c:v>
                </c:pt>
                <c:pt idx="2">
                  <c:v>Իսրայել</c:v>
                </c:pt>
                <c:pt idx="3">
                  <c:v>Թայվան</c:v>
                </c:pt>
                <c:pt idx="4">
                  <c:v>Չինաստան</c:v>
                </c:pt>
                <c:pt idx="5">
                  <c:v>Ալբանիա</c:v>
                </c:pt>
                <c:pt idx="6">
                  <c:v>Ավստրալիա</c:v>
                </c:pt>
                <c:pt idx="7">
                  <c:v>Ադրբեջան</c:v>
                </c:pt>
                <c:pt idx="8">
                  <c:v>Ռուանդա</c:v>
                </c:pt>
                <c:pt idx="9">
                  <c:v>Տաջիկստան</c:v>
                </c:pt>
                <c:pt idx="10">
                  <c:v>Մեծ Բրիտանիա</c:v>
                </c:pt>
                <c:pt idx="11">
                  <c:v>Վրաստան</c:v>
                </c:pt>
                <c:pt idx="12">
                  <c:v>Ինդոնեզիա</c:v>
                </c:pt>
                <c:pt idx="13">
                  <c:v>Մակեդոնիա</c:v>
                </c:pt>
                <c:pt idx="14">
                  <c:v>Ռումինա</c:v>
                </c:pt>
                <c:pt idx="15">
                  <c:v>Հարավային Կորեա</c:v>
                </c:pt>
                <c:pt idx="16">
                  <c:v>Թայլանդ</c:v>
                </c:pt>
                <c:pt idx="17">
                  <c:v>Հայաստան</c:v>
                </c:pt>
                <c:pt idx="18">
                  <c:v>Սերբիա</c:v>
                </c:pt>
                <c:pt idx="19">
                  <c:v>Ուզբեկստան</c:v>
                </c:pt>
                <c:pt idx="20">
                  <c:v>Հնդկաստան</c:v>
                </c:pt>
                <c:pt idx="21">
                  <c:v>Բելառուս</c:v>
                </c:pt>
                <c:pt idx="22">
                  <c:v>Չիլի</c:v>
                </c:pt>
                <c:pt idx="23">
                  <c:v>Սաուդյան Արաբիա</c:v>
                </c:pt>
                <c:pt idx="24">
                  <c:v>Լեհաստան</c:v>
                </c:pt>
                <c:pt idx="25">
                  <c:v>Կանադա</c:v>
                </c:pt>
                <c:pt idx="26">
                  <c:v>Նորվեգիա</c:v>
                </c:pt>
                <c:pt idx="27">
                  <c:v>ԱՄՆ</c:v>
                </c:pt>
                <c:pt idx="28">
                  <c:v>Չեխիա</c:v>
                </c:pt>
                <c:pt idx="29">
                  <c:v>Ռուսաստան</c:v>
                </c:pt>
                <c:pt idx="30">
                  <c:v>Իսլանդիա</c:v>
                </c:pt>
                <c:pt idx="31">
                  <c:v>Բրազիլիա</c:v>
                </c:pt>
                <c:pt idx="32">
                  <c:v>Մեքսիկա</c:v>
                </c:pt>
                <c:pt idx="33">
                  <c:v>Մոլդովա</c:v>
                </c:pt>
                <c:pt idx="34">
                  <c:v>Եգիպտոս</c:v>
                </c:pt>
                <c:pt idx="35">
                  <c:v>Թուրքիա</c:v>
                </c:pt>
                <c:pt idx="36">
                  <c:v>Պակիստան</c:v>
                </c:pt>
                <c:pt idx="37">
                  <c:v>Ուկրաինա</c:v>
                </c:pt>
                <c:pt idx="38">
                  <c:v>Արգենտինա</c:v>
                </c:pt>
              </c:strCache>
            </c:strRef>
          </c:cat>
          <c:val>
            <c:numRef>
              <c:f>Sheet1!$B$2:$B$40</c:f>
              <c:numCache>
                <c:formatCode>0.00</c:formatCode>
                <c:ptCount val="39"/>
                <c:pt idx="0">
                  <c:v>-0.25</c:v>
                </c:pt>
                <c:pt idx="1">
                  <c:v>0.15000000000000024</c:v>
                </c:pt>
                <c:pt idx="2">
                  <c:v>0.15000000000000024</c:v>
                </c:pt>
                <c:pt idx="3">
                  <c:v>0.25</c:v>
                </c:pt>
                <c:pt idx="4">
                  <c:v>0.30000000000000032</c:v>
                </c:pt>
                <c:pt idx="5">
                  <c:v>0.5</c:v>
                </c:pt>
                <c:pt idx="6">
                  <c:v>0.5</c:v>
                </c:pt>
                <c:pt idx="7">
                  <c:v>0.5</c:v>
                </c:pt>
                <c:pt idx="8">
                  <c:v>0.5</c:v>
                </c:pt>
                <c:pt idx="9">
                  <c:v>0.5</c:v>
                </c:pt>
                <c:pt idx="10">
                  <c:v>0.65000000000000135</c:v>
                </c:pt>
                <c:pt idx="11">
                  <c:v>0.75000000000000122</c:v>
                </c:pt>
                <c:pt idx="12">
                  <c:v>0.75000000000000122</c:v>
                </c:pt>
                <c:pt idx="13">
                  <c:v>0.75000000000000122</c:v>
                </c:pt>
                <c:pt idx="14">
                  <c:v>0.75000000000000122</c:v>
                </c:pt>
                <c:pt idx="15">
                  <c:v>0.75000000000000122</c:v>
                </c:pt>
                <c:pt idx="16">
                  <c:v>0.75000000000000122</c:v>
                </c:pt>
                <c:pt idx="17">
                  <c:v>1</c:v>
                </c:pt>
                <c:pt idx="18">
                  <c:v>1</c:v>
                </c:pt>
                <c:pt idx="19">
                  <c:v>1</c:v>
                </c:pt>
                <c:pt idx="20">
                  <c:v>1.1500000000000001</c:v>
                </c:pt>
                <c:pt idx="21">
                  <c:v>1.25</c:v>
                </c:pt>
                <c:pt idx="22">
                  <c:v>1.25</c:v>
                </c:pt>
                <c:pt idx="23">
                  <c:v>1.25</c:v>
                </c:pt>
                <c:pt idx="24">
                  <c:v>1.4</c:v>
                </c:pt>
                <c:pt idx="25">
                  <c:v>1.5</c:v>
                </c:pt>
                <c:pt idx="26">
                  <c:v>1.5</c:v>
                </c:pt>
                <c:pt idx="27">
                  <c:v>1.5</c:v>
                </c:pt>
                <c:pt idx="28">
                  <c:v>1.75</c:v>
                </c:pt>
                <c:pt idx="29">
                  <c:v>1.75</c:v>
                </c:pt>
                <c:pt idx="30">
                  <c:v>2</c:v>
                </c:pt>
                <c:pt idx="31">
                  <c:v>2.25</c:v>
                </c:pt>
                <c:pt idx="32">
                  <c:v>2.25</c:v>
                </c:pt>
                <c:pt idx="33">
                  <c:v>2.25</c:v>
                </c:pt>
                <c:pt idx="34">
                  <c:v>3</c:v>
                </c:pt>
                <c:pt idx="35">
                  <c:v>3.75</c:v>
                </c:pt>
                <c:pt idx="36">
                  <c:v>6.25</c:v>
                </c:pt>
                <c:pt idx="37">
                  <c:v>7.5</c:v>
                </c:pt>
                <c:pt idx="38">
                  <c:v>17</c:v>
                </c:pt>
              </c:numCache>
            </c:numRef>
          </c:val>
          <c:extLst>
            <c:ext xmlns:c16="http://schemas.microsoft.com/office/drawing/2014/chart" uri="{C3380CC4-5D6E-409C-BE32-E72D297353CC}">
              <c16:uniqueId val="{00000002-820D-4415-AC56-FF44FA35C1FD}"/>
            </c:ext>
          </c:extLst>
        </c:ser>
        <c:dLbls>
          <c:showLegendKey val="0"/>
          <c:showVal val="0"/>
          <c:showCatName val="0"/>
          <c:showSerName val="0"/>
          <c:showPercent val="0"/>
          <c:showBubbleSize val="0"/>
        </c:dLbls>
        <c:gapWidth val="29"/>
        <c:overlap val="-27"/>
        <c:axId val="-684484816"/>
        <c:axId val="-684494064"/>
      </c:barChart>
      <c:catAx>
        <c:axId val="-68448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84494064"/>
        <c:crosses val="autoZero"/>
        <c:auto val="1"/>
        <c:lblAlgn val="ctr"/>
        <c:lblOffset val="100"/>
        <c:noMultiLvlLbl val="0"/>
      </c:catAx>
      <c:valAx>
        <c:axId val="-6844940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484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73289814682949"/>
          <c:y val="8.4670206921809224E-2"/>
          <c:w val="0.7715680640550141"/>
          <c:h val="0.47523813044496199"/>
        </c:manualLayout>
      </c:layout>
      <c:lineChart>
        <c:grouping val="standard"/>
        <c:varyColors val="0"/>
        <c:ser>
          <c:idx val="0"/>
          <c:order val="0"/>
          <c:tx>
            <c:strRef>
              <c:f>Sheet1!$B$1</c:f>
              <c:strCache>
                <c:ptCount val="1"/>
                <c:pt idx="0">
                  <c:v>Զարգացող երկրների արժույթ</c:v>
                </c:pt>
              </c:strCache>
            </c:strRef>
          </c:tx>
          <c:spPr>
            <a:ln w="28575" cap="rnd">
              <a:solidFill>
                <a:schemeClr val="accent1"/>
              </a:solidFill>
              <a:round/>
            </a:ln>
            <a:effectLst/>
          </c:spPr>
          <c:marker>
            <c:symbol val="none"/>
          </c:marker>
          <c:cat>
            <c:strRef>
              <c:f>Sheet1!$A$2:$A$42</c:f>
              <c:strCache>
                <c:ptCount val="41"/>
                <c:pt idx="0">
                  <c:v>17-M1</c:v>
                </c:pt>
                <c:pt idx="1">
                  <c:v>17-M2</c:v>
                </c:pt>
                <c:pt idx="2">
                  <c:v>17-M3</c:v>
                </c:pt>
                <c:pt idx="3">
                  <c:v>17-M4</c:v>
                </c:pt>
                <c:pt idx="4">
                  <c:v>17-M5</c:v>
                </c:pt>
                <c:pt idx="5">
                  <c:v>17-M6</c:v>
                </c:pt>
                <c:pt idx="6">
                  <c:v>17-M7</c:v>
                </c:pt>
                <c:pt idx="7">
                  <c:v>17-M8</c:v>
                </c:pt>
                <c:pt idx="8">
                  <c:v>17-M9</c:v>
                </c:pt>
                <c:pt idx="9">
                  <c:v>17-M10</c:v>
                </c:pt>
                <c:pt idx="10">
                  <c:v>17-M11</c:v>
                </c:pt>
                <c:pt idx="11">
                  <c:v>17-M12</c:v>
                </c:pt>
                <c:pt idx="12">
                  <c:v>18-M1</c:v>
                </c:pt>
                <c:pt idx="13">
                  <c:v>18-M2</c:v>
                </c:pt>
                <c:pt idx="14">
                  <c:v>18-M3</c:v>
                </c:pt>
                <c:pt idx="15">
                  <c:v>18-M4</c:v>
                </c:pt>
                <c:pt idx="16">
                  <c:v>18-M5</c:v>
                </c:pt>
                <c:pt idx="17">
                  <c:v>18-M6</c:v>
                </c:pt>
                <c:pt idx="18">
                  <c:v>18-M7</c:v>
                </c:pt>
                <c:pt idx="19">
                  <c:v>18-M8</c:v>
                </c:pt>
                <c:pt idx="20">
                  <c:v>18-M9</c:v>
                </c:pt>
                <c:pt idx="21">
                  <c:v>18-M10</c:v>
                </c:pt>
                <c:pt idx="22">
                  <c:v>18-M11</c:v>
                </c:pt>
                <c:pt idx="23">
                  <c:v>18-M12</c:v>
                </c:pt>
                <c:pt idx="24">
                  <c:v>19-M1</c:v>
                </c:pt>
                <c:pt idx="25">
                  <c:v>19-M2</c:v>
                </c:pt>
                <c:pt idx="26">
                  <c:v>19-M3</c:v>
                </c:pt>
                <c:pt idx="27">
                  <c:v>19-M4</c:v>
                </c:pt>
                <c:pt idx="28">
                  <c:v>19-M5</c:v>
                </c:pt>
                <c:pt idx="29">
                  <c:v>19-M6</c:v>
                </c:pt>
                <c:pt idx="30">
                  <c:v>19-M7</c:v>
                </c:pt>
                <c:pt idx="31">
                  <c:v>19-M8</c:v>
                </c:pt>
                <c:pt idx="32">
                  <c:v>19-M9</c:v>
                </c:pt>
                <c:pt idx="33">
                  <c:v>19-M10</c:v>
                </c:pt>
                <c:pt idx="34">
                  <c:v>19-M11</c:v>
                </c:pt>
                <c:pt idx="35">
                  <c:v>19-M12</c:v>
                </c:pt>
                <c:pt idx="36">
                  <c:v>20-M1</c:v>
                </c:pt>
                <c:pt idx="37">
                  <c:v>20-M2</c:v>
                </c:pt>
                <c:pt idx="38">
                  <c:v>20-M3</c:v>
                </c:pt>
                <c:pt idx="39">
                  <c:v>20-M4</c:v>
                </c:pt>
                <c:pt idx="40">
                  <c:v>20-M5</c:v>
                </c:pt>
              </c:strCache>
            </c:strRef>
          </c:cat>
          <c:val>
            <c:numRef>
              <c:f>Sheet1!$B$2:$B$42</c:f>
              <c:numCache>
                <c:formatCode>0.00</c:formatCode>
                <c:ptCount val="41"/>
                <c:pt idx="0" formatCode="General">
                  <c:v>100</c:v>
                </c:pt>
                <c:pt idx="1">
                  <c:v>98.790322580645167</c:v>
                </c:pt>
                <c:pt idx="2">
                  <c:v>97.528135930570997</c:v>
                </c:pt>
                <c:pt idx="3">
                  <c:v>97.655334114888248</c:v>
                </c:pt>
                <c:pt idx="4">
                  <c:v>96.852018719297718</c:v>
                </c:pt>
                <c:pt idx="5">
                  <c:v>96.899901122549636</c:v>
                </c:pt>
                <c:pt idx="6">
                  <c:v>95.240817493211395</c:v>
                </c:pt>
                <c:pt idx="7">
                  <c:v>94.260092223259448</c:v>
                </c:pt>
                <c:pt idx="8">
                  <c:v>95.893170633435858</c:v>
                </c:pt>
                <c:pt idx="9">
                  <c:v>97.636733916457615</c:v>
                </c:pt>
                <c:pt idx="10">
                  <c:v>97.305979411549842</c:v>
                </c:pt>
                <c:pt idx="11">
                  <c:v>95.704499432723949</c:v>
                </c:pt>
                <c:pt idx="12">
                  <c:v>93.023255813953341</c:v>
                </c:pt>
                <c:pt idx="13">
                  <c:v>93.937215432542715</c:v>
                </c:pt>
                <c:pt idx="14">
                  <c:v>93.97828232971375</c:v>
                </c:pt>
                <c:pt idx="15">
                  <c:v>97.074932991492858</c:v>
                </c:pt>
                <c:pt idx="16">
                  <c:v>100.64184852374844</c:v>
                </c:pt>
                <c:pt idx="17">
                  <c:v>103.28260128328326</c:v>
                </c:pt>
                <c:pt idx="18">
                  <c:v>102.26348499961642</c:v>
                </c:pt>
                <c:pt idx="19">
                  <c:v>109.02071131760603</c:v>
                </c:pt>
                <c:pt idx="20">
                  <c:v>107.29005667181889</c:v>
                </c:pt>
                <c:pt idx="21">
                  <c:v>108.2925719485837</c:v>
                </c:pt>
                <c:pt idx="22">
                  <c:v>106.59671124192216</c:v>
                </c:pt>
                <c:pt idx="23">
                  <c:v>107.04704994136864</c:v>
                </c:pt>
                <c:pt idx="24">
                  <c:v>103.65369958470087</c:v>
                </c:pt>
                <c:pt idx="25">
                  <c:v>104.77987421383632</c:v>
                </c:pt>
                <c:pt idx="26">
                  <c:v>106.57284503438331</c:v>
                </c:pt>
                <c:pt idx="27">
                  <c:v>106.70765880450277</c:v>
                </c:pt>
                <c:pt idx="28">
                  <c:v>108.34186866962578</c:v>
                </c:pt>
                <c:pt idx="29">
                  <c:v>106.00830377169405</c:v>
                </c:pt>
                <c:pt idx="30">
                  <c:v>106.82568689686101</c:v>
                </c:pt>
                <c:pt idx="31">
                  <c:v>111.22609073004641</c:v>
                </c:pt>
                <c:pt idx="32">
                  <c:v>110.53976047506886</c:v>
                </c:pt>
                <c:pt idx="33">
                  <c:v>109.2029365495541</c:v>
                </c:pt>
                <c:pt idx="34">
                  <c:v>111.40645635856025</c:v>
                </c:pt>
                <c:pt idx="35">
                  <c:v>108.51829536387173</c:v>
                </c:pt>
                <c:pt idx="36">
                  <c:v>111.4362636076322</c:v>
                </c:pt>
                <c:pt idx="37">
                  <c:v>114.39557798606089</c:v>
                </c:pt>
                <c:pt idx="38">
                  <c:v>124.85011990407673</c:v>
                </c:pt>
                <c:pt idx="39">
                  <c:v>125.80468558267732</c:v>
                </c:pt>
                <c:pt idx="40">
                  <c:v>121.66578423675867</c:v>
                </c:pt>
              </c:numCache>
            </c:numRef>
          </c:val>
          <c:smooth val="0"/>
          <c:extLst>
            <c:ext xmlns:c16="http://schemas.microsoft.com/office/drawing/2014/chart" uri="{C3380CC4-5D6E-409C-BE32-E72D297353CC}">
              <c16:uniqueId val="{00000000-9398-4369-AAF2-1DB7A352DECF}"/>
            </c:ext>
          </c:extLst>
        </c:ser>
        <c:ser>
          <c:idx val="1"/>
          <c:order val="1"/>
          <c:tx>
            <c:strRef>
              <c:f>Sheet1!$C$1</c:f>
              <c:strCache>
                <c:ptCount val="1"/>
                <c:pt idx="0">
                  <c:v>ՀՀ դրամ</c:v>
                </c:pt>
              </c:strCache>
            </c:strRef>
          </c:tx>
          <c:spPr>
            <a:ln w="28575" cap="rnd">
              <a:solidFill>
                <a:schemeClr val="accent2"/>
              </a:solidFill>
              <a:round/>
            </a:ln>
            <a:effectLst/>
          </c:spPr>
          <c:marker>
            <c:symbol val="none"/>
          </c:marker>
          <c:cat>
            <c:strRef>
              <c:f>Sheet1!$A$2:$A$42</c:f>
              <c:strCache>
                <c:ptCount val="41"/>
                <c:pt idx="0">
                  <c:v>17-M1</c:v>
                </c:pt>
                <c:pt idx="1">
                  <c:v>17-M2</c:v>
                </c:pt>
                <c:pt idx="2">
                  <c:v>17-M3</c:v>
                </c:pt>
                <c:pt idx="3">
                  <c:v>17-M4</c:v>
                </c:pt>
                <c:pt idx="4">
                  <c:v>17-M5</c:v>
                </c:pt>
                <c:pt idx="5">
                  <c:v>17-M6</c:v>
                </c:pt>
                <c:pt idx="6">
                  <c:v>17-M7</c:v>
                </c:pt>
                <c:pt idx="7">
                  <c:v>17-M8</c:v>
                </c:pt>
                <c:pt idx="8">
                  <c:v>17-M9</c:v>
                </c:pt>
                <c:pt idx="9">
                  <c:v>17-M10</c:v>
                </c:pt>
                <c:pt idx="10">
                  <c:v>17-M11</c:v>
                </c:pt>
                <c:pt idx="11">
                  <c:v>17-M12</c:v>
                </c:pt>
                <c:pt idx="12">
                  <c:v>18-M1</c:v>
                </c:pt>
                <c:pt idx="13">
                  <c:v>18-M2</c:v>
                </c:pt>
                <c:pt idx="14">
                  <c:v>18-M3</c:v>
                </c:pt>
                <c:pt idx="15">
                  <c:v>18-M4</c:v>
                </c:pt>
                <c:pt idx="16">
                  <c:v>18-M5</c:v>
                </c:pt>
                <c:pt idx="17">
                  <c:v>18-M6</c:v>
                </c:pt>
                <c:pt idx="18">
                  <c:v>18-M7</c:v>
                </c:pt>
                <c:pt idx="19">
                  <c:v>18-M8</c:v>
                </c:pt>
                <c:pt idx="20">
                  <c:v>18-M9</c:v>
                </c:pt>
                <c:pt idx="21">
                  <c:v>18-M10</c:v>
                </c:pt>
                <c:pt idx="22">
                  <c:v>18-M11</c:v>
                </c:pt>
                <c:pt idx="23">
                  <c:v>18-M12</c:v>
                </c:pt>
                <c:pt idx="24">
                  <c:v>19-M1</c:v>
                </c:pt>
                <c:pt idx="25">
                  <c:v>19-M2</c:v>
                </c:pt>
                <c:pt idx="26">
                  <c:v>19-M3</c:v>
                </c:pt>
                <c:pt idx="27">
                  <c:v>19-M4</c:v>
                </c:pt>
                <c:pt idx="28">
                  <c:v>19-M5</c:v>
                </c:pt>
                <c:pt idx="29">
                  <c:v>19-M6</c:v>
                </c:pt>
                <c:pt idx="30">
                  <c:v>19-M7</c:v>
                </c:pt>
                <c:pt idx="31">
                  <c:v>19-M8</c:v>
                </c:pt>
                <c:pt idx="32">
                  <c:v>19-M9</c:v>
                </c:pt>
                <c:pt idx="33">
                  <c:v>19-M10</c:v>
                </c:pt>
                <c:pt idx="34">
                  <c:v>19-M11</c:v>
                </c:pt>
                <c:pt idx="35">
                  <c:v>19-M12</c:v>
                </c:pt>
                <c:pt idx="36">
                  <c:v>20-M1</c:v>
                </c:pt>
                <c:pt idx="37">
                  <c:v>20-M2</c:v>
                </c:pt>
                <c:pt idx="38">
                  <c:v>20-M3</c:v>
                </c:pt>
                <c:pt idx="39">
                  <c:v>20-M4</c:v>
                </c:pt>
                <c:pt idx="40">
                  <c:v>20-M5</c:v>
                </c:pt>
              </c:strCache>
            </c:strRef>
          </c:cat>
          <c:val>
            <c:numRef>
              <c:f>Sheet1!$C$2:$C$42</c:f>
              <c:numCache>
                <c:formatCode>0.00</c:formatCode>
                <c:ptCount val="41"/>
                <c:pt idx="0" formatCode="General">
                  <c:v>100</c:v>
                </c:pt>
                <c:pt idx="1">
                  <c:v>100.1028785415935</c:v>
                </c:pt>
                <c:pt idx="2">
                  <c:v>99.757206641838835</c:v>
                </c:pt>
                <c:pt idx="3">
                  <c:v>99.820991337626452</c:v>
                </c:pt>
                <c:pt idx="4">
                  <c:v>99.467089154544141</c:v>
                </c:pt>
                <c:pt idx="5">
                  <c:v>99.076150696487659</c:v>
                </c:pt>
                <c:pt idx="6">
                  <c:v>98.565873130182297</c:v>
                </c:pt>
                <c:pt idx="7">
                  <c:v>98.477397584411818</c:v>
                </c:pt>
                <c:pt idx="8">
                  <c:v>98.401267463632649</c:v>
                </c:pt>
                <c:pt idx="9">
                  <c:v>98.915660171601431</c:v>
                </c:pt>
                <c:pt idx="10">
                  <c:v>99.866257895928086</c:v>
                </c:pt>
                <c:pt idx="11">
                  <c:v>99.417707454579144</c:v>
                </c:pt>
                <c:pt idx="12">
                  <c:v>99.257216929693001</c:v>
                </c:pt>
                <c:pt idx="13">
                  <c:v>99.045287134009456</c:v>
                </c:pt>
                <c:pt idx="14">
                  <c:v>98.847760334149541</c:v>
                </c:pt>
                <c:pt idx="15">
                  <c:v>99.041171992345866</c:v>
                </c:pt>
                <c:pt idx="16">
                  <c:v>99.604946400279843</c:v>
                </c:pt>
                <c:pt idx="17">
                  <c:v>99.302483487994081</c:v>
                </c:pt>
                <c:pt idx="18">
                  <c:v>99.057632559000851</c:v>
                </c:pt>
                <c:pt idx="19">
                  <c:v>99.263389642188443</c:v>
                </c:pt>
                <c:pt idx="20">
                  <c:v>99.549391987819192</c:v>
                </c:pt>
                <c:pt idx="21">
                  <c:v>99.777782350157139</c:v>
                </c:pt>
                <c:pt idx="22">
                  <c:v>100.06584226661985</c:v>
                </c:pt>
                <c:pt idx="23">
                  <c:v>99.72428550852861</c:v>
                </c:pt>
                <c:pt idx="24">
                  <c:v>99.954733441698735</c:v>
                </c:pt>
                <c:pt idx="25">
                  <c:v>100.49381699965022</c:v>
                </c:pt>
                <c:pt idx="26">
                  <c:v>100.30246291228551</c:v>
                </c:pt>
                <c:pt idx="27">
                  <c:v>99.646097816917319</c:v>
                </c:pt>
                <c:pt idx="28">
                  <c:v>98.87656632579575</c:v>
                </c:pt>
                <c:pt idx="29">
                  <c:v>98.448591592765553</c:v>
                </c:pt>
                <c:pt idx="30">
                  <c:v>98.043250138886009</c:v>
                </c:pt>
                <c:pt idx="31">
                  <c:v>97.940371597292213</c:v>
                </c:pt>
                <c:pt idx="32">
                  <c:v>97.987695726425372</c:v>
                </c:pt>
                <c:pt idx="33">
                  <c:v>98.002098722248519</c:v>
                </c:pt>
                <c:pt idx="34">
                  <c:v>98.162589247134818</c:v>
                </c:pt>
                <c:pt idx="35">
                  <c:v>98.401267463632635</c:v>
                </c:pt>
                <c:pt idx="36">
                  <c:v>98.600851834324146</c:v>
                </c:pt>
                <c:pt idx="37">
                  <c:v>98.504146005226232</c:v>
                </c:pt>
                <c:pt idx="38">
                  <c:v>100.61727124956276</c:v>
                </c:pt>
                <c:pt idx="39">
                  <c:v>100.54525627044725</c:v>
                </c:pt>
                <c:pt idx="40">
                  <c:v>99.611119112775455</c:v>
                </c:pt>
              </c:numCache>
            </c:numRef>
          </c:val>
          <c:smooth val="0"/>
          <c:extLst>
            <c:ext xmlns:c16="http://schemas.microsoft.com/office/drawing/2014/chart" uri="{C3380CC4-5D6E-409C-BE32-E72D297353CC}">
              <c16:uniqueId val="{00000001-9398-4369-AAF2-1DB7A352DECF}"/>
            </c:ext>
          </c:extLst>
        </c:ser>
        <c:ser>
          <c:idx val="3"/>
          <c:order val="2"/>
          <c:tx>
            <c:strRef>
              <c:f>Sheet1!$E$1</c:f>
              <c:strCache>
                <c:ptCount val="1"/>
                <c:pt idx="0">
                  <c:v>Ռուսական ռուբլի</c:v>
                </c:pt>
              </c:strCache>
            </c:strRef>
          </c:tx>
          <c:spPr>
            <a:ln w="28575" cap="rnd">
              <a:solidFill>
                <a:srgbClr val="C00000"/>
              </a:solidFill>
              <a:round/>
            </a:ln>
            <a:effectLst/>
          </c:spPr>
          <c:marker>
            <c:symbol val="none"/>
          </c:marker>
          <c:cat>
            <c:strRef>
              <c:f>Sheet1!$A$2:$A$42</c:f>
              <c:strCache>
                <c:ptCount val="41"/>
                <c:pt idx="0">
                  <c:v>17-M1</c:v>
                </c:pt>
                <c:pt idx="1">
                  <c:v>17-M2</c:v>
                </c:pt>
                <c:pt idx="2">
                  <c:v>17-M3</c:v>
                </c:pt>
                <c:pt idx="3">
                  <c:v>17-M4</c:v>
                </c:pt>
                <c:pt idx="4">
                  <c:v>17-M5</c:v>
                </c:pt>
                <c:pt idx="5">
                  <c:v>17-M6</c:v>
                </c:pt>
                <c:pt idx="6">
                  <c:v>17-M7</c:v>
                </c:pt>
                <c:pt idx="7">
                  <c:v>17-M8</c:v>
                </c:pt>
                <c:pt idx="8">
                  <c:v>17-M9</c:v>
                </c:pt>
                <c:pt idx="9">
                  <c:v>17-M10</c:v>
                </c:pt>
                <c:pt idx="10">
                  <c:v>17-M11</c:v>
                </c:pt>
                <c:pt idx="11">
                  <c:v>17-M12</c:v>
                </c:pt>
                <c:pt idx="12">
                  <c:v>18-M1</c:v>
                </c:pt>
                <c:pt idx="13">
                  <c:v>18-M2</c:v>
                </c:pt>
                <c:pt idx="14">
                  <c:v>18-M3</c:v>
                </c:pt>
                <c:pt idx="15">
                  <c:v>18-M4</c:v>
                </c:pt>
                <c:pt idx="16">
                  <c:v>18-M5</c:v>
                </c:pt>
                <c:pt idx="17">
                  <c:v>18-M6</c:v>
                </c:pt>
                <c:pt idx="18">
                  <c:v>18-M7</c:v>
                </c:pt>
                <c:pt idx="19">
                  <c:v>18-M8</c:v>
                </c:pt>
                <c:pt idx="20">
                  <c:v>18-M9</c:v>
                </c:pt>
                <c:pt idx="21">
                  <c:v>18-M10</c:v>
                </c:pt>
                <c:pt idx="22">
                  <c:v>18-M11</c:v>
                </c:pt>
                <c:pt idx="23">
                  <c:v>18-M12</c:v>
                </c:pt>
                <c:pt idx="24">
                  <c:v>19-M1</c:v>
                </c:pt>
                <c:pt idx="25">
                  <c:v>19-M2</c:v>
                </c:pt>
                <c:pt idx="26">
                  <c:v>19-M3</c:v>
                </c:pt>
                <c:pt idx="27">
                  <c:v>19-M4</c:v>
                </c:pt>
                <c:pt idx="28">
                  <c:v>19-M5</c:v>
                </c:pt>
                <c:pt idx="29">
                  <c:v>19-M6</c:v>
                </c:pt>
                <c:pt idx="30">
                  <c:v>19-M7</c:v>
                </c:pt>
                <c:pt idx="31">
                  <c:v>19-M8</c:v>
                </c:pt>
                <c:pt idx="32">
                  <c:v>19-M9</c:v>
                </c:pt>
                <c:pt idx="33">
                  <c:v>19-M10</c:v>
                </c:pt>
                <c:pt idx="34">
                  <c:v>19-M11</c:v>
                </c:pt>
                <c:pt idx="35">
                  <c:v>19-M12</c:v>
                </c:pt>
                <c:pt idx="36">
                  <c:v>20-M1</c:v>
                </c:pt>
                <c:pt idx="37">
                  <c:v>20-M2</c:v>
                </c:pt>
                <c:pt idx="38">
                  <c:v>20-M3</c:v>
                </c:pt>
                <c:pt idx="39">
                  <c:v>20-M4</c:v>
                </c:pt>
                <c:pt idx="40">
                  <c:v>20-M5</c:v>
                </c:pt>
              </c:strCache>
            </c:strRef>
          </c:cat>
          <c:val>
            <c:numRef>
              <c:f>Sheet1!$E$2:$E$42</c:f>
              <c:numCache>
                <c:formatCode>0.00</c:formatCode>
                <c:ptCount val="41"/>
                <c:pt idx="0" formatCode="General">
                  <c:v>100</c:v>
                </c:pt>
                <c:pt idx="1">
                  <c:v>97.939791130130658</c:v>
                </c:pt>
                <c:pt idx="2">
                  <c:v>97.019240349759542</c:v>
                </c:pt>
                <c:pt idx="3">
                  <c:v>94.707925425106026</c:v>
                </c:pt>
                <c:pt idx="4">
                  <c:v>95.596317996407379</c:v>
                </c:pt>
                <c:pt idx="5">
                  <c:v>97.168547313642975</c:v>
                </c:pt>
                <c:pt idx="6">
                  <c:v>100.16357431558424</c:v>
                </c:pt>
                <c:pt idx="7">
                  <c:v>99.8247251633031</c:v>
                </c:pt>
                <c:pt idx="8">
                  <c:v>96.739484900917518</c:v>
                </c:pt>
                <c:pt idx="9">
                  <c:v>96.778226938601648</c:v>
                </c:pt>
                <c:pt idx="10">
                  <c:v>98.895504477741682</c:v>
                </c:pt>
                <c:pt idx="11">
                  <c:v>98.212644333917595</c:v>
                </c:pt>
                <c:pt idx="12">
                  <c:v>94.724393205737471</c:v>
                </c:pt>
                <c:pt idx="13">
                  <c:v>95.303316427647999</c:v>
                </c:pt>
                <c:pt idx="14">
                  <c:v>95.90586270515702</c:v>
                </c:pt>
                <c:pt idx="15">
                  <c:v>101.78884637296559</c:v>
                </c:pt>
                <c:pt idx="16">
                  <c:v>104.61086509823222</c:v>
                </c:pt>
                <c:pt idx="17">
                  <c:v>105.24255402173632</c:v>
                </c:pt>
                <c:pt idx="18">
                  <c:v>105.39421740938096</c:v>
                </c:pt>
                <c:pt idx="19">
                  <c:v>111.27876555486039</c:v>
                </c:pt>
                <c:pt idx="20">
                  <c:v>113.47238387422748</c:v>
                </c:pt>
                <c:pt idx="21">
                  <c:v>110.33771046862732</c:v>
                </c:pt>
                <c:pt idx="22">
                  <c:v>111.26011111500047</c:v>
                </c:pt>
                <c:pt idx="23">
                  <c:v>112.88235095757045</c:v>
                </c:pt>
                <c:pt idx="24">
                  <c:v>111.59329829449931</c:v>
                </c:pt>
                <c:pt idx="25">
                  <c:v>110.3806750063542</c:v>
                </c:pt>
                <c:pt idx="26">
                  <c:v>109.14086418359537</c:v>
                </c:pt>
                <c:pt idx="27">
                  <c:v>108.28209296105024</c:v>
                </c:pt>
                <c:pt idx="28">
                  <c:v>108.89783993989673</c:v>
                </c:pt>
                <c:pt idx="29">
                  <c:v>107.55442647198926</c:v>
                </c:pt>
                <c:pt idx="30">
                  <c:v>105.97513111829167</c:v>
                </c:pt>
                <c:pt idx="31">
                  <c:v>110.25055642512872</c:v>
                </c:pt>
                <c:pt idx="32">
                  <c:v>108.80105179432796</c:v>
                </c:pt>
                <c:pt idx="33">
                  <c:v>107.78908294012477</c:v>
                </c:pt>
                <c:pt idx="34">
                  <c:v>107.09840727766368</c:v>
                </c:pt>
                <c:pt idx="35">
                  <c:v>105.38374899193225</c:v>
                </c:pt>
                <c:pt idx="36">
                  <c:v>103.68992805803133</c:v>
                </c:pt>
                <c:pt idx="37">
                  <c:v>107.4710562172147</c:v>
                </c:pt>
                <c:pt idx="38">
                  <c:v>124.05911659363638</c:v>
                </c:pt>
                <c:pt idx="39">
                  <c:v>125.87462958589023</c:v>
                </c:pt>
                <c:pt idx="40">
                  <c:v>122.07979259685985</c:v>
                </c:pt>
              </c:numCache>
            </c:numRef>
          </c:val>
          <c:smooth val="0"/>
          <c:extLst>
            <c:ext xmlns:c16="http://schemas.microsoft.com/office/drawing/2014/chart" uri="{C3380CC4-5D6E-409C-BE32-E72D297353CC}">
              <c16:uniqueId val="{00000002-9398-4369-AAF2-1DB7A352DECF}"/>
            </c:ext>
          </c:extLst>
        </c:ser>
        <c:dLbls>
          <c:showLegendKey val="0"/>
          <c:showVal val="0"/>
          <c:showCatName val="0"/>
          <c:showSerName val="0"/>
          <c:showPercent val="0"/>
          <c:showBubbleSize val="0"/>
        </c:dLbls>
        <c:smooth val="0"/>
        <c:axId val="-603803072"/>
        <c:axId val="-603815584"/>
      </c:lineChart>
      <c:catAx>
        <c:axId val="-60380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15584"/>
        <c:crosses val="autoZero"/>
        <c:auto val="1"/>
        <c:lblAlgn val="ctr"/>
        <c:lblOffset val="100"/>
        <c:noMultiLvlLbl val="0"/>
      </c:catAx>
      <c:valAx>
        <c:axId val="-603815584"/>
        <c:scaling>
          <c:orientation val="minMax"/>
          <c:min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hy-AM" sz="800" b="0" i="0" u="none" strike="noStrike" baseline="0">
                    <a:effectLst/>
                  </a:rPr>
                  <a:t>Ինդեքս՝ 2017 թ. հունվար =100</a:t>
                </a:r>
                <a:endParaRPr lang="en-US" sz="800"/>
              </a:p>
            </c:rich>
          </c:tx>
          <c:layout>
            <c:manualLayout>
              <c:xMode val="edge"/>
              <c:yMode val="edge"/>
              <c:x val="7.751937984496143E-3"/>
              <c:y val="8.4670206921809224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03072"/>
        <c:crosses val="autoZero"/>
        <c:crossBetween val="between"/>
      </c:valAx>
      <c:spPr>
        <a:noFill/>
        <a:ln>
          <a:noFill/>
        </a:ln>
        <a:effectLst/>
      </c:spPr>
    </c:plotArea>
    <c:legend>
      <c:legendPos val="b"/>
      <c:layout>
        <c:manualLayout>
          <c:xMode val="edge"/>
          <c:yMode val="edge"/>
          <c:x val="0"/>
          <c:y val="0.79121954826069252"/>
          <c:w val="1"/>
          <c:h val="0.1697558931894080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0"/>
          <c:order val="0"/>
          <c:tx>
            <c:strRef>
              <c:f>Sheet25!$B$3</c:f>
              <c:strCache>
                <c:ptCount val="1"/>
              </c:strCache>
            </c:strRef>
          </c:tx>
          <c:spPr>
            <a:no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Sheet25!$B$71:$B$99</c:f>
              <c:numCache>
                <c:formatCode>General</c:formatCode>
                <c:ptCount val="8"/>
                <c:pt idx="0">
                  <c:v>0.19667642613090663</c:v>
                </c:pt>
                <c:pt idx="1">
                  <c:v>7.5475358578594758</c:v>
                </c:pt>
                <c:pt idx="2">
                  <c:v>5.2309423746583574</c:v>
                </c:pt>
                <c:pt idx="3">
                  <c:v>7.5213732263063235</c:v>
                </c:pt>
                <c:pt idx="4">
                  <c:v>-9.5311041864658019</c:v>
                </c:pt>
                <c:pt idx="5">
                  <c:v>-0.54900765146230679</c:v>
                </c:pt>
                <c:pt idx="6">
                  <c:v>-1.2271261604315677</c:v>
                </c:pt>
                <c:pt idx="7">
                  <c:v>-2.4410641589125204</c:v>
                </c:pt>
              </c:numCache>
            </c:numRef>
          </c:val>
          <c:extLst>
            <c:ext xmlns:c16="http://schemas.microsoft.com/office/drawing/2014/chart" uri="{C3380CC4-5D6E-409C-BE32-E72D297353CC}">
              <c16:uniqueId val="{00000000-51CC-4C0E-9B73-17485379FC73}"/>
            </c:ext>
          </c:extLst>
        </c:ser>
        <c:ser>
          <c:idx val="1"/>
          <c:order val="1"/>
          <c:tx>
            <c:strRef>
              <c:f>Sheet25!$C$3</c:f>
              <c:strCache>
                <c:ptCount val="1"/>
              </c:strCache>
            </c:strRef>
          </c:tx>
          <c:spPr>
            <a:solidFill>
              <a:srgbClr val="FF0000">
                <a:alpha val="2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Sheet25!$C$71:$C$99</c:f>
              <c:numCache>
                <c:formatCode>General</c:formatCode>
                <c:ptCount val="8"/>
                <c:pt idx="4">
                  <c:v>1.543195465581322</c:v>
                </c:pt>
                <c:pt idx="5">
                  <c:v>1.6452769966088041</c:v>
                </c:pt>
                <c:pt idx="6">
                  <c:v>1.6625311856001759</c:v>
                </c:pt>
                <c:pt idx="7">
                  <c:v>1.6656096987864246</c:v>
                </c:pt>
              </c:numCache>
            </c:numRef>
          </c:val>
          <c:extLst>
            <c:ext xmlns:c16="http://schemas.microsoft.com/office/drawing/2014/chart" uri="{C3380CC4-5D6E-409C-BE32-E72D297353CC}">
              <c16:uniqueId val="{00000001-51CC-4C0E-9B73-17485379FC73}"/>
            </c:ext>
          </c:extLst>
        </c:ser>
        <c:ser>
          <c:idx val="2"/>
          <c:order val="2"/>
          <c:tx>
            <c:strRef>
              <c:f>Sheet25!$D$3</c:f>
              <c:strCache>
                <c:ptCount val="1"/>
              </c:strCache>
            </c:strRef>
          </c:tx>
          <c:spPr>
            <a:solidFill>
              <a:srgbClr val="FF0000">
                <a:alpha val="3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Sheet25!$D$71:$D$99</c:f>
              <c:numCache>
                <c:formatCode>General</c:formatCode>
                <c:ptCount val="8"/>
                <c:pt idx="4">
                  <c:v>1.0411866542908115</c:v>
                </c:pt>
                <c:pt idx="5">
                  <c:v>1.1100605786419004</c:v>
                </c:pt>
                <c:pt idx="6">
                  <c:v>1.1217018980399276</c:v>
                </c:pt>
                <c:pt idx="7">
                  <c:v>1.1237789562714209</c:v>
                </c:pt>
              </c:numCache>
            </c:numRef>
          </c:val>
          <c:extLst>
            <c:ext xmlns:c16="http://schemas.microsoft.com/office/drawing/2014/chart" uri="{C3380CC4-5D6E-409C-BE32-E72D297353CC}">
              <c16:uniqueId val="{00000002-51CC-4C0E-9B73-17485379FC73}"/>
            </c:ext>
          </c:extLst>
        </c:ser>
        <c:ser>
          <c:idx val="3"/>
          <c:order val="3"/>
          <c:tx>
            <c:strRef>
              <c:f>Sheet25!$E$3</c:f>
              <c:strCache>
                <c:ptCount val="1"/>
              </c:strCache>
            </c:strRef>
          </c:tx>
          <c:spPr>
            <a:solidFill>
              <a:srgbClr val="FF0000">
                <a:alpha val="4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Sheet25!$E$71:$E$99</c:f>
              <c:numCache>
                <c:formatCode>General</c:formatCode>
                <c:ptCount val="8"/>
                <c:pt idx="4">
                  <c:v>0.8275021465417135</c:v>
                </c:pt>
                <c:pt idx="5">
                  <c:v>0.88224095826812465</c:v>
                </c:pt>
                <c:pt idx="6">
                  <c:v>0.89149310988834418</c:v>
                </c:pt>
                <c:pt idx="7">
                  <c:v>0.89314388992664673</c:v>
                </c:pt>
              </c:numCache>
            </c:numRef>
          </c:val>
          <c:extLst>
            <c:ext xmlns:c16="http://schemas.microsoft.com/office/drawing/2014/chart" uri="{C3380CC4-5D6E-409C-BE32-E72D297353CC}">
              <c16:uniqueId val="{00000003-51CC-4C0E-9B73-17485379FC73}"/>
            </c:ext>
          </c:extLst>
        </c:ser>
        <c:ser>
          <c:idx val="4"/>
          <c:order val="4"/>
          <c:tx>
            <c:strRef>
              <c:f>Sheet25!$F$3</c:f>
              <c:strCache>
                <c:ptCount val="1"/>
              </c:strCache>
            </c:strRef>
          </c:tx>
          <c:spPr>
            <a:solidFill>
              <a:srgbClr val="FF0000">
                <a:alpha val="5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Sheet25!$F$71:$F$99</c:f>
              <c:numCache>
                <c:formatCode>General</c:formatCode>
                <c:ptCount val="8"/>
                <c:pt idx="4">
                  <c:v>0.70992315954453244</c:v>
                </c:pt>
                <c:pt idx="5">
                  <c:v>0.75688418596957563</c:v>
                </c:pt>
                <c:pt idx="6">
                  <c:v>0.76482170823252593</c:v>
                </c:pt>
                <c:pt idx="7">
                  <c:v>0.76623793051714584</c:v>
                </c:pt>
              </c:numCache>
            </c:numRef>
          </c:val>
          <c:extLst>
            <c:ext xmlns:c16="http://schemas.microsoft.com/office/drawing/2014/chart" uri="{C3380CC4-5D6E-409C-BE32-E72D297353CC}">
              <c16:uniqueId val="{00000004-51CC-4C0E-9B73-17485379FC73}"/>
            </c:ext>
          </c:extLst>
        </c:ser>
        <c:ser>
          <c:idx val="5"/>
          <c:order val="5"/>
          <c:tx>
            <c:strRef>
              <c:f>Sheet25!$G$3</c:f>
              <c:strCache>
                <c:ptCount val="1"/>
              </c:strCache>
            </c:strRef>
          </c:tx>
          <c:spPr>
            <a:solidFill>
              <a:srgbClr val="FF0000">
                <a:alpha val="6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Sheet25!$G$71:$G$99</c:f>
              <c:numCache>
                <c:formatCode>General</c:formatCode>
                <c:ptCount val="8"/>
                <c:pt idx="4">
                  <c:v>0.63753293836862768</c:v>
                </c:pt>
                <c:pt idx="5">
                  <c:v>0.67970539148985698</c:v>
                </c:pt>
                <c:pt idx="6">
                  <c:v>0.68683353180142159</c:v>
                </c:pt>
                <c:pt idx="7">
                  <c:v>0.68810534318320205</c:v>
                </c:pt>
              </c:numCache>
            </c:numRef>
          </c:val>
          <c:extLst>
            <c:ext xmlns:c16="http://schemas.microsoft.com/office/drawing/2014/chart" uri="{C3380CC4-5D6E-409C-BE32-E72D297353CC}">
              <c16:uniqueId val="{00000005-51CC-4C0E-9B73-17485379FC73}"/>
            </c:ext>
          </c:extLst>
        </c:ser>
        <c:ser>
          <c:idx val="6"/>
          <c:order val="6"/>
          <c:tx>
            <c:strRef>
              <c:f>Sheet25!$H$3</c:f>
              <c:strCache>
                <c:ptCount val="1"/>
              </c:strCache>
            </c:strRef>
          </c:tx>
          <c:spPr>
            <a:solidFill>
              <a:srgbClr val="FF0000">
                <a:alpha val="7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Sheet25!$H$71:$H$99</c:f>
              <c:numCache>
                <c:formatCode>General</c:formatCode>
                <c:ptCount val="8"/>
                <c:pt idx="4">
                  <c:v>0.59076927879955654</c:v>
                </c:pt>
                <c:pt idx="5">
                  <c:v>0.62984834156828096</c:v>
                </c:pt>
                <c:pt idx="6">
                  <c:v>0.63645362587221066</c:v>
                </c:pt>
                <c:pt idx="7">
                  <c:v>0.63763214865521611</c:v>
                </c:pt>
              </c:numCache>
            </c:numRef>
          </c:val>
          <c:extLst>
            <c:ext xmlns:c16="http://schemas.microsoft.com/office/drawing/2014/chart" uri="{C3380CC4-5D6E-409C-BE32-E72D297353CC}">
              <c16:uniqueId val="{00000006-51CC-4C0E-9B73-17485379FC73}"/>
            </c:ext>
          </c:extLst>
        </c:ser>
        <c:ser>
          <c:idx val="7"/>
          <c:order val="7"/>
          <c:tx>
            <c:strRef>
              <c:f>Sheet25!$I$3</c:f>
              <c:strCache>
                <c:ptCount val="1"/>
              </c:strCache>
            </c:strRef>
          </c:tx>
          <c:spPr>
            <a:solidFill>
              <a:srgbClr val="FF0000">
                <a:alpha val="8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Sheet25!$I$71:$I$99</c:f>
              <c:numCache>
                <c:formatCode>General</c:formatCode>
                <c:ptCount val="8"/>
                <c:pt idx="4">
                  <c:v>0.56058227412704742</c:v>
                </c:pt>
                <c:pt idx="5">
                  <c:v>0.59766448314468601</c:v>
                </c:pt>
                <c:pt idx="6">
                  <c:v>0.60393225201695788</c:v>
                </c:pt>
                <c:pt idx="7">
                  <c:v>0.60505055489003468</c:v>
                </c:pt>
              </c:numCache>
            </c:numRef>
          </c:val>
          <c:extLst>
            <c:ext xmlns:c16="http://schemas.microsoft.com/office/drawing/2014/chart" uri="{C3380CC4-5D6E-409C-BE32-E72D297353CC}">
              <c16:uniqueId val="{00000007-51CC-4C0E-9B73-17485379FC73}"/>
            </c:ext>
          </c:extLst>
        </c:ser>
        <c:ser>
          <c:idx val="8"/>
          <c:order val="8"/>
          <c:tx>
            <c:strRef>
              <c:f>Sheet25!$J$3</c:f>
              <c:strCache>
                <c:ptCount val="1"/>
              </c:strCache>
            </c:strRef>
          </c:tx>
          <c:spPr>
            <a:solidFill>
              <a:srgbClr val="FF0000">
                <a:alpha val="9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Sheet25!$J$71:$J$99</c:f>
              <c:numCache>
                <c:formatCode>General</c:formatCode>
                <c:ptCount val="8"/>
                <c:pt idx="4">
                  <c:v>0.54236983778372261</c:v>
                </c:pt>
                <c:pt idx="5">
                  <c:v>0.57824730415719472</c:v>
                </c:pt>
                <c:pt idx="6">
                  <c:v>0.58431144307741556</c:v>
                </c:pt>
                <c:pt idx="7">
                  <c:v>0.58539341404913214</c:v>
                </c:pt>
              </c:numCache>
            </c:numRef>
          </c:val>
          <c:extLst>
            <c:ext xmlns:c16="http://schemas.microsoft.com/office/drawing/2014/chart" uri="{C3380CC4-5D6E-409C-BE32-E72D297353CC}">
              <c16:uniqueId val="{00000008-51CC-4C0E-9B73-17485379FC73}"/>
            </c:ext>
          </c:extLst>
        </c:ser>
        <c:ser>
          <c:idx val="9"/>
          <c:order val="9"/>
          <c:tx>
            <c:strRef>
              <c:f>Sheet25!$K$3</c:f>
              <c:strCache>
                <c:ptCount val="1"/>
              </c:strCache>
            </c:strRef>
          </c:tx>
          <c:spPr>
            <a:solidFill>
              <a:srgbClr val="FF0000"/>
            </a:solidFill>
            <a:ln>
              <a:solidFill>
                <a:srgbClr val="FF0000"/>
              </a:solidFill>
              <a:prstDash val="solid"/>
            </a:ln>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Sheet25!$K$71:$K$99</c:f>
              <c:numCache>
                <c:formatCode>General</c:formatCode>
                <c:ptCount val="8"/>
                <c:pt idx="4">
                  <c:v>0.75255525277508695</c:v>
                </c:pt>
                <c:pt idx="5">
                  <c:v>0.82317253817262337</c:v>
                </c:pt>
                <c:pt idx="6">
                  <c:v>0.8351085267500169</c:v>
                </c:pt>
                <c:pt idx="7">
                  <c:v>0.83723816021147979</c:v>
                </c:pt>
              </c:numCache>
            </c:numRef>
          </c:val>
          <c:extLst>
            <c:ext xmlns:c16="http://schemas.microsoft.com/office/drawing/2014/chart" uri="{C3380CC4-5D6E-409C-BE32-E72D297353CC}">
              <c16:uniqueId val="{00000009-51CC-4C0E-9B73-17485379FC73}"/>
            </c:ext>
          </c:extLst>
        </c:ser>
        <c:ser>
          <c:idx val="10"/>
          <c:order val="10"/>
          <c:tx>
            <c:strRef>
              <c:f>Sheet25!$L$3</c:f>
              <c:strCache>
                <c:ptCount val="1"/>
              </c:strCache>
            </c:strRef>
          </c:tx>
          <c:spPr>
            <a:solidFill>
              <a:srgbClr val="FF0000">
                <a:alpha val="9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Sheet25!$L$71:$L$99</c:f>
              <c:numCache>
                <c:formatCode>General</c:formatCode>
                <c:ptCount val="8"/>
                <c:pt idx="4">
                  <c:v>0.22230911082281421</c:v>
                </c:pt>
                <c:pt idx="5">
                  <c:v>0.25818657719628735</c:v>
                </c:pt>
                <c:pt idx="6">
                  <c:v>0.26425071611650774</c:v>
                </c:pt>
                <c:pt idx="7">
                  <c:v>0.26533268708822488</c:v>
                </c:pt>
              </c:numCache>
            </c:numRef>
          </c:val>
          <c:extLst>
            <c:ext xmlns:c16="http://schemas.microsoft.com/office/drawing/2014/chart" uri="{C3380CC4-5D6E-409C-BE32-E72D297353CC}">
              <c16:uniqueId val="{0000000A-51CC-4C0E-9B73-17485379FC73}"/>
            </c:ext>
          </c:extLst>
        </c:ser>
        <c:ser>
          <c:idx val="11"/>
          <c:order val="11"/>
          <c:tx>
            <c:strRef>
              <c:f>Sheet25!$M$3</c:f>
              <c:strCache>
                <c:ptCount val="1"/>
              </c:strCache>
            </c:strRef>
          </c:tx>
          <c:spPr>
            <a:solidFill>
              <a:srgbClr val="FF0000">
                <a:alpha val="8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Sheet25!$M$71:$M$99</c:f>
              <c:numCache>
                <c:formatCode>General</c:formatCode>
                <c:ptCount val="8"/>
                <c:pt idx="4">
                  <c:v>0.2297741102518851</c:v>
                </c:pt>
                <c:pt idx="5">
                  <c:v>0.26685631926952336</c:v>
                </c:pt>
                <c:pt idx="6">
                  <c:v>0.27312408814179356</c:v>
                </c:pt>
                <c:pt idx="7">
                  <c:v>0.27424239101487102</c:v>
                </c:pt>
              </c:numCache>
            </c:numRef>
          </c:val>
          <c:extLst>
            <c:ext xmlns:c16="http://schemas.microsoft.com/office/drawing/2014/chart" uri="{C3380CC4-5D6E-409C-BE32-E72D297353CC}">
              <c16:uniqueId val="{0000000B-51CC-4C0E-9B73-17485379FC73}"/>
            </c:ext>
          </c:extLst>
        </c:ser>
        <c:ser>
          <c:idx val="12"/>
          <c:order val="12"/>
          <c:tx>
            <c:strRef>
              <c:f>Sheet25!$N$3</c:f>
              <c:strCache>
                <c:ptCount val="1"/>
              </c:strCache>
            </c:strRef>
          </c:tx>
          <c:spPr>
            <a:solidFill>
              <a:srgbClr val="FF0000">
                <a:alpha val="7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Sheet25!$N$71:$N$99</c:f>
              <c:numCache>
                <c:formatCode>General</c:formatCode>
                <c:ptCount val="8"/>
                <c:pt idx="4">
                  <c:v>0.24214730230580347</c:v>
                </c:pt>
                <c:pt idx="5">
                  <c:v>0.28122636507452636</c:v>
                </c:pt>
                <c:pt idx="6">
                  <c:v>0.28783164937845895</c:v>
                </c:pt>
                <c:pt idx="7">
                  <c:v>0.28901017216146385</c:v>
                </c:pt>
              </c:numCache>
            </c:numRef>
          </c:val>
          <c:extLst>
            <c:ext xmlns:c16="http://schemas.microsoft.com/office/drawing/2014/chart" uri="{C3380CC4-5D6E-409C-BE32-E72D297353CC}">
              <c16:uniqueId val="{0000000C-51CC-4C0E-9B73-17485379FC73}"/>
            </c:ext>
          </c:extLst>
        </c:ser>
        <c:ser>
          <c:idx val="13"/>
          <c:order val="13"/>
          <c:tx>
            <c:strRef>
              <c:f>Sheet25!$O$3</c:f>
              <c:strCache>
                <c:ptCount val="1"/>
              </c:strCache>
            </c:strRef>
          </c:tx>
          <c:spPr>
            <a:solidFill>
              <a:srgbClr val="FF0000">
                <a:alpha val="6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Sheet25!$O$71:$O$99</c:f>
              <c:numCache>
                <c:formatCode>General</c:formatCode>
                <c:ptCount val="8"/>
                <c:pt idx="4">
                  <c:v>0.26131501196329682</c:v>
                </c:pt>
                <c:pt idx="5">
                  <c:v>0.30348746508452462</c:v>
                </c:pt>
                <c:pt idx="6">
                  <c:v>0.31061560539609151</c:v>
                </c:pt>
                <c:pt idx="7">
                  <c:v>0.31188741677787252</c:v>
                </c:pt>
              </c:numCache>
            </c:numRef>
          </c:val>
          <c:extLst>
            <c:ext xmlns:c16="http://schemas.microsoft.com/office/drawing/2014/chart" uri="{C3380CC4-5D6E-409C-BE32-E72D297353CC}">
              <c16:uniqueId val="{0000000D-51CC-4C0E-9B73-17485379FC73}"/>
            </c:ext>
          </c:extLst>
        </c:ser>
        <c:ser>
          <c:idx val="14"/>
          <c:order val="14"/>
          <c:tx>
            <c:strRef>
              <c:f>Sheet25!$P$3</c:f>
              <c:strCache>
                <c:ptCount val="1"/>
              </c:strCache>
            </c:strRef>
          </c:tx>
          <c:spPr>
            <a:solidFill>
              <a:srgbClr val="FF0000">
                <a:alpha val="5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Sheet25!$P$71:$P$99</c:f>
              <c:numCache>
                <c:formatCode>General</c:formatCode>
                <c:ptCount val="8"/>
                <c:pt idx="4">
                  <c:v>0.29098665773114307</c:v>
                </c:pt>
                <c:pt idx="5">
                  <c:v>0.33794768415618748</c:v>
                </c:pt>
                <c:pt idx="6">
                  <c:v>0.34588520641913689</c:v>
                </c:pt>
                <c:pt idx="7">
                  <c:v>0.3473014287037578</c:v>
                </c:pt>
              </c:numCache>
            </c:numRef>
          </c:val>
          <c:extLst>
            <c:ext xmlns:c16="http://schemas.microsoft.com/office/drawing/2014/chart" uri="{C3380CC4-5D6E-409C-BE32-E72D297353CC}">
              <c16:uniqueId val="{0000000E-51CC-4C0E-9B73-17485379FC73}"/>
            </c:ext>
          </c:extLst>
        </c:ser>
        <c:ser>
          <c:idx val="15"/>
          <c:order val="15"/>
          <c:tx>
            <c:strRef>
              <c:f>Sheet25!$Q$3</c:f>
              <c:strCache>
                <c:ptCount val="1"/>
              </c:strCache>
            </c:strRef>
          </c:tx>
          <c:spPr>
            <a:solidFill>
              <a:srgbClr val="FF0000">
                <a:alpha val="4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Sheet25!$Q$71:$Q$99</c:f>
              <c:numCache>
                <c:formatCode>General</c:formatCode>
                <c:ptCount val="8"/>
                <c:pt idx="4">
                  <c:v>0.33918048826862568</c:v>
                </c:pt>
                <c:pt idx="5">
                  <c:v>0.39391929999503472</c:v>
                </c:pt>
                <c:pt idx="6">
                  <c:v>0.4031714516152558</c:v>
                </c:pt>
                <c:pt idx="7">
                  <c:v>0.40482223165355857</c:v>
                </c:pt>
              </c:numCache>
            </c:numRef>
          </c:val>
          <c:extLst>
            <c:ext xmlns:c16="http://schemas.microsoft.com/office/drawing/2014/chart" uri="{C3380CC4-5D6E-409C-BE32-E72D297353CC}">
              <c16:uniqueId val="{0000000F-51CC-4C0E-9B73-17485379FC73}"/>
            </c:ext>
          </c:extLst>
        </c:ser>
        <c:ser>
          <c:idx val="16"/>
          <c:order val="16"/>
          <c:tx>
            <c:strRef>
              <c:f>Sheet25!$R$3</c:f>
              <c:strCache>
                <c:ptCount val="1"/>
              </c:strCache>
            </c:strRef>
          </c:tx>
          <c:spPr>
            <a:solidFill>
              <a:srgbClr val="FF0000">
                <a:alpha val="3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Sheet25!$R$71:$R$99</c:f>
              <c:numCache>
                <c:formatCode>General</c:formatCode>
                <c:ptCount val="8"/>
                <c:pt idx="4">
                  <c:v>0.42676650357586926</c:v>
                </c:pt>
                <c:pt idx="5">
                  <c:v>0.49564042792695656</c:v>
                </c:pt>
                <c:pt idx="6">
                  <c:v>0.50728174732498843</c:v>
                </c:pt>
                <c:pt idx="7">
                  <c:v>0.50935880555647861</c:v>
                </c:pt>
              </c:numCache>
            </c:numRef>
          </c:val>
          <c:extLst>
            <c:ext xmlns:c16="http://schemas.microsoft.com/office/drawing/2014/chart" uri="{C3380CC4-5D6E-409C-BE32-E72D297353CC}">
              <c16:uniqueId val="{00000010-51CC-4C0E-9B73-17485379FC73}"/>
            </c:ext>
          </c:extLst>
        </c:ser>
        <c:ser>
          <c:idx val="17"/>
          <c:order val="17"/>
          <c:tx>
            <c:strRef>
              <c:f>Sheet25!$S$3</c:f>
              <c:strCache>
                <c:ptCount val="1"/>
              </c:strCache>
            </c:strRef>
          </c:tx>
          <c:spPr>
            <a:solidFill>
              <a:srgbClr val="FF0000">
                <a:alpha val="20000"/>
              </a:srgbClr>
            </a:solidFill>
          </c:spPr>
          <c:cat>
            <c:strRef>
              <c:f>Sheet25!$A$71:$A$99</c:f>
              <c:strCache>
                <c:ptCount val="8"/>
                <c:pt idx="0">
                  <c:v>2016/4</c:v>
                </c:pt>
                <c:pt idx="1">
                  <c:v>2017/4</c:v>
                </c:pt>
                <c:pt idx="2">
                  <c:v>2018/4</c:v>
                </c:pt>
                <c:pt idx="3">
                  <c:v>2019/4</c:v>
                </c:pt>
                <c:pt idx="4">
                  <c:v>2020/4*</c:v>
                </c:pt>
                <c:pt idx="5">
                  <c:v>2021/4*</c:v>
                </c:pt>
                <c:pt idx="6">
                  <c:v>2022/4*</c:v>
                </c:pt>
                <c:pt idx="7">
                  <c:v>2023/4*</c:v>
                </c:pt>
              </c:strCache>
            </c:strRef>
          </c:cat>
          <c:val>
            <c:numRef>
              <c:f>Sheet25!$S$71:$S$99</c:f>
              <c:numCache>
                <c:formatCode>General</c:formatCode>
                <c:ptCount val="8"/>
                <c:pt idx="4">
                  <c:v>0.63253224622712834</c:v>
                </c:pt>
                <c:pt idx="5">
                  <c:v>0.73461377725461063</c:v>
                </c:pt>
                <c:pt idx="6">
                  <c:v>0.75186796624598173</c:v>
                </c:pt>
                <c:pt idx="7">
                  <c:v>0.7549464794322357</c:v>
                </c:pt>
              </c:numCache>
            </c:numRef>
          </c:val>
          <c:extLst>
            <c:ext xmlns:c16="http://schemas.microsoft.com/office/drawing/2014/chart" uri="{C3380CC4-5D6E-409C-BE32-E72D297353CC}">
              <c16:uniqueId val="{00000011-51CC-4C0E-9B73-17485379FC73}"/>
            </c:ext>
          </c:extLst>
        </c:ser>
        <c:dLbls>
          <c:showLegendKey val="0"/>
          <c:showVal val="0"/>
          <c:showCatName val="0"/>
          <c:showSerName val="0"/>
          <c:showPercent val="0"/>
          <c:showBubbleSize val="0"/>
        </c:dLbls>
        <c:axId val="-684488080"/>
        <c:axId val="-684486992"/>
      </c:areaChart>
      <c:catAx>
        <c:axId val="-684488080"/>
        <c:scaling>
          <c:orientation val="minMax"/>
        </c:scaling>
        <c:delete val="0"/>
        <c:axPos val="b"/>
        <c:numFmt formatCode="General" sourceLinked="0"/>
        <c:majorTickMark val="out"/>
        <c:minorTickMark val="none"/>
        <c:tickLblPos val="low"/>
        <c:crossAx val="-684486992"/>
        <c:crosses val="autoZero"/>
        <c:auto val="1"/>
        <c:lblAlgn val="ctr"/>
        <c:lblOffset val="100"/>
        <c:noMultiLvlLbl val="0"/>
      </c:catAx>
      <c:valAx>
        <c:axId val="-684486992"/>
        <c:scaling>
          <c:orientation val="minMax"/>
          <c:max val="12"/>
          <c:min val="-10"/>
        </c:scaling>
        <c:delete val="0"/>
        <c:axPos val="l"/>
        <c:majorGridlines/>
        <c:numFmt formatCode="General" sourceLinked="1"/>
        <c:majorTickMark val="out"/>
        <c:minorTickMark val="none"/>
        <c:tickLblPos val="nextTo"/>
        <c:crossAx val="-684488080"/>
        <c:crosses val="autoZero"/>
        <c:crossBetween val="between"/>
      </c:valAx>
    </c:plotArea>
    <c:plotVisOnly val="1"/>
    <c:dispBlanksAs val="zero"/>
    <c:showDLblsOverMax val="0"/>
  </c:chart>
  <c:spPr>
    <a:solidFill>
      <a:schemeClr val="lt1"/>
    </a:solidFill>
    <a:ln w="1270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Sheet1!$A$4</c:f>
              <c:strCache>
                <c:ptCount val="1"/>
                <c:pt idx="0">
                  <c:v>2020  12 ամսյա աճը, %</c:v>
                </c:pt>
              </c:strCache>
            </c:strRef>
          </c:tx>
          <c:spPr>
            <a:solidFill>
              <a:schemeClr val="accent4"/>
            </a:solidFill>
            <a:ln>
              <a:solidFill>
                <a:schemeClr val="accent4"/>
              </a:solidFill>
            </a:ln>
            <a:effectLst/>
          </c:spPr>
          <c:invertIfNegative val="0"/>
          <c:dLbls>
            <c:dLbl>
              <c:idx val="2"/>
              <c:layout>
                <c:manualLayout>
                  <c:x val="0"/>
                  <c:y val="7.168458781362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EC-43F7-825C-093D14C1AA58}"/>
                </c:ext>
              </c:extLst>
            </c:dLbl>
            <c:spPr>
              <a:noFill/>
              <a:ln>
                <a:noFill/>
              </a:ln>
              <a:effectLst/>
            </c:spPr>
            <c:txPr>
              <a:bodyPr rot="0" spcFirstLastPara="1" vertOverflow="ellipsis" vert="horz" wrap="square" anchor="ctr" anchorCtr="1"/>
              <a:lstStyle/>
              <a:p>
                <a:pPr>
                  <a:defRPr sz="900" b="1" i="0" u="none" strike="noStrike" kern="1200" baseline="0">
                    <a:solidFill>
                      <a:schemeClr val="accent2"/>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Sheet1!$B$4:$M$4</c:f>
              <c:numCache>
                <c:formatCode>0.0</c:formatCode>
                <c:ptCount val="12"/>
                <c:pt idx="0">
                  <c:v>44.01899436861212</c:v>
                </c:pt>
                <c:pt idx="1">
                  <c:v>-1.4802798734894913</c:v>
                </c:pt>
                <c:pt idx="2">
                  <c:v>5.2382658431352525</c:v>
                </c:pt>
                <c:pt idx="3">
                  <c:v>-9.0692104282614707</c:v>
                </c:pt>
                <c:pt idx="4">
                  <c:v>-20.783357724161931</c:v>
                </c:pt>
              </c:numCache>
            </c:numRef>
          </c:val>
          <c:extLst>
            <c:ext xmlns:c16="http://schemas.microsoft.com/office/drawing/2014/chart" uri="{C3380CC4-5D6E-409C-BE32-E72D297353CC}">
              <c16:uniqueId val="{00000001-6EEC-43F7-825C-093D14C1AA58}"/>
            </c:ext>
          </c:extLst>
        </c:ser>
        <c:dLbls>
          <c:showLegendKey val="0"/>
          <c:showVal val="0"/>
          <c:showCatName val="0"/>
          <c:showSerName val="0"/>
          <c:showPercent val="0"/>
          <c:showBubbleSize val="0"/>
        </c:dLbls>
        <c:gapWidth val="219"/>
        <c:axId val="-684485904"/>
        <c:axId val="-684485360"/>
      </c:barChart>
      <c:lineChart>
        <c:grouping val="standard"/>
        <c:varyColors val="0"/>
        <c:ser>
          <c:idx val="0"/>
          <c:order val="0"/>
          <c:tx>
            <c:strRef>
              <c:f>Sheet1!$A$2</c:f>
              <c:strCache>
                <c:ptCount val="1"/>
                <c:pt idx="0">
                  <c:v>2019 աճի տեմպը, %</c:v>
                </c:pt>
              </c:strCache>
            </c:strRef>
          </c:tx>
          <c:spPr>
            <a:ln w="28575" cap="rnd">
              <a:solidFill>
                <a:schemeClr val="accent5"/>
              </a:solidFill>
              <a:prstDash val="dash"/>
              <a:round/>
            </a:ln>
            <a:effectLst/>
          </c:spPr>
          <c:marker>
            <c:symbol val="circle"/>
            <c:size val="5"/>
            <c:spPr>
              <a:solidFill>
                <a:schemeClr val="accent5"/>
              </a:solidFill>
              <a:ln w="9525">
                <a:solidFill>
                  <a:schemeClr val="accent5"/>
                </a:solidFill>
                <a:prstDash val="dash"/>
              </a:ln>
              <a:effectLst/>
            </c:spPr>
          </c:marker>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Sheet1!$B$2:$M$2</c:f>
              <c:numCache>
                <c:formatCode>0.0</c:formatCode>
                <c:ptCount val="12"/>
                <c:pt idx="0">
                  <c:v>87.106617099999909</c:v>
                </c:pt>
                <c:pt idx="1">
                  <c:v>30.498674773848592</c:v>
                </c:pt>
                <c:pt idx="2">
                  <c:v>24.930306464140287</c:v>
                </c:pt>
                <c:pt idx="3">
                  <c:v>27.337686512192505</c:v>
                </c:pt>
                <c:pt idx="4">
                  <c:v>26.537594262359292</c:v>
                </c:pt>
                <c:pt idx="5">
                  <c:v>24.520443767608633</c:v>
                </c:pt>
                <c:pt idx="6">
                  <c:v>23.216322786502086</c:v>
                </c:pt>
                <c:pt idx="7">
                  <c:v>21.321148621414807</c:v>
                </c:pt>
                <c:pt idx="8">
                  <c:v>21.567574704772724</c:v>
                </c:pt>
                <c:pt idx="9">
                  <c:v>19.509621885262138</c:v>
                </c:pt>
                <c:pt idx="10">
                  <c:v>19.02201170898266</c:v>
                </c:pt>
                <c:pt idx="11">
                  <c:v>16.389092686906686</c:v>
                </c:pt>
              </c:numCache>
            </c:numRef>
          </c:val>
          <c:smooth val="0"/>
          <c:extLst>
            <c:ext xmlns:c16="http://schemas.microsoft.com/office/drawing/2014/chart" uri="{C3380CC4-5D6E-409C-BE32-E72D297353CC}">
              <c16:uniqueId val="{00000002-6EEC-43F7-825C-093D14C1AA58}"/>
            </c:ext>
          </c:extLst>
        </c:ser>
        <c:ser>
          <c:idx val="1"/>
          <c:order val="1"/>
          <c:tx>
            <c:strRef>
              <c:f>Sheet1!$A$3</c:f>
              <c:strCache>
                <c:ptCount val="1"/>
                <c:pt idx="0">
                  <c:v>2020  աճի տեմպը, %</c:v>
                </c:pt>
              </c:strCache>
            </c:strRef>
          </c:tx>
          <c:spPr>
            <a:ln w="28575" cap="rnd">
              <a:solidFill>
                <a:srgbClr val="FF0000"/>
              </a:solidFill>
              <a:round/>
            </a:ln>
            <a:effectLst/>
          </c:spPr>
          <c:marker>
            <c:symbol val="diamond"/>
            <c:size val="5"/>
            <c:spPr>
              <a:solidFill>
                <a:srgbClr val="FF0000"/>
              </a:solidFill>
              <a:ln w="9525">
                <a:solidFill>
                  <a:srgbClr val="FF000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6EEC-43F7-825C-093D14C1AA58}"/>
                </c:ext>
              </c:extLst>
            </c:dLbl>
            <c:dLbl>
              <c:idx val="2"/>
              <c:layout>
                <c:manualLayout>
                  <c:x val="-3.9895924467775006E-2"/>
                  <c:y val="-4.76700627475328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EC-43F7-825C-093D14C1AA58}"/>
                </c:ext>
              </c:extLst>
            </c:dLbl>
            <c:dLbl>
              <c:idx val="3"/>
              <c:layout>
                <c:manualLayout>
                  <c:x val="-3.4739720034995626E-2"/>
                  <c:y val="-4.28910902266249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EC-43F7-825C-093D14C1AA58}"/>
                </c:ext>
              </c:extLst>
            </c:dLbl>
            <c:dLbl>
              <c:idx val="4"/>
              <c:layout>
                <c:manualLayout>
                  <c:x val="-3.4230460775736382E-2"/>
                  <c:y val="-4.28910902266251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EC-43F7-825C-093D14C1AA5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Sheet1!$B$3:$M$3</c:f>
              <c:numCache>
                <c:formatCode>0.0</c:formatCode>
                <c:ptCount val="12"/>
                <c:pt idx="0">
                  <c:v>44.01899436861212</c:v>
                </c:pt>
                <c:pt idx="1">
                  <c:v>23.113386458409931</c:v>
                </c:pt>
                <c:pt idx="2">
                  <c:v>16.479613321146189</c:v>
                </c:pt>
                <c:pt idx="3">
                  <c:v>7.3435490961043781</c:v>
                </c:pt>
                <c:pt idx="4">
                  <c:v>2.1873602310688085</c:v>
                </c:pt>
              </c:numCache>
            </c:numRef>
          </c:val>
          <c:smooth val="0"/>
          <c:extLst>
            <c:ext xmlns:c16="http://schemas.microsoft.com/office/drawing/2014/chart" uri="{C3380CC4-5D6E-409C-BE32-E72D297353CC}">
              <c16:uniqueId val="{00000007-6EEC-43F7-825C-093D14C1AA58}"/>
            </c:ext>
          </c:extLst>
        </c:ser>
        <c:dLbls>
          <c:showLegendKey val="0"/>
          <c:showVal val="0"/>
          <c:showCatName val="0"/>
          <c:showSerName val="0"/>
          <c:showPercent val="0"/>
          <c:showBubbleSize val="0"/>
        </c:dLbls>
        <c:marker val="1"/>
        <c:smooth val="0"/>
        <c:axId val="-684485904"/>
        <c:axId val="-684485360"/>
      </c:lineChart>
      <c:catAx>
        <c:axId val="-6844859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84485360"/>
        <c:crosses val="autoZero"/>
        <c:auto val="1"/>
        <c:lblAlgn val="ctr"/>
        <c:lblOffset val="100"/>
        <c:noMultiLvlLbl val="0"/>
      </c:catAx>
      <c:valAx>
        <c:axId val="-6844853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84485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97139780604335"/>
          <c:y val="4.1079906678331876E-2"/>
          <c:w val="0.784643986809341"/>
          <c:h val="0.7618229804607769"/>
        </c:manualLayout>
      </c:layout>
      <c:areaChart>
        <c:grouping val="standard"/>
        <c:varyColors val="0"/>
        <c:ser>
          <c:idx val="3"/>
          <c:order val="3"/>
          <c:tx>
            <c:strRef>
              <c:f>Sheet1!$E$1</c:f>
              <c:strCache>
                <c:ptCount val="1"/>
                <c:pt idx="0">
                  <c:v>Column1</c:v>
                </c:pt>
              </c:strCache>
            </c:strRef>
          </c:tx>
          <c:spPr>
            <a:solidFill>
              <a:sysClr val="window" lastClr="FFFFFF">
                <a:lumMod val="85000"/>
              </a:sysClr>
            </a:solidFill>
          </c:spPr>
          <c:cat>
            <c:strRef>
              <c:f>Sheet1!$A$2:$A$8</c:f>
              <c:strCache>
                <c:ptCount val="7"/>
                <c:pt idx="0">
                  <c:v>2017</c:v>
                </c:pt>
                <c:pt idx="1">
                  <c:v>2018</c:v>
                </c:pt>
                <c:pt idx="2">
                  <c:v>2019</c:v>
                </c:pt>
                <c:pt idx="3">
                  <c:v>2020*</c:v>
                </c:pt>
                <c:pt idx="4">
                  <c:v>2021*</c:v>
                </c:pt>
                <c:pt idx="5">
                  <c:v>2022*</c:v>
                </c:pt>
                <c:pt idx="6">
                  <c:v>2023*</c:v>
                </c:pt>
              </c:strCache>
            </c:strRef>
          </c:cat>
          <c:val>
            <c:numRef>
              <c:f>Sheet1!$E$2:$E$8</c:f>
              <c:numCache>
                <c:formatCode>General</c:formatCode>
                <c:ptCount val="7"/>
                <c:pt idx="3" formatCode="0.0">
                  <c:v>2500</c:v>
                </c:pt>
                <c:pt idx="4" formatCode="0.0">
                  <c:v>2500</c:v>
                </c:pt>
                <c:pt idx="5" formatCode="0.0">
                  <c:v>2500</c:v>
                </c:pt>
                <c:pt idx="6" formatCode="0.0">
                  <c:v>2500</c:v>
                </c:pt>
              </c:numCache>
            </c:numRef>
          </c:val>
          <c:extLst>
            <c:ext xmlns:c16="http://schemas.microsoft.com/office/drawing/2014/chart" uri="{C3380CC4-5D6E-409C-BE32-E72D297353CC}">
              <c16:uniqueId val="{00000000-29FE-4F20-887B-876160FE667B}"/>
            </c:ext>
          </c:extLst>
        </c:ser>
        <c:dLbls>
          <c:showLegendKey val="0"/>
          <c:showVal val="0"/>
          <c:showCatName val="0"/>
          <c:showSerName val="0"/>
          <c:showPercent val="0"/>
          <c:showBubbleSize val="0"/>
        </c:dLbls>
        <c:axId val="-684483184"/>
        <c:axId val="-684482096"/>
      </c:areaChart>
      <c:barChart>
        <c:barDir val="col"/>
        <c:grouping val="clustered"/>
        <c:varyColors val="0"/>
        <c:ser>
          <c:idx val="0"/>
          <c:order val="0"/>
          <c:tx>
            <c:strRef>
              <c:f>Sheet1!$B$1</c:f>
              <c:strCache>
                <c:ptCount val="1"/>
                <c:pt idx="0">
                  <c:v>Եկամուտներ</c:v>
                </c:pt>
              </c:strCache>
            </c:strRef>
          </c:tx>
          <c:spPr>
            <a:solidFill>
              <a:srgbClr val="FF0000"/>
            </a:solidFill>
            <a:ln>
              <a:noFill/>
            </a:ln>
            <a:effectLst>
              <a:outerShdw blurRad="40000" dist="23000" dir="5400000" rotWithShape="0">
                <a:srgbClr val="000000">
                  <a:alpha val="35000"/>
                </a:srgbClr>
              </a:outerShdw>
            </a:effectLst>
          </c:spPr>
          <c:invertIfNegative val="0"/>
          <c:dLbls>
            <c:spPr>
              <a:noFill/>
              <a:ln>
                <a:noFill/>
              </a:ln>
              <a:effectLst/>
            </c:spPr>
            <c:txPr>
              <a:bodyPr wrap="square" lIns="38100" tIns="19050" rIns="38100" bIns="19050" anchor="ctr">
                <a:spAutoFit/>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Sheet1!$B$2:$B$8</c:f>
              <c:numCache>
                <c:formatCode>0.0</c:formatCode>
                <c:ptCount val="7"/>
                <c:pt idx="0">
                  <c:v>1237.7807658800011</c:v>
                </c:pt>
                <c:pt idx="1">
                  <c:v>1341.690590901</c:v>
                </c:pt>
                <c:pt idx="2">
                  <c:v>1565.4889168</c:v>
                </c:pt>
                <c:pt idx="3">
                  <c:v>1488.6629393211049</c:v>
                </c:pt>
                <c:pt idx="4">
                  <c:v>1669.8618999999999</c:v>
                </c:pt>
                <c:pt idx="5">
                  <c:v>1885.9341000000002</c:v>
                </c:pt>
                <c:pt idx="6">
                  <c:v>2082.8638000000001</c:v>
                </c:pt>
              </c:numCache>
            </c:numRef>
          </c:val>
          <c:extLst>
            <c:ext xmlns:c16="http://schemas.microsoft.com/office/drawing/2014/chart" uri="{C3380CC4-5D6E-409C-BE32-E72D297353CC}">
              <c16:uniqueId val="{00000001-29FE-4F20-887B-876160FE667B}"/>
            </c:ext>
          </c:extLst>
        </c:ser>
        <c:ser>
          <c:idx val="1"/>
          <c:order val="1"/>
          <c:tx>
            <c:strRef>
              <c:f>Sheet1!$C$1</c:f>
              <c:strCache>
                <c:ptCount val="1"/>
                <c:pt idx="0">
                  <c:v>Ծախսեր</c:v>
                </c:pt>
              </c:strCache>
            </c:strRef>
          </c:tx>
          <c:spPr>
            <a:solidFill>
              <a:srgbClr val="4472C4"/>
            </a:solidFill>
            <a:ln>
              <a:solidFill>
                <a:srgbClr val="4472C4"/>
              </a:solidFill>
            </a:ln>
            <a:effectLst>
              <a:outerShdw blurRad="40000" dist="23000" dir="5400000" rotWithShape="0">
                <a:srgbClr val="000000">
                  <a:alpha val="35000"/>
                </a:srgbClr>
              </a:outerShdw>
            </a:effectLst>
          </c:spPr>
          <c:invertIfNegative val="0"/>
          <c:dLbls>
            <c:spPr>
              <a:noFill/>
              <a:ln>
                <a:noFill/>
              </a:ln>
              <a:effectLst/>
            </c:spPr>
            <c:txPr>
              <a:bodyPr wrap="square" lIns="38100" tIns="19050" rIns="38100" bIns="19050" anchor="ctr">
                <a:spAutoFit/>
              </a:bodyPr>
              <a:lstStyle/>
              <a:p>
                <a:pPr>
                  <a:defRPr sz="8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Sheet1!$C$2:$C$8</c:f>
              <c:numCache>
                <c:formatCode>0.0</c:formatCode>
                <c:ptCount val="7"/>
                <c:pt idx="0">
                  <c:v>1504.8022297</c:v>
                </c:pt>
                <c:pt idx="1">
                  <c:v>1447.0830114800001</c:v>
                </c:pt>
                <c:pt idx="2">
                  <c:v>1629.4368624500023</c:v>
                </c:pt>
                <c:pt idx="3">
                  <c:v>1850.1977850592602</c:v>
                </c:pt>
                <c:pt idx="4">
                  <c:v>1879.0111999999999</c:v>
                </c:pt>
                <c:pt idx="5">
                  <c:v>2026.1216000000002</c:v>
                </c:pt>
                <c:pt idx="6">
                  <c:v>2241.4227999999998</c:v>
                </c:pt>
              </c:numCache>
            </c:numRef>
          </c:val>
          <c:extLst>
            <c:ext xmlns:c16="http://schemas.microsoft.com/office/drawing/2014/chart" uri="{C3380CC4-5D6E-409C-BE32-E72D297353CC}">
              <c16:uniqueId val="{00000002-29FE-4F20-887B-876160FE667B}"/>
            </c:ext>
          </c:extLst>
        </c:ser>
        <c:ser>
          <c:idx val="2"/>
          <c:order val="2"/>
          <c:tx>
            <c:strRef>
              <c:f>Sheet1!$D$1</c:f>
              <c:strCache>
                <c:ptCount val="1"/>
                <c:pt idx="0">
                  <c:v>Պակասուրդ</c:v>
                </c:pt>
              </c:strCache>
            </c:strRef>
          </c:tx>
          <c:spPr>
            <a:solidFill>
              <a:srgbClr val="ED7D31"/>
            </a:solidFill>
            <a:ln w="31765" cap="rnd">
              <a:solidFill>
                <a:srgbClr val="ED7D31"/>
              </a:solidFill>
              <a:round/>
            </a:ln>
            <a:effectLst>
              <a:outerShdw blurRad="40000" dist="23000" dir="5400000" rotWithShape="0">
                <a:srgbClr val="000000">
                  <a:alpha val="35000"/>
                </a:srgbClr>
              </a:outerShdw>
            </a:effectLst>
          </c:spPr>
          <c:invertIfNegative val="0"/>
          <c:dLbls>
            <c:dLbl>
              <c:idx val="0"/>
              <c:layout>
                <c:manualLayout>
                  <c:x val="1.9586668320030954E-17"/>
                  <c:y val="3.24865945154915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FE-4F20-887B-876160FE667B}"/>
                </c:ext>
              </c:extLst>
            </c:dLbl>
            <c:dLbl>
              <c:idx val="1"/>
              <c:layout>
                <c:manualLayout>
                  <c:x val="-3.9173336640061908E-17"/>
                  <c:y val="2.37709363999402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9FE-4F20-887B-876160FE667B}"/>
                </c:ext>
              </c:extLst>
            </c:dLbl>
            <c:dLbl>
              <c:idx val="3"/>
              <c:layout>
                <c:manualLayout>
                  <c:x val="0"/>
                  <c:y val="5.38035900852201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FE-4F20-887B-876160FE667B}"/>
                </c:ext>
              </c:extLst>
            </c:dLbl>
            <c:dLbl>
              <c:idx val="4"/>
              <c:layout>
                <c:manualLayout>
                  <c:x val="0"/>
                  <c:y val="2.58208015260228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9FE-4F20-887B-876160FE667B}"/>
                </c:ext>
              </c:extLst>
            </c:dLbl>
            <c:dLbl>
              <c:idx val="5"/>
              <c:layout>
                <c:manualLayout>
                  <c:x val="0"/>
                  <c:y val="8.20055260082782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FE-4F20-887B-876160FE667B}"/>
                </c:ext>
              </c:extLst>
            </c:dLbl>
            <c:dLbl>
              <c:idx val="6"/>
              <c:layout>
                <c:manualLayout>
                  <c:x val="0"/>
                  <c:y val="1.55980502437195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9FE-4F20-887B-876160FE667B}"/>
                </c:ext>
              </c:extLst>
            </c:dLbl>
            <c:spPr>
              <a:noFill/>
              <a:ln>
                <a:noFill/>
              </a:ln>
              <a:effectLst/>
            </c:spPr>
            <c:txPr>
              <a:bodyPr wrap="square" lIns="38100" tIns="19050" rIns="38100" bIns="19050" anchor="ctr">
                <a:spAutoFit/>
              </a:bodyPr>
              <a:lstStyle/>
              <a:p>
                <a:pPr>
                  <a:defRPr sz="800"/>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Sheet1!$D$2:$D$8</c:f>
              <c:numCache>
                <c:formatCode>0.0</c:formatCode>
                <c:ptCount val="7"/>
                <c:pt idx="0">
                  <c:v>-267.02146382000035</c:v>
                </c:pt>
                <c:pt idx="1">
                  <c:v>-105.39242057900016</c:v>
                </c:pt>
                <c:pt idx="2">
                  <c:v>-63.947945650000044</c:v>
                </c:pt>
                <c:pt idx="3">
                  <c:v>-361.5348457381549</c:v>
                </c:pt>
                <c:pt idx="4">
                  <c:v>-209.14929999999998</c:v>
                </c:pt>
                <c:pt idx="5">
                  <c:v>-140.1875</c:v>
                </c:pt>
                <c:pt idx="6">
                  <c:v>-158.559</c:v>
                </c:pt>
              </c:numCache>
            </c:numRef>
          </c:val>
          <c:extLst>
            <c:ext xmlns:c16="http://schemas.microsoft.com/office/drawing/2014/chart" uri="{C3380CC4-5D6E-409C-BE32-E72D297353CC}">
              <c16:uniqueId val="{00000009-29FE-4F20-887B-876160FE667B}"/>
            </c:ext>
          </c:extLst>
        </c:ser>
        <c:dLbls>
          <c:showLegendKey val="0"/>
          <c:showVal val="0"/>
          <c:showCatName val="0"/>
          <c:showSerName val="0"/>
          <c:showPercent val="0"/>
          <c:showBubbleSize val="0"/>
        </c:dLbls>
        <c:gapWidth val="150"/>
        <c:axId val="-684483184"/>
        <c:axId val="-684482096"/>
      </c:barChart>
      <c:catAx>
        <c:axId val="-684483184"/>
        <c:scaling>
          <c:orientation val="minMax"/>
        </c:scaling>
        <c:delete val="0"/>
        <c:axPos val="b"/>
        <c:numFmt formatCode="General" sourceLinked="1"/>
        <c:majorTickMark val="none"/>
        <c:minorTickMark val="none"/>
        <c:tickLblPos val="low"/>
        <c:spPr>
          <a:noFill/>
          <a:ln w="9530" cap="flat" cmpd="sng" algn="ctr">
            <a:solidFill>
              <a:schemeClr val="tx2">
                <a:lumMod val="15000"/>
                <a:lumOff val="85000"/>
              </a:schemeClr>
            </a:solidFill>
            <a:round/>
          </a:ln>
          <a:effectLst/>
        </c:spPr>
        <c:txPr>
          <a:bodyPr rot="-60000000" vert="horz"/>
          <a:lstStyle/>
          <a:p>
            <a:pPr>
              <a:defRPr/>
            </a:pPr>
            <a:endParaRPr lang="en-US"/>
          </a:p>
        </c:txPr>
        <c:crossAx val="-684482096"/>
        <c:crosses val="autoZero"/>
        <c:auto val="1"/>
        <c:lblAlgn val="ctr"/>
        <c:lblOffset val="100"/>
        <c:noMultiLvlLbl val="0"/>
      </c:catAx>
      <c:valAx>
        <c:axId val="-684482096"/>
        <c:scaling>
          <c:orientation val="minMax"/>
          <c:max val="2500"/>
          <c:min val="-500"/>
        </c:scaling>
        <c:delete val="0"/>
        <c:axPos val="l"/>
        <c:majorGridlines>
          <c:spPr>
            <a:ln w="9530" cap="flat" cmpd="sng" algn="ctr">
              <a:solidFill>
                <a:schemeClr val="tx2">
                  <a:lumMod val="15000"/>
                  <a:lumOff val="85000"/>
                </a:schemeClr>
              </a:solidFill>
              <a:round/>
            </a:ln>
            <a:effectLst/>
          </c:spPr>
        </c:majorGridlines>
        <c:numFmt formatCode="General" sourceLinked="1"/>
        <c:majorTickMark val="none"/>
        <c:minorTickMark val="none"/>
        <c:tickLblPos val="nextTo"/>
        <c:spPr>
          <a:ln w="6353">
            <a:noFill/>
          </a:ln>
        </c:spPr>
        <c:txPr>
          <a:bodyPr rot="-60000000" vert="horz"/>
          <a:lstStyle/>
          <a:p>
            <a:pPr>
              <a:defRPr/>
            </a:pPr>
            <a:endParaRPr lang="en-US"/>
          </a:p>
        </c:txPr>
        <c:crossAx val="-684483184"/>
        <c:crosses val="autoZero"/>
        <c:crossBetween val="between"/>
      </c:valAx>
      <c:spPr>
        <a:noFill/>
        <a:ln w="25412">
          <a:noFill/>
        </a:ln>
      </c:spPr>
    </c:plotArea>
    <c:legend>
      <c:legendPos val="b"/>
      <c:legendEntry>
        <c:idx val="0"/>
        <c:delete val="1"/>
      </c:legendEntry>
      <c:overlay val="0"/>
    </c:legend>
    <c:plotVisOnly val="1"/>
    <c:dispBlanksAs val="gap"/>
    <c:showDLblsOverMax val="0"/>
  </c:chart>
  <c:spPr>
    <a:solidFill>
      <a:schemeClr val="bg1"/>
    </a:solidFill>
    <a:ln w="9530" cap="flat" cmpd="sng" algn="ctr">
      <a:solidFill>
        <a:schemeClr val="tx2">
          <a:lumMod val="15000"/>
          <a:lumOff val="85000"/>
        </a:schemeClr>
      </a:solidFill>
      <a:round/>
    </a:ln>
    <a:effectLst/>
  </c:spPr>
  <c:txPr>
    <a:bodyPr anchor="t" anchorCtr="0"/>
    <a:lstStyle/>
    <a:p>
      <a:pPr>
        <a:defRPr>
          <a:latin typeface="GHEA Grapalat" panose="02000506050000020003" pitchFamily="50" charset="0"/>
        </a:defRPr>
      </a:pPr>
      <a:endParaRPr lang="en-US"/>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46295207245276"/>
          <c:y val="5.2033646044661909E-2"/>
          <c:w val="0.82012848918713577"/>
          <c:h val="0.72564276710820164"/>
        </c:manualLayout>
      </c:layout>
      <c:areaChart>
        <c:grouping val="standard"/>
        <c:varyColors val="0"/>
        <c:ser>
          <c:idx val="2"/>
          <c:order val="2"/>
          <c:tx>
            <c:strRef>
              <c:f>Sheet1!$D$1</c:f>
              <c:strCache>
                <c:ptCount val="1"/>
                <c:pt idx="0">
                  <c:v>Column1</c:v>
                </c:pt>
              </c:strCache>
            </c:strRef>
          </c:tx>
          <c:spPr>
            <a:solidFill>
              <a:sysClr val="window" lastClr="FFFFFF">
                <a:lumMod val="85000"/>
              </a:sysClr>
            </a:solidFill>
          </c:spPr>
          <c:cat>
            <c:strRef>
              <c:f>Sheet1!$A$2:$A$8</c:f>
              <c:strCache>
                <c:ptCount val="7"/>
                <c:pt idx="0">
                  <c:v>2017</c:v>
                </c:pt>
                <c:pt idx="1">
                  <c:v>2018</c:v>
                </c:pt>
                <c:pt idx="2">
                  <c:v>2019</c:v>
                </c:pt>
                <c:pt idx="3">
                  <c:v>2020*</c:v>
                </c:pt>
                <c:pt idx="4">
                  <c:v>2021*</c:v>
                </c:pt>
                <c:pt idx="5">
                  <c:v>2022*</c:v>
                </c:pt>
                <c:pt idx="6">
                  <c:v>2023*</c:v>
                </c:pt>
              </c:strCache>
            </c:strRef>
          </c:cat>
          <c:val>
            <c:numRef>
              <c:f>Sheet1!$D$2:$D$8</c:f>
              <c:numCache>
                <c:formatCode>General</c:formatCode>
                <c:ptCount val="7"/>
                <c:pt idx="3">
                  <c:v>2</c:v>
                </c:pt>
                <c:pt idx="4">
                  <c:v>2</c:v>
                </c:pt>
                <c:pt idx="5">
                  <c:v>2</c:v>
                </c:pt>
                <c:pt idx="6">
                  <c:v>2</c:v>
                </c:pt>
              </c:numCache>
            </c:numRef>
          </c:val>
          <c:extLst>
            <c:ext xmlns:c16="http://schemas.microsoft.com/office/drawing/2014/chart" uri="{C3380CC4-5D6E-409C-BE32-E72D297353CC}">
              <c16:uniqueId val="{00000000-3AEB-4F9A-8204-C22F4BC5B88B}"/>
            </c:ext>
          </c:extLst>
        </c:ser>
        <c:ser>
          <c:idx val="3"/>
          <c:order val="3"/>
          <c:tx>
            <c:strRef>
              <c:f>Sheet1!$E$1</c:f>
              <c:strCache>
                <c:ptCount val="1"/>
                <c:pt idx="0">
                  <c:v>Column2</c:v>
                </c:pt>
              </c:strCache>
            </c:strRef>
          </c:tx>
          <c:spPr>
            <a:solidFill>
              <a:sysClr val="window" lastClr="FFFFFF">
                <a:lumMod val="85000"/>
              </a:sysClr>
            </a:solidFill>
          </c:spPr>
          <c:cat>
            <c:strRef>
              <c:f>Sheet1!$A$2:$A$8</c:f>
              <c:strCache>
                <c:ptCount val="7"/>
                <c:pt idx="0">
                  <c:v>2017</c:v>
                </c:pt>
                <c:pt idx="1">
                  <c:v>2018</c:v>
                </c:pt>
                <c:pt idx="2">
                  <c:v>2019</c:v>
                </c:pt>
                <c:pt idx="3">
                  <c:v>2020*</c:v>
                </c:pt>
                <c:pt idx="4">
                  <c:v>2021*</c:v>
                </c:pt>
                <c:pt idx="5">
                  <c:v>2022*</c:v>
                </c:pt>
                <c:pt idx="6">
                  <c:v>2023*</c:v>
                </c:pt>
              </c:strCache>
            </c:strRef>
          </c:cat>
          <c:val>
            <c:numRef>
              <c:f>Sheet1!$E$2:$E$8</c:f>
              <c:numCache>
                <c:formatCode>General</c:formatCode>
                <c:ptCount val="7"/>
                <c:pt idx="3">
                  <c:v>-9</c:v>
                </c:pt>
                <c:pt idx="4">
                  <c:v>-9</c:v>
                </c:pt>
                <c:pt idx="5">
                  <c:v>-9</c:v>
                </c:pt>
                <c:pt idx="6">
                  <c:v>-9</c:v>
                </c:pt>
              </c:numCache>
            </c:numRef>
          </c:val>
          <c:extLst>
            <c:ext xmlns:c16="http://schemas.microsoft.com/office/drawing/2014/chart" uri="{C3380CC4-5D6E-409C-BE32-E72D297353CC}">
              <c16:uniqueId val="{00000001-3AEB-4F9A-8204-C22F4BC5B88B}"/>
            </c:ext>
          </c:extLst>
        </c:ser>
        <c:dLbls>
          <c:showLegendKey val="0"/>
          <c:showVal val="0"/>
          <c:showCatName val="0"/>
          <c:showSerName val="0"/>
          <c:showPercent val="0"/>
          <c:showBubbleSize val="0"/>
        </c:dLbls>
        <c:axId val="-684474480"/>
        <c:axId val="-684522896"/>
      </c:areaChart>
      <c:lineChart>
        <c:grouping val="standard"/>
        <c:varyColors val="0"/>
        <c:ser>
          <c:idx val="0"/>
          <c:order val="0"/>
          <c:tx>
            <c:strRef>
              <c:f>Sheet1!$B$1</c:f>
              <c:strCache>
                <c:ptCount val="1"/>
                <c:pt idx="0">
                  <c:v>Պակասուրդ, % ՀՆԱ-ում</c:v>
                </c:pt>
              </c:strCache>
            </c:strRef>
          </c:tx>
          <c:spPr>
            <a:ln>
              <a:solidFill>
                <a:srgbClr val="4472C4"/>
              </a:solidFill>
            </a:ln>
          </c:spPr>
          <c:marker>
            <c:spPr>
              <a:solidFill>
                <a:srgbClr val="4472C4"/>
              </a:solidFill>
              <a:ln>
                <a:solidFill>
                  <a:srgbClr val="4472C4"/>
                </a:solidFill>
              </a:ln>
            </c:spPr>
          </c:marker>
          <c:dLbls>
            <c:dLbl>
              <c:idx val="5"/>
              <c:layout>
                <c:manualLayout>
                  <c:x val="-6.863140896245469E-2"/>
                  <c:y val="-4.1511000415110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AEB-4F9A-8204-C22F4BC5B88B}"/>
                </c:ext>
              </c:extLst>
            </c:dLbl>
            <c:dLbl>
              <c:idx val="6"/>
              <c:layout>
                <c:manualLayout>
                  <c:x val="-4.8445700444085735E-2"/>
                  <c:y val="-3.32088003320880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EB-4F9A-8204-C22F4BC5B88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Sheet1!$B$2:$B$8</c:f>
              <c:numCache>
                <c:formatCode>0.0</c:formatCode>
                <c:ptCount val="7"/>
                <c:pt idx="0">
                  <c:v>-4.7986662832355389</c:v>
                </c:pt>
                <c:pt idx="1">
                  <c:v>-1.7515672931246913</c:v>
                </c:pt>
                <c:pt idx="2">
                  <c:v>-0.97347611233608777</c:v>
                </c:pt>
                <c:pt idx="3">
                  <c:v>-5.5577557441244387</c:v>
                </c:pt>
                <c:pt idx="4">
                  <c:v>-2.9</c:v>
                </c:pt>
                <c:pt idx="5">
                  <c:v>-1.7679704993736292</c:v>
                </c:pt>
                <c:pt idx="6">
                  <c:v>-1.7611150852246578</c:v>
                </c:pt>
              </c:numCache>
            </c:numRef>
          </c:val>
          <c:smooth val="0"/>
          <c:extLst>
            <c:ext xmlns:c16="http://schemas.microsoft.com/office/drawing/2014/chart" uri="{C3380CC4-5D6E-409C-BE32-E72D297353CC}">
              <c16:uniqueId val="{00000004-3AEB-4F9A-8204-C22F4BC5B88B}"/>
            </c:ext>
          </c:extLst>
        </c:ser>
        <c:ser>
          <c:idx val="1"/>
          <c:order val="1"/>
          <c:tx>
            <c:strRef>
              <c:f>Sheet1!$C$1</c:f>
              <c:strCache>
                <c:ptCount val="1"/>
                <c:pt idx="0">
                  <c:v>Առաջնային պակասուրդ, % ՀՆԱ-ում</c:v>
                </c:pt>
              </c:strCache>
            </c:strRef>
          </c:tx>
          <c:spPr>
            <a:ln w="12700" cap="rnd">
              <a:solidFill>
                <a:srgbClr val="FF0000"/>
              </a:solidFill>
              <a:prstDash val="dash"/>
              <a:round/>
            </a:ln>
            <a:effectLst>
              <a:outerShdw blurRad="40000" dist="23000" dir="5400000" rotWithShape="0">
                <a:srgbClr val="000000">
                  <a:alpha val="35000"/>
                </a:srgbClr>
              </a:outerShdw>
            </a:effectLst>
          </c:spPr>
          <c:marker>
            <c:symbol val="circle"/>
            <c:size val="5"/>
            <c:spPr>
              <a:solidFill>
                <a:srgbClr val="FF0000"/>
              </a:solidFill>
              <a:ln w="12700">
                <a:solidFill>
                  <a:srgbClr val="FF0000"/>
                </a:solidFill>
                <a:prstDash val="dash"/>
              </a:ln>
            </c:spPr>
          </c:marker>
          <c:dLbls>
            <c:dLbl>
              <c:idx val="5"/>
              <c:layout>
                <c:manualLayout>
                  <c:x val="-6.4594267258781132E-2"/>
                  <c:y val="-3.3208800332088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AEB-4F9A-8204-C22F4BC5B88B}"/>
                </c:ext>
              </c:extLst>
            </c:dLbl>
            <c:dLbl>
              <c:idx val="6"/>
              <c:layout>
                <c:manualLayout>
                  <c:x val="-5.6519983851433385E-2"/>
                  <c:y val="-4.1511000415110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AEB-4F9A-8204-C22F4BC5B88B}"/>
                </c:ext>
              </c:extLst>
            </c:dLbl>
            <c:spPr>
              <a:noFill/>
              <a:ln w="25412">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Sheet1!$C$2:$C$8</c:f>
              <c:numCache>
                <c:formatCode>0.0</c:formatCode>
                <c:ptCount val="7"/>
                <c:pt idx="0">
                  <c:v>-2.6042112858685642</c:v>
                </c:pt>
                <c:pt idx="1">
                  <c:v>0.55878812975865189</c:v>
                </c:pt>
                <c:pt idx="2">
                  <c:v>1.4249401715394578</c:v>
                </c:pt>
                <c:pt idx="3">
                  <c:v>-2.9570109940771268</c:v>
                </c:pt>
                <c:pt idx="4">
                  <c:v>-0.33108935005656681</c:v>
                </c:pt>
                <c:pt idx="5">
                  <c:v>0.90444740315448868</c:v>
                </c:pt>
                <c:pt idx="6">
                  <c:v>0.90890663996418875</c:v>
                </c:pt>
              </c:numCache>
            </c:numRef>
          </c:val>
          <c:smooth val="0"/>
          <c:extLst>
            <c:ext xmlns:c16="http://schemas.microsoft.com/office/drawing/2014/chart" uri="{C3380CC4-5D6E-409C-BE32-E72D297353CC}">
              <c16:uniqueId val="{00000007-3AEB-4F9A-8204-C22F4BC5B88B}"/>
            </c:ext>
          </c:extLst>
        </c:ser>
        <c:dLbls>
          <c:showLegendKey val="0"/>
          <c:showVal val="0"/>
          <c:showCatName val="0"/>
          <c:showSerName val="0"/>
          <c:showPercent val="0"/>
          <c:showBubbleSize val="0"/>
        </c:dLbls>
        <c:marker val="1"/>
        <c:smooth val="0"/>
        <c:axId val="-684474480"/>
        <c:axId val="-684522896"/>
      </c:lineChart>
      <c:catAx>
        <c:axId val="-684474480"/>
        <c:scaling>
          <c:orientation val="minMax"/>
        </c:scaling>
        <c:delete val="0"/>
        <c:axPos val="b"/>
        <c:numFmt formatCode="General" sourceLinked="1"/>
        <c:majorTickMark val="none"/>
        <c:minorTickMark val="none"/>
        <c:tickLblPos val="low"/>
        <c:spPr>
          <a:noFill/>
          <a:ln w="19050" cap="flat" cmpd="sng" algn="ctr">
            <a:solidFill>
              <a:srgbClr val="44546A">
                <a:lumMod val="15000"/>
                <a:lumOff val="85000"/>
              </a:srgbClr>
            </a:solidFill>
            <a:round/>
          </a:ln>
          <a:effectLst/>
        </c:spPr>
        <c:txPr>
          <a:bodyPr rot="-60000000" vert="horz"/>
          <a:lstStyle/>
          <a:p>
            <a:pPr>
              <a:defRPr/>
            </a:pPr>
            <a:endParaRPr lang="en-US"/>
          </a:p>
        </c:txPr>
        <c:crossAx val="-684522896"/>
        <c:crosses val="autoZero"/>
        <c:auto val="1"/>
        <c:lblAlgn val="ctr"/>
        <c:lblOffset val="100"/>
        <c:noMultiLvlLbl val="0"/>
      </c:catAx>
      <c:valAx>
        <c:axId val="-684522896"/>
        <c:scaling>
          <c:orientation val="minMax"/>
          <c:max val="2"/>
          <c:min val="-7"/>
        </c:scaling>
        <c:delete val="0"/>
        <c:axPos val="l"/>
        <c:majorGridlines>
          <c:spPr>
            <a:ln w="12700" cap="flat" cmpd="sng" algn="ctr">
              <a:solidFill>
                <a:srgbClr val="44546A">
                  <a:lumMod val="15000"/>
                  <a:lumOff val="85000"/>
                </a:srgbClr>
              </a:solidFill>
              <a:round/>
            </a:ln>
            <a:effectLst/>
          </c:spPr>
        </c:majorGridlines>
        <c:numFmt formatCode="General" sourceLinked="1"/>
        <c:majorTickMark val="none"/>
        <c:minorTickMark val="none"/>
        <c:tickLblPos val="nextTo"/>
        <c:spPr>
          <a:ln w="6353">
            <a:noFill/>
          </a:ln>
        </c:spPr>
        <c:txPr>
          <a:bodyPr rot="-60000000" vert="horz"/>
          <a:lstStyle/>
          <a:p>
            <a:pPr>
              <a:defRPr/>
            </a:pPr>
            <a:endParaRPr lang="en-US"/>
          </a:p>
        </c:txPr>
        <c:crossAx val="-684474480"/>
        <c:crosses val="autoZero"/>
        <c:crossBetween val="between"/>
      </c:valAx>
      <c:spPr>
        <a:noFill/>
        <a:ln w="25400">
          <a:noFill/>
        </a:ln>
      </c:spPr>
    </c:plotArea>
    <c:legend>
      <c:legendPos val="b"/>
      <c:legendEntry>
        <c:idx val="0"/>
        <c:delete val="1"/>
      </c:legendEntry>
      <c:legendEntry>
        <c:idx val="1"/>
        <c:delete val="1"/>
      </c:legendEntry>
      <c:layout>
        <c:manualLayout>
          <c:xMode val="edge"/>
          <c:yMode val="edge"/>
          <c:x val="7.6856052056876012E-2"/>
          <c:y val="0.89640564545458656"/>
          <c:w val="0.9"/>
          <c:h val="0.10359446040602358"/>
        </c:manualLayout>
      </c:layout>
      <c:overlay val="0"/>
      <c:spPr>
        <a:noFill/>
        <a:ln w="25412">
          <a:noFill/>
        </a:ln>
      </c:spPr>
      <c:txPr>
        <a:bodyPr rot="0" vert="horz"/>
        <a:lstStyle/>
        <a:p>
          <a:pPr>
            <a:defRPr sz="900"/>
          </a:pPr>
          <a:endParaRPr lang="en-US"/>
        </a:p>
      </c:txPr>
    </c:legend>
    <c:plotVisOnly val="1"/>
    <c:dispBlanksAs val="gap"/>
    <c:showDLblsOverMax val="0"/>
  </c:chart>
  <c:spPr>
    <a:solidFill>
      <a:schemeClr val="bg1"/>
    </a:solidFill>
    <a:ln w="9530" cap="flat" cmpd="sng" algn="ctr">
      <a:solidFill>
        <a:schemeClr val="tx2">
          <a:lumMod val="15000"/>
          <a:lumOff val="85000"/>
        </a:schemeClr>
      </a:solidFill>
      <a:round/>
    </a:ln>
    <a:effectLst/>
  </c:spPr>
  <c:txPr>
    <a:bodyPr anchor="t" anchorCtr="0"/>
    <a:lstStyle/>
    <a:p>
      <a:pPr>
        <a:defRPr>
          <a:latin typeface="GHEA Grapalat" panose="02000506050000020003" pitchFamily="50" charset="0"/>
        </a:defRPr>
      </a:pPr>
      <a:endParaRPr lang="en-U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683182894821054E-2"/>
          <c:y val="7.5217344407291553E-2"/>
          <c:w val="0.86190832853210464"/>
          <c:h val="0.59002948261604293"/>
        </c:manualLayout>
      </c:layout>
      <c:areaChart>
        <c:grouping val="standard"/>
        <c:varyColors val="0"/>
        <c:ser>
          <c:idx val="4"/>
          <c:order val="4"/>
          <c:tx>
            <c:strRef>
              <c:f>Sheet1!$F$1</c:f>
              <c:strCache>
                <c:ptCount val="1"/>
                <c:pt idx="0">
                  <c:v>Column1</c:v>
                </c:pt>
              </c:strCache>
            </c:strRef>
          </c:tx>
          <c:spPr>
            <a:solidFill>
              <a:sysClr val="window" lastClr="FFFFFF">
                <a:lumMod val="85000"/>
              </a:sysClr>
            </a:solidFill>
          </c:spPr>
          <c:cat>
            <c:strRef>
              <c:f>Sheet1!$A$2:$A$11</c:f>
              <c:strCache>
                <c:ptCount val="7"/>
                <c:pt idx="0">
                  <c:v>2017</c:v>
                </c:pt>
                <c:pt idx="1">
                  <c:v>2018</c:v>
                </c:pt>
                <c:pt idx="2">
                  <c:v>2019</c:v>
                </c:pt>
                <c:pt idx="3">
                  <c:v>2020*</c:v>
                </c:pt>
                <c:pt idx="4">
                  <c:v>2021*</c:v>
                </c:pt>
                <c:pt idx="5">
                  <c:v>2022*</c:v>
                </c:pt>
                <c:pt idx="6">
                  <c:v>2023*</c:v>
                </c:pt>
              </c:strCache>
            </c:strRef>
          </c:cat>
          <c:val>
            <c:numRef>
              <c:f>Sheet1!$F$2:$F$11</c:f>
              <c:numCache>
                <c:formatCode>General</c:formatCode>
                <c:ptCount val="7"/>
                <c:pt idx="3">
                  <c:v>8</c:v>
                </c:pt>
                <c:pt idx="4">
                  <c:v>8</c:v>
                </c:pt>
                <c:pt idx="5">
                  <c:v>8</c:v>
                </c:pt>
                <c:pt idx="6">
                  <c:v>8</c:v>
                </c:pt>
              </c:numCache>
            </c:numRef>
          </c:val>
          <c:extLst>
            <c:ext xmlns:c16="http://schemas.microsoft.com/office/drawing/2014/chart" uri="{C3380CC4-5D6E-409C-BE32-E72D297353CC}">
              <c16:uniqueId val="{00000000-968F-4752-A33F-D35A1F8569DE}"/>
            </c:ext>
          </c:extLst>
        </c:ser>
        <c:ser>
          <c:idx val="5"/>
          <c:order val="5"/>
          <c:tx>
            <c:strRef>
              <c:f>Sheet1!$G$1</c:f>
              <c:strCache>
                <c:ptCount val="1"/>
                <c:pt idx="0">
                  <c:v>Column2</c:v>
                </c:pt>
              </c:strCache>
            </c:strRef>
          </c:tx>
          <c:spPr>
            <a:solidFill>
              <a:sysClr val="window" lastClr="FFFFFF">
                <a:lumMod val="85000"/>
              </a:sysClr>
            </a:solidFill>
          </c:spPr>
          <c:cat>
            <c:strRef>
              <c:f>Sheet1!$A$2:$A$11</c:f>
              <c:strCache>
                <c:ptCount val="7"/>
                <c:pt idx="0">
                  <c:v>2017</c:v>
                </c:pt>
                <c:pt idx="1">
                  <c:v>2018</c:v>
                </c:pt>
                <c:pt idx="2">
                  <c:v>2019</c:v>
                </c:pt>
                <c:pt idx="3">
                  <c:v>2020*</c:v>
                </c:pt>
                <c:pt idx="4">
                  <c:v>2021*</c:v>
                </c:pt>
                <c:pt idx="5">
                  <c:v>2022*</c:v>
                </c:pt>
                <c:pt idx="6">
                  <c:v>2023*</c:v>
                </c:pt>
              </c:strCache>
            </c:strRef>
          </c:cat>
          <c:val>
            <c:numRef>
              <c:f>Sheet1!$G$2:$G$11</c:f>
              <c:numCache>
                <c:formatCode>General</c:formatCode>
                <c:ptCount val="7"/>
                <c:pt idx="3">
                  <c:v>-4</c:v>
                </c:pt>
                <c:pt idx="4">
                  <c:v>-4</c:v>
                </c:pt>
                <c:pt idx="5">
                  <c:v>-4</c:v>
                </c:pt>
                <c:pt idx="6">
                  <c:v>-4</c:v>
                </c:pt>
              </c:numCache>
            </c:numRef>
          </c:val>
          <c:extLst>
            <c:ext xmlns:c16="http://schemas.microsoft.com/office/drawing/2014/chart" uri="{C3380CC4-5D6E-409C-BE32-E72D297353CC}">
              <c16:uniqueId val="{00000001-968F-4752-A33F-D35A1F8569DE}"/>
            </c:ext>
          </c:extLst>
        </c:ser>
        <c:dLbls>
          <c:showLegendKey val="0"/>
          <c:showVal val="0"/>
          <c:showCatName val="0"/>
          <c:showSerName val="0"/>
          <c:showPercent val="0"/>
          <c:showBubbleSize val="0"/>
        </c:dLbls>
        <c:axId val="-684515280"/>
        <c:axId val="-684512016"/>
      </c:areaChart>
      <c:barChart>
        <c:barDir val="col"/>
        <c:grouping val="clustered"/>
        <c:varyColors val="0"/>
        <c:ser>
          <c:idx val="0"/>
          <c:order val="0"/>
          <c:tx>
            <c:strRef>
              <c:f>Sheet1!$B$1</c:f>
              <c:strCache>
                <c:ptCount val="1"/>
                <c:pt idx="0">
                  <c:v>Եկամուտների ազդակ</c:v>
                </c:pt>
              </c:strCache>
            </c:strRef>
          </c:tx>
          <c:spPr>
            <a:solidFill>
              <a:srgbClr val="ED7D31"/>
            </a:solidFill>
            <a:ln>
              <a:noFill/>
            </a:ln>
            <a:effectLst>
              <a:outerShdw blurRad="40000" dist="23000" dir="5400000" rotWithShape="0">
                <a:srgbClr val="000000">
                  <a:alpha val="35000"/>
                </a:srgbClr>
              </a:outerShdw>
            </a:effectLst>
          </c:spPr>
          <c:invertIfNegative val="0"/>
          <c:cat>
            <c:strRef>
              <c:f>Sheet1!$A$2:$A$11</c:f>
              <c:strCache>
                <c:ptCount val="7"/>
                <c:pt idx="0">
                  <c:v>2017</c:v>
                </c:pt>
                <c:pt idx="1">
                  <c:v>2018</c:v>
                </c:pt>
                <c:pt idx="2">
                  <c:v>2019</c:v>
                </c:pt>
                <c:pt idx="3">
                  <c:v>2020*</c:v>
                </c:pt>
                <c:pt idx="4">
                  <c:v>2021*</c:v>
                </c:pt>
                <c:pt idx="5">
                  <c:v>2022*</c:v>
                </c:pt>
                <c:pt idx="6">
                  <c:v>2023*</c:v>
                </c:pt>
              </c:strCache>
            </c:strRef>
          </c:cat>
          <c:val>
            <c:numRef>
              <c:f>Sheet1!$B$2:$B$11</c:f>
              <c:numCache>
                <c:formatCode>0.0</c:formatCode>
                <c:ptCount val="7"/>
                <c:pt idx="0">
                  <c:v>-0.15452297410529331</c:v>
                </c:pt>
                <c:pt idx="1">
                  <c:v>-1.2287752256907729</c:v>
                </c:pt>
                <c:pt idx="2">
                  <c:v>-1.0573254617919485</c:v>
                </c:pt>
                <c:pt idx="3">
                  <c:v>1.6265772305316901</c:v>
                </c:pt>
                <c:pt idx="4">
                  <c:v>-0.6961207781469807</c:v>
                </c:pt>
                <c:pt idx="5">
                  <c:v>-0.74197455978011362</c:v>
                </c:pt>
                <c:pt idx="6">
                  <c:v>-0.40644059325628473</c:v>
                </c:pt>
              </c:numCache>
            </c:numRef>
          </c:val>
          <c:extLst>
            <c:ext xmlns:c16="http://schemas.microsoft.com/office/drawing/2014/chart" uri="{C3380CC4-5D6E-409C-BE32-E72D297353CC}">
              <c16:uniqueId val="{00000002-968F-4752-A33F-D35A1F8569DE}"/>
            </c:ext>
          </c:extLst>
        </c:ser>
        <c:ser>
          <c:idx val="1"/>
          <c:order val="1"/>
          <c:tx>
            <c:strRef>
              <c:f>Sheet1!$C$1</c:f>
              <c:strCache>
                <c:ptCount val="1"/>
                <c:pt idx="0">
                  <c:v>Ծախսերի ազդակ</c:v>
                </c:pt>
              </c:strCache>
            </c:strRef>
          </c:tx>
          <c:spPr>
            <a:solidFill>
              <a:srgbClr val="4472C4"/>
            </a:solidFill>
            <a:ln>
              <a:solidFill>
                <a:srgbClr val="4472C4"/>
              </a:solidFill>
            </a:ln>
            <a:effectLst>
              <a:outerShdw blurRad="40000" dist="23000" dir="5400000" rotWithShape="0">
                <a:srgbClr val="000000">
                  <a:alpha val="35000"/>
                </a:srgbClr>
              </a:outerShdw>
            </a:effectLst>
          </c:spPr>
          <c:invertIfNegative val="0"/>
          <c:cat>
            <c:strRef>
              <c:f>Sheet1!$A$2:$A$11</c:f>
              <c:strCache>
                <c:ptCount val="7"/>
                <c:pt idx="0">
                  <c:v>2017</c:v>
                </c:pt>
                <c:pt idx="1">
                  <c:v>2018</c:v>
                </c:pt>
                <c:pt idx="2">
                  <c:v>2019</c:v>
                </c:pt>
                <c:pt idx="3">
                  <c:v>2020*</c:v>
                </c:pt>
                <c:pt idx="4">
                  <c:v>2021*</c:v>
                </c:pt>
                <c:pt idx="5">
                  <c:v>2022*</c:v>
                </c:pt>
                <c:pt idx="6">
                  <c:v>2023*</c:v>
                </c:pt>
              </c:strCache>
            </c:strRef>
          </c:cat>
          <c:val>
            <c:numRef>
              <c:f>Sheet1!$C$2:$C$11</c:f>
              <c:numCache>
                <c:formatCode>0.0</c:formatCode>
                <c:ptCount val="7"/>
                <c:pt idx="0">
                  <c:v>-1.2090945333485759</c:v>
                </c:pt>
                <c:pt idx="1">
                  <c:v>-0.94870986484400444</c:v>
                </c:pt>
                <c:pt idx="2">
                  <c:v>0.8854633924770885</c:v>
                </c:pt>
                <c:pt idx="3">
                  <c:v>2.7544758058895207</c:v>
                </c:pt>
                <c:pt idx="4">
                  <c:v>-1.4154452837931317</c:v>
                </c:pt>
                <c:pt idx="5">
                  <c:v>-7.8674673981551702E-2</c:v>
                </c:pt>
                <c:pt idx="6">
                  <c:v>0.38593021247370862</c:v>
                </c:pt>
              </c:numCache>
            </c:numRef>
          </c:val>
          <c:extLst>
            <c:ext xmlns:c16="http://schemas.microsoft.com/office/drawing/2014/chart" uri="{C3380CC4-5D6E-409C-BE32-E72D297353CC}">
              <c16:uniqueId val="{00000003-968F-4752-A33F-D35A1F8569DE}"/>
            </c:ext>
          </c:extLst>
        </c:ser>
        <c:dLbls>
          <c:showLegendKey val="0"/>
          <c:showVal val="0"/>
          <c:showCatName val="0"/>
          <c:showSerName val="0"/>
          <c:showPercent val="0"/>
          <c:showBubbleSize val="0"/>
        </c:dLbls>
        <c:gapWidth val="219"/>
        <c:overlap val="-27"/>
        <c:axId val="-684515280"/>
        <c:axId val="-684512016"/>
      </c:barChart>
      <c:lineChart>
        <c:grouping val="standard"/>
        <c:varyColors val="0"/>
        <c:ser>
          <c:idx val="2"/>
          <c:order val="2"/>
          <c:tx>
            <c:strRef>
              <c:f>Sheet1!$D$1</c:f>
              <c:strCache>
                <c:ptCount val="1"/>
                <c:pt idx="0">
                  <c:v>Հարկաբյուջետային ազդակ, ներառյալ զուտ վարկավորում</c:v>
                </c:pt>
              </c:strCache>
            </c:strRef>
          </c:tx>
          <c:marker>
            <c:spPr>
              <a:solidFill>
                <a:sysClr val="window" lastClr="FFFFFF">
                  <a:lumMod val="50000"/>
                </a:sysClr>
              </a:solidFill>
              <a:ln>
                <a:solidFill>
                  <a:sysClr val="window" lastClr="FFFFFF">
                    <a:lumMod val="50000"/>
                  </a:sysClr>
                </a:solidFill>
              </a:ln>
            </c:spPr>
          </c:marker>
          <c:dLbls>
            <c:dLbl>
              <c:idx val="0"/>
              <c:layout>
                <c:manualLayout>
                  <c:x val="-3.3732296030321171E-2"/>
                  <c:y val="5.9068100358422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8F-4752-A33F-D35A1F8569DE}"/>
                </c:ext>
              </c:extLst>
            </c:dLbl>
            <c:dLbl>
              <c:idx val="1"/>
              <c:layout>
                <c:manualLayout>
                  <c:x val="-3.3732296030321199E-2"/>
                  <c:y val="-4.1290322580645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8F-4752-A33F-D35A1F8569DE}"/>
                </c:ext>
              </c:extLst>
            </c:dLbl>
            <c:dLbl>
              <c:idx val="2"/>
              <c:layout>
                <c:manualLayout>
                  <c:x val="-1.486763911399252E-2"/>
                  <c:y val="4.27397260273973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8F-4752-A33F-D35A1F8569DE}"/>
                </c:ext>
              </c:extLst>
            </c:dLbl>
            <c:dLbl>
              <c:idx val="4"/>
              <c:layout>
                <c:manualLayout>
                  <c:x val="-7.3860246822827727E-2"/>
                  <c:y val="1.18401866433363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8F-4752-A33F-D35A1F8569DE}"/>
                </c:ext>
              </c:extLst>
            </c:dLbl>
            <c:dLbl>
              <c:idx val="5"/>
              <c:layout>
                <c:manualLayout>
                  <c:x val="-3.7882225823879102E-2"/>
                  <c:y val="4.73059360730593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8F-4752-A33F-D35A1F8569DE}"/>
                </c:ext>
              </c:extLst>
            </c:dLbl>
            <c:spPr>
              <a:noFill/>
              <a:ln>
                <a:noFill/>
              </a:ln>
              <a:effectLst/>
            </c:spPr>
            <c:txPr>
              <a:bodyPr wrap="square" lIns="38100" tIns="19050" rIns="38100" bIns="19050" anchor="ctr">
                <a:spAutoFit/>
              </a:bodyPr>
              <a:lstStyle/>
              <a:p>
                <a:pPr>
                  <a:defRPr b="1">
                    <a:solidFill>
                      <a:schemeClr val="bg1">
                        <a:lumMod val="50000"/>
                      </a:schemeClr>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7"/>
                <c:pt idx="0">
                  <c:v>2017</c:v>
                </c:pt>
                <c:pt idx="1">
                  <c:v>2018</c:v>
                </c:pt>
                <c:pt idx="2">
                  <c:v>2019</c:v>
                </c:pt>
                <c:pt idx="3">
                  <c:v>2020*</c:v>
                </c:pt>
                <c:pt idx="4">
                  <c:v>2021*</c:v>
                </c:pt>
                <c:pt idx="5">
                  <c:v>2022*</c:v>
                </c:pt>
                <c:pt idx="6">
                  <c:v>2023*</c:v>
                </c:pt>
              </c:strCache>
            </c:strRef>
          </c:cat>
          <c:val>
            <c:numRef>
              <c:f>Sheet1!$D$2:$D$11</c:f>
              <c:numCache>
                <c:formatCode>0.0</c:formatCode>
                <c:ptCount val="7"/>
                <c:pt idx="0">
                  <c:v>-1.9351540459349104</c:v>
                </c:pt>
                <c:pt idx="1">
                  <c:v>-1.6274177701332921</c:v>
                </c:pt>
                <c:pt idx="2">
                  <c:v>-0.36543971813256582</c:v>
                </c:pt>
                <c:pt idx="3">
                  <c:v>5.886736000392971</c:v>
                </c:pt>
                <c:pt idx="4">
                  <c:v>-3.1689347031712862</c:v>
                </c:pt>
                <c:pt idx="5">
                  <c:v>-1.4445340620146452</c:v>
                </c:pt>
                <c:pt idx="6">
                  <c:v>-0.21322193508072232</c:v>
                </c:pt>
              </c:numCache>
            </c:numRef>
          </c:val>
          <c:smooth val="0"/>
          <c:extLst>
            <c:ext xmlns:c16="http://schemas.microsoft.com/office/drawing/2014/chart" uri="{C3380CC4-5D6E-409C-BE32-E72D297353CC}">
              <c16:uniqueId val="{00000009-968F-4752-A33F-D35A1F8569DE}"/>
            </c:ext>
          </c:extLst>
        </c:ser>
        <c:ser>
          <c:idx val="3"/>
          <c:order val="3"/>
          <c:tx>
            <c:strRef>
              <c:f>Sheet1!$E$1</c:f>
              <c:strCache>
                <c:ptCount val="1"/>
                <c:pt idx="0">
                  <c:v>Հարկաբյուջետային ազդակ</c:v>
                </c:pt>
              </c:strCache>
            </c:strRef>
          </c:tx>
          <c:spPr>
            <a:ln w="31765" cap="rnd">
              <a:solidFill>
                <a:srgbClr val="FF0000"/>
              </a:solidFill>
              <a:round/>
            </a:ln>
            <a:effectLst>
              <a:outerShdw blurRad="40000" dist="23000" dir="5400000" rotWithShape="0">
                <a:srgbClr val="000000">
                  <a:alpha val="35000"/>
                </a:srgbClr>
              </a:outerShdw>
            </a:effectLst>
          </c:spPr>
          <c:marker>
            <c:spPr>
              <a:solidFill>
                <a:srgbClr val="FF0000"/>
              </a:solidFill>
              <a:ln>
                <a:solidFill>
                  <a:srgbClr val="FF0000"/>
                </a:solidFill>
              </a:ln>
            </c:spPr>
          </c:marker>
          <c:dLbls>
            <c:dLbl>
              <c:idx val="0"/>
              <c:layout>
                <c:manualLayout>
                  <c:x val="-8.1966164278087728E-2"/>
                  <c:y val="-1.38172796893547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68F-4752-A33F-D35A1F8569DE}"/>
                </c:ext>
              </c:extLst>
            </c:dLbl>
            <c:dLbl>
              <c:idx val="1"/>
              <c:layout>
                <c:manualLayout>
                  <c:x val="-2.439024390243907E-2"/>
                  <c:y val="4.8846675712347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68F-4752-A33F-D35A1F8569DE}"/>
                </c:ext>
              </c:extLst>
            </c:dLbl>
            <c:dLbl>
              <c:idx val="2"/>
              <c:layout>
                <c:manualLayout>
                  <c:x val="-6.5063787610017354E-2"/>
                  <c:y val="-4.9887462697299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68F-4752-A33F-D35A1F8569DE}"/>
                </c:ext>
              </c:extLst>
            </c:dLbl>
            <c:dLbl>
              <c:idx val="3"/>
              <c:layout>
                <c:manualLayout>
                  <c:x val="-5.4001710077974462E-2"/>
                  <c:y val="7.9007298745191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68F-4752-A33F-D35A1F8569DE}"/>
                </c:ext>
              </c:extLst>
            </c:dLbl>
            <c:dLbl>
              <c:idx val="4"/>
              <c:layout>
                <c:manualLayout>
                  <c:x val="-3.6585289075494416E-2"/>
                  <c:y val="-5.7037356631790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68F-4752-A33F-D35A1F8569DE}"/>
                </c:ext>
              </c:extLst>
            </c:dLbl>
            <c:dLbl>
              <c:idx val="5"/>
              <c:layout>
                <c:manualLayout>
                  <c:x val="-4.9936829209152774E-2"/>
                  <c:y val="-5.4453672742962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68F-4752-A33F-D35A1F8569DE}"/>
                </c:ext>
              </c:extLst>
            </c:dLbl>
            <c:dLbl>
              <c:idx val="6"/>
              <c:layout>
                <c:manualLayout>
                  <c:x val="-4.0650406504065165E-2"/>
                  <c:y val="6.5128900949796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68F-4752-A33F-D35A1F8569DE}"/>
                </c:ext>
              </c:extLst>
            </c:dLbl>
            <c:spPr>
              <a:noFill/>
              <a:ln w="25412">
                <a:noFill/>
              </a:ln>
            </c:spPr>
            <c:txPr>
              <a:bodyPr rot="0" vert="horz"/>
              <a:lstStyle/>
              <a:p>
                <a:pPr>
                  <a:defRPr b="1">
                    <a:solidFill>
                      <a:srgbClr val="FF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7"/>
                <c:pt idx="0">
                  <c:v>2017</c:v>
                </c:pt>
                <c:pt idx="1">
                  <c:v>2018</c:v>
                </c:pt>
                <c:pt idx="2">
                  <c:v>2019</c:v>
                </c:pt>
                <c:pt idx="3">
                  <c:v>2020*</c:v>
                </c:pt>
                <c:pt idx="4">
                  <c:v>2021*</c:v>
                </c:pt>
                <c:pt idx="5">
                  <c:v>2022*</c:v>
                </c:pt>
                <c:pt idx="6">
                  <c:v>2023*</c:v>
                </c:pt>
              </c:strCache>
            </c:strRef>
          </c:cat>
          <c:val>
            <c:numRef>
              <c:f>Sheet1!$E$2:$E$11</c:f>
              <c:numCache>
                <c:formatCode>0.0</c:formatCode>
                <c:ptCount val="7"/>
                <c:pt idx="0">
                  <c:v>-1.3636175074538701</c:v>
                </c:pt>
                <c:pt idx="1">
                  <c:v>-2.177485090534776</c:v>
                </c:pt>
                <c:pt idx="2">
                  <c:v>-0.17186206931485937</c:v>
                </c:pt>
                <c:pt idx="3">
                  <c:v>4.3810530364212106</c:v>
                </c:pt>
                <c:pt idx="4">
                  <c:v>-2.1115660619401142</c:v>
                </c:pt>
                <c:pt idx="5">
                  <c:v>-0.82064923376166565</c:v>
                </c:pt>
                <c:pt idx="6">
                  <c:v>-2.0510380782575558E-2</c:v>
                </c:pt>
              </c:numCache>
            </c:numRef>
          </c:val>
          <c:smooth val="0"/>
          <c:extLst>
            <c:ext xmlns:c16="http://schemas.microsoft.com/office/drawing/2014/chart" uri="{C3380CC4-5D6E-409C-BE32-E72D297353CC}">
              <c16:uniqueId val="{00000011-968F-4752-A33F-D35A1F8569DE}"/>
            </c:ext>
          </c:extLst>
        </c:ser>
        <c:dLbls>
          <c:showLegendKey val="0"/>
          <c:showVal val="0"/>
          <c:showCatName val="0"/>
          <c:showSerName val="0"/>
          <c:showPercent val="0"/>
          <c:showBubbleSize val="0"/>
        </c:dLbls>
        <c:marker val="1"/>
        <c:smooth val="0"/>
        <c:axId val="-684515280"/>
        <c:axId val="-684512016"/>
      </c:lineChart>
      <c:catAx>
        <c:axId val="-684515280"/>
        <c:scaling>
          <c:orientation val="minMax"/>
        </c:scaling>
        <c:delete val="0"/>
        <c:axPos val="b"/>
        <c:numFmt formatCode="General" sourceLinked="1"/>
        <c:majorTickMark val="none"/>
        <c:minorTickMark val="none"/>
        <c:tickLblPos val="low"/>
        <c:spPr>
          <a:noFill/>
          <a:ln w="9530" cap="flat" cmpd="sng" algn="ctr">
            <a:solidFill>
              <a:schemeClr val="tx2">
                <a:lumMod val="15000"/>
                <a:lumOff val="85000"/>
              </a:schemeClr>
            </a:solidFill>
            <a:round/>
          </a:ln>
          <a:effectLst/>
        </c:spPr>
        <c:txPr>
          <a:bodyPr rot="-60000000" vert="horz"/>
          <a:lstStyle/>
          <a:p>
            <a:pPr>
              <a:defRPr/>
            </a:pPr>
            <a:endParaRPr lang="en-US"/>
          </a:p>
        </c:txPr>
        <c:crossAx val="-684512016"/>
        <c:crosses val="autoZero"/>
        <c:auto val="1"/>
        <c:lblAlgn val="ctr"/>
        <c:lblOffset val="100"/>
        <c:noMultiLvlLbl val="0"/>
      </c:catAx>
      <c:valAx>
        <c:axId val="-684512016"/>
        <c:scaling>
          <c:orientation val="minMax"/>
          <c:max val="8"/>
          <c:min val="-4"/>
        </c:scaling>
        <c:delete val="0"/>
        <c:axPos val="l"/>
        <c:majorGridlines>
          <c:spPr>
            <a:ln w="9530" cap="flat" cmpd="sng" algn="ctr">
              <a:solidFill>
                <a:schemeClr val="tx2">
                  <a:lumMod val="15000"/>
                  <a:lumOff val="85000"/>
                </a:schemeClr>
              </a:solidFill>
              <a:round/>
            </a:ln>
            <a:effectLst/>
          </c:spPr>
        </c:majorGridlines>
        <c:numFmt formatCode="General" sourceLinked="1"/>
        <c:majorTickMark val="none"/>
        <c:minorTickMark val="none"/>
        <c:tickLblPos val="nextTo"/>
        <c:spPr>
          <a:ln w="6353">
            <a:noFill/>
          </a:ln>
        </c:spPr>
        <c:txPr>
          <a:bodyPr rot="-60000000" vert="horz"/>
          <a:lstStyle/>
          <a:p>
            <a:pPr>
              <a:defRPr/>
            </a:pPr>
            <a:endParaRPr lang="en-US"/>
          </a:p>
        </c:txPr>
        <c:crossAx val="-684515280"/>
        <c:crosses val="autoZero"/>
        <c:crossBetween val="between"/>
      </c:valAx>
      <c:spPr>
        <a:noFill/>
        <a:ln w="25412">
          <a:noFill/>
        </a:ln>
      </c:spPr>
    </c:plotArea>
    <c:legend>
      <c:legendPos val="b"/>
      <c:legendEntry>
        <c:idx val="0"/>
        <c:delete val="1"/>
      </c:legendEntry>
      <c:legendEntry>
        <c:idx val="1"/>
        <c:delete val="1"/>
      </c:legendEntry>
      <c:layout>
        <c:manualLayout>
          <c:xMode val="edge"/>
          <c:yMode val="edge"/>
          <c:x val="0"/>
          <c:y val="0.79903857908172438"/>
          <c:w val="0.99654897267105524"/>
          <c:h val="0.20096143895991525"/>
        </c:manualLayout>
      </c:layout>
      <c:overlay val="0"/>
      <c:txPr>
        <a:bodyPr/>
        <a:lstStyle/>
        <a:p>
          <a:pPr>
            <a:defRPr sz="800"/>
          </a:pPr>
          <a:endParaRPr lang="en-US"/>
        </a:p>
      </c:txPr>
    </c:legend>
    <c:plotVisOnly val="1"/>
    <c:dispBlanksAs val="gap"/>
    <c:showDLblsOverMax val="0"/>
  </c:chart>
  <c:spPr>
    <a:solidFill>
      <a:schemeClr val="bg1"/>
    </a:solidFill>
    <a:ln w="9530" cap="flat" cmpd="sng" algn="ctr">
      <a:solidFill>
        <a:schemeClr val="tx2">
          <a:lumMod val="15000"/>
          <a:lumOff val="85000"/>
        </a:schemeClr>
      </a:solidFill>
      <a:round/>
    </a:ln>
    <a:effectLst/>
  </c:spPr>
  <c:txPr>
    <a:bodyPr anchor="t" anchorCtr="0"/>
    <a:lstStyle/>
    <a:p>
      <a:pPr>
        <a:defRPr>
          <a:latin typeface="GHEA Grapalat" panose="02000506050000020003" pitchFamily="50" charset="0"/>
        </a:defRPr>
      </a:pPr>
      <a:endParaRPr lang="en-US"/>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323623000899669"/>
          <c:y val="6.0752269779507137E-2"/>
          <c:w val="0.80235521125059384"/>
          <c:h val="0.65690492968534575"/>
        </c:manualLayout>
      </c:layout>
      <c:barChart>
        <c:barDir val="col"/>
        <c:grouping val="clustered"/>
        <c:varyColors val="0"/>
        <c:ser>
          <c:idx val="0"/>
          <c:order val="0"/>
          <c:tx>
            <c:strRef>
              <c:f>Sheet1!$B$1</c:f>
              <c:strCache>
                <c:ptCount val="1"/>
                <c:pt idx="0">
                  <c:v>Ընթացիկ ծախսեր/ՀՆԱ%</c:v>
                </c:pt>
              </c:strCache>
            </c:strRef>
          </c:tx>
          <c:spPr>
            <a:solidFill>
              <a:srgbClr val="4472C4"/>
            </a:solidFill>
            <a:ln>
              <a:solidFill>
                <a:srgbClr val="4472C4"/>
              </a:solidFill>
            </a:ln>
            <a:effectLst>
              <a:outerShdw blurRad="40000" dist="23000" dir="5400000" rotWithShape="0">
                <a:srgbClr val="000000">
                  <a:alpha val="35000"/>
                </a:srgbClr>
              </a:outerShdw>
            </a:effectLst>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Sheet1!$B$2:$B$8</c:f>
              <c:numCache>
                <c:formatCode>0.0</c:formatCode>
                <c:ptCount val="7"/>
                <c:pt idx="0">
                  <c:v>22.777216374759576</c:v>
                </c:pt>
                <c:pt idx="1">
                  <c:v>21.588337472248789</c:v>
                </c:pt>
                <c:pt idx="2">
                  <c:v>21.87754847868883</c:v>
                </c:pt>
                <c:pt idx="3">
                  <c:v>25.026265136525229</c:v>
                </c:pt>
                <c:pt idx="4">
                  <c:v>22.805937859387686</c:v>
                </c:pt>
                <c:pt idx="5">
                  <c:v>21.645242425489506</c:v>
                </c:pt>
                <c:pt idx="6">
                  <c:v>21.399994197462451</c:v>
                </c:pt>
              </c:numCache>
            </c:numRef>
          </c:val>
          <c:extLst>
            <c:ext xmlns:c16="http://schemas.microsoft.com/office/drawing/2014/chart" uri="{C3380CC4-5D6E-409C-BE32-E72D297353CC}">
              <c16:uniqueId val="{00000000-0196-48A7-939C-3504E415776D}"/>
            </c:ext>
          </c:extLst>
        </c:ser>
        <c:dLbls>
          <c:showLegendKey val="0"/>
          <c:showVal val="0"/>
          <c:showCatName val="0"/>
          <c:showSerName val="0"/>
          <c:showPercent val="0"/>
          <c:showBubbleSize val="0"/>
        </c:dLbls>
        <c:gapWidth val="219"/>
        <c:overlap val="-27"/>
        <c:axId val="-684517456"/>
        <c:axId val="-684501136"/>
      </c:barChart>
      <c:lineChart>
        <c:grouping val="standard"/>
        <c:varyColors val="0"/>
        <c:ser>
          <c:idx val="1"/>
          <c:order val="1"/>
          <c:tx>
            <c:strRef>
              <c:f>Sheet1!$C$1</c:f>
              <c:strCache>
                <c:ptCount val="1"/>
                <c:pt idx="0">
                  <c:v>Հարկային եկամուտներ/ՀՆԱ%</c:v>
                </c:pt>
              </c:strCache>
            </c:strRef>
          </c:tx>
          <c:spPr>
            <a:ln>
              <a:solidFill>
                <a:srgbClr val="FF0000"/>
              </a:solidFill>
            </a:ln>
            <a:effectLst>
              <a:outerShdw blurRad="40000" dist="23000" dir="5400000" rotWithShape="0">
                <a:srgbClr val="000000">
                  <a:alpha val="35000"/>
                </a:srgbClr>
              </a:outerShdw>
            </a:effectLst>
          </c:spPr>
          <c:marker>
            <c:spPr>
              <a:solidFill>
                <a:srgbClr val="FF0000"/>
              </a:solidFill>
              <a:ln>
                <a:solidFill>
                  <a:srgbClr val="FF0000"/>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Sheet1!$C$2:$C$8</c:f>
              <c:numCache>
                <c:formatCode>0.0</c:formatCode>
                <c:ptCount val="7"/>
                <c:pt idx="0">
                  <c:v>20.810311842409792</c:v>
                </c:pt>
                <c:pt idx="1">
                  <c:v>20.909320563240176</c:v>
                </c:pt>
                <c:pt idx="2">
                  <c:v>22.291199447565337</c:v>
                </c:pt>
                <c:pt idx="3">
                  <c:v>21.458798701641026</c:v>
                </c:pt>
                <c:pt idx="4">
                  <c:v>22.404169613951787</c:v>
                </c:pt>
                <c:pt idx="5">
                  <c:v>23.169981417955391</c:v>
                </c:pt>
                <c:pt idx="6">
                  <c:v>23.618525268501383</c:v>
                </c:pt>
              </c:numCache>
            </c:numRef>
          </c:val>
          <c:smooth val="0"/>
          <c:extLst>
            <c:ext xmlns:c16="http://schemas.microsoft.com/office/drawing/2014/chart" uri="{C3380CC4-5D6E-409C-BE32-E72D297353CC}">
              <c16:uniqueId val="{00000001-0196-48A7-939C-3504E415776D}"/>
            </c:ext>
          </c:extLst>
        </c:ser>
        <c:ser>
          <c:idx val="2"/>
          <c:order val="2"/>
          <c:tx>
            <c:strRef>
              <c:f>Sheet1!$D$1</c:f>
              <c:strCache>
                <c:ptCount val="1"/>
              </c:strCache>
            </c:strRef>
          </c:tx>
          <c:spPr>
            <a:ln w="31765" cap="rnd">
              <a:solidFill>
                <a:schemeClr val="accent3"/>
              </a:solidFill>
              <a:round/>
            </a:ln>
            <a:effectLst>
              <a:outerShdw blurRad="40000" dist="23000" dir="5400000" rotWithShape="0">
                <a:srgbClr val="000000">
                  <a:alpha val="35000"/>
                </a:srgbClr>
              </a:outerShdw>
            </a:effectLst>
          </c:spPr>
          <c:marker>
            <c:symbol val="none"/>
          </c:marker>
          <c:dLbls>
            <c:spPr>
              <a:noFill/>
              <a:ln w="25412">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2017</c:v>
                </c:pt>
                <c:pt idx="1">
                  <c:v>2018</c:v>
                </c:pt>
                <c:pt idx="2">
                  <c:v>2019</c:v>
                </c:pt>
                <c:pt idx="3">
                  <c:v>2020*</c:v>
                </c:pt>
                <c:pt idx="4">
                  <c:v>2021*</c:v>
                </c:pt>
                <c:pt idx="5">
                  <c:v>2022*</c:v>
                </c:pt>
                <c:pt idx="6">
                  <c:v>2023*</c:v>
                </c:pt>
              </c:strCache>
            </c:strRef>
          </c:cat>
          <c:val>
            <c:numRef>
              <c:f>Sheet1!$D$2:$D$8</c:f>
              <c:numCache>
                <c:formatCode>General</c:formatCode>
                <c:ptCount val="7"/>
              </c:numCache>
            </c:numRef>
          </c:val>
          <c:smooth val="0"/>
          <c:extLst>
            <c:ext xmlns:c16="http://schemas.microsoft.com/office/drawing/2014/chart" uri="{C3380CC4-5D6E-409C-BE32-E72D297353CC}">
              <c16:uniqueId val="{00000002-0196-48A7-939C-3504E415776D}"/>
            </c:ext>
          </c:extLst>
        </c:ser>
        <c:ser>
          <c:idx val="3"/>
          <c:order val="3"/>
          <c:tx>
            <c:strRef>
              <c:f>Sheet1!$E$1</c:f>
              <c:strCache>
                <c:ptCount val="1"/>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Sheet1!$E$2:$E$8</c:f>
              <c:numCache>
                <c:formatCode>General</c:formatCode>
                <c:ptCount val="7"/>
              </c:numCache>
            </c:numRef>
          </c:val>
          <c:smooth val="0"/>
          <c:extLst>
            <c:ext xmlns:c16="http://schemas.microsoft.com/office/drawing/2014/chart" uri="{C3380CC4-5D6E-409C-BE32-E72D297353CC}">
              <c16:uniqueId val="{00000003-0196-48A7-939C-3504E415776D}"/>
            </c:ext>
          </c:extLst>
        </c:ser>
        <c:dLbls>
          <c:showLegendKey val="0"/>
          <c:showVal val="0"/>
          <c:showCatName val="0"/>
          <c:showSerName val="0"/>
          <c:showPercent val="0"/>
          <c:showBubbleSize val="0"/>
        </c:dLbls>
        <c:marker val="1"/>
        <c:smooth val="0"/>
        <c:axId val="-684517456"/>
        <c:axId val="-684501136"/>
      </c:lineChart>
      <c:catAx>
        <c:axId val="-684517456"/>
        <c:scaling>
          <c:orientation val="minMax"/>
        </c:scaling>
        <c:delete val="0"/>
        <c:axPos val="b"/>
        <c:numFmt formatCode="General" sourceLinked="1"/>
        <c:majorTickMark val="none"/>
        <c:minorTickMark val="none"/>
        <c:tickLblPos val="low"/>
        <c:spPr>
          <a:noFill/>
          <a:ln w="9530" cap="flat" cmpd="sng" algn="ctr">
            <a:solidFill>
              <a:schemeClr val="tx2">
                <a:lumMod val="15000"/>
                <a:lumOff val="85000"/>
              </a:schemeClr>
            </a:solidFill>
            <a:round/>
          </a:ln>
          <a:effectLst/>
        </c:spPr>
        <c:txPr>
          <a:bodyPr rot="-60000000" vert="horz"/>
          <a:lstStyle/>
          <a:p>
            <a:pPr>
              <a:defRPr/>
            </a:pPr>
            <a:endParaRPr lang="en-US"/>
          </a:p>
        </c:txPr>
        <c:crossAx val="-684501136"/>
        <c:crosses val="autoZero"/>
        <c:auto val="1"/>
        <c:lblAlgn val="ctr"/>
        <c:lblOffset val="100"/>
        <c:noMultiLvlLbl val="0"/>
      </c:catAx>
      <c:valAx>
        <c:axId val="-684501136"/>
        <c:scaling>
          <c:orientation val="minMax"/>
        </c:scaling>
        <c:delete val="0"/>
        <c:axPos val="l"/>
        <c:majorGridlines>
          <c:spPr>
            <a:ln w="9530" cap="flat" cmpd="sng" algn="ctr">
              <a:solidFill>
                <a:schemeClr val="tx2">
                  <a:lumMod val="15000"/>
                  <a:lumOff val="85000"/>
                </a:schemeClr>
              </a:solidFill>
              <a:round/>
            </a:ln>
            <a:effectLst/>
          </c:spPr>
        </c:majorGridlines>
        <c:numFmt formatCode="0.0" sourceLinked="1"/>
        <c:majorTickMark val="none"/>
        <c:minorTickMark val="none"/>
        <c:tickLblPos val="nextTo"/>
        <c:spPr>
          <a:ln w="6353">
            <a:noFill/>
          </a:ln>
        </c:spPr>
        <c:txPr>
          <a:bodyPr rot="-60000000" vert="horz"/>
          <a:lstStyle/>
          <a:p>
            <a:pPr>
              <a:defRPr/>
            </a:pPr>
            <a:endParaRPr lang="en-US"/>
          </a:p>
        </c:txPr>
        <c:crossAx val="-684517456"/>
        <c:crosses val="autoZero"/>
        <c:crossBetween val="between"/>
      </c:valAx>
      <c:spPr>
        <a:noFill/>
        <a:ln w="25412">
          <a:noFill/>
        </a:ln>
      </c:spPr>
    </c:plotArea>
    <c:legend>
      <c:legendPos val="b"/>
      <c:legendEntry>
        <c:idx val="2"/>
        <c:delete val="1"/>
      </c:legendEntry>
      <c:legendEntry>
        <c:idx val="3"/>
        <c:delete val="1"/>
      </c:legendEntry>
      <c:layout>
        <c:manualLayout>
          <c:xMode val="edge"/>
          <c:yMode val="edge"/>
          <c:x val="4.0371417036737994E-2"/>
          <c:y val="0.84742751514037384"/>
          <c:w val="0.92533322313313981"/>
          <c:h val="0.15257248485962646"/>
        </c:manualLayout>
      </c:layout>
      <c:overlay val="0"/>
      <c:spPr>
        <a:noFill/>
        <a:ln w="25412">
          <a:noFill/>
        </a:ln>
      </c:spPr>
      <c:txPr>
        <a:bodyPr rot="0" vert="horz"/>
        <a:lstStyle/>
        <a:p>
          <a:pPr>
            <a:defRPr sz="900"/>
          </a:pPr>
          <a:endParaRPr lang="en-US"/>
        </a:p>
      </c:txPr>
    </c:legend>
    <c:plotVisOnly val="1"/>
    <c:dispBlanksAs val="gap"/>
    <c:showDLblsOverMax val="0"/>
  </c:chart>
  <c:spPr>
    <a:solidFill>
      <a:schemeClr val="bg1"/>
    </a:solidFill>
    <a:ln w="9530" cap="flat" cmpd="sng" algn="ctr">
      <a:solidFill>
        <a:schemeClr val="tx2">
          <a:lumMod val="15000"/>
          <a:lumOff val="85000"/>
        </a:schemeClr>
      </a:solidFill>
      <a:round/>
    </a:ln>
    <a:effectLst/>
  </c:spPr>
  <c:txPr>
    <a:bodyPr anchor="t" anchorCtr="0"/>
    <a:lstStyle/>
    <a:p>
      <a:pPr>
        <a:defRPr>
          <a:latin typeface="GHEA Grapalat" panose="02000506050000020003" pitchFamily="50" charset="0"/>
        </a:defRPr>
      </a:pPr>
      <a:endParaRPr lang="en-US"/>
    </a:p>
  </c:txPr>
  <c:externalData r:id="rId2">
    <c:autoUpdate val="0"/>
  </c:externalData>
  <c:userShapes r:id="rId3"/>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982080812768812"/>
          <c:y val="6.3554952510176385E-2"/>
          <c:w val="0.82577063313190147"/>
          <c:h val="0.63564952617015391"/>
        </c:manualLayout>
      </c:layout>
      <c:barChart>
        <c:barDir val="col"/>
        <c:grouping val="clustered"/>
        <c:varyColors val="0"/>
        <c:ser>
          <c:idx val="1"/>
          <c:order val="1"/>
          <c:tx>
            <c:strRef>
              <c:f>Sheet1!$C$1</c:f>
              <c:strCache>
                <c:ptCount val="1"/>
                <c:pt idx="0">
                  <c:v>Ոչ ֆին. ակիվ.գծով ծախսեր/ՀՆԱ%</c:v>
                </c:pt>
              </c:strCache>
            </c:strRef>
          </c:tx>
          <c:spPr>
            <a:solidFill>
              <a:srgbClr val="4472C4"/>
            </a:solidFill>
            <a:ln>
              <a:solidFill>
                <a:srgbClr val="4472C4"/>
              </a:solidFill>
            </a:ln>
            <a:effectLst>
              <a:outerShdw blurRad="40000" dist="23000" dir="5400000" rotWithShape="0">
                <a:srgbClr val="000000">
                  <a:alpha val="35000"/>
                </a:srgbClr>
              </a:outerShdw>
            </a:effectLst>
          </c:spPr>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Sheet1!$C$2:$C$8</c:f>
              <c:numCache>
                <c:formatCode>0.0</c:formatCode>
                <c:ptCount val="7"/>
                <c:pt idx="0">
                  <c:v>4.2657172504817265</c:v>
                </c:pt>
                <c:pt idx="1">
                  <c:v>2.4614306175240586</c:v>
                </c:pt>
                <c:pt idx="2">
                  <c:v>2.9272806058391447</c:v>
                </c:pt>
                <c:pt idx="3">
                  <c:v>3.4162141677433677</c:v>
                </c:pt>
                <c:pt idx="4">
                  <c:v>3.4998222698762587</c:v>
                </c:pt>
                <c:pt idx="5">
                  <c:v>4.1537287017188413</c:v>
                </c:pt>
                <c:pt idx="6">
                  <c:v>4.7162465113855294</c:v>
                </c:pt>
              </c:numCache>
            </c:numRef>
          </c:val>
          <c:extLst>
            <c:ext xmlns:c16="http://schemas.microsoft.com/office/drawing/2014/chart" uri="{C3380CC4-5D6E-409C-BE32-E72D297353CC}">
              <c16:uniqueId val="{00000000-1BA7-4788-9BCF-F84D5DB658AA}"/>
            </c:ext>
          </c:extLst>
        </c:ser>
        <c:dLbls>
          <c:showLegendKey val="0"/>
          <c:showVal val="0"/>
          <c:showCatName val="0"/>
          <c:showSerName val="0"/>
          <c:showPercent val="0"/>
          <c:showBubbleSize val="0"/>
        </c:dLbls>
        <c:gapWidth val="219"/>
        <c:axId val="-684508208"/>
        <c:axId val="-684525616"/>
      </c:barChart>
      <c:lineChart>
        <c:grouping val="standard"/>
        <c:varyColors val="0"/>
        <c:ser>
          <c:idx val="0"/>
          <c:order val="0"/>
          <c:tx>
            <c:strRef>
              <c:f>Sheet1!$B$1</c:f>
              <c:strCache>
                <c:ptCount val="1"/>
                <c:pt idx="0">
                  <c:v>Պակասուրդ/ՀՆԱ%</c:v>
                </c:pt>
              </c:strCache>
            </c:strRef>
          </c:tx>
          <c:spPr>
            <a:ln>
              <a:solidFill>
                <a:srgbClr val="FF0000"/>
              </a:solidFill>
            </a:ln>
            <a:effectLst>
              <a:outerShdw blurRad="40000" dist="23000" dir="5400000" rotWithShape="0">
                <a:srgbClr val="000000">
                  <a:alpha val="35000"/>
                </a:srgbClr>
              </a:outerShdw>
            </a:effectLst>
          </c:spPr>
          <c:marker>
            <c:spPr>
              <a:solidFill>
                <a:srgbClr val="FF0000"/>
              </a:solidFill>
              <a:ln>
                <a:solidFill>
                  <a:srgbClr val="FF0000"/>
                </a:solidFill>
              </a:ln>
            </c:spPr>
          </c:marker>
          <c:dLbls>
            <c:dLbl>
              <c:idx val="3"/>
              <c:layout>
                <c:manualLayout>
                  <c:x val="-6.4230924505450135E-2"/>
                  <c:y val="-5.02110971537119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A7-4788-9BCF-F84D5DB658AA}"/>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Sheet1!$B$2:$B$8</c:f>
              <c:numCache>
                <c:formatCode>0.0</c:formatCode>
                <c:ptCount val="7"/>
                <c:pt idx="0">
                  <c:v>4.7986662832355389</c:v>
                </c:pt>
                <c:pt idx="1">
                  <c:v>1.7515672931246913</c:v>
                </c:pt>
                <c:pt idx="2">
                  <c:v>0.97347611233608777</c:v>
                </c:pt>
                <c:pt idx="3">
                  <c:v>5.5577557441244387</c:v>
                </c:pt>
                <c:pt idx="4">
                  <c:v>2.9</c:v>
                </c:pt>
                <c:pt idx="5">
                  <c:v>1.7679704993736292</c:v>
                </c:pt>
                <c:pt idx="6">
                  <c:v>1.7611150852246578</c:v>
                </c:pt>
              </c:numCache>
            </c:numRef>
          </c:val>
          <c:smooth val="0"/>
          <c:extLst>
            <c:ext xmlns:c16="http://schemas.microsoft.com/office/drawing/2014/chart" uri="{C3380CC4-5D6E-409C-BE32-E72D297353CC}">
              <c16:uniqueId val="{00000002-1BA7-4788-9BCF-F84D5DB658AA}"/>
            </c:ext>
          </c:extLst>
        </c:ser>
        <c:ser>
          <c:idx val="2"/>
          <c:order val="2"/>
          <c:tx>
            <c:strRef>
              <c:f>Sheet1!$D$1</c:f>
              <c:strCache>
                <c:ptCount val="1"/>
              </c:strCache>
            </c:strRef>
          </c:tx>
          <c:spPr>
            <a:ln w="31765" cap="rnd">
              <a:solidFill>
                <a:schemeClr val="accent3"/>
              </a:solidFill>
              <a:round/>
            </a:ln>
            <a:effectLst>
              <a:outerShdw blurRad="40000" dist="23000" dir="5400000" rotWithShape="0">
                <a:srgbClr val="000000">
                  <a:alpha val="35000"/>
                </a:srgbClr>
              </a:outerShdw>
            </a:effectLst>
          </c:spPr>
          <c:marker>
            <c:symbol val="none"/>
          </c:marker>
          <c:dLbls>
            <c:spPr>
              <a:noFill/>
              <a:ln w="25412">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2017</c:v>
                </c:pt>
                <c:pt idx="1">
                  <c:v>2018</c:v>
                </c:pt>
                <c:pt idx="2">
                  <c:v>2019</c:v>
                </c:pt>
                <c:pt idx="3">
                  <c:v>2020*</c:v>
                </c:pt>
                <c:pt idx="4">
                  <c:v>2021*</c:v>
                </c:pt>
                <c:pt idx="5">
                  <c:v>2022*</c:v>
                </c:pt>
                <c:pt idx="6">
                  <c:v>2023*</c:v>
                </c:pt>
              </c:strCache>
            </c:strRef>
          </c:cat>
          <c:val>
            <c:numRef>
              <c:f>Sheet1!$D$2:$D$8</c:f>
              <c:numCache>
                <c:formatCode>General</c:formatCode>
                <c:ptCount val="7"/>
              </c:numCache>
            </c:numRef>
          </c:val>
          <c:smooth val="0"/>
          <c:extLst>
            <c:ext xmlns:c16="http://schemas.microsoft.com/office/drawing/2014/chart" uri="{C3380CC4-5D6E-409C-BE32-E72D297353CC}">
              <c16:uniqueId val="{00000003-1BA7-4788-9BCF-F84D5DB658AA}"/>
            </c:ext>
          </c:extLst>
        </c:ser>
        <c:ser>
          <c:idx val="3"/>
          <c:order val="3"/>
          <c:tx>
            <c:strRef>
              <c:f>Sheet1!$E$1</c:f>
              <c:strCache>
                <c:ptCount val="1"/>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2017</c:v>
                </c:pt>
                <c:pt idx="1">
                  <c:v>2018</c:v>
                </c:pt>
                <c:pt idx="2">
                  <c:v>2019</c:v>
                </c:pt>
                <c:pt idx="3">
                  <c:v>2020*</c:v>
                </c:pt>
                <c:pt idx="4">
                  <c:v>2021*</c:v>
                </c:pt>
                <c:pt idx="5">
                  <c:v>2022*</c:v>
                </c:pt>
                <c:pt idx="6">
                  <c:v>2023*</c:v>
                </c:pt>
              </c:strCache>
            </c:strRef>
          </c:cat>
          <c:val>
            <c:numRef>
              <c:f>Sheet1!$E$2:$E$8</c:f>
              <c:numCache>
                <c:formatCode>General</c:formatCode>
                <c:ptCount val="7"/>
              </c:numCache>
            </c:numRef>
          </c:val>
          <c:smooth val="0"/>
          <c:extLst>
            <c:ext xmlns:c16="http://schemas.microsoft.com/office/drawing/2014/chart" uri="{C3380CC4-5D6E-409C-BE32-E72D297353CC}">
              <c16:uniqueId val="{00000004-1BA7-4788-9BCF-F84D5DB658AA}"/>
            </c:ext>
          </c:extLst>
        </c:ser>
        <c:dLbls>
          <c:showLegendKey val="0"/>
          <c:showVal val="0"/>
          <c:showCatName val="0"/>
          <c:showSerName val="0"/>
          <c:showPercent val="0"/>
          <c:showBubbleSize val="0"/>
        </c:dLbls>
        <c:marker val="1"/>
        <c:smooth val="0"/>
        <c:axId val="-684508208"/>
        <c:axId val="-684525616"/>
      </c:lineChart>
      <c:catAx>
        <c:axId val="-684508208"/>
        <c:scaling>
          <c:orientation val="minMax"/>
        </c:scaling>
        <c:delete val="0"/>
        <c:axPos val="b"/>
        <c:numFmt formatCode="General" sourceLinked="1"/>
        <c:majorTickMark val="none"/>
        <c:minorTickMark val="none"/>
        <c:tickLblPos val="low"/>
        <c:spPr>
          <a:noFill/>
          <a:ln w="9530" cap="flat" cmpd="sng" algn="ctr">
            <a:solidFill>
              <a:schemeClr val="tx2">
                <a:lumMod val="15000"/>
                <a:lumOff val="85000"/>
              </a:schemeClr>
            </a:solidFill>
            <a:round/>
          </a:ln>
          <a:effectLst/>
        </c:spPr>
        <c:txPr>
          <a:bodyPr rot="-60000000" vert="horz"/>
          <a:lstStyle/>
          <a:p>
            <a:pPr>
              <a:defRPr/>
            </a:pPr>
            <a:endParaRPr lang="en-US"/>
          </a:p>
        </c:txPr>
        <c:crossAx val="-684525616"/>
        <c:crosses val="autoZero"/>
        <c:auto val="1"/>
        <c:lblAlgn val="ctr"/>
        <c:lblOffset val="100"/>
        <c:noMultiLvlLbl val="0"/>
      </c:catAx>
      <c:valAx>
        <c:axId val="-684525616"/>
        <c:scaling>
          <c:orientation val="minMax"/>
        </c:scaling>
        <c:delete val="0"/>
        <c:axPos val="l"/>
        <c:majorGridlines>
          <c:spPr>
            <a:ln w="9530" cap="flat" cmpd="sng" algn="ctr">
              <a:solidFill>
                <a:schemeClr val="tx2">
                  <a:lumMod val="15000"/>
                  <a:lumOff val="85000"/>
                </a:schemeClr>
              </a:solidFill>
              <a:round/>
            </a:ln>
            <a:effectLst/>
          </c:spPr>
        </c:majorGridlines>
        <c:numFmt formatCode="0.0" sourceLinked="1"/>
        <c:majorTickMark val="none"/>
        <c:minorTickMark val="none"/>
        <c:tickLblPos val="nextTo"/>
        <c:spPr>
          <a:ln w="6353">
            <a:noFill/>
          </a:ln>
        </c:spPr>
        <c:txPr>
          <a:bodyPr rot="-60000000" vert="horz"/>
          <a:lstStyle/>
          <a:p>
            <a:pPr>
              <a:defRPr/>
            </a:pPr>
            <a:endParaRPr lang="en-US"/>
          </a:p>
        </c:txPr>
        <c:crossAx val="-684508208"/>
        <c:crosses val="autoZero"/>
        <c:crossBetween val="between"/>
      </c:valAx>
      <c:spPr>
        <a:noFill/>
        <a:ln w="25412">
          <a:noFill/>
        </a:ln>
      </c:spPr>
    </c:plotArea>
    <c:legend>
      <c:legendPos val="b"/>
      <c:legendEntry>
        <c:idx val="2"/>
        <c:delete val="1"/>
      </c:legendEntry>
      <c:legendEntry>
        <c:idx val="3"/>
        <c:delete val="1"/>
      </c:legendEntry>
      <c:layout>
        <c:manualLayout>
          <c:xMode val="edge"/>
          <c:yMode val="edge"/>
          <c:x val="0"/>
          <c:y val="0.81325185098131381"/>
          <c:w val="0.99584174404521597"/>
          <c:h val="0.18674814901868642"/>
        </c:manualLayout>
      </c:layout>
      <c:overlay val="0"/>
      <c:spPr>
        <a:noFill/>
        <a:ln w="25412">
          <a:noFill/>
        </a:ln>
      </c:spPr>
      <c:txPr>
        <a:bodyPr rot="0" vert="horz"/>
        <a:lstStyle/>
        <a:p>
          <a:pPr>
            <a:defRPr sz="900"/>
          </a:pPr>
          <a:endParaRPr lang="en-US"/>
        </a:p>
      </c:txPr>
    </c:legend>
    <c:plotVisOnly val="1"/>
    <c:dispBlanksAs val="gap"/>
    <c:showDLblsOverMax val="0"/>
  </c:chart>
  <c:spPr>
    <a:solidFill>
      <a:schemeClr val="bg1"/>
    </a:solidFill>
    <a:ln w="9530" cap="flat" cmpd="sng" algn="ctr">
      <a:solidFill>
        <a:schemeClr val="tx2">
          <a:lumMod val="15000"/>
          <a:lumOff val="85000"/>
        </a:schemeClr>
      </a:solidFill>
      <a:round/>
    </a:ln>
    <a:effectLst/>
  </c:spPr>
  <c:txPr>
    <a:bodyPr anchor="t" anchorCtr="0"/>
    <a:lstStyle/>
    <a:p>
      <a:pPr>
        <a:defRPr>
          <a:latin typeface="GHEA Grapalat" panose="02000506050000020003" pitchFamily="50" charset="0"/>
        </a:defRPr>
      </a:pPr>
      <a:endParaRPr lang="en-US"/>
    </a:p>
  </c:txPr>
  <c:externalData r:id="rId2">
    <c:autoUpdate val="0"/>
  </c:externalData>
  <c:userShapes r:id="rId3"/>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y-AM" sz="1000" b="1">
                <a:solidFill>
                  <a:sysClr val="windowText" lastClr="000000"/>
                </a:solidFill>
                <a:latin typeface="GHEA Grapalat" panose="02000506050000020003" pitchFamily="50" charset="0"/>
              </a:rPr>
              <a:t>Կառավարության պարտքի</a:t>
            </a:r>
            <a:r>
              <a:rPr lang="hy-AM" sz="1000" b="1" baseline="0">
                <a:solidFill>
                  <a:sysClr val="windowText" lastClr="000000"/>
                </a:solidFill>
                <a:latin typeface="GHEA Grapalat" panose="02000506050000020003" pitchFamily="50" charset="0"/>
              </a:rPr>
              <a:t> դինամիկան</a:t>
            </a:r>
            <a:endParaRPr lang="en-US" sz="1000" b="1">
              <a:solidFill>
                <a:sysClr val="windowText" lastClr="000000"/>
              </a:solidFill>
              <a:latin typeface="GHEA Grapalat" panose="02000506050000020003" pitchFamily="50" charset="0"/>
            </a:endParaRPr>
          </a:p>
        </c:rich>
      </c:tx>
      <c:overlay val="0"/>
      <c:spPr>
        <a:noFill/>
        <a:ln>
          <a:noFill/>
        </a:ln>
        <a:effectLst/>
      </c:spPr>
    </c:title>
    <c:autoTitleDeleted val="0"/>
    <c:plotArea>
      <c:layout/>
      <c:barChart>
        <c:barDir val="col"/>
        <c:grouping val="clustered"/>
        <c:varyColors val="0"/>
        <c:ser>
          <c:idx val="1"/>
          <c:order val="1"/>
          <c:tx>
            <c:strRef>
              <c:f>Sheet1!$C$1</c:f>
              <c:strCache>
                <c:ptCount val="1"/>
                <c:pt idx="0">
                  <c:v>ՀՀ կառավարության պարտք, մլրդ դրամ</c:v>
                </c:pt>
              </c:strCache>
            </c:strRef>
          </c:tx>
          <c:spPr>
            <a:solidFill>
              <a:schemeClr val="accent2"/>
            </a:solidFill>
            <a:ln>
              <a:noFill/>
            </a:ln>
            <a:effectLst/>
          </c:spPr>
          <c:invertIfNegative val="0"/>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Sheet1!$C$2:$C$8</c:f>
              <c:numCache>
                <c:formatCode>0.0</c:formatCode>
                <c:ptCount val="7"/>
                <c:pt idx="0" formatCode="General">
                  <c:v>2988.3796278717377</c:v>
                </c:pt>
                <c:pt idx="1">
                  <c:v>3082.8664640448087</c:v>
                </c:pt>
                <c:pt idx="2">
                  <c:v>3278.6777602719171</c:v>
                </c:pt>
                <c:pt idx="3" formatCode="_(* #,##0.0_);_(* \(#,##0.0\);_(* &quot;-&quot;??_);_(@_)">
                  <c:v>3811.9561789532922</c:v>
                </c:pt>
                <c:pt idx="4" formatCode="_(* #,##0.0_);_(* \(#,##0.0\);_(* &quot;-&quot;??_);_(@_)">
                  <c:v>4159.7590973524475</c:v>
                </c:pt>
                <c:pt idx="5" formatCode="_(* #,##0.0_);_(* \(#,##0.0\);_(* &quot;-&quot;??_);_(@_)">
                  <c:v>4438.1016939420433</c:v>
                </c:pt>
                <c:pt idx="6" formatCode="_(* #,##0.0_);_(* \(#,##0.0\);_(* &quot;-&quot;??_);_(@_)">
                  <c:v>4692.312119859881</c:v>
                </c:pt>
              </c:numCache>
            </c:numRef>
          </c:val>
          <c:extLst>
            <c:ext xmlns:c16="http://schemas.microsoft.com/office/drawing/2014/chart" uri="{C3380CC4-5D6E-409C-BE32-E72D297353CC}">
              <c16:uniqueId val="{00000000-9658-4B0C-B7C9-D71427A09C43}"/>
            </c:ext>
          </c:extLst>
        </c:ser>
        <c:dLbls>
          <c:showLegendKey val="0"/>
          <c:showVal val="0"/>
          <c:showCatName val="0"/>
          <c:showSerName val="0"/>
          <c:showPercent val="0"/>
          <c:showBubbleSize val="0"/>
        </c:dLbls>
        <c:gapWidth val="219"/>
        <c:axId val="-684531600"/>
        <c:axId val="-684516912"/>
      </c:barChart>
      <c:lineChart>
        <c:grouping val="standard"/>
        <c:varyColors val="0"/>
        <c:ser>
          <c:idx val="0"/>
          <c:order val="0"/>
          <c:tx>
            <c:strRef>
              <c:f>Sheet1!$B$1</c:f>
              <c:strCache>
                <c:ptCount val="1"/>
                <c:pt idx="0">
                  <c:v>Կառավարության պարտք/ՀՆԱ, % (աջ առանցք)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Sheet1!$B$2:$B$8</c:f>
              <c:numCache>
                <c:formatCode>#,##0.0</c:formatCode>
                <c:ptCount val="7"/>
                <c:pt idx="0">
                  <c:v>53.704433930610207</c:v>
                </c:pt>
                <c:pt idx="1">
                  <c:v>51.235639506393596</c:v>
                </c:pt>
                <c:pt idx="2">
                  <c:v>49.911133926665656</c:v>
                </c:pt>
                <c:pt idx="3" formatCode="_(* #,##0.0_);_(* \(#,##0.0\);_(* &quot;-&quot;??_);_(@_)">
                  <c:v>58.599943029903883</c:v>
                </c:pt>
                <c:pt idx="4" formatCode="_(* #,##0.0_);_(* \(#,##0.0\);_(* &quot;-&quot;??_);_(@_)">
                  <c:v>58.235750549771709</c:v>
                </c:pt>
                <c:pt idx="5" formatCode="_(* #,##0.0_);_(* \(#,##0.0\);_(* &quot;-&quot;??_);_(@_)">
                  <c:v>56.511148787456705</c:v>
                </c:pt>
                <c:pt idx="6" formatCode="_(* #,##0.0_);_(* \(#,##0.0\);_(* &quot;-&quot;??_);_(@_)">
                  <c:v>54.673109010910011</c:v>
                </c:pt>
              </c:numCache>
            </c:numRef>
          </c:val>
          <c:smooth val="0"/>
          <c:extLst>
            <c:ext xmlns:c16="http://schemas.microsoft.com/office/drawing/2014/chart" uri="{C3380CC4-5D6E-409C-BE32-E72D297353CC}">
              <c16:uniqueId val="{00000001-9658-4B0C-B7C9-D71427A09C43}"/>
            </c:ext>
          </c:extLst>
        </c:ser>
        <c:dLbls>
          <c:showLegendKey val="0"/>
          <c:showVal val="0"/>
          <c:showCatName val="0"/>
          <c:showSerName val="0"/>
          <c:showPercent val="0"/>
          <c:showBubbleSize val="0"/>
        </c:dLbls>
        <c:marker val="1"/>
        <c:smooth val="0"/>
        <c:axId val="-684519088"/>
        <c:axId val="-684526160"/>
      </c:lineChart>
      <c:catAx>
        <c:axId val="-68453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16912"/>
        <c:crosses val="autoZero"/>
        <c:auto val="1"/>
        <c:lblAlgn val="ctr"/>
        <c:lblOffset val="100"/>
        <c:noMultiLvlLbl val="0"/>
      </c:catAx>
      <c:valAx>
        <c:axId val="-68451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31600"/>
        <c:crosses val="autoZero"/>
        <c:crossBetween val="between"/>
      </c:valAx>
      <c:valAx>
        <c:axId val="-684526160"/>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19088"/>
        <c:crosses val="max"/>
        <c:crossBetween val="between"/>
      </c:valAx>
      <c:catAx>
        <c:axId val="-684519088"/>
        <c:scaling>
          <c:orientation val="minMax"/>
        </c:scaling>
        <c:delete val="1"/>
        <c:axPos val="b"/>
        <c:numFmt formatCode="General" sourceLinked="1"/>
        <c:majorTickMark val="out"/>
        <c:minorTickMark val="none"/>
        <c:tickLblPos val="none"/>
        <c:crossAx val="-684526160"/>
        <c:crosses val="autoZero"/>
        <c:auto val="1"/>
        <c:lblAlgn val="ctr"/>
        <c:lblOffset val="100"/>
        <c:noMultiLvlLbl val="0"/>
      </c:catAx>
      <c:spPr>
        <a:noFill/>
        <a:ln>
          <a:noFill/>
        </a:ln>
        <a:effectLst/>
      </c:spPr>
    </c:plotArea>
    <c:legend>
      <c:legendPos val="b"/>
      <c:layout>
        <c:manualLayout>
          <c:xMode val="edge"/>
          <c:yMode val="edge"/>
          <c:x val="0"/>
          <c:y val="0.78088601993439488"/>
          <c:w val="0.99724612736660856"/>
          <c:h val="0.219113980065605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99"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899" b="1" baseline="0">
                <a:solidFill>
                  <a:sysClr val="windowText" lastClr="000000"/>
                </a:solidFill>
              </a:rPr>
              <a:t>Կառավարության պարտքի բեռի փոփոխությանը նպաստող գործոնները, </a:t>
            </a:r>
            <a:r>
              <a:rPr lang="en-US" sz="899" b="1" baseline="0">
                <a:solidFill>
                  <a:sysClr val="windowText" lastClr="000000"/>
                </a:solidFill>
              </a:rPr>
              <a:t>%-</a:t>
            </a:r>
            <a:r>
              <a:rPr lang="hy-AM" sz="899" b="1" baseline="0">
                <a:solidFill>
                  <a:sysClr val="windowText" lastClr="000000"/>
                </a:solidFill>
              </a:rPr>
              <a:t>ային կետ</a:t>
            </a:r>
            <a:endParaRPr lang="en-US" sz="900" b="1">
              <a:solidFill>
                <a:sysClr val="windowText" lastClr="000000"/>
              </a:solidFill>
            </a:endParaRPr>
          </a:p>
        </c:rich>
      </c:tx>
      <c:layout>
        <c:manualLayout>
          <c:xMode val="edge"/>
          <c:yMode val="edge"/>
          <c:x val="8.4826303261163777E-2"/>
          <c:y val="3.4761154855643046E-3"/>
        </c:manualLayout>
      </c:layout>
      <c:overlay val="0"/>
      <c:spPr>
        <a:noFill/>
        <a:ln w="25384">
          <a:noFill/>
        </a:ln>
      </c:spPr>
    </c:title>
    <c:autoTitleDeleted val="0"/>
    <c:plotArea>
      <c:layout>
        <c:manualLayout>
          <c:layoutTarget val="inner"/>
          <c:xMode val="edge"/>
          <c:yMode val="edge"/>
          <c:x val="0.11882213353467802"/>
          <c:y val="0.18580364954380699"/>
          <c:w val="0.49000876204041866"/>
          <c:h val="0.77039682539682564"/>
        </c:manualLayout>
      </c:layout>
      <c:barChart>
        <c:barDir val="col"/>
        <c:grouping val="stacked"/>
        <c:varyColors val="0"/>
        <c:ser>
          <c:idx val="0"/>
          <c:order val="0"/>
          <c:tx>
            <c:strRef>
              <c:f>Sheet1!$B$1</c:f>
              <c:strCache>
                <c:ptCount val="1"/>
                <c:pt idx="0">
                  <c:v>Առաջնային պակասուրդ</c:v>
                </c:pt>
              </c:strCache>
            </c:strRef>
          </c:tx>
          <c:spPr>
            <a:solidFill>
              <a:srgbClr val="4F81BD"/>
            </a:solidFill>
            <a:ln w="25384">
              <a:noFill/>
            </a:ln>
          </c:spPr>
          <c:invertIfNegative val="0"/>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Sheet1!$B$2:$B$8</c:f>
              <c:numCache>
                <c:formatCode>0.0</c:formatCode>
                <c:ptCount val="7"/>
                <c:pt idx="0">
                  <c:v>2.6021498588186631</c:v>
                </c:pt>
                <c:pt idx="1">
                  <c:v>-0.57258085880967613</c:v>
                </c:pt>
                <c:pt idx="2">
                  <c:v>-1.4284363292094446</c:v>
                </c:pt>
                <c:pt idx="3">
                  <c:v>2.9918428127931742</c:v>
                </c:pt>
                <c:pt idx="4">
                  <c:v>-9.5994895331390925E-2</c:v>
                </c:pt>
                <c:pt idx="5">
                  <c:v>-1.0787944054931855</c:v>
                </c:pt>
                <c:pt idx="6">
                  <c:v>-0.97215381910790555</c:v>
                </c:pt>
              </c:numCache>
            </c:numRef>
          </c:val>
          <c:extLst>
            <c:ext xmlns:c16="http://schemas.microsoft.com/office/drawing/2014/chart" uri="{C3380CC4-5D6E-409C-BE32-E72D297353CC}">
              <c16:uniqueId val="{00000000-5BE8-4B55-8629-0A52A31ABF9C}"/>
            </c:ext>
          </c:extLst>
        </c:ser>
        <c:ser>
          <c:idx val="1"/>
          <c:order val="1"/>
          <c:tx>
            <c:strRef>
              <c:f>Sheet1!$C$1</c:f>
              <c:strCache>
                <c:ptCount val="1"/>
                <c:pt idx="0">
                  <c:v>Իրական տոկոսադրույք</c:v>
                </c:pt>
              </c:strCache>
            </c:strRef>
          </c:tx>
          <c:spPr>
            <a:solidFill>
              <a:srgbClr val="C0504D"/>
            </a:solidFill>
            <a:ln w="25384">
              <a:noFill/>
            </a:ln>
          </c:spPr>
          <c:invertIfNegative val="0"/>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Sheet1!$C$2:$C$8</c:f>
              <c:numCache>
                <c:formatCode>0.0</c:formatCode>
                <c:ptCount val="7"/>
                <c:pt idx="0">
                  <c:v>1.0500310954191112</c:v>
                </c:pt>
                <c:pt idx="1">
                  <c:v>0.98012789078743556</c:v>
                </c:pt>
                <c:pt idx="2">
                  <c:v>1.6930478859443181</c:v>
                </c:pt>
                <c:pt idx="3">
                  <c:v>1.633923805009933</c:v>
                </c:pt>
                <c:pt idx="4">
                  <c:v>1.1757534712447051</c:v>
                </c:pt>
                <c:pt idx="5">
                  <c:v>0.78474997651809919</c:v>
                </c:pt>
                <c:pt idx="6">
                  <c:v>0.52664651923088235</c:v>
                </c:pt>
              </c:numCache>
            </c:numRef>
          </c:val>
          <c:extLst>
            <c:ext xmlns:c16="http://schemas.microsoft.com/office/drawing/2014/chart" uri="{C3380CC4-5D6E-409C-BE32-E72D297353CC}">
              <c16:uniqueId val="{00000001-5BE8-4B55-8629-0A52A31ABF9C}"/>
            </c:ext>
          </c:extLst>
        </c:ser>
        <c:ser>
          <c:idx val="2"/>
          <c:order val="2"/>
          <c:tx>
            <c:strRef>
              <c:f>Sheet1!$D$1</c:f>
              <c:strCache>
                <c:ptCount val="1"/>
                <c:pt idx="0">
                  <c:v>Իրական ՀՆԱ աճ</c:v>
                </c:pt>
              </c:strCache>
            </c:strRef>
          </c:tx>
          <c:spPr>
            <a:solidFill>
              <a:srgbClr val="9BBB59"/>
            </a:solidFill>
            <a:ln w="25384">
              <a:noFill/>
            </a:ln>
          </c:spPr>
          <c:invertIfNegative val="0"/>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Sheet1!$D$2:$D$8</c:f>
              <c:numCache>
                <c:formatCode>0.0</c:formatCode>
                <c:ptCount val="7"/>
                <c:pt idx="0">
                  <c:v>-3.5603773930307181</c:v>
                </c:pt>
                <c:pt idx="1">
                  <c:v>-2.6039370723394408</c:v>
                </c:pt>
                <c:pt idx="2">
                  <c:v>-3.5727954124852004</c:v>
                </c:pt>
                <c:pt idx="3">
                  <c:v>1.2917278882625778</c:v>
                </c:pt>
                <c:pt idx="4">
                  <c:v>-3.789772253796325</c:v>
                </c:pt>
                <c:pt idx="5">
                  <c:v>-3.4299329227616386</c:v>
                </c:pt>
                <c:pt idx="6">
                  <c:v>-2.6471607381848612</c:v>
                </c:pt>
              </c:numCache>
            </c:numRef>
          </c:val>
          <c:extLst>
            <c:ext xmlns:c16="http://schemas.microsoft.com/office/drawing/2014/chart" uri="{C3380CC4-5D6E-409C-BE32-E72D297353CC}">
              <c16:uniqueId val="{00000002-5BE8-4B55-8629-0A52A31ABF9C}"/>
            </c:ext>
          </c:extLst>
        </c:ser>
        <c:ser>
          <c:idx val="3"/>
          <c:order val="3"/>
          <c:tx>
            <c:strRef>
              <c:f>Sheet1!$E$1</c:f>
              <c:strCache>
                <c:ptCount val="1"/>
                <c:pt idx="0">
                  <c:v>Փոխարժեքի արժեզրկում</c:v>
                </c:pt>
              </c:strCache>
            </c:strRef>
          </c:tx>
          <c:spPr>
            <a:solidFill>
              <a:srgbClr val="8064A2"/>
            </a:solidFill>
            <a:ln w="25384">
              <a:noFill/>
            </a:ln>
          </c:spPr>
          <c:invertIfNegative val="0"/>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Sheet1!$E$2:$E$8</c:f>
              <c:numCache>
                <c:formatCode>0.0</c:formatCode>
                <c:ptCount val="7"/>
                <c:pt idx="0">
                  <c:v>1.3024595224923429E-2</c:v>
                </c:pt>
                <c:pt idx="1">
                  <c:v>-3.035594228886522E-2</c:v>
                </c:pt>
                <c:pt idx="2">
                  <c:v>-0.33045922768254116</c:v>
                </c:pt>
              </c:numCache>
            </c:numRef>
          </c:val>
          <c:extLst>
            <c:ext xmlns:c16="http://schemas.microsoft.com/office/drawing/2014/chart" uri="{C3380CC4-5D6E-409C-BE32-E72D297353CC}">
              <c16:uniqueId val="{00000003-5BE8-4B55-8629-0A52A31ABF9C}"/>
            </c:ext>
          </c:extLst>
        </c:ser>
        <c:ser>
          <c:idx val="4"/>
          <c:order val="4"/>
          <c:tx>
            <c:strRef>
              <c:f>Sheet1!$F$1</c:f>
              <c:strCache>
                <c:ptCount val="1"/>
                <c:pt idx="0">
                  <c:v>Զուտ վարկավորում բյուջեից</c:v>
                </c:pt>
              </c:strCache>
            </c:strRef>
          </c:tx>
          <c:spPr>
            <a:solidFill>
              <a:srgbClr val="4BACC6"/>
            </a:solidFill>
            <a:ln w="25384">
              <a:noFill/>
            </a:ln>
          </c:spPr>
          <c:invertIfNegative val="0"/>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Sheet1!$F$2:$F$8</c:f>
              <c:numCache>
                <c:formatCode>0.0</c:formatCode>
                <c:ptCount val="7"/>
                <c:pt idx="0">
                  <c:v>0.81069110128811006</c:v>
                </c:pt>
                <c:pt idx="1">
                  <c:v>0.81037920761112681</c:v>
                </c:pt>
                <c:pt idx="2">
                  <c:v>1.0104016885491094</c:v>
                </c:pt>
                <c:pt idx="3">
                  <c:v>1.573916874312224</c:v>
                </c:pt>
                <c:pt idx="4">
                  <c:v>1.6608450365724725</c:v>
                </c:pt>
                <c:pt idx="5">
                  <c:v>0.63132187354211367</c:v>
                </c:pt>
                <c:pt idx="6">
                  <c:v>0.69444042694187824</c:v>
                </c:pt>
              </c:numCache>
            </c:numRef>
          </c:val>
          <c:extLst>
            <c:ext xmlns:c16="http://schemas.microsoft.com/office/drawing/2014/chart" uri="{C3380CC4-5D6E-409C-BE32-E72D297353CC}">
              <c16:uniqueId val="{00000004-5BE8-4B55-8629-0A52A31ABF9C}"/>
            </c:ext>
          </c:extLst>
        </c:ser>
        <c:ser>
          <c:idx val="5"/>
          <c:order val="5"/>
          <c:tx>
            <c:strRef>
              <c:f>Sheet1!$G$1</c:f>
              <c:strCache>
                <c:ptCount val="1"/>
                <c:pt idx="0">
                  <c:v>Մնացորդ</c:v>
                </c:pt>
              </c:strCache>
            </c:strRef>
          </c:tx>
          <c:spPr>
            <a:solidFill>
              <a:srgbClr val="F79646"/>
            </a:solidFill>
            <a:ln w="25384">
              <a:noFill/>
            </a:ln>
          </c:spPr>
          <c:invertIfNegative val="0"/>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Sheet1!$G$2:$G$8</c:f>
              <c:numCache>
                <c:formatCode>0.0</c:formatCode>
                <c:ptCount val="7"/>
                <c:pt idx="0">
                  <c:v>0.81750019646647765</c:v>
                </c:pt>
                <c:pt idx="1">
                  <c:v>-0.90772701057372795</c:v>
                </c:pt>
                <c:pt idx="2">
                  <c:v>1.3324296052555078</c:v>
                </c:pt>
                <c:pt idx="3">
                  <c:v>2.3260994648470668</c:v>
                </c:pt>
                <c:pt idx="4">
                  <c:v>0.51703506114320907</c:v>
                </c:pt>
                <c:pt idx="5">
                  <c:v>0.65702598120364264</c:v>
                </c:pt>
                <c:pt idx="6">
                  <c:v>0.612810599280605</c:v>
                </c:pt>
              </c:numCache>
            </c:numRef>
          </c:val>
          <c:extLst>
            <c:ext xmlns:c16="http://schemas.microsoft.com/office/drawing/2014/chart" uri="{C3380CC4-5D6E-409C-BE32-E72D297353CC}">
              <c16:uniqueId val="{00000005-5BE8-4B55-8629-0A52A31ABF9C}"/>
            </c:ext>
          </c:extLst>
        </c:ser>
        <c:dLbls>
          <c:showLegendKey val="0"/>
          <c:showVal val="0"/>
          <c:showCatName val="0"/>
          <c:showSerName val="0"/>
          <c:showPercent val="0"/>
          <c:showBubbleSize val="0"/>
        </c:dLbls>
        <c:gapWidth val="81"/>
        <c:overlap val="100"/>
        <c:axId val="-684507664"/>
        <c:axId val="-684509296"/>
      </c:barChart>
      <c:lineChart>
        <c:grouping val="standard"/>
        <c:varyColors val="0"/>
        <c:ser>
          <c:idx val="6"/>
          <c:order val="6"/>
          <c:tx>
            <c:strRef>
              <c:f>Sheet1!$H$1</c:f>
              <c:strCache>
                <c:ptCount val="1"/>
                <c:pt idx="0">
                  <c:v>Պարտք/ՀՆԱ փոփոխություն, %-ային կետ </c:v>
                </c:pt>
              </c:strCache>
            </c:strRef>
          </c:tx>
          <c:spPr>
            <a:ln w="28557" cap="rnd">
              <a:solidFill>
                <a:schemeClr val="accent1">
                  <a:lumMod val="60000"/>
                </a:schemeClr>
              </a:solidFill>
              <a:round/>
            </a:ln>
            <a:effectLst/>
          </c:spPr>
          <c:marker>
            <c:symbol val="circle"/>
            <c:size val="4"/>
            <c:spPr>
              <a:solidFill>
                <a:schemeClr val="accent1">
                  <a:lumMod val="60000"/>
                </a:schemeClr>
              </a:solidFill>
              <a:ln w="9519">
                <a:solidFill>
                  <a:schemeClr val="accent1">
                    <a:lumMod val="60000"/>
                  </a:schemeClr>
                </a:solidFill>
              </a:ln>
              <a:effectLst/>
            </c:spPr>
          </c:marker>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Sheet1!$H$2:$H$8</c:f>
              <c:numCache>
                <c:formatCode>0.0</c:formatCode>
                <c:ptCount val="7"/>
                <c:pt idx="0">
                  <c:v>1.733019454186568</c:v>
                </c:pt>
                <c:pt idx="1">
                  <c:v>-2.3240937856131372</c:v>
                </c:pt>
                <c:pt idx="2">
                  <c:v>-1.2958117896282531</c:v>
                </c:pt>
                <c:pt idx="3">
                  <c:v>9.8175108452250068</c:v>
                </c:pt>
                <c:pt idx="4">
                  <c:v>-0.53213358016732415</c:v>
                </c:pt>
                <c:pt idx="5">
                  <c:v>-2.4356294969909769</c:v>
                </c:pt>
                <c:pt idx="6">
                  <c:v>-1.7854170118393995</c:v>
                </c:pt>
              </c:numCache>
            </c:numRef>
          </c:val>
          <c:smooth val="0"/>
          <c:extLst>
            <c:ext xmlns:c16="http://schemas.microsoft.com/office/drawing/2014/chart" uri="{C3380CC4-5D6E-409C-BE32-E72D297353CC}">
              <c16:uniqueId val="{00000006-5BE8-4B55-8629-0A52A31ABF9C}"/>
            </c:ext>
          </c:extLst>
        </c:ser>
        <c:dLbls>
          <c:showLegendKey val="0"/>
          <c:showVal val="0"/>
          <c:showCatName val="0"/>
          <c:showSerName val="0"/>
          <c:showPercent val="0"/>
          <c:showBubbleSize val="0"/>
        </c:dLbls>
        <c:marker val="1"/>
        <c:smooth val="0"/>
        <c:axId val="-684507664"/>
        <c:axId val="-684509296"/>
      </c:lineChart>
      <c:catAx>
        <c:axId val="-684507664"/>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84509296"/>
        <c:crosses val="autoZero"/>
        <c:auto val="1"/>
        <c:lblAlgn val="ctr"/>
        <c:lblOffset val="100"/>
        <c:noMultiLvlLbl val="0"/>
      </c:catAx>
      <c:valAx>
        <c:axId val="-684509296"/>
        <c:scaling>
          <c:orientation val="minMax"/>
        </c:scaling>
        <c:delete val="0"/>
        <c:axPos val="l"/>
        <c:majorGridlines>
          <c:spPr>
            <a:ln w="9519" cap="flat" cmpd="sng" algn="ctr">
              <a:solidFill>
                <a:schemeClr val="tx1">
                  <a:lumMod val="15000"/>
                  <a:lumOff val="85000"/>
                </a:schemeClr>
              </a:solidFill>
              <a:round/>
            </a:ln>
            <a:effectLst/>
          </c:spPr>
        </c:majorGridlines>
        <c:numFmt formatCode="0.0" sourceLinked="1"/>
        <c:majorTickMark val="none"/>
        <c:minorTickMark val="none"/>
        <c:tickLblPos val="nextTo"/>
        <c:spPr>
          <a:ln w="9519">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84507664"/>
        <c:crosses val="autoZero"/>
        <c:crossBetween val="between"/>
      </c:valAx>
      <c:spPr>
        <a:noFill/>
        <a:ln w="25384">
          <a:noFill/>
        </a:ln>
      </c:spPr>
    </c:plotArea>
    <c:legend>
      <c:legendPos val="r"/>
      <c:legendEntry>
        <c:idx val="1"/>
        <c:txPr>
          <a:bodyPr rot="0" spcFirstLastPara="1" vertOverflow="ellipsis" vert="horz" wrap="square" anchor="ctr" anchorCtr="1"/>
          <a:lstStyle/>
          <a:p>
            <a:pPr>
              <a:defRPr sz="78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Entry>
      <c:layout>
        <c:manualLayout>
          <c:xMode val="edge"/>
          <c:yMode val="edge"/>
          <c:x val="0.6235197988129122"/>
          <c:y val="0.13620647419072651"/>
          <c:w val="0.36942919665535395"/>
          <c:h val="0.86191216097987755"/>
        </c:manualLayout>
      </c:layout>
      <c:overlay val="0"/>
      <c:spPr>
        <a:noFill/>
        <a:ln w="25384">
          <a:noFill/>
        </a:ln>
      </c:spPr>
      <c:txPr>
        <a:bodyPr rot="0" spcFirstLastPara="1" vertOverflow="ellipsis" vert="horz" wrap="square" anchor="ctr" anchorCtr="1"/>
        <a:lstStyle/>
        <a:p>
          <a:pPr>
            <a:defRPr sz="78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19"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userShapes r:id="rId3"/>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Պետական բյուջեի պակասուրդ/ՀՆԱ,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2009</c:v>
                </c:pt>
                <c:pt idx="1">
                  <c:v>2016</c:v>
                </c:pt>
                <c:pt idx="2">
                  <c:v>2020</c:v>
                </c:pt>
              </c:numCache>
            </c:numRef>
          </c:cat>
          <c:val>
            <c:numRef>
              <c:f>Sheet1!$B$2:$B$4</c:f>
              <c:numCache>
                <c:formatCode>General</c:formatCode>
                <c:ptCount val="3"/>
                <c:pt idx="0">
                  <c:v>7.1</c:v>
                </c:pt>
                <c:pt idx="1">
                  <c:v>5.5</c:v>
                </c:pt>
                <c:pt idx="2">
                  <c:v>5.6</c:v>
                </c:pt>
              </c:numCache>
            </c:numRef>
          </c:val>
          <c:extLst>
            <c:ext xmlns:c16="http://schemas.microsoft.com/office/drawing/2014/chart" uri="{C3380CC4-5D6E-409C-BE32-E72D297353CC}">
              <c16:uniqueId val="{00000000-C60B-4757-A6CA-B6201E14EA68}"/>
            </c:ext>
          </c:extLst>
        </c:ser>
        <c:dLbls>
          <c:showLegendKey val="0"/>
          <c:showVal val="0"/>
          <c:showCatName val="0"/>
          <c:showSerName val="0"/>
          <c:showPercent val="0"/>
          <c:showBubbleSize val="0"/>
        </c:dLbls>
        <c:gapWidth val="219"/>
        <c:overlap val="-27"/>
        <c:axId val="-684513104"/>
        <c:axId val="-684516368"/>
      </c:barChart>
      <c:catAx>
        <c:axId val="-68451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16368"/>
        <c:crosses val="autoZero"/>
        <c:auto val="1"/>
        <c:lblAlgn val="ctr"/>
        <c:lblOffset val="100"/>
        <c:noMultiLvlLbl val="0"/>
      </c:catAx>
      <c:valAx>
        <c:axId val="-684516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1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140887884992941"/>
          <c:y val="7.2968490878938891E-2"/>
          <c:w val="0.72718082313053722"/>
          <c:h val="0.52136953030124855"/>
        </c:manualLayout>
      </c:layout>
      <c:lineChart>
        <c:grouping val="standard"/>
        <c:varyColors val="0"/>
        <c:ser>
          <c:idx val="0"/>
          <c:order val="0"/>
          <c:tx>
            <c:strRef>
              <c:f>Sheet1!$B$1</c:f>
              <c:strCache>
                <c:ptCount val="1"/>
                <c:pt idx="0">
                  <c:v>S&amp;P 500 (ԱՄՆ)</c:v>
                </c:pt>
              </c:strCache>
            </c:strRef>
          </c:tx>
          <c:spPr>
            <a:ln w="28575" cap="rnd">
              <a:solidFill>
                <a:schemeClr val="accent1"/>
              </a:solidFill>
              <a:round/>
            </a:ln>
            <a:effectLst/>
          </c:spPr>
          <c:marker>
            <c:symbol val="none"/>
          </c:marker>
          <c:cat>
            <c:strRef>
              <c:f>Sheet1!$A$2:$A$43</c:f>
              <c:strCache>
                <c:ptCount val="42"/>
                <c:pt idx="0">
                  <c:v>17-M1</c:v>
                </c:pt>
                <c:pt idx="1">
                  <c:v>17-M2</c:v>
                </c:pt>
                <c:pt idx="2">
                  <c:v>17-M3</c:v>
                </c:pt>
                <c:pt idx="3">
                  <c:v>17-M4</c:v>
                </c:pt>
                <c:pt idx="4">
                  <c:v>17-M5</c:v>
                </c:pt>
                <c:pt idx="5">
                  <c:v>17-M6</c:v>
                </c:pt>
                <c:pt idx="6">
                  <c:v>17-M7</c:v>
                </c:pt>
                <c:pt idx="7">
                  <c:v>17-M8</c:v>
                </c:pt>
                <c:pt idx="8">
                  <c:v>17-M9</c:v>
                </c:pt>
                <c:pt idx="9">
                  <c:v>17-M10</c:v>
                </c:pt>
                <c:pt idx="10">
                  <c:v>17-M11</c:v>
                </c:pt>
                <c:pt idx="11">
                  <c:v>17-M12</c:v>
                </c:pt>
                <c:pt idx="12">
                  <c:v>18-M1</c:v>
                </c:pt>
                <c:pt idx="13">
                  <c:v>18-M2</c:v>
                </c:pt>
                <c:pt idx="14">
                  <c:v>18-M3</c:v>
                </c:pt>
                <c:pt idx="15">
                  <c:v>18-M4</c:v>
                </c:pt>
                <c:pt idx="16">
                  <c:v>18-M5</c:v>
                </c:pt>
                <c:pt idx="17">
                  <c:v>18-M6</c:v>
                </c:pt>
                <c:pt idx="18">
                  <c:v>18-M7</c:v>
                </c:pt>
                <c:pt idx="19">
                  <c:v>18-M8</c:v>
                </c:pt>
                <c:pt idx="20">
                  <c:v>18-M9</c:v>
                </c:pt>
                <c:pt idx="21">
                  <c:v>18-M10</c:v>
                </c:pt>
                <c:pt idx="22">
                  <c:v>18-M11</c:v>
                </c:pt>
                <c:pt idx="23">
                  <c:v>18-M12</c:v>
                </c:pt>
                <c:pt idx="24">
                  <c:v>19-M1</c:v>
                </c:pt>
                <c:pt idx="25">
                  <c:v>19-M2</c:v>
                </c:pt>
                <c:pt idx="26">
                  <c:v>19-M3</c:v>
                </c:pt>
                <c:pt idx="27">
                  <c:v>19-M4</c:v>
                </c:pt>
                <c:pt idx="28">
                  <c:v>19-M5</c:v>
                </c:pt>
                <c:pt idx="29">
                  <c:v>19-M6</c:v>
                </c:pt>
                <c:pt idx="30">
                  <c:v>19-M7</c:v>
                </c:pt>
                <c:pt idx="31">
                  <c:v>19-M8</c:v>
                </c:pt>
                <c:pt idx="32">
                  <c:v>19-M9</c:v>
                </c:pt>
                <c:pt idx="33">
                  <c:v>19-M10</c:v>
                </c:pt>
                <c:pt idx="34">
                  <c:v>19-M11</c:v>
                </c:pt>
                <c:pt idx="35">
                  <c:v>19-M12</c:v>
                </c:pt>
                <c:pt idx="36">
                  <c:v>20-M1</c:v>
                </c:pt>
                <c:pt idx="37">
                  <c:v>20-M2</c:v>
                </c:pt>
                <c:pt idx="38">
                  <c:v>20-M3</c:v>
                </c:pt>
                <c:pt idx="39">
                  <c:v>20-M4</c:v>
                </c:pt>
                <c:pt idx="40">
                  <c:v>20-M5</c:v>
                </c:pt>
                <c:pt idx="41">
                  <c:v>20-M6</c:v>
                </c:pt>
              </c:strCache>
            </c:strRef>
          </c:cat>
          <c:val>
            <c:numRef>
              <c:f>Sheet1!$B$2:$B$43</c:f>
              <c:numCache>
                <c:formatCode>0</c:formatCode>
                <c:ptCount val="42"/>
                <c:pt idx="0">
                  <c:v>100</c:v>
                </c:pt>
                <c:pt idx="1">
                  <c:v>103.71982605414092</c:v>
                </c:pt>
                <c:pt idx="2">
                  <c:v>103.67945516857024</c:v>
                </c:pt>
                <c:pt idx="3">
                  <c:v>104.62202758384635</c:v>
                </c:pt>
                <c:pt idx="4">
                  <c:v>105.83315415096078</c:v>
                </c:pt>
                <c:pt idx="5">
                  <c:v>106.34261717430131</c:v>
                </c:pt>
                <c:pt idx="6">
                  <c:v>108.40021589647502</c:v>
                </c:pt>
                <c:pt idx="7">
                  <c:v>108.45945578290996</c:v>
                </c:pt>
                <c:pt idx="8">
                  <c:v>110.55303725091821</c:v>
                </c:pt>
                <c:pt idx="9">
                  <c:v>113.00600736329851</c:v>
                </c:pt>
                <c:pt idx="10">
                  <c:v>116.17951002031712</c:v>
                </c:pt>
                <c:pt idx="11">
                  <c:v>117.32174279357739</c:v>
                </c:pt>
                <c:pt idx="12">
                  <c:v>123.91272867693198</c:v>
                </c:pt>
                <c:pt idx="13">
                  <c:v>119.08665259536529</c:v>
                </c:pt>
                <c:pt idx="14">
                  <c:v>115.88506584403665</c:v>
                </c:pt>
                <c:pt idx="15">
                  <c:v>116.20013427707592</c:v>
                </c:pt>
                <c:pt idx="16">
                  <c:v>118.71102783397036</c:v>
                </c:pt>
                <c:pt idx="17">
                  <c:v>119.28587413937611</c:v>
                </c:pt>
                <c:pt idx="18">
                  <c:v>123.58274056879057</c:v>
                </c:pt>
                <c:pt idx="19">
                  <c:v>127.32275206571668</c:v>
                </c:pt>
                <c:pt idx="20">
                  <c:v>127.86951427681269</c:v>
                </c:pt>
                <c:pt idx="21">
                  <c:v>118.99494047488452</c:v>
                </c:pt>
                <c:pt idx="22">
                  <c:v>121.12011654899138</c:v>
                </c:pt>
                <c:pt idx="23">
                  <c:v>110.00408096995444</c:v>
                </c:pt>
                <c:pt idx="24">
                  <c:v>118.65968659906008</c:v>
                </c:pt>
                <c:pt idx="25">
                  <c:v>122.18731213276733</c:v>
                </c:pt>
                <c:pt idx="26">
                  <c:v>124.377432674966</c:v>
                </c:pt>
                <c:pt idx="27">
                  <c:v>129.26713678270403</c:v>
                </c:pt>
                <c:pt idx="28">
                  <c:v>120.76423841640818</c:v>
                </c:pt>
                <c:pt idx="29">
                  <c:v>129.08853949545181</c:v>
                </c:pt>
                <c:pt idx="30">
                  <c:v>130.78323906146474</c:v>
                </c:pt>
                <c:pt idx="31">
                  <c:v>128.41715411585545</c:v>
                </c:pt>
                <c:pt idx="32">
                  <c:v>130.62351077507688</c:v>
                </c:pt>
                <c:pt idx="33">
                  <c:v>133.29237736246517</c:v>
                </c:pt>
                <c:pt idx="34">
                  <c:v>137.83059147735506</c:v>
                </c:pt>
                <c:pt idx="35">
                  <c:v>141.77114096021279</c:v>
                </c:pt>
                <c:pt idx="36">
                  <c:v>141.54032481010327</c:v>
                </c:pt>
                <c:pt idx="37">
                  <c:v>129.63530170654715</c:v>
                </c:pt>
                <c:pt idx="38">
                  <c:v>113.41542080066002</c:v>
                </c:pt>
                <c:pt idx="39">
                  <c:v>127.80149811090574</c:v>
                </c:pt>
                <c:pt idx="40">
                  <c:v>133.58857679463949</c:v>
                </c:pt>
                <c:pt idx="41">
                  <c:v>135.0362240935201</c:v>
                </c:pt>
              </c:numCache>
            </c:numRef>
          </c:val>
          <c:smooth val="0"/>
          <c:extLst>
            <c:ext xmlns:c16="http://schemas.microsoft.com/office/drawing/2014/chart" uri="{C3380CC4-5D6E-409C-BE32-E72D297353CC}">
              <c16:uniqueId val="{00000000-75FE-42BB-BFC7-713A8C67BF99}"/>
            </c:ext>
          </c:extLst>
        </c:ser>
        <c:ser>
          <c:idx val="2"/>
          <c:order val="1"/>
          <c:tx>
            <c:strRef>
              <c:f>Sheet1!$D$1</c:f>
              <c:strCache>
                <c:ptCount val="1"/>
                <c:pt idx="0">
                  <c:v>DAX (Գերմանիա)</c:v>
                </c:pt>
              </c:strCache>
            </c:strRef>
          </c:tx>
          <c:spPr>
            <a:ln w="28575" cap="rnd">
              <a:solidFill>
                <a:srgbClr val="C00000"/>
              </a:solidFill>
              <a:round/>
            </a:ln>
            <a:effectLst/>
          </c:spPr>
          <c:marker>
            <c:symbol val="none"/>
          </c:marker>
          <c:cat>
            <c:strRef>
              <c:f>Sheet1!$A$2:$A$43</c:f>
              <c:strCache>
                <c:ptCount val="42"/>
                <c:pt idx="0">
                  <c:v>17-M1</c:v>
                </c:pt>
                <c:pt idx="1">
                  <c:v>17-M2</c:v>
                </c:pt>
                <c:pt idx="2">
                  <c:v>17-M3</c:v>
                </c:pt>
                <c:pt idx="3">
                  <c:v>17-M4</c:v>
                </c:pt>
                <c:pt idx="4">
                  <c:v>17-M5</c:v>
                </c:pt>
                <c:pt idx="5">
                  <c:v>17-M6</c:v>
                </c:pt>
                <c:pt idx="6">
                  <c:v>17-M7</c:v>
                </c:pt>
                <c:pt idx="7">
                  <c:v>17-M8</c:v>
                </c:pt>
                <c:pt idx="8">
                  <c:v>17-M9</c:v>
                </c:pt>
                <c:pt idx="9">
                  <c:v>17-M10</c:v>
                </c:pt>
                <c:pt idx="10">
                  <c:v>17-M11</c:v>
                </c:pt>
                <c:pt idx="11">
                  <c:v>17-M12</c:v>
                </c:pt>
                <c:pt idx="12">
                  <c:v>18-M1</c:v>
                </c:pt>
                <c:pt idx="13">
                  <c:v>18-M2</c:v>
                </c:pt>
                <c:pt idx="14">
                  <c:v>18-M3</c:v>
                </c:pt>
                <c:pt idx="15">
                  <c:v>18-M4</c:v>
                </c:pt>
                <c:pt idx="16">
                  <c:v>18-M5</c:v>
                </c:pt>
                <c:pt idx="17">
                  <c:v>18-M6</c:v>
                </c:pt>
                <c:pt idx="18">
                  <c:v>18-M7</c:v>
                </c:pt>
                <c:pt idx="19">
                  <c:v>18-M8</c:v>
                </c:pt>
                <c:pt idx="20">
                  <c:v>18-M9</c:v>
                </c:pt>
                <c:pt idx="21">
                  <c:v>18-M10</c:v>
                </c:pt>
                <c:pt idx="22">
                  <c:v>18-M11</c:v>
                </c:pt>
                <c:pt idx="23">
                  <c:v>18-M12</c:v>
                </c:pt>
                <c:pt idx="24">
                  <c:v>19-M1</c:v>
                </c:pt>
                <c:pt idx="25">
                  <c:v>19-M2</c:v>
                </c:pt>
                <c:pt idx="26">
                  <c:v>19-M3</c:v>
                </c:pt>
                <c:pt idx="27">
                  <c:v>19-M4</c:v>
                </c:pt>
                <c:pt idx="28">
                  <c:v>19-M5</c:v>
                </c:pt>
                <c:pt idx="29">
                  <c:v>19-M6</c:v>
                </c:pt>
                <c:pt idx="30">
                  <c:v>19-M7</c:v>
                </c:pt>
                <c:pt idx="31">
                  <c:v>19-M8</c:v>
                </c:pt>
                <c:pt idx="32">
                  <c:v>19-M9</c:v>
                </c:pt>
                <c:pt idx="33">
                  <c:v>19-M10</c:v>
                </c:pt>
                <c:pt idx="34">
                  <c:v>19-M11</c:v>
                </c:pt>
                <c:pt idx="35">
                  <c:v>19-M12</c:v>
                </c:pt>
                <c:pt idx="36">
                  <c:v>20-M1</c:v>
                </c:pt>
                <c:pt idx="37">
                  <c:v>20-M2</c:v>
                </c:pt>
                <c:pt idx="38">
                  <c:v>20-M3</c:v>
                </c:pt>
                <c:pt idx="39">
                  <c:v>20-M4</c:v>
                </c:pt>
                <c:pt idx="40">
                  <c:v>20-M5</c:v>
                </c:pt>
                <c:pt idx="41">
                  <c:v>20-M6</c:v>
                </c:pt>
              </c:strCache>
            </c:strRef>
          </c:cat>
          <c:val>
            <c:numRef>
              <c:f>Sheet1!$D$2:$D$43</c:f>
              <c:numCache>
                <c:formatCode>0</c:formatCode>
                <c:ptCount val="42"/>
                <c:pt idx="0">
                  <c:v>100</c:v>
                </c:pt>
                <c:pt idx="1">
                  <c:v>102.59290820966234</c:v>
                </c:pt>
                <c:pt idx="2">
                  <c:v>106.74069444167549</c:v>
                </c:pt>
                <c:pt idx="3">
                  <c:v>107.82553741511919</c:v>
                </c:pt>
                <c:pt idx="4">
                  <c:v>109.36038996784654</c:v>
                </c:pt>
                <c:pt idx="5">
                  <c:v>106.84689011391964</c:v>
                </c:pt>
                <c:pt idx="6">
                  <c:v>105.05352695332851</c:v>
                </c:pt>
                <c:pt idx="7">
                  <c:v>104.5124925121212</c:v>
                </c:pt>
                <c:pt idx="8">
                  <c:v>111.21382953730782</c:v>
                </c:pt>
                <c:pt idx="9">
                  <c:v>114.68759833935962</c:v>
                </c:pt>
                <c:pt idx="10">
                  <c:v>112.90533154288853</c:v>
                </c:pt>
                <c:pt idx="11">
                  <c:v>111.98346641746085</c:v>
                </c:pt>
                <c:pt idx="12">
                  <c:v>114.34005674749955</c:v>
                </c:pt>
                <c:pt idx="13">
                  <c:v>107.80681230066622</c:v>
                </c:pt>
                <c:pt idx="14">
                  <c:v>104.86696933155675</c:v>
                </c:pt>
                <c:pt idx="15">
                  <c:v>109.33481631616306</c:v>
                </c:pt>
                <c:pt idx="16">
                  <c:v>109.27222588729742</c:v>
                </c:pt>
                <c:pt idx="17">
                  <c:v>106.68113817487338</c:v>
                </c:pt>
                <c:pt idx="18">
                  <c:v>111.01132089211309</c:v>
                </c:pt>
                <c:pt idx="19">
                  <c:v>107.18446231614054</c:v>
                </c:pt>
                <c:pt idx="20">
                  <c:v>106.16732450189902</c:v>
                </c:pt>
                <c:pt idx="21">
                  <c:v>99.238858773626177</c:v>
                </c:pt>
                <c:pt idx="22">
                  <c:v>97.589401585219733</c:v>
                </c:pt>
                <c:pt idx="23">
                  <c:v>91.535988196242556</c:v>
                </c:pt>
                <c:pt idx="24">
                  <c:v>96.859989025002434</c:v>
                </c:pt>
                <c:pt idx="25">
                  <c:v>99.829480091995848</c:v>
                </c:pt>
                <c:pt idx="26">
                  <c:v>99.919638050472955</c:v>
                </c:pt>
                <c:pt idx="27">
                  <c:v>107.01125500745114</c:v>
                </c:pt>
                <c:pt idx="28">
                  <c:v>101.66038017183757</c:v>
                </c:pt>
                <c:pt idx="29">
                  <c:v>107.48562457359198</c:v>
                </c:pt>
                <c:pt idx="30">
                  <c:v>105.66720790338546</c:v>
                </c:pt>
                <c:pt idx="31">
                  <c:v>103.50202985442087</c:v>
                </c:pt>
                <c:pt idx="32">
                  <c:v>107.73945390284293</c:v>
                </c:pt>
                <c:pt idx="33">
                  <c:v>111.54264601471495</c:v>
                </c:pt>
                <c:pt idx="34">
                  <c:v>114.7466344640936</c:v>
                </c:pt>
                <c:pt idx="35">
                  <c:v>114.85612436943622</c:v>
                </c:pt>
                <c:pt idx="36">
                  <c:v>112.54114540484861</c:v>
                </c:pt>
                <c:pt idx="37">
                  <c:v>103.0778539978554</c:v>
                </c:pt>
                <c:pt idx="38">
                  <c:v>86.134139437951859</c:v>
                </c:pt>
                <c:pt idx="39">
                  <c:v>94.159931549303849</c:v>
                </c:pt>
                <c:pt idx="40">
                  <c:v>100.44680203652943</c:v>
                </c:pt>
                <c:pt idx="41">
                  <c:v>106.64429477838071</c:v>
                </c:pt>
              </c:numCache>
            </c:numRef>
          </c:val>
          <c:smooth val="0"/>
          <c:extLst>
            <c:ext xmlns:c16="http://schemas.microsoft.com/office/drawing/2014/chart" uri="{C3380CC4-5D6E-409C-BE32-E72D297353CC}">
              <c16:uniqueId val="{00000001-75FE-42BB-BFC7-713A8C67BF99}"/>
            </c:ext>
          </c:extLst>
        </c:ser>
        <c:ser>
          <c:idx val="4"/>
          <c:order val="2"/>
          <c:tx>
            <c:strRef>
              <c:f>Sheet1!$F$1</c:f>
              <c:strCache>
                <c:ptCount val="1"/>
                <c:pt idx="0">
                  <c:v>MOEX (ՌԴ)</c:v>
                </c:pt>
              </c:strCache>
            </c:strRef>
          </c:tx>
          <c:spPr>
            <a:ln w="28575" cap="rnd">
              <a:solidFill>
                <a:schemeClr val="accent2">
                  <a:lumMod val="75000"/>
                </a:schemeClr>
              </a:solidFill>
              <a:round/>
            </a:ln>
            <a:effectLst/>
          </c:spPr>
          <c:marker>
            <c:symbol val="none"/>
          </c:marker>
          <c:cat>
            <c:strRef>
              <c:f>Sheet1!$A$2:$A$43</c:f>
              <c:strCache>
                <c:ptCount val="42"/>
                <c:pt idx="0">
                  <c:v>17-M1</c:v>
                </c:pt>
                <c:pt idx="1">
                  <c:v>17-M2</c:v>
                </c:pt>
                <c:pt idx="2">
                  <c:v>17-M3</c:v>
                </c:pt>
                <c:pt idx="3">
                  <c:v>17-M4</c:v>
                </c:pt>
                <c:pt idx="4">
                  <c:v>17-M5</c:v>
                </c:pt>
                <c:pt idx="5">
                  <c:v>17-M6</c:v>
                </c:pt>
                <c:pt idx="6">
                  <c:v>17-M7</c:v>
                </c:pt>
                <c:pt idx="7">
                  <c:v>17-M8</c:v>
                </c:pt>
                <c:pt idx="8">
                  <c:v>17-M9</c:v>
                </c:pt>
                <c:pt idx="9">
                  <c:v>17-M10</c:v>
                </c:pt>
                <c:pt idx="10">
                  <c:v>17-M11</c:v>
                </c:pt>
                <c:pt idx="11">
                  <c:v>17-M12</c:v>
                </c:pt>
                <c:pt idx="12">
                  <c:v>18-M1</c:v>
                </c:pt>
                <c:pt idx="13">
                  <c:v>18-M2</c:v>
                </c:pt>
                <c:pt idx="14">
                  <c:v>18-M3</c:v>
                </c:pt>
                <c:pt idx="15">
                  <c:v>18-M4</c:v>
                </c:pt>
                <c:pt idx="16">
                  <c:v>18-M5</c:v>
                </c:pt>
                <c:pt idx="17">
                  <c:v>18-M6</c:v>
                </c:pt>
                <c:pt idx="18">
                  <c:v>18-M7</c:v>
                </c:pt>
                <c:pt idx="19">
                  <c:v>18-M8</c:v>
                </c:pt>
                <c:pt idx="20">
                  <c:v>18-M9</c:v>
                </c:pt>
                <c:pt idx="21">
                  <c:v>18-M10</c:v>
                </c:pt>
                <c:pt idx="22">
                  <c:v>18-M11</c:v>
                </c:pt>
                <c:pt idx="23">
                  <c:v>18-M12</c:v>
                </c:pt>
                <c:pt idx="24">
                  <c:v>19-M1</c:v>
                </c:pt>
                <c:pt idx="25">
                  <c:v>19-M2</c:v>
                </c:pt>
                <c:pt idx="26">
                  <c:v>19-M3</c:v>
                </c:pt>
                <c:pt idx="27">
                  <c:v>19-M4</c:v>
                </c:pt>
                <c:pt idx="28">
                  <c:v>19-M5</c:v>
                </c:pt>
                <c:pt idx="29">
                  <c:v>19-M6</c:v>
                </c:pt>
                <c:pt idx="30">
                  <c:v>19-M7</c:v>
                </c:pt>
                <c:pt idx="31">
                  <c:v>19-M8</c:v>
                </c:pt>
                <c:pt idx="32">
                  <c:v>19-M9</c:v>
                </c:pt>
                <c:pt idx="33">
                  <c:v>19-M10</c:v>
                </c:pt>
                <c:pt idx="34">
                  <c:v>19-M11</c:v>
                </c:pt>
                <c:pt idx="35">
                  <c:v>19-M12</c:v>
                </c:pt>
                <c:pt idx="36">
                  <c:v>20-M1</c:v>
                </c:pt>
                <c:pt idx="37">
                  <c:v>20-M2</c:v>
                </c:pt>
                <c:pt idx="38">
                  <c:v>20-M3</c:v>
                </c:pt>
                <c:pt idx="39">
                  <c:v>20-M4</c:v>
                </c:pt>
                <c:pt idx="40">
                  <c:v>20-M5</c:v>
                </c:pt>
                <c:pt idx="41">
                  <c:v>20-M6</c:v>
                </c:pt>
              </c:strCache>
            </c:strRef>
          </c:cat>
          <c:val>
            <c:numRef>
              <c:f>Sheet1!$F$2:$F$43</c:f>
              <c:numCache>
                <c:formatCode>0</c:formatCode>
                <c:ptCount val="42"/>
                <c:pt idx="0">
                  <c:v>100</c:v>
                </c:pt>
                <c:pt idx="1">
                  <c:v>91.809289299581948</c:v>
                </c:pt>
                <c:pt idx="2">
                  <c:v>90.01122941837059</c:v>
                </c:pt>
                <c:pt idx="3">
                  <c:v>90.949720166502061</c:v>
                </c:pt>
                <c:pt idx="4">
                  <c:v>85.703462178507152</c:v>
                </c:pt>
                <c:pt idx="5">
                  <c:v>84.761814565773477</c:v>
                </c:pt>
                <c:pt idx="6">
                  <c:v>86.567090137503826</c:v>
                </c:pt>
                <c:pt idx="7">
                  <c:v>91.198210508751288</c:v>
                </c:pt>
                <c:pt idx="8">
                  <c:v>93.677251182696565</c:v>
                </c:pt>
                <c:pt idx="9">
                  <c:v>93.096388095914548</c:v>
                </c:pt>
                <c:pt idx="10">
                  <c:v>94.733898863077798</c:v>
                </c:pt>
                <c:pt idx="11">
                  <c:v>95.145193222662712</c:v>
                </c:pt>
                <c:pt idx="12">
                  <c:v>103.27411957301156</c:v>
                </c:pt>
                <c:pt idx="13">
                  <c:v>103.58123740072793</c:v>
                </c:pt>
                <c:pt idx="14">
                  <c:v>102.41680534321901</c:v>
                </c:pt>
                <c:pt idx="15">
                  <c:v>104.04213963263118</c:v>
                </c:pt>
                <c:pt idx="16">
                  <c:v>103.85543364045105</c:v>
                </c:pt>
                <c:pt idx="17">
                  <c:v>103.5429040448457</c:v>
                </c:pt>
                <c:pt idx="18">
                  <c:v>104.67757137896336</c:v>
                </c:pt>
                <c:pt idx="19">
                  <c:v>105.79329752546919</c:v>
                </c:pt>
                <c:pt idx="20">
                  <c:v>111.63394801996934</c:v>
                </c:pt>
                <c:pt idx="21">
                  <c:v>106.10267025647254</c:v>
                </c:pt>
                <c:pt idx="22">
                  <c:v>107.8971222924248</c:v>
                </c:pt>
                <c:pt idx="23">
                  <c:v>106.8522001091374</c:v>
                </c:pt>
                <c:pt idx="24">
                  <c:v>113.69673354709825</c:v>
                </c:pt>
                <c:pt idx="25">
                  <c:v>112.08086985149215</c:v>
                </c:pt>
                <c:pt idx="26">
                  <c:v>112.61437996924336</c:v>
                </c:pt>
                <c:pt idx="27">
                  <c:v>115.42038161983241</c:v>
                </c:pt>
                <c:pt idx="28">
                  <c:v>120.20122756934991</c:v>
                </c:pt>
                <c:pt idx="29">
                  <c:v>124.73448513793254</c:v>
                </c:pt>
                <c:pt idx="30">
                  <c:v>123.54615110557917</c:v>
                </c:pt>
                <c:pt idx="31">
                  <c:v>123.5705040610809</c:v>
                </c:pt>
                <c:pt idx="32">
                  <c:v>123.89250425049278</c:v>
                </c:pt>
                <c:pt idx="33">
                  <c:v>130.51290030170617</c:v>
                </c:pt>
                <c:pt idx="34">
                  <c:v>132.37950924284812</c:v>
                </c:pt>
                <c:pt idx="35">
                  <c:v>137.36284550755627</c:v>
                </c:pt>
                <c:pt idx="36">
                  <c:v>138.75096397115507</c:v>
                </c:pt>
                <c:pt idx="37">
                  <c:v>125.60172094218888</c:v>
                </c:pt>
                <c:pt idx="38">
                  <c:v>113.14247831910467</c:v>
                </c:pt>
                <c:pt idx="39">
                  <c:v>119.53512913831136</c:v>
                </c:pt>
                <c:pt idx="40">
                  <c:v>123.33554313855461</c:v>
                </c:pt>
                <c:pt idx="41">
                  <c:v>123.71301394883199</c:v>
                </c:pt>
              </c:numCache>
            </c:numRef>
          </c:val>
          <c:smooth val="0"/>
          <c:extLst>
            <c:ext xmlns:c16="http://schemas.microsoft.com/office/drawing/2014/chart" uri="{C3380CC4-5D6E-409C-BE32-E72D297353CC}">
              <c16:uniqueId val="{00000002-75FE-42BB-BFC7-713A8C67BF99}"/>
            </c:ext>
          </c:extLst>
        </c:ser>
        <c:dLbls>
          <c:showLegendKey val="0"/>
          <c:showVal val="0"/>
          <c:showCatName val="0"/>
          <c:showSerName val="0"/>
          <c:showPercent val="0"/>
          <c:showBubbleSize val="0"/>
        </c:dLbls>
        <c:smooth val="0"/>
        <c:axId val="-603810144"/>
        <c:axId val="-603790016"/>
      </c:lineChart>
      <c:catAx>
        <c:axId val="-60381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790016"/>
        <c:crosses val="autoZero"/>
        <c:auto val="1"/>
        <c:lblAlgn val="ctr"/>
        <c:lblOffset val="100"/>
        <c:noMultiLvlLbl val="0"/>
      </c:catAx>
      <c:valAx>
        <c:axId val="-603790016"/>
        <c:scaling>
          <c:orientation val="minMax"/>
          <c:min val="7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hy-AM" sz="800" b="0" i="0" u="none" strike="noStrike" baseline="0">
                    <a:effectLst/>
                  </a:rPr>
                  <a:t>Ինդեքս՝ 2017 թ. հունվար =100</a:t>
                </a:r>
                <a:endParaRPr lang="en-US" sz="800"/>
              </a:p>
            </c:rich>
          </c:tx>
          <c:layout>
            <c:manualLayout>
              <c:xMode val="edge"/>
              <c:yMode val="edge"/>
              <c:x val="1.0471204188481676E-2"/>
              <c:y val="5.6737588652482303E-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10144"/>
        <c:crosses val="autoZero"/>
        <c:crossBetween val="between"/>
      </c:valAx>
      <c:spPr>
        <a:noFill/>
        <a:ln>
          <a:noFill/>
        </a:ln>
        <a:effectLst/>
      </c:spPr>
    </c:plotArea>
    <c:legend>
      <c:legendPos val="b"/>
      <c:layout>
        <c:manualLayout>
          <c:xMode val="edge"/>
          <c:yMode val="edge"/>
          <c:x val="1.5918499878236868E-2"/>
          <c:y val="0.80658306600563756"/>
          <c:w val="0.93723489460724629"/>
          <c:h val="0.1769560286445675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Կառավարության պարտք/ՀՆԱ աճ, %-ային կետ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2009</c:v>
                </c:pt>
                <c:pt idx="1">
                  <c:v>2016</c:v>
                </c:pt>
                <c:pt idx="2">
                  <c:v>2020</c:v>
                </c:pt>
              </c:numCache>
            </c:numRef>
          </c:cat>
          <c:val>
            <c:numRef>
              <c:f>Sheet1!$B$2:$B$4</c:f>
              <c:numCache>
                <c:formatCode>General</c:formatCode>
                <c:ptCount val="3"/>
                <c:pt idx="0">
                  <c:v>22.7</c:v>
                </c:pt>
                <c:pt idx="1">
                  <c:v>7.8</c:v>
                </c:pt>
                <c:pt idx="2">
                  <c:v>8.7000000000000011</c:v>
                </c:pt>
              </c:numCache>
            </c:numRef>
          </c:val>
          <c:extLst>
            <c:ext xmlns:c16="http://schemas.microsoft.com/office/drawing/2014/chart" uri="{C3380CC4-5D6E-409C-BE32-E72D297353CC}">
              <c16:uniqueId val="{00000000-332F-4487-9946-16B9BCB1B8AC}"/>
            </c:ext>
          </c:extLst>
        </c:ser>
        <c:dLbls>
          <c:showLegendKey val="0"/>
          <c:showVal val="0"/>
          <c:showCatName val="0"/>
          <c:showSerName val="0"/>
          <c:showPercent val="0"/>
          <c:showBubbleSize val="0"/>
        </c:dLbls>
        <c:gapWidth val="219"/>
        <c:overlap val="-27"/>
        <c:axId val="-684515824"/>
        <c:axId val="-684506576"/>
      </c:barChart>
      <c:catAx>
        <c:axId val="-68451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06576"/>
        <c:crosses val="autoZero"/>
        <c:auto val="1"/>
        <c:lblAlgn val="ctr"/>
        <c:lblOffset val="100"/>
        <c:noMultiLvlLbl val="0"/>
      </c:catAx>
      <c:valAx>
        <c:axId val="-684506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15824"/>
        <c:crosses val="autoZero"/>
        <c:crossBetween val="between"/>
      </c:valAx>
      <c:spPr>
        <a:noFill/>
        <a:ln>
          <a:noFill/>
        </a:ln>
        <a:effectLst/>
      </c:spPr>
    </c:plotArea>
    <c:legend>
      <c:legendPos val="b"/>
      <c:layout>
        <c:manualLayout>
          <c:xMode val="edge"/>
          <c:yMode val="edge"/>
          <c:x val="2.3958333333333328E-2"/>
          <c:y val="0.8660704911886028"/>
          <c:w val="0.92604166666666665"/>
          <c:h val="0.110119985001874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y-AM" sz="1000" b="0" i="0" baseline="0">
                <a:effectLst/>
              </a:rPr>
              <a:t>Հարկաբյուջետային քաղաքականությունը տարբեր երկրներում, </a:t>
            </a:r>
            <a:r>
              <a:rPr lang="en-US" sz="1000" b="0" i="0" baseline="0">
                <a:effectLst/>
              </a:rPr>
              <a:t>% </a:t>
            </a:r>
            <a:r>
              <a:rPr lang="hy-AM" sz="1000" b="0" i="0" baseline="0">
                <a:effectLst/>
              </a:rPr>
              <a:t>ՀՆԱ-ում</a:t>
            </a:r>
            <a:endParaRPr lang="en-US" sz="1000">
              <a:effectLst/>
            </a:endParaRPr>
          </a:p>
        </c:rich>
      </c:tx>
      <c:layout>
        <c:manualLayout>
          <c:xMode val="edge"/>
          <c:yMode val="edge"/>
          <c:x val="0.14153926071741077"/>
          <c:y val="2.7777777777777891E-2"/>
        </c:manualLayout>
      </c:layout>
      <c:overlay val="0"/>
      <c:spPr>
        <a:noFill/>
        <a:ln>
          <a:noFill/>
        </a:ln>
        <a:effectLst/>
      </c:spPr>
    </c:title>
    <c:autoTitleDeleted val="0"/>
    <c:plotArea>
      <c:layout>
        <c:manualLayout>
          <c:layoutTarget val="inner"/>
          <c:xMode val="edge"/>
          <c:yMode val="edge"/>
          <c:x val="0.28565943662246684"/>
          <c:y val="0.17343269591301089"/>
          <c:w val="0.65555815746080204"/>
          <c:h val="0.62240657417822776"/>
        </c:manualLayout>
      </c:layout>
      <c:barChart>
        <c:barDir val="bar"/>
        <c:grouping val="stacked"/>
        <c:varyColors val="0"/>
        <c:ser>
          <c:idx val="0"/>
          <c:order val="0"/>
          <c:tx>
            <c:strRef>
              <c:f>Sheet1!$B$1</c:f>
              <c:strCache>
                <c:ptCount val="1"/>
                <c:pt idx="0">
                  <c:v>Ծախսեր և հարկեր</c:v>
                </c:pt>
              </c:strCache>
            </c:strRef>
          </c:tx>
          <c:spPr>
            <a:solidFill>
              <a:schemeClr val="accent1"/>
            </a:solidFill>
            <a:ln>
              <a:noFill/>
            </a:ln>
            <a:effectLst/>
          </c:spPr>
          <c:invertIfNegative val="0"/>
          <c:cat>
            <c:strRef>
              <c:f>Sheet1!$A$2:$A$22</c:f>
              <c:strCache>
                <c:ptCount val="21"/>
                <c:pt idx="0">
                  <c:v>Հարավային Աֆրիկա</c:v>
                </c:pt>
                <c:pt idx="1">
                  <c:v>Հնդկաստան</c:v>
                </c:pt>
                <c:pt idx="2">
                  <c:v>Մեքսիկա</c:v>
                </c:pt>
                <c:pt idx="3">
                  <c:v>Սաուդյան Արաբիա</c:v>
                </c:pt>
                <c:pt idx="4">
                  <c:v>Ռուսաստան</c:v>
                </c:pt>
                <c:pt idx="5">
                  <c:v>Թուրքիա</c:v>
                </c:pt>
                <c:pt idx="6">
                  <c:v>Հայաստան</c:v>
                </c:pt>
                <c:pt idx="7">
                  <c:v>Արգենտինա</c:v>
                </c:pt>
                <c:pt idx="8">
                  <c:v>Չինաստան</c:v>
                </c:pt>
                <c:pt idx="9">
                  <c:v>Ինդոնեզիա</c:v>
                </c:pt>
                <c:pt idx="10">
                  <c:v>Բրազիլիա</c:v>
                </c:pt>
                <c:pt idx="11">
                  <c:v>Հրվ․ Կորեա</c:v>
                </c:pt>
                <c:pt idx="12">
                  <c:v>Կանադա</c:v>
                </c:pt>
                <c:pt idx="13">
                  <c:v>Իսպանիա</c:v>
                </c:pt>
                <c:pt idx="14">
                  <c:v>ԱՄՆ</c:v>
                </c:pt>
                <c:pt idx="15">
                  <c:v>Ավստրալիա</c:v>
                </c:pt>
                <c:pt idx="16">
                  <c:v>Ֆրանսիա</c:v>
                </c:pt>
                <c:pt idx="17">
                  <c:v>Մեծ Բրիտանիա</c:v>
                </c:pt>
                <c:pt idx="18">
                  <c:v>Ճապոնիա</c:v>
                </c:pt>
                <c:pt idx="19">
                  <c:v>Իտալիա</c:v>
                </c:pt>
                <c:pt idx="20">
                  <c:v>Գերմանիա</c:v>
                </c:pt>
              </c:strCache>
            </c:strRef>
          </c:cat>
          <c:val>
            <c:numRef>
              <c:f>Sheet1!$B$2:$B$22</c:f>
              <c:numCache>
                <c:formatCode>0.0</c:formatCode>
                <c:ptCount val="21"/>
                <c:pt idx="0">
                  <c:v>0</c:v>
                </c:pt>
                <c:pt idx="1">
                  <c:v>0.72556574584184441</c:v>
                </c:pt>
                <c:pt idx="2">
                  <c:v>0.76612654001318836</c:v>
                </c:pt>
                <c:pt idx="3">
                  <c:v>0</c:v>
                </c:pt>
                <c:pt idx="4">
                  <c:v>0.87793918665669868</c:v>
                </c:pt>
                <c:pt idx="5">
                  <c:v>1.6174138778722653</c:v>
                </c:pt>
                <c:pt idx="6">
                  <c:v>0.9</c:v>
                </c:pt>
                <c:pt idx="7">
                  <c:v>1.1970937640177095</c:v>
                </c:pt>
                <c:pt idx="8">
                  <c:v>2.4932150776650226</c:v>
                </c:pt>
                <c:pt idx="9">
                  <c:v>1.7654965803765208</c:v>
                </c:pt>
                <c:pt idx="10">
                  <c:v>2.8925069055619068</c:v>
                </c:pt>
                <c:pt idx="11">
                  <c:v>1.5344101930878902</c:v>
                </c:pt>
                <c:pt idx="12">
                  <c:v>5.1703274727200439</c:v>
                </c:pt>
                <c:pt idx="13">
                  <c:v>1.2236667313062286</c:v>
                </c:pt>
                <c:pt idx="14">
                  <c:v>6.8753122848324937</c:v>
                </c:pt>
                <c:pt idx="15">
                  <c:v>10.614075237679117</c:v>
                </c:pt>
                <c:pt idx="16">
                  <c:v>0.73389539043169338</c:v>
                </c:pt>
                <c:pt idx="17">
                  <c:v>3.0884455536713382</c:v>
                </c:pt>
                <c:pt idx="18">
                  <c:v>10.028873795515821</c:v>
                </c:pt>
                <c:pt idx="19">
                  <c:v>1.2234776984094482</c:v>
                </c:pt>
                <c:pt idx="20">
                  <c:v>4.3976580875126814</c:v>
                </c:pt>
              </c:numCache>
            </c:numRef>
          </c:val>
          <c:extLst>
            <c:ext xmlns:c16="http://schemas.microsoft.com/office/drawing/2014/chart" uri="{C3380CC4-5D6E-409C-BE32-E72D297353CC}">
              <c16:uniqueId val="{00000000-3261-4447-A9BF-78AA740385ED}"/>
            </c:ext>
          </c:extLst>
        </c:ser>
        <c:ser>
          <c:idx val="1"/>
          <c:order val="1"/>
          <c:tx>
            <c:strRef>
              <c:f>Sheet1!$C$1</c:f>
              <c:strCache>
                <c:ptCount val="1"/>
                <c:pt idx="0">
                  <c:v>Պակասուրդի գործառնություններ և երաշխիքներ</c:v>
                </c:pt>
              </c:strCache>
            </c:strRef>
          </c:tx>
          <c:spPr>
            <a:solidFill>
              <a:schemeClr val="accent2"/>
            </a:solidFill>
            <a:ln>
              <a:noFill/>
            </a:ln>
            <a:effectLst/>
          </c:spPr>
          <c:invertIfNegative val="0"/>
          <c:cat>
            <c:strRef>
              <c:f>Sheet1!$A$2:$A$22</c:f>
              <c:strCache>
                <c:ptCount val="21"/>
                <c:pt idx="0">
                  <c:v>Հարավային Աֆրիկա</c:v>
                </c:pt>
                <c:pt idx="1">
                  <c:v>Հնդկաստան</c:v>
                </c:pt>
                <c:pt idx="2">
                  <c:v>Մեքսիկա</c:v>
                </c:pt>
                <c:pt idx="3">
                  <c:v>Սաուդյան Արաբիա</c:v>
                </c:pt>
                <c:pt idx="4">
                  <c:v>Ռուսաստան</c:v>
                </c:pt>
                <c:pt idx="5">
                  <c:v>Թուրքիա</c:v>
                </c:pt>
                <c:pt idx="6">
                  <c:v>Հայաստան</c:v>
                </c:pt>
                <c:pt idx="7">
                  <c:v>Արգենտինա</c:v>
                </c:pt>
                <c:pt idx="8">
                  <c:v>Չինաստան</c:v>
                </c:pt>
                <c:pt idx="9">
                  <c:v>Ինդոնեզիա</c:v>
                </c:pt>
                <c:pt idx="10">
                  <c:v>Բրազիլիա</c:v>
                </c:pt>
                <c:pt idx="11">
                  <c:v>Հրվ․ Կորեա</c:v>
                </c:pt>
                <c:pt idx="12">
                  <c:v>Կանադա</c:v>
                </c:pt>
                <c:pt idx="13">
                  <c:v>Իսպանիա</c:v>
                </c:pt>
                <c:pt idx="14">
                  <c:v>ԱՄՆ</c:v>
                </c:pt>
                <c:pt idx="15">
                  <c:v>Ավստրալիա</c:v>
                </c:pt>
                <c:pt idx="16">
                  <c:v>Ֆրանսիա</c:v>
                </c:pt>
                <c:pt idx="17">
                  <c:v>Մեծ Բրիտանիա</c:v>
                </c:pt>
                <c:pt idx="18">
                  <c:v>Ճապոնիա</c:v>
                </c:pt>
                <c:pt idx="19">
                  <c:v>Իտալիա</c:v>
                </c:pt>
                <c:pt idx="20">
                  <c:v>Գերմանիա</c:v>
                </c:pt>
              </c:strCache>
            </c:strRef>
          </c:cat>
          <c:val>
            <c:numRef>
              <c:f>Sheet1!$C$2:$C$22</c:f>
              <c:numCache>
                <c:formatCode>0.0</c:formatCode>
                <c:ptCount val="21"/>
                <c:pt idx="0">
                  <c:v>0.61575870309289982</c:v>
                </c:pt>
                <c:pt idx="1">
                  <c:v>0</c:v>
                </c:pt>
                <c:pt idx="2">
                  <c:v>0.3192193916721619</c:v>
                </c:pt>
                <c:pt idx="3">
                  <c:v>1.2367725473058317</c:v>
                </c:pt>
                <c:pt idx="4">
                  <c:v>0.55602815154924168</c:v>
                </c:pt>
                <c:pt idx="5">
                  <c:v>0.53913795929075459</c:v>
                </c:pt>
                <c:pt idx="6">
                  <c:v>1.4</c:v>
                </c:pt>
                <c:pt idx="7">
                  <c:v>1.1970937640177095</c:v>
                </c:pt>
                <c:pt idx="8">
                  <c:v>0</c:v>
                </c:pt>
                <c:pt idx="9">
                  <c:v>0.91634770607777905</c:v>
                </c:pt>
                <c:pt idx="10">
                  <c:v>4.1797328526297797</c:v>
                </c:pt>
                <c:pt idx="11">
                  <c:v>6.3933758045328783</c:v>
                </c:pt>
                <c:pt idx="12">
                  <c:v>3.3457168762690372</c:v>
                </c:pt>
                <c:pt idx="13">
                  <c:v>9.7893338504498253</c:v>
                </c:pt>
                <c:pt idx="14">
                  <c:v>4.2336152348896894</c:v>
                </c:pt>
                <c:pt idx="15">
                  <c:v>1.8819282336310497</c:v>
                </c:pt>
                <c:pt idx="16">
                  <c:v>13.877294655435648</c:v>
                </c:pt>
                <c:pt idx="17">
                  <c:v>15.679800503254485</c:v>
                </c:pt>
                <c:pt idx="18">
                  <c:v>10.445166670046721</c:v>
                </c:pt>
                <c:pt idx="19">
                  <c:v>32.422159007850489</c:v>
                </c:pt>
                <c:pt idx="20">
                  <c:v>29.584245315994373</c:v>
                </c:pt>
              </c:numCache>
            </c:numRef>
          </c:val>
          <c:extLst>
            <c:ext xmlns:c16="http://schemas.microsoft.com/office/drawing/2014/chart" uri="{C3380CC4-5D6E-409C-BE32-E72D297353CC}">
              <c16:uniqueId val="{00000001-3261-4447-A9BF-78AA740385ED}"/>
            </c:ext>
          </c:extLst>
        </c:ser>
        <c:dLbls>
          <c:showLegendKey val="0"/>
          <c:showVal val="0"/>
          <c:showCatName val="0"/>
          <c:showSerName val="0"/>
          <c:showPercent val="0"/>
          <c:showBubbleSize val="0"/>
        </c:dLbls>
        <c:gapWidth val="54"/>
        <c:overlap val="100"/>
        <c:axId val="-684504400"/>
        <c:axId val="-684503856"/>
      </c:barChart>
      <c:catAx>
        <c:axId val="-684504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684503856"/>
        <c:crosses val="autoZero"/>
        <c:auto val="1"/>
        <c:lblAlgn val="ctr"/>
        <c:lblOffset val="100"/>
        <c:noMultiLvlLbl val="0"/>
      </c:catAx>
      <c:valAx>
        <c:axId val="-68450385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04400"/>
        <c:crosses val="autoZero"/>
        <c:crossBetween val="between"/>
      </c:valAx>
      <c:spPr>
        <a:noFill/>
        <a:ln>
          <a:noFill/>
        </a:ln>
        <a:effectLst/>
      </c:spPr>
    </c:plotArea>
    <c:legend>
      <c:legendPos val="b"/>
      <c:layout>
        <c:manualLayout>
          <c:xMode val="edge"/>
          <c:yMode val="edge"/>
          <c:x val="5.6738003903358356E-2"/>
          <c:y val="0.86061367329083993"/>
          <c:w val="0.6685766277356594"/>
          <c:h val="0.12797712785901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y-AM" sz="1100" b="1" i="1" u="none" strike="noStrike" baseline="0">
                <a:effectLst/>
              </a:rPr>
              <a:t>Գծապատկեր 4.1․1. </a:t>
            </a:r>
            <a:r>
              <a:rPr lang="hy-AM" sz="1000" b="1">
                <a:effectLst/>
              </a:rPr>
              <a:t>2021-2023թթ․ վարկային,</a:t>
            </a:r>
            <a:r>
              <a:rPr lang="hy-AM" sz="1000" b="1" baseline="0">
                <a:effectLst/>
              </a:rPr>
              <a:t> դրամաշնորհային միջոցների հաշվին ֆինանսավորումը, կշիռը ՀՆԱ-ում, կշիռը ընդամենը ծախսերում</a:t>
            </a:r>
            <a:endParaRPr lang="en-US" sz="1000" b="1">
              <a:effectLst/>
            </a:endParaRPr>
          </a:p>
        </c:rich>
      </c:tx>
      <c:layout>
        <c:manualLayout>
          <c:xMode val="edge"/>
          <c:yMode val="edge"/>
          <c:x val="0.15093736812310238"/>
          <c:y val="0"/>
        </c:manualLayout>
      </c:layout>
      <c:overlay val="0"/>
      <c:spPr>
        <a:noFill/>
        <a:ln>
          <a:noFill/>
        </a:ln>
        <a:effectLst/>
      </c:spPr>
    </c:title>
    <c:autoTitleDeleted val="0"/>
    <c:plotArea>
      <c:layout>
        <c:manualLayout>
          <c:layoutTarget val="inner"/>
          <c:xMode val="edge"/>
          <c:yMode val="edge"/>
          <c:x val="0.14820625546806662"/>
          <c:y val="0.17171296296296312"/>
          <c:w val="0.75591911607398599"/>
          <c:h val="0.56377301369926802"/>
        </c:manualLayout>
      </c:layout>
      <c:barChart>
        <c:barDir val="col"/>
        <c:grouping val="clustered"/>
        <c:varyColors val="0"/>
        <c:ser>
          <c:idx val="0"/>
          <c:order val="0"/>
          <c:tx>
            <c:strRef>
              <c:f>'[վարկ, գրանտ գրաֆիկ 17.07 (1) (1) (1).xlsx]Sheet2'!$C$9</c:f>
              <c:strCache>
                <c:ptCount val="1"/>
                <c:pt idx="0">
                  <c:v>վարկ</c:v>
                </c:pt>
              </c:strCache>
            </c:strRef>
          </c:tx>
          <c:spPr>
            <a:solidFill>
              <a:schemeClr val="accent1"/>
            </a:solidFill>
            <a:ln>
              <a:noFill/>
            </a:ln>
            <a:effectLst/>
          </c:spPr>
          <c:invertIfNegative val="0"/>
          <c:cat>
            <c:numRef>
              <c:f>'[վարկ, գրանտ գրաֆիկ 17.07 (1) (1) (1).xlsx]Sheet2'!$D$8:$G$8</c:f>
              <c:numCache>
                <c:formatCode>General</c:formatCode>
                <c:ptCount val="4"/>
                <c:pt idx="0">
                  <c:v>2020</c:v>
                </c:pt>
                <c:pt idx="1">
                  <c:v>2021</c:v>
                </c:pt>
                <c:pt idx="2">
                  <c:v>2022</c:v>
                </c:pt>
                <c:pt idx="3">
                  <c:v>2023</c:v>
                </c:pt>
              </c:numCache>
            </c:numRef>
          </c:cat>
          <c:val>
            <c:numRef>
              <c:f>'[վարկ, գրանտ գրաֆիկ 17.07 (1) (1) (1).xlsx]Sheet2'!$D$9:$G$9</c:f>
              <c:numCache>
                <c:formatCode>_(* #,##0.0_);_(* \(#,##0.0\);_(* "-"??_);_(@_)</c:formatCode>
                <c:ptCount val="4"/>
                <c:pt idx="0">
                  <c:v>171986.49539999999</c:v>
                </c:pt>
                <c:pt idx="1">
                  <c:v>137451.76009999998</c:v>
                </c:pt>
                <c:pt idx="2">
                  <c:v>166926.04509999999</c:v>
                </c:pt>
                <c:pt idx="3">
                  <c:v>61154.047300000006</c:v>
                </c:pt>
              </c:numCache>
            </c:numRef>
          </c:val>
          <c:extLst>
            <c:ext xmlns:c16="http://schemas.microsoft.com/office/drawing/2014/chart" uri="{C3380CC4-5D6E-409C-BE32-E72D297353CC}">
              <c16:uniqueId val="{00000000-7E00-40EC-A1D5-FCEAC4C4C426}"/>
            </c:ext>
          </c:extLst>
        </c:ser>
        <c:ser>
          <c:idx val="1"/>
          <c:order val="1"/>
          <c:tx>
            <c:strRef>
              <c:f>'[վարկ, գրանտ գրաֆիկ 17.07 (1) (1) (1).xlsx]Sheet2'!$C$10</c:f>
              <c:strCache>
                <c:ptCount val="1"/>
                <c:pt idx="0">
                  <c:v>դրամաշնորհ</c:v>
                </c:pt>
              </c:strCache>
            </c:strRef>
          </c:tx>
          <c:spPr>
            <a:solidFill>
              <a:schemeClr val="accent2"/>
            </a:solidFill>
            <a:ln>
              <a:noFill/>
            </a:ln>
            <a:effectLst/>
          </c:spPr>
          <c:invertIfNegative val="0"/>
          <c:cat>
            <c:numRef>
              <c:f>'[վարկ, գրանտ գրաֆիկ 17.07 (1) (1) (1).xlsx]Sheet2'!$D$8:$G$8</c:f>
              <c:numCache>
                <c:formatCode>General</c:formatCode>
                <c:ptCount val="4"/>
                <c:pt idx="0">
                  <c:v>2020</c:v>
                </c:pt>
                <c:pt idx="1">
                  <c:v>2021</c:v>
                </c:pt>
                <c:pt idx="2">
                  <c:v>2022</c:v>
                </c:pt>
                <c:pt idx="3">
                  <c:v>2023</c:v>
                </c:pt>
              </c:numCache>
            </c:numRef>
          </c:cat>
          <c:val>
            <c:numRef>
              <c:f>'[վարկ, գրանտ գրաֆիկ 17.07 (1) (1) (1).xlsx]Sheet2'!$D$10:$G$10</c:f>
              <c:numCache>
                <c:formatCode>_(* #,##0.0_);_(* \(#,##0.0\);_(* "-"??_);_(@_)</c:formatCode>
                <c:ptCount val="4"/>
                <c:pt idx="0">
                  <c:v>27808.2183</c:v>
                </c:pt>
                <c:pt idx="1">
                  <c:v>21035.355299999996</c:v>
                </c:pt>
                <c:pt idx="2">
                  <c:v>14597.7577</c:v>
                </c:pt>
                <c:pt idx="3">
                  <c:v>7084.0722000000014</c:v>
                </c:pt>
              </c:numCache>
            </c:numRef>
          </c:val>
          <c:extLst>
            <c:ext xmlns:c16="http://schemas.microsoft.com/office/drawing/2014/chart" uri="{C3380CC4-5D6E-409C-BE32-E72D297353CC}">
              <c16:uniqueId val="{00000001-7E00-40EC-A1D5-FCEAC4C4C426}"/>
            </c:ext>
          </c:extLst>
        </c:ser>
        <c:dLbls>
          <c:showLegendKey val="0"/>
          <c:showVal val="0"/>
          <c:showCatName val="0"/>
          <c:showSerName val="0"/>
          <c:showPercent val="0"/>
          <c:showBubbleSize val="0"/>
        </c:dLbls>
        <c:gapWidth val="219"/>
        <c:axId val="-684514736"/>
        <c:axId val="-684502224"/>
      </c:barChart>
      <c:lineChart>
        <c:grouping val="standard"/>
        <c:varyColors val="0"/>
        <c:ser>
          <c:idx val="2"/>
          <c:order val="2"/>
          <c:tx>
            <c:strRef>
              <c:f>'[վարկ, գրանտ գրաֆիկ 17.07 (1) (1) (1).xlsx]Sheet2'!$C$11</c:f>
              <c:strCache>
                <c:ptCount val="1"/>
                <c:pt idx="0">
                  <c:v>տես կշիռ ընդամենը ծախսերում</c:v>
                </c:pt>
              </c:strCache>
            </c:strRef>
          </c:tx>
          <c:spPr>
            <a:ln w="28575" cap="rnd">
              <a:solidFill>
                <a:schemeClr val="accent3"/>
              </a:solidFill>
              <a:round/>
            </a:ln>
            <a:effectLst/>
          </c:spPr>
          <c:marker>
            <c:symbol val="none"/>
          </c:marker>
          <c:cat>
            <c:numRef>
              <c:f>'[վարկ, գրանտ գրաֆիկ 17.07 (1) (1) (1).xlsx]Sheet2'!$D$8:$G$8</c:f>
              <c:numCache>
                <c:formatCode>General</c:formatCode>
                <c:ptCount val="4"/>
                <c:pt idx="0">
                  <c:v>2020</c:v>
                </c:pt>
                <c:pt idx="1">
                  <c:v>2021</c:v>
                </c:pt>
                <c:pt idx="2">
                  <c:v>2022</c:v>
                </c:pt>
                <c:pt idx="3">
                  <c:v>2023</c:v>
                </c:pt>
              </c:numCache>
            </c:numRef>
          </c:cat>
          <c:val>
            <c:numRef>
              <c:f>'[վարկ, գրանտ գրաֆիկ 17.07 (1) (1) (1).xlsx]Sheet2'!$D$11:$G$11</c:f>
              <c:numCache>
                <c:formatCode>0.0%</c:formatCode>
                <c:ptCount val="4"/>
                <c:pt idx="0">
                  <c:v>0.10766558378669792</c:v>
                </c:pt>
                <c:pt idx="1">
                  <c:v>8.4346021335799548E-2</c:v>
                </c:pt>
                <c:pt idx="2">
                  <c:v>8.9591762278819945E-2</c:v>
                </c:pt>
                <c:pt idx="3">
                  <c:v>3.0444108689217719E-2</c:v>
                </c:pt>
              </c:numCache>
            </c:numRef>
          </c:val>
          <c:smooth val="0"/>
          <c:extLst>
            <c:ext xmlns:c16="http://schemas.microsoft.com/office/drawing/2014/chart" uri="{C3380CC4-5D6E-409C-BE32-E72D297353CC}">
              <c16:uniqueId val="{00000002-7E00-40EC-A1D5-FCEAC4C4C426}"/>
            </c:ext>
          </c:extLst>
        </c:ser>
        <c:ser>
          <c:idx val="3"/>
          <c:order val="3"/>
          <c:tx>
            <c:strRef>
              <c:f>'[վարկ, գրանտ գրաֆիկ 17.07 (1) (1) (1).xlsx]Sheet2'!$C$12</c:f>
              <c:strCache>
                <c:ptCount val="1"/>
                <c:pt idx="0">
                  <c:v>տես կշիռ ՀՆԱ-ում</c:v>
                </c:pt>
              </c:strCache>
            </c:strRef>
          </c:tx>
          <c:spPr>
            <a:ln w="28575" cap="rnd">
              <a:solidFill>
                <a:schemeClr val="accent4"/>
              </a:solidFill>
              <a:round/>
            </a:ln>
            <a:effectLst/>
          </c:spPr>
          <c:marker>
            <c:symbol val="none"/>
          </c:marker>
          <c:cat>
            <c:numRef>
              <c:f>'[վարկ, գրանտ գրաֆիկ 17.07 (1) (1) (1).xlsx]Sheet2'!$D$8:$G$8</c:f>
              <c:numCache>
                <c:formatCode>General</c:formatCode>
                <c:ptCount val="4"/>
                <c:pt idx="0">
                  <c:v>2020</c:v>
                </c:pt>
                <c:pt idx="1">
                  <c:v>2021</c:v>
                </c:pt>
                <c:pt idx="2">
                  <c:v>2022</c:v>
                </c:pt>
                <c:pt idx="3">
                  <c:v>2023</c:v>
                </c:pt>
              </c:numCache>
            </c:numRef>
          </c:cat>
          <c:val>
            <c:numRef>
              <c:f>'[վարկ, գրանտ գրաֆիկ 17.07 (1) (1) (1).xlsx]Sheet2'!$D$12:$G$12</c:f>
              <c:numCache>
                <c:formatCode>0.0%</c:formatCode>
                <c:ptCount val="4"/>
                <c:pt idx="0">
                  <c:v>3.0713781299843798E-2</c:v>
                </c:pt>
                <c:pt idx="1">
                  <c:v>2.2187862089565767E-2</c:v>
                </c:pt>
                <c:pt idx="2">
                  <c:v>2.3113752986998838E-2</c:v>
                </c:pt>
                <c:pt idx="3">
                  <c:v>7.9508567435928133E-3</c:v>
                </c:pt>
              </c:numCache>
            </c:numRef>
          </c:val>
          <c:smooth val="0"/>
          <c:extLst>
            <c:ext xmlns:c16="http://schemas.microsoft.com/office/drawing/2014/chart" uri="{C3380CC4-5D6E-409C-BE32-E72D297353CC}">
              <c16:uniqueId val="{00000003-7E00-40EC-A1D5-FCEAC4C4C426}"/>
            </c:ext>
          </c:extLst>
        </c:ser>
        <c:dLbls>
          <c:showLegendKey val="0"/>
          <c:showVal val="0"/>
          <c:showCatName val="0"/>
          <c:showSerName val="0"/>
          <c:showPercent val="0"/>
          <c:showBubbleSize val="0"/>
        </c:dLbls>
        <c:marker val="1"/>
        <c:smooth val="0"/>
        <c:axId val="-684500592"/>
        <c:axId val="-684521264"/>
      </c:lineChart>
      <c:catAx>
        <c:axId val="-68451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02224"/>
        <c:crosses val="autoZero"/>
        <c:auto val="1"/>
        <c:lblAlgn val="ctr"/>
        <c:lblOffset val="100"/>
        <c:noMultiLvlLbl val="0"/>
      </c:catAx>
      <c:valAx>
        <c:axId val="-684502224"/>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14736"/>
        <c:crosses val="autoZero"/>
        <c:crossBetween val="between"/>
        <c:majorUnit val="50000"/>
      </c:valAx>
      <c:valAx>
        <c:axId val="-684521264"/>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500592"/>
        <c:crosses val="max"/>
        <c:crossBetween val="between"/>
        <c:majorUnit val="5.0000000000000024E-2"/>
      </c:valAx>
      <c:catAx>
        <c:axId val="-684500592"/>
        <c:scaling>
          <c:orientation val="minMax"/>
        </c:scaling>
        <c:delete val="1"/>
        <c:axPos val="b"/>
        <c:numFmt formatCode="General" sourceLinked="1"/>
        <c:majorTickMark val="out"/>
        <c:minorTickMark val="none"/>
        <c:tickLblPos val="none"/>
        <c:crossAx val="-6845212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Sheet1!$A$2</c:f>
              <c:strCache>
                <c:ptCount val="1"/>
                <c:pt idx="0">
                  <c:v>ՄԺԾԾ 2020-2021 հաստատված*</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Sheet1!$B$1:$D$1</c:f>
              <c:strCache>
                <c:ptCount val="3"/>
                <c:pt idx="0">
                  <c:v>2021թ</c:v>
                </c:pt>
                <c:pt idx="1">
                  <c:v>2022թ</c:v>
                </c:pt>
                <c:pt idx="2">
                  <c:v>2023թ</c:v>
                </c:pt>
              </c:strCache>
            </c:strRef>
          </c:cat>
          <c:val>
            <c:numRef>
              <c:f>Sheet1!$B$2:$D$2</c:f>
              <c:numCache>
                <c:formatCode>_(* #,##0_);_(* \(#,##0\);_(* "-"??_);_(@_)</c:formatCode>
                <c:ptCount val="3"/>
                <c:pt idx="0">
                  <c:v>2027.7</c:v>
                </c:pt>
                <c:pt idx="1">
                  <c:v>2235.5</c:v>
                </c:pt>
              </c:numCache>
            </c:numRef>
          </c:val>
          <c:extLst>
            <c:ext xmlns:c16="http://schemas.microsoft.com/office/drawing/2014/chart" uri="{C3380CC4-5D6E-409C-BE32-E72D297353CC}">
              <c16:uniqueId val="{00000000-7511-4948-9054-40E2AB681F68}"/>
            </c:ext>
          </c:extLst>
        </c:ser>
        <c:ser>
          <c:idx val="1"/>
          <c:order val="1"/>
          <c:tx>
            <c:strRef>
              <c:f>Sheet1!$A$3</c:f>
              <c:strCache>
                <c:ptCount val="1"/>
                <c:pt idx="0">
                  <c:v>2021-2023թթ. ՄԺԾԾ նախագիծ</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Sheet1!$B$1:$D$1</c:f>
              <c:strCache>
                <c:ptCount val="3"/>
                <c:pt idx="0">
                  <c:v>2021թ</c:v>
                </c:pt>
                <c:pt idx="1">
                  <c:v>2022թ</c:v>
                </c:pt>
                <c:pt idx="2">
                  <c:v>2023թ</c:v>
                </c:pt>
              </c:strCache>
            </c:strRef>
          </c:cat>
          <c:val>
            <c:numRef>
              <c:f>Sheet1!$B$3:$D$3</c:f>
              <c:numCache>
                <c:formatCode>0.0</c:formatCode>
                <c:ptCount val="3"/>
                <c:pt idx="0">
                  <c:v>1879</c:v>
                </c:pt>
                <c:pt idx="1">
                  <c:v>2026.1</c:v>
                </c:pt>
                <c:pt idx="2">
                  <c:v>2241.4</c:v>
                </c:pt>
              </c:numCache>
            </c:numRef>
          </c:val>
          <c:extLst>
            <c:ext xmlns:c16="http://schemas.microsoft.com/office/drawing/2014/chart" uri="{C3380CC4-5D6E-409C-BE32-E72D297353CC}">
              <c16:uniqueId val="{00000001-7511-4948-9054-40E2AB681F68}"/>
            </c:ext>
          </c:extLst>
        </c:ser>
        <c:ser>
          <c:idx val="2"/>
          <c:order val="2"/>
          <c:tx>
            <c:strRef>
              <c:f>Sheet1!$A$4</c:f>
              <c:strCache>
                <c:ptCount val="1"/>
                <c:pt idx="0">
                  <c:v>տարբերություն</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Sheet1!$B$1:$D$1</c:f>
              <c:strCache>
                <c:ptCount val="3"/>
                <c:pt idx="0">
                  <c:v>2021թ</c:v>
                </c:pt>
                <c:pt idx="1">
                  <c:v>2022թ</c:v>
                </c:pt>
                <c:pt idx="2">
                  <c:v>2023թ</c:v>
                </c:pt>
              </c:strCache>
            </c:strRef>
          </c:cat>
          <c:val>
            <c:numRef>
              <c:f>Sheet1!$B$4:$D$4</c:f>
              <c:numCache>
                <c:formatCode>0.0</c:formatCode>
                <c:ptCount val="3"/>
                <c:pt idx="0">
                  <c:v>-148.70000000000005</c:v>
                </c:pt>
                <c:pt idx="1">
                  <c:v>-209.40000000000009</c:v>
                </c:pt>
              </c:numCache>
            </c:numRef>
          </c:val>
          <c:extLst>
            <c:ext xmlns:c16="http://schemas.microsoft.com/office/drawing/2014/chart" uri="{C3380CC4-5D6E-409C-BE32-E72D297353CC}">
              <c16:uniqueId val="{00000002-7511-4948-9054-40E2AB681F68}"/>
            </c:ext>
          </c:extLst>
        </c:ser>
        <c:dLbls>
          <c:showLegendKey val="0"/>
          <c:showVal val="0"/>
          <c:showCatName val="0"/>
          <c:showSerName val="0"/>
          <c:showPercent val="0"/>
          <c:showBubbleSize val="0"/>
        </c:dLbls>
        <c:gapWidth val="100"/>
        <c:overlap val="-24"/>
        <c:axId val="-684498960"/>
        <c:axId val="-684511472"/>
      </c:barChart>
      <c:catAx>
        <c:axId val="-684498960"/>
        <c:scaling>
          <c:orientation val="minMax"/>
        </c:scaling>
        <c:delete val="0"/>
        <c:axPos val="b"/>
        <c:numFmt formatCode="General" sourceLinked="0"/>
        <c:majorTickMark val="none"/>
        <c:minorTickMark val="none"/>
        <c:tickLblPos val="nextTo"/>
        <c:spPr>
          <a:noFill/>
          <a:ln w="9268" cap="flat" cmpd="sng" algn="ctr">
            <a:solidFill>
              <a:schemeClr val="tx2">
                <a:lumMod val="15000"/>
                <a:lumOff val="85000"/>
              </a:schemeClr>
            </a:solidFill>
            <a:round/>
          </a:ln>
          <a:effectLst/>
        </c:spPr>
        <c:txPr>
          <a:bodyPr rot="-60000000" spcFirstLastPara="1" vertOverflow="ellipsis" vert="horz" wrap="square" anchor="ctr" anchorCtr="1"/>
          <a:lstStyle/>
          <a:p>
            <a:pPr>
              <a:defRPr sz="1165" b="0" i="0" u="none" strike="noStrike" kern="1200" baseline="0">
                <a:solidFill>
                  <a:schemeClr val="tx2"/>
                </a:solidFill>
                <a:latin typeface="+mn-lt"/>
                <a:ea typeface="+mn-ea"/>
                <a:cs typeface="+mn-cs"/>
              </a:defRPr>
            </a:pPr>
            <a:endParaRPr lang="en-US"/>
          </a:p>
        </c:txPr>
        <c:crossAx val="-684511472"/>
        <c:crosses val="autoZero"/>
        <c:auto val="1"/>
        <c:lblAlgn val="ctr"/>
        <c:lblOffset val="100"/>
        <c:noMultiLvlLbl val="0"/>
      </c:catAx>
      <c:valAx>
        <c:axId val="-684511472"/>
        <c:scaling>
          <c:orientation val="minMax"/>
        </c:scaling>
        <c:delete val="0"/>
        <c:axPos val="l"/>
        <c:majorGridlines>
          <c:spPr>
            <a:ln w="9268" cap="flat" cmpd="sng" algn="ctr">
              <a:solidFill>
                <a:schemeClr val="tx2">
                  <a:lumMod val="15000"/>
                  <a:lumOff val="85000"/>
                </a:schemeClr>
              </a:solidFill>
              <a:round/>
            </a:ln>
            <a:effectLst/>
          </c:spPr>
        </c:majorGridlines>
        <c:numFmt formatCode="_(* #,##0_);_(* \(#,##0\);_(* &quot;-&quot;??_);_(@_)" sourceLinked="1"/>
        <c:majorTickMark val="none"/>
        <c:minorTickMark val="none"/>
        <c:tickLblPos val="nextTo"/>
        <c:spPr>
          <a:ln w="9268">
            <a:noFill/>
          </a:ln>
        </c:spPr>
        <c:txPr>
          <a:bodyPr rot="-60000000" spcFirstLastPara="1" vertOverflow="ellipsis" vert="horz" wrap="square" anchor="ctr" anchorCtr="1"/>
          <a:lstStyle/>
          <a:p>
            <a:pPr>
              <a:defRPr sz="1165" b="0" i="0" u="none" strike="noStrike" kern="1200" baseline="0">
                <a:solidFill>
                  <a:schemeClr val="tx2"/>
                </a:solidFill>
                <a:latin typeface="+mn-lt"/>
                <a:ea typeface="+mn-ea"/>
                <a:cs typeface="+mn-cs"/>
              </a:defRPr>
            </a:pPr>
            <a:endParaRPr lang="en-US"/>
          </a:p>
        </c:txPr>
        <c:crossAx val="-684498960"/>
        <c:crosses val="autoZero"/>
        <c:crossBetween val="between"/>
      </c:valAx>
      <c:dTable>
        <c:showHorzBorder val="1"/>
        <c:showVertBorder val="1"/>
        <c:showOutline val="1"/>
        <c:showKeys val="0"/>
        <c:spPr>
          <a:noFill/>
          <a:ln w="9268">
            <a:solidFill>
              <a:schemeClr val="tx2">
                <a:lumMod val="15000"/>
                <a:lumOff val="85000"/>
              </a:schemeClr>
            </a:solidFill>
          </a:ln>
          <a:effectLst/>
        </c:spPr>
        <c:txPr>
          <a:bodyPr rot="0" spcFirstLastPara="1" vertOverflow="ellipsis" vert="horz" wrap="square" anchor="ctr" anchorCtr="1"/>
          <a:lstStyle/>
          <a:p>
            <a:pPr rtl="0">
              <a:defRPr sz="800" b="0" i="0" u="none" strike="noStrike" kern="1200" baseline="0">
                <a:solidFill>
                  <a:schemeClr val="tx2"/>
                </a:solidFill>
                <a:latin typeface="+mn-lt"/>
                <a:ea typeface="+mn-ea"/>
                <a:cs typeface="+mn-cs"/>
              </a:defRPr>
            </a:pPr>
            <a:endParaRPr lang="en-US"/>
          </a:p>
        </c:txPr>
      </c:dTable>
      <c:spPr>
        <a:noFill/>
        <a:ln w="25357">
          <a:noFill/>
        </a:ln>
      </c:spPr>
    </c:plotArea>
    <c:legend>
      <c:legendPos val="b"/>
      <c:layout>
        <c:manualLayout>
          <c:xMode val="edge"/>
          <c:yMode val="edge"/>
          <c:x val="4.6738665148153377E-2"/>
          <c:y val="0.91527637598916056"/>
          <c:w val="0.9"/>
          <c:h val="6.6240697468926135E-2"/>
        </c:manualLayout>
      </c:layout>
      <c:overlay val="0"/>
      <c:spPr>
        <a:noFill/>
        <a:ln w="24717">
          <a:noFill/>
        </a:ln>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n-US"/>
        </a:p>
      </c:txPr>
    </c:legend>
    <c:plotVisOnly val="1"/>
    <c:dispBlanksAs val="gap"/>
    <c:showDLblsOverMax val="0"/>
  </c:chart>
  <c:spPr>
    <a:noFill/>
    <a:ln>
      <a:noFill/>
    </a:ln>
  </c:spPr>
  <c:txPr>
    <a:bodyPr/>
    <a:lstStyle/>
    <a:p>
      <a:pPr>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91468633988331"/>
          <c:y val="0.11871866893831259"/>
          <c:w val="0.67531720697075071"/>
          <c:h val="0.87672760203220268"/>
        </c:manualLayout>
      </c:layout>
      <c:doughnutChart>
        <c:varyColors val="1"/>
        <c:ser>
          <c:idx val="0"/>
          <c:order val="0"/>
          <c:tx>
            <c:strRef>
              <c:f>'Gorcarakan (2)'!$C$5</c:f>
              <c:strCache>
                <c:ptCount val="1"/>
                <c:pt idx="0">
                  <c:v>2021 թ.</c:v>
                </c:pt>
              </c:strCache>
            </c:strRef>
          </c:tx>
          <c:explosion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E8-4022-98C4-BA4B7F59FE7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7E8-4022-98C4-BA4B7F59FE7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7E8-4022-98C4-BA4B7F59FE7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7E8-4022-98C4-BA4B7F59FE7A}"/>
              </c:ext>
            </c:extLst>
          </c:dPt>
          <c:dPt>
            <c:idx val="4"/>
            <c:bubble3D val="0"/>
            <c:spPr>
              <a:solidFill>
                <a:schemeClr val="accent5"/>
              </a:solidFill>
              <a:effectLst/>
            </c:spPr>
            <c:extLst>
              <c:ext xmlns:c16="http://schemas.microsoft.com/office/drawing/2014/chart" uri="{C3380CC4-5D6E-409C-BE32-E72D297353CC}">
                <c16:uniqueId val="{00000009-47E8-4022-98C4-BA4B7F59FE7A}"/>
              </c:ext>
            </c:extLst>
          </c:dPt>
          <c:dPt>
            <c:idx val="5"/>
            <c:bubble3D val="0"/>
            <c:spPr>
              <a:solidFill>
                <a:schemeClr val="accent6"/>
              </a:solidFill>
              <a:ln w="19050">
                <a:solidFill>
                  <a:schemeClr val="tx1"/>
                </a:solidFill>
              </a:ln>
              <a:effectLst/>
            </c:spPr>
            <c:extLst>
              <c:ext xmlns:c16="http://schemas.microsoft.com/office/drawing/2014/chart" uri="{C3380CC4-5D6E-409C-BE32-E72D297353CC}">
                <c16:uniqueId val="{0000000B-47E8-4022-98C4-BA4B7F59FE7A}"/>
              </c:ext>
            </c:extLst>
          </c:dPt>
          <c:dLbls>
            <c:dLbl>
              <c:idx val="0"/>
              <c:layout>
                <c:manualLayout>
                  <c:x val="0.12805183135891787"/>
                  <c:y val="-7.2523215299841903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7E8-4022-98C4-BA4B7F59FE7A}"/>
                </c:ext>
              </c:extLst>
            </c:dLbl>
            <c:dLbl>
              <c:idx val="1"/>
              <c:layout>
                <c:manualLayout>
                  <c:x val="0.17794518928377207"/>
                  <c:y val="1.2303725192245716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7E8-4022-98C4-BA4B7F59FE7A}"/>
                </c:ext>
              </c:extLst>
            </c:dLbl>
            <c:dLbl>
              <c:idx val="2"/>
              <c:layout>
                <c:manualLayout>
                  <c:x val="-0.12600931640301719"/>
                  <c:y val="2.5974121655845509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7E8-4022-98C4-BA4B7F59FE7A}"/>
                </c:ext>
              </c:extLst>
            </c:dLbl>
            <c:dLbl>
              <c:idx val="3"/>
              <c:layout>
                <c:manualLayout>
                  <c:x val="-0.13342413279421164"/>
                  <c:y val="-8.7155070528464718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7E8-4022-98C4-BA4B7F59FE7A}"/>
                </c:ext>
              </c:extLst>
            </c:dLbl>
            <c:dLbl>
              <c:idx val="4"/>
              <c:layout>
                <c:manualLayout>
                  <c:x val="-8.9528268425906291E-2"/>
                  <c:y val="-7.9888259581587392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7E8-4022-98C4-BA4B7F59FE7A}"/>
                </c:ext>
              </c:extLst>
            </c:dLbl>
            <c:dLbl>
              <c:idx val="5"/>
              <c:layout>
                <c:manualLayout>
                  <c:x val="-1.545955404223177E-3"/>
                  <c:y val="-0.10160826387929578"/>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7E8-4022-98C4-BA4B7F59FE7A}"/>
                </c:ext>
              </c:extLst>
            </c:dLbl>
            <c:dLbl>
              <c:idx val="6"/>
              <c:layout>
                <c:manualLayout>
                  <c:x val="-0.10401030952212055"/>
                  <c:y val="-5.6555386717011262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47E8-4022-98C4-BA4B7F59FE7A}"/>
                </c:ext>
              </c:extLst>
            </c:dLbl>
            <c:numFmt formatCode="0.0%" sourceLinked="0"/>
            <c:spPr>
              <a:noFill/>
              <a:ln w="25400">
                <a:noFill/>
              </a:ln>
            </c:spPr>
            <c:txPr>
              <a:bodyPr wrap="square" lIns="38100" tIns="19050" rIns="38100" bIns="19050" anchor="ctr">
                <a:spAutoFit/>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'Gorcarakan (2)'!$B$6:$B$11</c:f>
              <c:strCache>
                <c:ptCount val="6"/>
                <c:pt idx="0">
                  <c:v>ՍՈՑԻԱԼԱԿԱՆ ՈԼՈՐՏ</c:v>
                </c:pt>
                <c:pt idx="1">
                  <c:v> ՏՆՏԵՍԱԿԱՆ ՈԼՈՐՏ</c:v>
                </c:pt>
                <c:pt idx="2">
                  <c:v>ՊԱՇՏՊԱՆՈՒԹՅՈՒՆ, ՀԱՍԱՐԱԿԱԿԱՆ ԿԱՐԳ,  ԱՆՎՏԱՆԳՈՒԹՅՈՒՆ ԵՎ ԴԱՏԱԿԱՆ ԳՈՐԾՈՒՆԵՈՒԹՅՈՒՆ</c:v>
                </c:pt>
                <c:pt idx="3">
                  <c:v> ԸՆԴՀԱՆՈՒՐ ԲՆՈՒՅԹԻ ՀԱՆՐԱՅԻՆ ԾԱՌԱՅՈՒԹՅՈՒՆՆԵՐ</c:v>
                </c:pt>
                <c:pt idx="4">
                  <c:v>ՊԱՐՏՔԻ ՍՊԱՍԱՐԿՈՒՄ</c:v>
                </c:pt>
                <c:pt idx="5">
                  <c:v> ՀԻՄՆԱԿԱՆ ԲԱԺԻՆՆԵՐԻՆ ՉԴԱՍՎՈՂ ՊԱՀՈՒՍՏԱՅԻՆ ՖՈՆԴԵՐ</c:v>
                </c:pt>
              </c:strCache>
            </c:strRef>
          </c:cat>
          <c:val>
            <c:numRef>
              <c:f>'Gorcarakan (2)'!$C$6:$C$11</c:f>
              <c:numCache>
                <c:formatCode>##\ ##0.0;\(##\ ##0.0\);\-</c:formatCode>
                <c:ptCount val="6"/>
                <c:pt idx="0">
                  <c:v>808151.29408999928</c:v>
                </c:pt>
                <c:pt idx="1">
                  <c:v>211658.54889999999</c:v>
                </c:pt>
                <c:pt idx="2">
                  <c:v>468654.59530000016</c:v>
                </c:pt>
                <c:pt idx="3">
                  <c:v>201198.29370000004</c:v>
                </c:pt>
                <c:pt idx="4">
                  <c:v>185499.7046</c:v>
                </c:pt>
                <c:pt idx="5">
                  <c:v>3848.7235000000001</c:v>
                </c:pt>
              </c:numCache>
            </c:numRef>
          </c:val>
          <c:extLst>
            <c:ext xmlns:c16="http://schemas.microsoft.com/office/drawing/2014/chart" uri="{C3380CC4-5D6E-409C-BE32-E72D297353CC}">
              <c16:uniqueId val="{0000000D-47E8-4022-98C4-BA4B7F59FE7A}"/>
            </c:ext>
          </c:extLst>
        </c:ser>
        <c:dLbls>
          <c:showLegendKey val="0"/>
          <c:showVal val="0"/>
          <c:showCatName val="0"/>
          <c:showSerName val="0"/>
          <c:showPercent val="0"/>
          <c:showBubbleSize val="0"/>
          <c:showLeaderLines val="0"/>
        </c:dLbls>
        <c:firstSliceAng val="0"/>
        <c:holeSize val="75"/>
      </c:doughnutChart>
      <c:spPr>
        <a:noFill/>
        <a:ln w="25400">
          <a:noFill/>
        </a:ln>
      </c:spPr>
    </c:plotArea>
    <c:plotVisOnly val="1"/>
    <c:dispBlanksAs val="zero"/>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91468633988331"/>
          <c:y val="0.12651593989347834"/>
          <c:w val="0.66931120096474461"/>
          <c:h val="0.86893033107703643"/>
        </c:manualLayout>
      </c:layout>
      <c:doughnutChart>
        <c:varyColors val="1"/>
        <c:ser>
          <c:idx val="0"/>
          <c:order val="0"/>
          <c:tx>
            <c:strRef>
              <c:f>'Gorcarakan (2)'!$D$5</c:f>
              <c:strCache>
                <c:ptCount val="1"/>
                <c:pt idx="0">
                  <c:v>2022 թ.</c:v>
                </c:pt>
              </c:strCache>
            </c:strRef>
          </c:tx>
          <c:explosion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658-47B8-A773-38DD770A2A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658-47B8-A773-38DD770A2A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658-47B8-A773-38DD770A2A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658-47B8-A773-38DD770A2A0D}"/>
              </c:ext>
            </c:extLst>
          </c:dPt>
          <c:dPt>
            <c:idx val="4"/>
            <c:bubble3D val="0"/>
            <c:spPr>
              <a:solidFill>
                <a:schemeClr val="accent5"/>
              </a:solidFill>
              <a:effectLst/>
            </c:spPr>
            <c:extLst>
              <c:ext xmlns:c16="http://schemas.microsoft.com/office/drawing/2014/chart" uri="{C3380CC4-5D6E-409C-BE32-E72D297353CC}">
                <c16:uniqueId val="{00000009-F658-47B8-A773-38DD770A2A0D}"/>
              </c:ext>
            </c:extLst>
          </c:dPt>
          <c:dPt>
            <c:idx val="5"/>
            <c:bubble3D val="0"/>
            <c:spPr>
              <a:solidFill>
                <a:schemeClr val="accent6"/>
              </a:solidFill>
              <a:ln w="19050">
                <a:solidFill>
                  <a:schemeClr val="tx1"/>
                </a:solidFill>
              </a:ln>
              <a:effectLst/>
            </c:spPr>
            <c:extLst>
              <c:ext xmlns:c16="http://schemas.microsoft.com/office/drawing/2014/chart" uri="{C3380CC4-5D6E-409C-BE32-E72D297353CC}">
                <c16:uniqueId val="{0000000B-F658-47B8-A773-38DD770A2A0D}"/>
              </c:ext>
            </c:extLst>
          </c:dPt>
          <c:dLbls>
            <c:dLbl>
              <c:idx val="0"/>
              <c:layout>
                <c:manualLayout>
                  <c:x val="0.12805183135891787"/>
                  <c:y val="-7.2523215299841903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658-47B8-A773-38DD770A2A0D}"/>
                </c:ext>
              </c:extLst>
            </c:dLbl>
            <c:dLbl>
              <c:idx val="1"/>
              <c:layout>
                <c:manualLayout>
                  <c:x val="0.20196921330779619"/>
                  <c:y val="1.3050298537244237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658-47B8-A773-38DD770A2A0D}"/>
                </c:ext>
              </c:extLst>
            </c:dLbl>
            <c:dLbl>
              <c:idx val="2"/>
              <c:layout>
                <c:manualLayout>
                  <c:x val="-0.12600931640301719"/>
                  <c:y val="2.5974121655845509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658-47B8-A773-38DD770A2A0D}"/>
                </c:ext>
              </c:extLst>
            </c:dLbl>
            <c:dLbl>
              <c:idx val="3"/>
              <c:layout>
                <c:manualLayout>
                  <c:x val="-0.13342413279421164"/>
                  <c:y val="-8.7155070528464718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658-47B8-A773-38DD770A2A0D}"/>
                </c:ext>
              </c:extLst>
            </c:dLbl>
            <c:dLbl>
              <c:idx val="4"/>
              <c:layout>
                <c:manualLayout>
                  <c:x val="-8.9528268425906291E-2"/>
                  <c:y val="-7.9888259581587392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658-47B8-A773-38DD770A2A0D}"/>
                </c:ext>
              </c:extLst>
            </c:dLbl>
            <c:dLbl>
              <c:idx val="5"/>
              <c:layout>
                <c:manualLayout>
                  <c:x val="4.4600506017828901E-3"/>
                  <c:y val="-0.1115359702844162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658-47B8-A773-38DD770A2A0D}"/>
                </c:ext>
              </c:extLst>
            </c:dLbl>
            <c:dLbl>
              <c:idx val="6"/>
              <c:layout>
                <c:manualLayout>
                  <c:x val="-0.10401030952212055"/>
                  <c:y val="-5.6555386717011262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F658-47B8-A773-38DD770A2A0D}"/>
                </c:ext>
              </c:extLst>
            </c:dLbl>
            <c:numFmt formatCode="0.0%" sourceLinked="0"/>
            <c:spPr>
              <a:noFill/>
              <a:ln w="25400">
                <a:noFill/>
              </a:ln>
            </c:spPr>
            <c:txPr>
              <a:bodyPr wrap="square" lIns="38100" tIns="19050" rIns="38100" bIns="19050" anchor="ctr">
                <a:spAutoFit/>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'Gorcarakan (2)'!$B$6:$B$11</c:f>
              <c:strCache>
                <c:ptCount val="6"/>
                <c:pt idx="0">
                  <c:v>ՍՈՑԻԱԼԱԿԱՆ ՈԼՈՐՏ</c:v>
                </c:pt>
                <c:pt idx="1">
                  <c:v> ՏՆՏԵՍԱԿԱՆ ՈԼՈՐՏ</c:v>
                </c:pt>
                <c:pt idx="2">
                  <c:v>ՊԱՇՏՊԱՆՈՒԹՅՈՒՆ, ՀԱՍԱՐԱԿԱԿԱՆ ԿԱՐԳ,  ԱՆՎՏԱՆԳՈՒԹՅՈՒՆ ԵՎ ԴԱՏԱԿԱՆ ԳՈՐԾՈՒՆԵՈՒԹՅՈՒՆ</c:v>
                </c:pt>
                <c:pt idx="3">
                  <c:v> ԸՆԴՀԱՆՈՒՐ ԲՆՈՒՅԹԻ ՀԱՆՐԱՅԻՆ ԾԱՌԱՅՈՒԹՅՈՒՆՆԵՐ</c:v>
                </c:pt>
                <c:pt idx="4">
                  <c:v>ՊԱՐՏՔԻ ՍՊԱՍԱՐԿՈՒՄ</c:v>
                </c:pt>
                <c:pt idx="5">
                  <c:v> ՀԻՄՆԱԿԱՆ ԲԱԺԻՆՆԵՐԻՆ ՉԴԱՍՎՈՂ ՊԱՀՈՒՍՏԱՅԻՆ ՖՈՆԴԵՐ</c:v>
                </c:pt>
              </c:strCache>
            </c:strRef>
          </c:cat>
          <c:val>
            <c:numRef>
              <c:f>'Gorcarakan (2)'!$D$6:$D$11</c:f>
              <c:numCache>
                <c:formatCode>##\ ##0.0;\(##\ ##0.0\);\-</c:formatCode>
                <c:ptCount val="6"/>
                <c:pt idx="0">
                  <c:v>853279.58075000008</c:v>
                </c:pt>
                <c:pt idx="1">
                  <c:v>252006.6501</c:v>
                </c:pt>
                <c:pt idx="2">
                  <c:v>509556.27859999996</c:v>
                </c:pt>
                <c:pt idx="3">
                  <c:v>192685.85609999989</c:v>
                </c:pt>
                <c:pt idx="4">
                  <c:v>211218.25509999998</c:v>
                </c:pt>
                <c:pt idx="5">
                  <c:v>7374.9576999999999</c:v>
                </c:pt>
              </c:numCache>
            </c:numRef>
          </c:val>
          <c:extLst>
            <c:ext xmlns:c16="http://schemas.microsoft.com/office/drawing/2014/chart" uri="{C3380CC4-5D6E-409C-BE32-E72D297353CC}">
              <c16:uniqueId val="{0000000D-F658-47B8-A773-38DD770A2A0D}"/>
            </c:ext>
          </c:extLst>
        </c:ser>
        <c:dLbls>
          <c:showLegendKey val="0"/>
          <c:showVal val="0"/>
          <c:showCatName val="0"/>
          <c:showSerName val="0"/>
          <c:showPercent val="0"/>
          <c:showBubbleSize val="0"/>
          <c:showLeaderLines val="0"/>
        </c:dLbls>
        <c:firstSliceAng val="0"/>
        <c:holeSize val="75"/>
      </c:doughnutChart>
      <c:spPr>
        <a:noFill/>
        <a:ln w="25400">
          <a:noFill/>
        </a:ln>
      </c:spPr>
    </c:plotArea>
    <c:plotVisOnly val="1"/>
    <c:dispBlanksAs val="zero"/>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91468633988331"/>
          <c:y val="0.10312412702798127"/>
          <c:w val="0.68732921898276234"/>
          <c:h val="0.89232214394253306"/>
        </c:manualLayout>
      </c:layout>
      <c:doughnutChart>
        <c:varyColors val="1"/>
        <c:ser>
          <c:idx val="0"/>
          <c:order val="0"/>
          <c:tx>
            <c:strRef>
              <c:f>'Gorcarakan (2)'!$E$5</c:f>
              <c:strCache>
                <c:ptCount val="1"/>
                <c:pt idx="0">
                  <c:v>2023 թ.</c:v>
                </c:pt>
              </c:strCache>
            </c:strRef>
          </c:tx>
          <c:explosion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48D-4F71-BCC8-46A65F6C8DA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48D-4F71-BCC8-46A65F6C8DA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48D-4F71-BCC8-46A65F6C8DA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48D-4F71-BCC8-46A65F6C8DA9}"/>
              </c:ext>
            </c:extLst>
          </c:dPt>
          <c:dPt>
            <c:idx val="4"/>
            <c:bubble3D val="0"/>
            <c:spPr>
              <a:solidFill>
                <a:schemeClr val="accent5"/>
              </a:solidFill>
              <a:effectLst/>
            </c:spPr>
            <c:extLst>
              <c:ext xmlns:c16="http://schemas.microsoft.com/office/drawing/2014/chart" uri="{C3380CC4-5D6E-409C-BE32-E72D297353CC}">
                <c16:uniqueId val="{00000009-B48D-4F71-BCC8-46A65F6C8DA9}"/>
              </c:ext>
            </c:extLst>
          </c:dPt>
          <c:dPt>
            <c:idx val="5"/>
            <c:bubble3D val="0"/>
            <c:spPr>
              <a:solidFill>
                <a:schemeClr val="accent6"/>
              </a:solidFill>
              <a:ln w="19050">
                <a:solidFill>
                  <a:schemeClr val="tx1"/>
                </a:solidFill>
              </a:ln>
              <a:effectLst/>
            </c:spPr>
            <c:extLst>
              <c:ext xmlns:c16="http://schemas.microsoft.com/office/drawing/2014/chart" uri="{C3380CC4-5D6E-409C-BE32-E72D297353CC}">
                <c16:uniqueId val="{0000000B-B48D-4F71-BCC8-46A65F6C8DA9}"/>
              </c:ext>
            </c:extLst>
          </c:dPt>
          <c:dLbls>
            <c:dLbl>
              <c:idx val="0"/>
              <c:layout>
                <c:manualLayout>
                  <c:x val="0.12805183135891787"/>
                  <c:y val="-7.2523215299841903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48D-4F71-BCC8-46A65F6C8DA9}"/>
                </c:ext>
              </c:extLst>
            </c:dLbl>
            <c:dLbl>
              <c:idx val="1"/>
              <c:layout>
                <c:manualLayout>
                  <c:x val="0.14791515925374193"/>
                  <c:y val="2.7728814599929413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48D-4F71-BCC8-46A65F6C8DA9}"/>
                </c:ext>
              </c:extLst>
            </c:dLbl>
            <c:dLbl>
              <c:idx val="2"/>
              <c:layout>
                <c:manualLayout>
                  <c:x val="-0.12600931640301719"/>
                  <c:y val="2.5974121655845509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48D-4F71-BCC8-46A65F6C8DA9}"/>
                </c:ext>
              </c:extLst>
            </c:dLbl>
            <c:dLbl>
              <c:idx val="3"/>
              <c:layout>
                <c:manualLayout>
                  <c:x val="-0.13342413279421164"/>
                  <c:y val="-8.7155070528464718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48D-4F71-BCC8-46A65F6C8DA9}"/>
                </c:ext>
              </c:extLst>
            </c:dLbl>
            <c:dLbl>
              <c:idx val="4"/>
              <c:layout>
                <c:manualLayout>
                  <c:x val="-8.9528268425906291E-2"/>
                  <c:y val="-7.9888259581587392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48D-4F71-BCC8-46A65F6C8DA9}"/>
                </c:ext>
              </c:extLst>
            </c:dLbl>
            <c:dLbl>
              <c:idx val="5"/>
              <c:layout>
                <c:manualLayout>
                  <c:x val="-1.545955404223177E-3"/>
                  <c:y val="-0.1037386993292505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48D-4F71-BCC8-46A65F6C8DA9}"/>
                </c:ext>
              </c:extLst>
            </c:dLbl>
            <c:dLbl>
              <c:idx val="6"/>
              <c:layout>
                <c:manualLayout>
                  <c:x val="-0.10401030952212055"/>
                  <c:y val="-5.6555386717011262E-2"/>
                </c:manualLayout>
              </c:layout>
              <c:numFmt formatCode="0.0%" sourceLinked="0"/>
              <c:spPr>
                <a:noFill/>
                <a:ln w="25400">
                  <a:noFill/>
                </a:ln>
              </c:spPr>
              <c:txPr>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C-B48D-4F71-BCC8-46A65F6C8DA9}"/>
                </c:ext>
              </c:extLst>
            </c:dLbl>
            <c:numFmt formatCode="0.0%" sourceLinked="0"/>
            <c:spPr>
              <a:noFill/>
              <a:ln w="25400">
                <a:noFill/>
              </a:ln>
            </c:spPr>
            <c:txPr>
              <a:bodyPr wrap="square" lIns="38100" tIns="19050" rIns="38100" bIns="19050" anchor="ctr">
                <a:spAutoFit/>
              </a:bodyPr>
              <a:lstStyle/>
              <a:p>
                <a:pPr>
                  <a:defRPr sz="800" b="0" i="0" u="none" strike="noStrike" baseline="0">
                    <a:solidFill>
                      <a:srgbClr val="333333"/>
                    </a:solidFill>
                    <a:latin typeface="Calibri"/>
                    <a:ea typeface="Calibri"/>
                    <a:cs typeface="Calibri"/>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'Gorcarakan (2)'!$B$6:$B$11</c:f>
              <c:strCache>
                <c:ptCount val="6"/>
                <c:pt idx="0">
                  <c:v>ՍՈՑԻԱԼԱԿԱՆ ՈԼՈՐՏ</c:v>
                </c:pt>
                <c:pt idx="1">
                  <c:v> ՏՆՏԵՍԱԿԱՆ ՈԼՈՐՏ</c:v>
                </c:pt>
                <c:pt idx="2">
                  <c:v>ՊԱՇՏՊԱՆՈՒԹՅՈՒՆ, ՀԱՍԱՐԱԿԱԿԱՆ ԿԱՐԳ,  ԱՆՎՏԱՆԳՈՒԹՅՈՒՆ ԵՎ ԴԱՏԱԿԱՆ ԳՈՐԾՈՒՆԵՈՒԹՅՈՒՆ</c:v>
                </c:pt>
                <c:pt idx="3">
                  <c:v> ԸՆԴՀԱՆՈՒՐ ԲՆՈՒՅԹԻ ՀԱՆՐԱՅԻՆ ԾԱՌԱՅՈՒԹՅՈՒՆՆԵՐ</c:v>
                </c:pt>
                <c:pt idx="4">
                  <c:v>ՊԱՐՏՔԻ ՍՊԱՍԱՐԿՈՒՄ</c:v>
                </c:pt>
                <c:pt idx="5">
                  <c:v> ՀԻՄՆԱԿԱՆ ԲԱԺԻՆՆԵՐԻՆ ՉԴԱՍՎՈՂ ՊԱՀՈՒՍՏԱՅԻՆ ՖՈՆԴԵՐ</c:v>
                </c:pt>
              </c:strCache>
            </c:strRef>
          </c:cat>
          <c:val>
            <c:numRef>
              <c:f>'Gorcarakan (2)'!$E$6:$E$11</c:f>
              <c:numCache>
                <c:formatCode>##\ ##0.0;\(##\ ##0.0\);\-</c:formatCode>
                <c:ptCount val="6"/>
                <c:pt idx="0">
                  <c:v>890165.76826999988</c:v>
                </c:pt>
                <c:pt idx="1">
                  <c:v>254425.93159999989</c:v>
                </c:pt>
                <c:pt idx="2">
                  <c:v>564532.3737</c:v>
                </c:pt>
                <c:pt idx="3">
                  <c:v>197611.41830000011</c:v>
                </c:pt>
                <c:pt idx="4">
                  <c:v>236565.78869999998</c:v>
                </c:pt>
                <c:pt idx="5">
                  <c:v>98121.52459999999</c:v>
                </c:pt>
              </c:numCache>
            </c:numRef>
          </c:val>
          <c:extLst>
            <c:ext xmlns:c16="http://schemas.microsoft.com/office/drawing/2014/chart" uri="{C3380CC4-5D6E-409C-BE32-E72D297353CC}">
              <c16:uniqueId val="{0000000D-B48D-4F71-BCC8-46A65F6C8DA9}"/>
            </c:ext>
          </c:extLst>
        </c:ser>
        <c:dLbls>
          <c:showLegendKey val="0"/>
          <c:showVal val="0"/>
          <c:showCatName val="0"/>
          <c:showSerName val="0"/>
          <c:showPercent val="0"/>
          <c:showBubbleSize val="0"/>
          <c:showLeaderLines val="0"/>
        </c:dLbls>
        <c:firstSliceAng val="0"/>
        <c:holeSize val="75"/>
      </c:doughnutChart>
      <c:spPr>
        <a:noFill/>
        <a:ln w="25400">
          <a:noFill/>
        </a:ln>
      </c:spPr>
    </c:plotArea>
    <c:plotVisOnly val="1"/>
    <c:dispBlanksAs val="zero"/>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28524984496282"/>
          <c:y val="3.2726168537443458E-2"/>
          <c:w val="0.84521276129266565"/>
          <c:h val="0.75897428379963161"/>
        </c:manualLayout>
      </c:layout>
      <c:barChart>
        <c:barDir val="col"/>
        <c:grouping val="stacked"/>
        <c:varyColors val="0"/>
        <c:ser>
          <c:idx val="0"/>
          <c:order val="0"/>
          <c:tx>
            <c:strRef>
              <c:f>Sheet1!$B$5</c:f>
              <c:strCache>
                <c:ptCount val="1"/>
                <c:pt idx="0">
                  <c:v>Ընդամենը ծախսեր</c:v>
                </c:pt>
              </c:strCache>
            </c:strRef>
          </c:tx>
          <c:spPr>
            <a:solidFill>
              <a:schemeClr val="accent1">
                <a:lumMod val="75000"/>
                <a:alpha val="12000"/>
              </a:schemeClr>
            </a:solidFill>
            <a:ln>
              <a:solidFill>
                <a:schemeClr val="bg1"/>
              </a:solidFill>
            </a:ln>
            <a:effectLst/>
            <a:scene3d>
              <a:camera prst="orthographicFront"/>
              <a:lightRig rig="threePt" dir="t"/>
            </a:scene3d>
            <a:sp3d prstMaterial="metal">
              <a:bevelT/>
            </a:sp3d>
          </c:spPr>
          <c:invertIfNegative val="0"/>
          <c:dLbls>
            <c:dLbl>
              <c:idx val="0"/>
              <c:layout>
                <c:manualLayout>
                  <c:x val="-0.11748948048160653"/>
                  <c:y val="-1.37948247266638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B3-4995-9F59-80D3E485FA35}"/>
                </c:ext>
              </c:extLst>
            </c:dLbl>
            <c:dLbl>
              <c:idx val="1"/>
              <c:layout>
                <c:manualLayout>
                  <c:x val="-0.11282339707536553"/>
                  <c:y val="1.35283319646393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B3-4995-9F59-80D3E485FA35}"/>
                </c:ext>
              </c:extLst>
            </c:dLbl>
            <c:dLbl>
              <c:idx val="2"/>
              <c:layout>
                <c:manualLayout>
                  <c:x val="-0.10246944440586908"/>
                  <c:y val="-6.067876484764562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B3-4995-9F59-80D3E485FA35}"/>
                </c:ext>
              </c:extLst>
            </c:dLbl>
            <c:dLbl>
              <c:idx val="3"/>
              <c:layout>
                <c:manualLayout>
                  <c:x val="-0.11663850660642743"/>
                  <c:y val="1.0638240772050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9B3-4995-9F59-80D3E485FA35}"/>
                </c:ext>
              </c:extLst>
            </c:dLbl>
            <c:spPr>
              <a:noFill/>
              <a:ln w="25382">
                <a:noFill/>
              </a:ln>
            </c:spPr>
            <c:txPr>
              <a:bodyPr rot="-5400000" spcFirstLastPara="1" vertOverflow="ellipsis" wrap="square" lIns="38100" tIns="19050" rIns="38100" bIns="19050" anchor="ctr" anchorCtr="1">
                <a:spAutoFit/>
              </a:bodyPr>
              <a:lstStyle/>
              <a:p>
                <a:pPr>
                  <a:defRPr sz="1196" b="1" i="0" u="none" strike="noStrike" kern="1200" baseline="0">
                    <a:solidFill>
                      <a:schemeClr val="tx2">
                        <a:lumMod val="50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Sheet1!$C$5:$F$5</c:f>
              <c:numCache>
                <c:formatCode>_(* #,##0.0_);_(* \(#,##0.0\);_(* "-"??_);_(@_)</c:formatCode>
                <c:ptCount val="4"/>
                <c:pt idx="0">
                  <c:v>1855.9</c:v>
                </c:pt>
                <c:pt idx="1">
                  <c:v>1879</c:v>
                </c:pt>
                <c:pt idx="2">
                  <c:v>2026.1</c:v>
                </c:pt>
                <c:pt idx="3">
                  <c:v>2241.4</c:v>
                </c:pt>
              </c:numCache>
            </c:numRef>
          </c:val>
          <c:extLst>
            <c:ext xmlns:c16="http://schemas.microsoft.com/office/drawing/2014/chart" uri="{C3380CC4-5D6E-409C-BE32-E72D297353CC}">
              <c16:uniqueId val="{00000004-69B3-4995-9F59-80D3E485FA35}"/>
            </c:ext>
          </c:extLst>
        </c:ser>
        <c:dLbls>
          <c:showLegendKey val="0"/>
          <c:showVal val="0"/>
          <c:showCatName val="0"/>
          <c:showSerName val="0"/>
          <c:showPercent val="0"/>
          <c:showBubbleSize val="0"/>
        </c:dLbls>
        <c:gapWidth val="34"/>
        <c:overlap val="100"/>
        <c:axId val="-684497328"/>
        <c:axId val="-684528880"/>
      </c:barChart>
      <c:barChart>
        <c:barDir val="col"/>
        <c:grouping val="stacked"/>
        <c:varyColors val="0"/>
        <c:ser>
          <c:idx val="1"/>
          <c:order val="1"/>
          <c:tx>
            <c:strRef>
              <c:f>Sheet1!$B$6</c:f>
              <c:strCache>
                <c:ptCount val="1"/>
                <c:pt idx="0">
                  <c:v>Ընթացիկ ծախսեր</c:v>
                </c:pt>
              </c:strCache>
            </c:strRef>
          </c:tx>
          <c:spPr>
            <a:solidFill>
              <a:schemeClr val="accent2">
                <a:lumMod val="75000"/>
              </a:schemeClr>
            </a:solidFill>
            <a:ln>
              <a:noFill/>
            </a:ln>
            <a:effectLst/>
            <a:scene3d>
              <a:camera prst="orthographicFront"/>
              <a:lightRig rig="threePt" dir="t"/>
            </a:scene3d>
            <a:sp3d prstMaterial="metal">
              <a:bevelT/>
            </a:sp3d>
          </c:spPr>
          <c:invertIfNegative val="0"/>
          <c:dLbls>
            <c:dLbl>
              <c:idx val="0"/>
              <c:layout>
                <c:manualLayout>
                  <c:x val="-1.5290519877675841E-3"/>
                  <c:y val="-2.393617021276597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9B3-4995-9F59-80D3E485FA35}"/>
                </c:ext>
              </c:extLst>
            </c:dLbl>
            <c:spPr>
              <a:noFill/>
              <a:ln w="25382">
                <a:noFill/>
              </a:ln>
            </c:spPr>
            <c:txPr>
              <a:bodyPr rot="-5400000" spcFirstLastPara="1" vertOverflow="ellipsis" vert="horz" wrap="square" lIns="38100" tIns="19050" rIns="38100" bIns="19050" anchor="ctr" anchorCtr="1">
                <a:spAutoFit/>
              </a:bodyPr>
              <a:lstStyle/>
              <a:p>
                <a:pPr>
                  <a:defRPr sz="1196" b="1" i="0" u="none" strike="noStrike" kern="1200" baseline="0">
                    <a:solidFill>
                      <a:schemeClr val="bg1"/>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Sheet1!$C$6:$F$6</c:f>
              <c:numCache>
                <c:formatCode>_(* #,##0.0_);_(* \(#,##0.0\);_(* "-"??_);_(@_)</c:formatCode>
                <c:ptCount val="4"/>
                <c:pt idx="0">
                  <c:v>1568.2</c:v>
                </c:pt>
                <c:pt idx="1">
                  <c:v>1629</c:v>
                </c:pt>
                <c:pt idx="2">
                  <c:v>1699.9</c:v>
                </c:pt>
                <c:pt idx="3">
                  <c:v>1836.6</c:v>
                </c:pt>
              </c:numCache>
            </c:numRef>
          </c:val>
          <c:extLst>
            <c:ext xmlns:c16="http://schemas.microsoft.com/office/drawing/2014/chart" uri="{C3380CC4-5D6E-409C-BE32-E72D297353CC}">
              <c16:uniqueId val="{00000006-69B3-4995-9F59-80D3E485FA35}"/>
            </c:ext>
          </c:extLst>
        </c:ser>
        <c:ser>
          <c:idx val="2"/>
          <c:order val="2"/>
          <c:tx>
            <c:strRef>
              <c:f>Sheet1!$B$7</c:f>
              <c:strCache>
                <c:ptCount val="1"/>
                <c:pt idx="0">
                  <c:v>Ոչ ֆինանսական ակտիվների գծով ծախս</c:v>
                </c:pt>
              </c:strCache>
            </c:strRef>
          </c:tx>
          <c:spPr>
            <a:solidFill>
              <a:schemeClr val="accent3">
                <a:lumMod val="75000"/>
              </a:schemeClr>
            </a:solidFill>
            <a:ln>
              <a:noFill/>
            </a:ln>
            <a:effectLst/>
            <a:scene3d>
              <a:camera prst="orthographicFront"/>
              <a:lightRig rig="threePt" dir="t"/>
            </a:scene3d>
            <a:sp3d prstMaterial="metal">
              <a:bevelT/>
            </a:sp3d>
          </c:spPr>
          <c:invertIfNegative val="0"/>
          <c:dLbls>
            <c:spPr>
              <a:noFill/>
              <a:ln w="25382">
                <a:noFill/>
              </a:ln>
            </c:spPr>
            <c:txPr>
              <a:bodyPr rot="0" spcFirstLastPara="1" vertOverflow="ellipsis" vert="horz" wrap="square" lIns="38100" tIns="19050" rIns="38100" bIns="19050" anchor="ctr" anchorCtr="1">
                <a:spAutoFit/>
              </a:bodyPr>
              <a:lstStyle/>
              <a:p>
                <a:pPr>
                  <a:defRPr sz="1196" b="1" i="0" u="none" strike="noStrike" kern="1200" baseline="0">
                    <a:solidFill>
                      <a:schemeClr val="bg1"/>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Sheet1!$C$7:$F$7</c:f>
              <c:numCache>
                <c:formatCode>_(* #,##0.0_);_(* \(#,##0.0\);_(* "-"??_);_(@_)</c:formatCode>
                <c:ptCount val="4"/>
                <c:pt idx="0">
                  <c:v>287.7</c:v>
                </c:pt>
                <c:pt idx="1">
                  <c:v>250</c:v>
                </c:pt>
                <c:pt idx="2">
                  <c:v>326.2</c:v>
                </c:pt>
                <c:pt idx="3">
                  <c:v>404.8</c:v>
                </c:pt>
              </c:numCache>
            </c:numRef>
          </c:val>
          <c:extLst>
            <c:ext xmlns:c16="http://schemas.microsoft.com/office/drawing/2014/chart" uri="{C3380CC4-5D6E-409C-BE32-E72D297353CC}">
              <c16:uniqueId val="{00000007-69B3-4995-9F59-80D3E485FA35}"/>
            </c:ext>
          </c:extLst>
        </c:ser>
        <c:dLbls>
          <c:showLegendKey val="0"/>
          <c:showVal val="0"/>
          <c:showCatName val="0"/>
          <c:showSerName val="0"/>
          <c:showPercent val="0"/>
          <c:showBubbleSize val="0"/>
        </c:dLbls>
        <c:gapWidth val="232"/>
        <c:overlap val="100"/>
        <c:axId val="-684530512"/>
        <c:axId val="-684520720"/>
      </c:barChart>
      <c:catAx>
        <c:axId val="-684497328"/>
        <c:scaling>
          <c:orientation val="minMax"/>
        </c:scaling>
        <c:delete val="0"/>
        <c:axPos val="b"/>
        <c:numFmt formatCode="General" sourceLinked="1"/>
        <c:majorTickMark val="none"/>
        <c:minorTickMark val="none"/>
        <c:tickLblPos val="nextTo"/>
        <c:spPr>
          <a:noFill/>
          <a:ln w="25382" cap="flat" cmpd="sng" algn="ctr">
            <a:solidFill>
              <a:schemeClr val="tx2">
                <a:lumMod val="50000"/>
              </a:schemeClr>
            </a:solidFill>
            <a:round/>
          </a:ln>
          <a:effectLst/>
        </c:spPr>
        <c:txPr>
          <a:bodyPr rot="-60000000" spcFirstLastPara="1" vertOverflow="ellipsis" vert="horz" wrap="square" anchor="ctr" anchorCtr="1"/>
          <a:lstStyle/>
          <a:p>
            <a:pPr>
              <a:defRPr sz="1196" b="1" i="0" u="none" strike="noStrike" kern="1200" baseline="0">
                <a:solidFill>
                  <a:schemeClr val="tx1">
                    <a:lumMod val="65000"/>
                    <a:lumOff val="35000"/>
                  </a:schemeClr>
                </a:solidFill>
                <a:latin typeface="+mn-lt"/>
                <a:ea typeface="+mn-ea"/>
                <a:cs typeface="+mn-cs"/>
              </a:defRPr>
            </a:pPr>
            <a:endParaRPr lang="en-US"/>
          </a:p>
        </c:txPr>
        <c:crossAx val="-684528880"/>
        <c:crosses val="autoZero"/>
        <c:auto val="1"/>
        <c:lblAlgn val="ctr"/>
        <c:lblOffset val="100"/>
        <c:noMultiLvlLbl val="0"/>
      </c:catAx>
      <c:valAx>
        <c:axId val="-684528880"/>
        <c:scaling>
          <c:orientation val="minMax"/>
          <c:max val="2500"/>
          <c:min val="0"/>
        </c:scaling>
        <c:delete val="0"/>
        <c:axPos val="l"/>
        <c:majorGridlines>
          <c:spPr>
            <a:ln w="9518" cap="flat" cmpd="sng" algn="ctr">
              <a:solidFill>
                <a:schemeClr val="tx1">
                  <a:lumMod val="15000"/>
                  <a:lumOff val="85000"/>
                </a:schemeClr>
              </a:solidFill>
              <a:round/>
            </a:ln>
            <a:effectLst/>
          </c:spPr>
        </c:majorGridlines>
        <c:title>
          <c:tx>
            <c:rich>
              <a:bodyPr/>
              <a:lstStyle/>
              <a:p>
                <a:pPr>
                  <a:defRPr sz="1200" b="0" i="0" u="none" strike="noStrike" baseline="0">
                    <a:solidFill>
                      <a:srgbClr val="333333"/>
                    </a:solidFill>
                    <a:latin typeface="GHEA Grapalat"/>
                    <a:ea typeface="GHEA Grapalat"/>
                    <a:cs typeface="GHEA Grapalat"/>
                  </a:defRPr>
                </a:pPr>
                <a:r>
                  <a:rPr lang="hy-AM" sz="1200" b="0"/>
                  <a:t>մլրդ դրամ</a:t>
                </a:r>
              </a:p>
            </c:rich>
          </c:tx>
          <c:overlay val="0"/>
          <c:spPr>
            <a:noFill/>
            <a:ln w="25382">
              <a:noFill/>
            </a:ln>
          </c:spPr>
        </c:title>
        <c:numFmt formatCode="_(* #,##0.0_);_(* \(#,##0.0\);_(* &quot;-&quot;??_);_(@_)" sourceLinked="1"/>
        <c:majorTickMark val="none"/>
        <c:minorTickMark val="none"/>
        <c:tickLblPos val="nextTo"/>
        <c:spPr>
          <a:noFill/>
          <a:ln w="28555">
            <a:solidFill>
              <a:schemeClr val="tx2">
                <a:lumMod val="50000"/>
              </a:schemeClr>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684497328"/>
        <c:crosses val="autoZero"/>
        <c:crossBetween val="between"/>
      </c:valAx>
      <c:catAx>
        <c:axId val="-684530512"/>
        <c:scaling>
          <c:orientation val="minMax"/>
        </c:scaling>
        <c:delete val="1"/>
        <c:axPos val="b"/>
        <c:numFmt formatCode="General" sourceLinked="1"/>
        <c:majorTickMark val="out"/>
        <c:minorTickMark val="none"/>
        <c:tickLblPos val="none"/>
        <c:crossAx val="-684520720"/>
        <c:crosses val="autoZero"/>
        <c:auto val="1"/>
        <c:lblAlgn val="ctr"/>
        <c:lblOffset val="100"/>
        <c:noMultiLvlLbl val="0"/>
      </c:catAx>
      <c:valAx>
        <c:axId val="-684520720"/>
        <c:scaling>
          <c:orientation val="minMax"/>
          <c:max val="1800"/>
          <c:min val="0"/>
        </c:scaling>
        <c:delete val="1"/>
        <c:axPos val="r"/>
        <c:numFmt formatCode="_(* #,##0.0_);_(* \(#,##0.0\);_(* &quot;-&quot;??_);_(@_)" sourceLinked="1"/>
        <c:majorTickMark val="out"/>
        <c:minorTickMark val="none"/>
        <c:tickLblPos val="none"/>
        <c:crossAx val="-684530512"/>
        <c:crosses val="max"/>
        <c:crossBetween val="between"/>
        <c:majorUnit val="200"/>
      </c:valAx>
      <c:spPr>
        <a:noFill/>
        <a:ln w="25382">
          <a:noFill/>
        </a:ln>
      </c:spPr>
    </c:plotArea>
    <c:legend>
      <c:legendPos val="b"/>
      <c:legendEntry>
        <c:idx val="0"/>
        <c:delete val="1"/>
      </c:legendEntry>
      <c:layout>
        <c:manualLayout>
          <c:xMode val="edge"/>
          <c:yMode val="edge"/>
          <c:x val="5.8816782230579429E-2"/>
          <c:y val="0.92351471814054742"/>
          <c:w val="0.93486065734320578"/>
          <c:h val="5.9144260510743327E-2"/>
        </c:manualLayout>
      </c:layout>
      <c:overlay val="0"/>
      <c:spPr>
        <a:noFill/>
        <a:ln w="25382">
          <a:noFill/>
        </a:ln>
      </c:spPr>
      <c:txPr>
        <a:bodyPr rot="0" spcFirstLastPara="1" vertOverflow="ellipsis" vert="horz" wrap="square" anchor="ctr" anchorCtr="1"/>
        <a:lstStyle/>
        <a:p>
          <a:pPr>
            <a:defRPr sz="1196"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a:noFill/>
    </a:ln>
  </c:spPr>
  <c:txPr>
    <a:bodyPr/>
    <a:lstStyle/>
    <a:p>
      <a:pPr>
        <a:defRPr/>
      </a:pPr>
      <a:endParaRPr lang="en-US"/>
    </a:p>
  </c:txPr>
  <c:externalData r:id="rId2">
    <c:autoUpdate val="0"/>
  </c:externalData>
  <c:userShapes r:id="rId3"/>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88137748213571"/>
          <c:y val="2.1045606922897035E-2"/>
          <c:w val="0.86293549726037422"/>
          <c:h val="0.65116478261999478"/>
        </c:manualLayout>
      </c:layout>
      <c:barChart>
        <c:barDir val="col"/>
        <c:grouping val="stacked"/>
        <c:varyColors val="0"/>
        <c:ser>
          <c:idx val="0"/>
          <c:order val="0"/>
          <c:tx>
            <c:strRef>
              <c:f>Sheet1!$B$5</c:f>
              <c:strCache>
                <c:ptCount val="1"/>
                <c:pt idx="0">
                  <c:v>Ընդամենը ծախսեր</c:v>
                </c:pt>
              </c:strCache>
            </c:strRef>
          </c:tx>
          <c:spPr>
            <a:solidFill>
              <a:schemeClr val="accent1">
                <a:lumMod val="75000"/>
                <a:alpha val="12000"/>
              </a:schemeClr>
            </a:solidFill>
            <a:ln>
              <a:noFill/>
            </a:ln>
            <a:effectLst/>
            <a:scene3d>
              <a:camera prst="orthographicFront"/>
              <a:lightRig rig="threePt" dir="t"/>
            </a:scene3d>
            <a:sp3d prstMaterial="metal">
              <a:bevelT/>
            </a:sp3d>
          </c:spPr>
          <c:invertIfNegative val="0"/>
          <c:dLbls>
            <c:dLbl>
              <c:idx val="0"/>
              <c:layout>
                <c:manualLayout>
                  <c:x val="-9.5240386121185946E-2"/>
                  <c:y val="-1.0597180085288361E-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1A-470B-9DBD-6B8F9613C3A7}"/>
                </c:ext>
              </c:extLst>
            </c:dLbl>
            <c:dLbl>
              <c:idx val="1"/>
              <c:layout>
                <c:manualLayout>
                  <c:x val="-0.11665285666452191"/>
                  <c:y val="5.780307164574685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1A-470B-9DBD-6B8F9613C3A7}"/>
                </c:ext>
              </c:extLst>
            </c:dLbl>
            <c:dLbl>
              <c:idx val="2"/>
              <c:layout>
                <c:manualLayout>
                  <c:x val="-0.11091854258958364"/>
                  <c:y val="1.60914737143005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1A-470B-9DBD-6B8F9613C3A7}"/>
                </c:ext>
              </c:extLst>
            </c:dLbl>
            <c:dLbl>
              <c:idx val="3"/>
              <c:layout>
                <c:manualLayout>
                  <c:x val="-0.10974962258595972"/>
                  <c:y val="1.15606936416185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1A-470B-9DBD-6B8F9613C3A7}"/>
                </c:ext>
              </c:extLst>
            </c:dLbl>
            <c:spPr>
              <a:noFill/>
              <a:ln w="25384">
                <a:noFill/>
              </a:ln>
            </c:spPr>
            <c:txPr>
              <a:bodyPr rot="-5400000" spcFirstLastPara="1" vertOverflow="ellipsis" wrap="square" lIns="38100" tIns="19050" rIns="38100" bIns="19050" anchor="ctr" anchorCtr="1">
                <a:spAutoFit/>
              </a:bodyPr>
              <a:lstStyle/>
              <a:p>
                <a:pPr>
                  <a:defRPr sz="1195" b="1" i="0" u="none" strike="noStrike" kern="1200" baseline="0">
                    <a:solidFill>
                      <a:schemeClr val="tx2">
                        <a:lumMod val="50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Sheet1!$C$5:$F$5</c:f>
              <c:numCache>
                <c:formatCode>_ * #,##0.0_)\ _ _ ;_ * \(#,##0.0\)\ _ _ ;_ * "-"??_)\ _ _ ;_ @_ </c:formatCode>
                <c:ptCount val="4"/>
                <c:pt idx="0">
                  <c:v>24.1</c:v>
                </c:pt>
                <c:pt idx="1">
                  <c:v>22.799999999999986</c:v>
                </c:pt>
                <c:pt idx="2">
                  <c:v>21.599999999999987</c:v>
                </c:pt>
                <c:pt idx="3">
                  <c:v>21.400000000000002</c:v>
                </c:pt>
              </c:numCache>
            </c:numRef>
          </c:val>
          <c:extLst>
            <c:ext xmlns:c16="http://schemas.microsoft.com/office/drawing/2014/chart" uri="{C3380CC4-5D6E-409C-BE32-E72D297353CC}">
              <c16:uniqueId val="{00000004-901A-470B-9DBD-6B8F9613C3A7}"/>
            </c:ext>
          </c:extLst>
        </c:ser>
        <c:dLbls>
          <c:showLegendKey val="0"/>
          <c:showVal val="0"/>
          <c:showCatName val="0"/>
          <c:showSerName val="0"/>
          <c:showPercent val="0"/>
          <c:showBubbleSize val="0"/>
        </c:dLbls>
        <c:gapWidth val="34"/>
        <c:overlap val="100"/>
        <c:axId val="-684526704"/>
        <c:axId val="-684520176"/>
      </c:barChart>
      <c:barChart>
        <c:barDir val="col"/>
        <c:grouping val="stacked"/>
        <c:varyColors val="0"/>
        <c:ser>
          <c:idx val="1"/>
          <c:order val="1"/>
          <c:tx>
            <c:strRef>
              <c:f>Sheet1!$B$6</c:f>
              <c:strCache>
                <c:ptCount val="1"/>
                <c:pt idx="0">
                  <c:v>Աշխատանքի վարձատրություն</c:v>
                </c:pt>
              </c:strCache>
            </c:strRef>
          </c:tx>
          <c:spPr>
            <a:solidFill>
              <a:schemeClr val="accent2">
                <a:lumMod val="75000"/>
              </a:schemeClr>
            </a:solidFill>
            <a:ln>
              <a:noFill/>
            </a:ln>
            <a:effectLst/>
            <a:scene3d>
              <a:camera prst="orthographicFront"/>
              <a:lightRig rig="threePt" dir="t"/>
            </a:scene3d>
            <a:sp3d prstMaterial="metal">
              <a:bevelT/>
            </a:sp3d>
          </c:spPr>
          <c:invertIfNegative val="0"/>
          <c:dLbls>
            <c:spPr>
              <a:noFill/>
              <a:ln w="25384">
                <a:noFill/>
              </a:ln>
            </c:spPr>
            <c:txPr>
              <a:bodyPr rot="0" spcFirstLastPara="1" vertOverflow="ellipsis" vert="horz" wrap="square" lIns="38100" tIns="19050" rIns="38100" bIns="19050" anchor="ctr" anchorCtr="1">
                <a:spAutoFit/>
              </a:bodyPr>
              <a:lstStyle/>
              <a:p>
                <a:pPr>
                  <a:defRPr sz="1195" b="0" i="0" u="none" strike="noStrike" kern="1200" baseline="0">
                    <a:solidFill>
                      <a:schemeClr val="bg1"/>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Sheet1!$C$6:$F$6</c:f>
              <c:numCache>
                <c:formatCode>_ * #,##0.0_)\ _ _ ;_ * \(#,##0.0\)\ _ _ ;_ * "-"??_)\ _ _ ;_ @_ </c:formatCode>
                <c:ptCount val="4"/>
                <c:pt idx="0">
                  <c:v>2.7</c:v>
                </c:pt>
                <c:pt idx="1">
                  <c:v>2.5</c:v>
                </c:pt>
                <c:pt idx="2">
                  <c:v>2.2999999999999998</c:v>
                </c:pt>
                <c:pt idx="3">
                  <c:v>2.1</c:v>
                </c:pt>
              </c:numCache>
            </c:numRef>
          </c:val>
          <c:extLst>
            <c:ext xmlns:c16="http://schemas.microsoft.com/office/drawing/2014/chart" uri="{C3380CC4-5D6E-409C-BE32-E72D297353CC}">
              <c16:uniqueId val="{00000005-901A-470B-9DBD-6B8F9613C3A7}"/>
            </c:ext>
          </c:extLst>
        </c:ser>
        <c:ser>
          <c:idx val="2"/>
          <c:order val="2"/>
          <c:tx>
            <c:strRef>
              <c:f>Sheet1!$B$7</c:f>
              <c:strCache>
                <c:ptCount val="1"/>
                <c:pt idx="0">
                  <c:v>Ծառայությունների և ապրանքների ձեռքբերում</c:v>
                </c:pt>
              </c:strCache>
            </c:strRef>
          </c:tx>
          <c:spPr>
            <a:solidFill>
              <a:schemeClr val="accent3">
                <a:lumMod val="75000"/>
              </a:schemeClr>
            </a:solidFill>
            <a:ln>
              <a:noFill/>
            </a:ln>
            <a:effectLst/>
            <a:scene3d>
              <a:camera prst="orthographicFront"/>
              <a:lightRig rig="threePt" dir="t"/>
            </a:scene3d>
            <a:sp3d prstMaterial="metal">
              <a:bevelT/>
            </a:sp3d>
          </c:spPr>
          <c:invertIfNegative val="0"/>
          <c:dLbls>
            <c:spPr>
              <a:noFill/>
              <a:ln w="25384">
                <a:noFill/>
              </a:ln>
            </c:spPr>
            <c:txPr>
              <a:bodyPr rot="0" spcFirstLastPara="1" vertOverflow="ellipsis" vert="horz" wrap="square" lIns="38100" tIns="19050" rIns="38100" bIns="19050" anchor="ctr" anchorCtr="1">
                <a:spAutoFit/>
              </a:bodyPr>
              <a:lstStyle/>
              <a:p>
                <a:pPr>
                  <a:defRPr sz="1195" b="0" i="0" u="none" strike="noStrike" kern="1200" baseline="0">
                    <a:solidFill>
                      <a:schemeClr val="tx1"/>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Sheet1!$C$7:$F$7</c:f>
              <c:numCache>
                <c:formatCode>_ * #,##0.0_)\ _ _ ;_ * \(#,##0.0\)\ _ _ ;_ * "-"??_)\ _ _ ;_ @_ </c:formatCode>
                <c:ptCount val="4"/>
                <c:pt idx="0">
                  <c:v>3.1</c:v>
                </c:pt>
                <c:pt idx="1">
                  <c:v>2.2999999999999998</c:v>
                </c:pt>
                <c:pt idx="2">
                  <c:v>2.2999999999999998</c:v>
                </c:pt>
                <c:pt idx="3">
                  <c:v>2.2000000000000002</c:v>
                </c:pt>
              </c:numCache>
            </c:numRef>
          </c:val>
          <c:extLst>
            <c:ext xmlns:c16="http://schemas.microsoft.com/office/drawing/2014/chart" uri="{C3380CC4-5D6E-409C-BE32-E72D297353CC}">
              <c16:uniqueId val="{00000006-901A-470B-9DBD-6B8F9613C3A7}"/>
            </c:ext>
          </c:extLst>
        </c:ser>
        <c:ser>
          <c:idx val="3"/>
          <c:order val="3"/>
          <c:tx>
            <c:strRef>
              <c:f>Sheet1!$B$8</c:f>
              <c:strCache>
                <c:ptCount val="1"/>
                <c:pt idx="0">
                  <c:v>Տոկոսավճարներ</c:v>
                </c:pt>
              </c:strCache>
            </c:strRef>
          </c:tx>
          <c:spPr>
            <a:scene3d>
              <a:camera prst="orthographicFront"/>
              <a:lightRig rig="threePt" dir="t"/>
            </a:scene3d>
            <a:sp3d>
              <a:bevelT/>
            </a:sp3d>
          </c:spPr>
          <c:invertIfNegative val="0"/>
          <c:dLbls>
            <c:spPr>
              <a:noFill/>
              <a:ln w="2538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Sheet1!$C$8:$F$8</c:f>
              <c:numCache>
                <c:formatCode>_ * #,##0.0_)\ _ _ ;_ * \(#,##0.0\)\ _ _ ;_ * "-"??_)\ _ _ ;_ @_ </c:formatCode>
                <c:ptCount val="4"/>
                <c:pt idx="0">
                  <c:v>2.6</c:v>
                </c:pt>
                <c:pt idx="1">
                  <c:v>2.6</c:v>
                </c:pt>
                <c:pt idx="2">
                  <c:v>2.7</c:v>
                </c:pt>
                <c:pt idx="3">
                  <c:v>2.8</c:v>
                </c:pt>
              </c:numCache>
            </c:numRef>
          </c:val>
          <c:extLst>
            <c:ext xmlns:c16="http://schemas.microsoft.com/office/drawing/2014/chart" uri="{C3380CC4-5D6E-409C-BE32-E72D297353CC}">
              <c16:uniqueId val="{00000007-901A-470B-9DBD-6B8F9613C3A7}"/>
            </c:ext>
          </c:extLst>
        </c:ser>
        <c:ser>
          <c:idx val="4"/>
          <c:order val="4"/>
          <c:tx>
            <c:strRef>
              <c:f>Sheet1!$B$9</c:f>
              <c:strCache>
                <c:ptCount val="1"/>
                <c:pt idx="0">
                  <c:v>Սուբսիդիաներ</c:v>
                </c:pt>
              </c:strCache>
            </c:strRef>
          </c:tx>
          <c:spPr>
            <a:scene3d>
              <a:camera prst="orthographicFront"/>
              <a:lightRig rig="threePt" dir="t"/>
            </a:scene3d>
            <a:sp3d>
              <a:bevelT/>
            </a:sp3d>
          </c:spPr>
          <c:invertIfNegative val="0"/>
          <c:dLbls>
            <c:spPr>
              <a:noFill/>
              <a:ln w="2538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Sheet1!$C$9:$F$9</c:f>
              <c:numCache>
                <c:formatCode>_ * #,##0.0_)\ _ _ ;_ * \(#,##0.0\)\ _ _ ;_ * "-"??_)\ _ _ ;_ @_ </c:formatCode>
                <c:ptCount val="4"/>
                <c:pt idx="0">
                  <c:v>1.8</c:v>
                </c:pt>
                <c:pt idx="1">
                  <c:v>1.7</c:v>
                </c:pt>
                <c:pt idx="2">
                  <c:v>1.6</c:v>
                </c:pt>
                <c:pt idx="3">
                  <c:v>1.5</c:v>
                </c:pt>
              </c:numCache>
            </c:numRef>
          </c:val>
          <c:extLst>
            <c:ext xmlns:c16="http://schemas.microsoft.com/office/drawing/2014/chart" uri="{C3380CC4-5D6E-409C-BE32-E72D297353CC}">
              <c16:uniqueId val="{00000008-901A-470B-9DBD-6B8F9613C3A7}"/>
            </c:ext>
          </c:extLst>
        </c:ser>
        <c:ser>
          <c:idx val="5"/>
          <c:order val="5"/>
          <c:tx>
            <c:strRef>
              <c:f>Sheet1!$B$10</c:f>
              <c:strCache>
                <c:ptCount val="1"/>
                <c:pt idx="0">
                  <c:v>Դրամաշնորհներ</c:v>
                </c:pt>
              </c:strCache>
            </c:strRef>
          </c:tx>
          <c:spPr>
            <a:scene3d>
              <a:camera prst="orthographicFront"/>
              <a:lightRig rig="threePt" dir="t"/>
            </a:scene3d>
            <a:sp3d>
              <a:bevelT/>
            </a:sp3d>
          </c:spPr>
          <c:invertIfNegative val="0"/>
          <c:dLbls>
            <c:spPr>
              <a:noFill/>
              <a:ln w="2538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Sheet1!$C$10:$F$10</c:f>
              <c:numCache>
                <c:formatCode>_ * #,##0.0_)\ _ _ ;_ * \(#,##0.0\)\ _ _ ;_ * "-"??_)\ _ _ ;_ @_ </c:formatCode>
                <c:ptCount val="4"/>
                <c:pt idx="0">
                  <c:v>2.5</c:v>
                </c:pt>
                <c:pt idx="1">
                  <c:v>2.2999999999999998</c:v>
                </c:pt>
                <c:pt idx="2">
                  <c:v>2.1</c:v>
                </c:pt>
                <c:pt idx="3">
                  <c:v>1.9000000000000001</c:v>
                </c:pt>
              </c:numCache>
            </c:numRef>
          </c:val>
          <c:extLst>
            <c:ext xmlns:c16="http://schemas.microsoft.com/office/drawing/2014/chart" uri="{C3380CC4-5D6E-409C-BE32-E72D297353CC}">
              <c16:uniqueId val="{00000009-901A-470B-9DBD-6B8F9613C3A7}"/>
            </c:ext>
          </c:extLst>
        </c:ser>
        <c:ser>
          <c:idx val="6"/>
          <c:order val="6"/>
          <c:tx>
            <c:strRef>
              <c:f>Sheet1!$B$11</c:f>
              <c:strCache>
                <c:ptCount val="1"/>
                <c:pt idx="0">
                  <c:v>Սոցիալական նպաստներ և կենսաթոշակներ</c:v>
                </c:pt>
              </c:strCache>
            </c:strRef>
          </c:tx>
          <c:spPr>
            <a:scene3d>
              <a:camera prst="orthographicFront"/>
              <a:lightRig rig="threePt" dir="t"/>
            </a:scene3d>
            <a:sp3d>
              <a:bevelT/>
            </a:sp3d>
          </c:spPr>
          <c:invertIfNegative val="0"/>
          <c:dLbls>
            <c:spPr>
              <a:noFill/>
              <a:ln w="2538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Sheet1!$C$11:$F$11</c:f>
              <c:numCache>
                <c:formatCode>_ * #,##0.0_)\ _ _ ;_ * \(#,##0.0\)\ _ _ ;_ * "-"??_)\ _ _ ;_ @_ </c:formatCode>
                <c:ptCount val="4"/>
                <c:pt idx="0">
                  <c:v>7.9</c:v>
                </c:pt>
                <c:pt idx="1">
                  <c:v>7.4</c:v>
                </c:pt>
                <c:pt idx="2">
                  <c:v>6.9</c:v>
                </c:pt>
                <c:pt idx="3">
                  <c:v>6.4</c:v>
                </c:pt>
              </c:numCache>
            </c:numRef>
          </c:val>
          <c:extLst>
            <c:ext xmlns:c16="http://schemas.microsoft.com/office/drawing/2014/chart" uri="{C3380CC4-5D6E-409C-BE32-E72D297353CC}">
              <c16:uniqueId val="{0000000A-901A-470B-9DBD-6B8F9613C3A7}"/>
            </c:ext>
          </c:extLst>
        </c:ser>
        <c:ser>
          <c:idx val="7"/>
          <c:order val="7"/>
          <c:tx>
            <c:strRef>
              <c:f>Sheet1!$B$12</c:f>
              <c:strCache>
                <c:ptCount val="1"/>
                <c:pt idx="0">
                  <c:v>Այլ ծախսեր</c:v>
                </c:pt>
              </c:strCache>
            </c:strRef>
          </c:tx>
          <c:spPr>
            <a:scene3d>
              <a:camera prst="orthographicFront"/>
              <a:lightRig rig="threePt" dir="t"/>
            </a:scene3d>
            <a:sp3d>
              <a:bevelT/>
            </a:sp3d>
          </c:spPr>
          <c:invertIfNegative val="0"/>
          <c:dLbls>
            <c:spPr>
              <a:noFill/>
              <a:ln w="2538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Sheet1!$C$12:$F$12</c:f>
              <c:numCache>
                <c:formatCode>_ * #,##0.0_)\ _ _ ;_ * \(#,##0.0\)\ _ _ ;_ * "-"??_)\ _ _ ;_ @_ </c:formatCode>
                <c:ptCount val="4"/>
                <c:pt idx="0">
                  <c:v>3.4</c:v>
                </c:pt>
                <c:pt idx="1">
                  <c:v>4</c:v>
                </c:pt>
                <c:pt idx="2">
                  <c:v>3.8</c:v>
                </c:pt>
                <c:pt idx="3">
                  <c:v>4.5</c:v>
                </c:pt>
              </c:numCache>
            </c:numRef>
          </c:val>
          <c:extLst>
            <c:ext xmlns:c16="http://schemas.microsoft.com/office/drawing/2014/chart" uri="{C3380CC4-5D6E-409C-BE32-E72D297353CC}">
              <c16:uniqueId val="{0000000B-901A-470B-9DBD-6B8F9613C3A7}"/>
            </c:ext>
          </c:extLst>
        </c:ser>
        <c:dLbls>
          <c:showLegendKey val="0"/>
          <c:showVal val="0"/>
          <c:showCatName val="0"/>
          <c:showSerName val="0"/>
          <c:showPercent val="0"/>
          <c:showBubbleSize val="0"/>
        </c:dLbls>
        <c:gapWidth val="174"/>
        <c:overlap val="100"/>
        <c:axId val="-684519632"/>
        <c:axId val="-684509840"/>
      </c:barChart>
      <c:catAx>
        <c:axId val="-684526704"/>
        <c:scaling>
          <c:orientation val="minMax"/>
        </c:scaling>
        <c:delete val="0"/>
        <c:axPos val="b"/>
        <c:numFmt formatCode="General" sourceLinked="1"/>
        <c:majorTickMark val="none"/>
        <c:minorTickMark val="none"/>
        <c:tickLblPos val="nextTo"/>
        <c:spPr>
          <a:noFill/>
          <a:ln w="25365" cap="flat" cmpd="sng" algn="ctr">
            <a:solidFill>
              <a:schemeClr val="tx2">
                <a:lumMod val="50000"/>
              </a:schemeClr>
            </a:solidFill>
            <a:round/>
          </a:ln>
          <a:effectLst/>
        </c:spPr>
        <c:txPr>
          <a:bodyPr rot="-60000000" spcFirstLastPara="1" vertOverflow="ellipsis" vert="horz" wrap="square" anchor="ctr" anchorCtr="1"/>
          <a:lstStyle/>
          <a:p>
            <a:pPr>
              <a:defRPr sz="1195" b="1" i="0" u="none" strike="noStrike" kern="1200" baseline="0">
                <a:solidFill>
                  <a:schemeClr val="tx1">
                    <a:lumMod val="65000"/>
                    <a:lumOff val="35000"/>
                  </a:schemeClr>
                </a:solidFill>
                <a:latin typeface="+mn-lt"/>
                <a:ea typeface="+mn-ea"/>
                <a:cs typeface="+mn-cs"/>
              </a:defRPr>
            </a:pPr>
            <a:endParaRPr lang="en-US"/>
          </a:p>
        </c:txPr>
        <c:crossAx val="-684520176"/>
        <c:crosses val="autoZero"/>
        <c:auto val="1"/>
        <c:lblAlgn val="ctr"/>
        <c:lblOffset val="100"/>
        <c:noMultiLvlLbl val="0"/>
      </c:catAx>
      <c:valAx>
        <c:axId val="-684520176"/>
        <c:scaling>
          <c:orientation val="minMax"/>
          <c:max val="25"/>
          <c:min val="0"/>
        </c:scaling>
        <c:delete val="0"/>
        <c:axPos val="l"/>
        <c:majorGridlines>
          <c:spPr>
            <a:ln w="9512" cap="flat" cmpd="sng" algn="ctr">
              <a:solidFill>
                <a:schemeClr val="tx1">
                  <a:lumMod val="15000"/>
                  <a:lumOff val="85000"/>
                </a:schemeClr>
              </a:solidFill>
              <a:round/>
            </a:ln>
            <a:effectLst/>
          </c:spPr>
        </c:majorGridlines>
        <c:title>
          <c:tx>
            <c:rich>
              <a:bodyPr/>
              <a:lstStyle/>
              <a:p>
                <a:pPr>
                  <a:defRPr sz="1099" b="0" i="0" u="none" strike="noStrike" baseline="0">
                    <a:solidFill>
                      <a:srgbClr val="000000"/>
                    </a:solidFill>
                    <a:latin typeface="Times Armenian"/>
                    <a:ea typeface="Times Armenian"/>
                    <a:cs typeface="Times Armenian"/>
                  </a:defRPr>
                </a:pPr>
                <a:r>
                  <a:rPr lang="en-US" sz="1324" b="1" i="0" u="none" strike="noStrike" baseline="0">
                    <a:solidFill>
                      <a:srgbClr val="003366"/>
                    </a:solidFill>
                    <a:latin typeface="GHEA Grapalat"/>
                  </a:rPr>
                  <a:t>%-ով</a:t>
                </a:r>
              </a:p>
            </c:rich>
          </c:tx>
          <c:layout>
            <c:manualLayout>
              <c:xMode val="edge"/>
              <c:yMode val="edge"/>
              <c:x val="8.2788106710541695E-2"/>
              <c:y val="0.3666612582518094"/>
            </c:manualLayout>
          </c:layout>
          <c:overlay val="0"/>
          <c:spPr>
            <a:noFill/>
            <a:ln w="25384">
              <a:noFill/>
            </a:ln>
          </c:spPr>
        </c:title>
        <c:numFmt formatCode="_ * #,##0.0_)\ _ _ ;_ * \(#,##0.0\)\ _ _ ;_ * &quot;-&quot;??_)\ _ _ ;_ @_ " sourceLinked="1"/>
        <c:majorTickMark val="none"/>
        <c:minorTickMark val="none"/>
        <c:tickLblPos val="nextTo"/>
        <c:spPr>
          <a:noFill/>
          <a:ln w="28535">
            <a:solidFill>
              <a:schemeClr val="tx2">
                <a:lumMod val="50000"/>
              </a:schemeClr>
            </a:solidFill>
          </a:ln>
          <a:effectLst/>
        </c:spPr>
        <c:txPr>
          <a:bodyPr rot="-60000000" spcFirstLastPara="1" vertOverflow="ellipsis" vert="horz" wrap="square" anchor="ctr" anchorCtr="1"/>
          <a:lstStyle/>
          <a:p>
            <a:pPr>
              <a:defRPr sz="1195" b="1" i="0" u="none" strike="noStrike" kern="1200" baseline="0">
                <a:solidFill>
                  <a:schemeClr val="tx1">
                    <a:lumMod val="65000"/>
                    <a:lumOff val="35000"/>
                  </a:schemeClr>
                </a:solidFill>
                <a:latin typeface="+mn-lt"/>
                <a:ea typeface="+mn-ea"/>
                <a:cs typeface="+mn-cs"/>
              </a:defRPr>
            </a:pPr>
            <a:endParaRPr lang="en-US"/>
          </a:p>
        </c:txPr>
        <c:crossAx val="-684526704"/>
        <c:crosses val="autoZero"/>
        <c:crossBetween val="between"/>
      </c:valAx>
      <c:catAx>
        <c:axId val="-684519632"/>
        <c:scaling>
          <c:orientation val="minMax"/>
        </c:scaling>
        <c:delete val="1"/>
        <c:axPos val="b"/>
        <c:numFmt formatCode="General" sourceLinked="1"/>
        <c:majorTickMark val="out"/>
        <c:minorTickMark val="none"/>
        <c:tickLblPos val="none"/>
        <c:crossAx val="-684509840"/>
        <c:crosses val="autoZero"/>
        <c:auto val="1"/>
        <c:lblAlgn val="ctr"/>
        <c:lblOffset val="100"/>
        <c:noMultiLvlLbl val="0"/>
      </c:catAx>
      <c:valAx>
        <c:axId val="-684509840"/>
        <c:scaling>
          <c:orientation val="minMax"/>
          <c:max val="1800"/>
          <c:min val="0"/>
        </c:scaling>
        <c:delete val="1"/>
        <c:axPos val="r"/>
        <c:numFmt formatCode="_ * #,##0.0_)\ _ _ ;_ * \(#,##0.0\)\ _ _ ;_ * &quot;-&quot;??_)\ _ _ ;_ @_ " sourceLinked="1"/>
        <c:majorTickMark val="out"/>
        <c:minorTickMark val="none"/>
        <c:tickLblPos val="none"/>
        <c:crossAx val="-684519632"/>
        <c:crosses val="max"/>
        <c:crossBetween val="between"/>
        <c:majorUnit val="200"/>
      </c:valAx>
      <c:spPr>
        <a:noFill/>
        <a:ln w="25384">
          <a:noFill/>
        </a:ln>
      </c:spPr>
    </c:plotArea>
    <c:legend>
      <c:legendPos val="b"/>
      <c:legendEntry>
        <c:idx val="0"/>
        <c:delete val="1"/>
      </c:legendEntry>
      <c:layout>
        <c:manualLayout>
          <c:xMode val="edge"/>
          <c:yMode val="edge"/>
          <c:x val="2.4081482352019432E-2"/>
          <c:y val="0.73774320634163204"/>
          <c:w val="0.97591851764798065"/>
          <c:h val="0.26225658156366832"/>
        </c:manualLayout>
      </c:layout>
      <c:overlay val="0"/>
      <c:spPr>
        <a:noFill/>
        <a:ln w="25384">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a:noFill/>
    </a:ln>
  </c:spPr>
  <c:txPr>
    <a:bodyPr/>
    <a:lstStyle/>
    <a:p>
      <a:pPr>
        <a:defRPr/>
      </a:pPr>
      <a:endParaRPr lang="en-US"/>
    </a:p>
  </c:txPr>
  <c:externalData r:id="rId2">
    <c:autoUpdate val="0"/>
  </c:externalData>
  <c:userShapes r:id="rId3"/>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72988715916702"/>
          <c:y val="3.1468446402446039E-2"/>
          <c:w val="0.82763342853748278"/>
          <c:h val="0.70709888821308686"/>
        </c:manualLayout>
      </c:layout>
      <c:barChart>
        <c:barDir val="col"/>
        <c:grouping val="stacked"/>
        <c:varyColors val="0"/>
        <c:ser>
          <c:idx val="0"/>
          <c:order val="0"/>
          <c:tx>
            <c:strRef>
              <c:f>Sheet1!$B$7</c:f>
              <c:strCache>
                <c:ptCount val="1"/>
                <c:pt idx="0">
                  <c:v>Կապիտալ ծախսեր</c:v>
                </c:pt>
              </c:strCache>
            </c:strRef>
          </c:tx>
          <c:spPr>
            <a:solidFill>
              <a:schemeClr val="accent1">
                <a:lumMod val="75000"/>
                <a:alpha val="12000"/>
              </a:schemeClr>
            </a:solidFill>
            <a:ln>
              <a:solidFill>
                <a:schemeClr val="bg1"/>
              </a:solidFill>
            </a:ln>
            <a:effectLst/>
            <a:scene3d>
              <a:camera prst="orthographicFront"/>
              <a:lightRig rig="threePt" dir="t"/>
            </a:scene3d>
            <a:sp3d prstMaterial="metal">
              <a:bevelT/>
            </a:sp3d>
          </c:spPr>
          <c:invertIfNegative val="0"/>
          <c:dLbls>
            <c:dLbl>
              <c:idx val="0"/>
              <c:layout>
                <c:manualLayout>
                  <c:x val="-8.3018326412902216E-2"/>
                  <c:y val="-6.318346949846306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D9-4631-9EE8-F4ACEFA579C5}"/>
                </c:ext>
              </c:extLst>
            </c:dLbl>
            <c:dLbl>
              <c:idx val="1"/>
              <c:layout>
                <c:manualLayout>
                  <c:x val="-0.10966453267415655"/>
                  <c:y val="6.29263721992997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D9-4631-9EE8-F4ACEFA579C5}"/>
                </c:ext>
              </c:extLst>
            </c:dLbl>
            <c:dLbl>
              <c:idx val="2"/>
              <c:layout>
                <c:manualLayout>
                  <c:x val="-0.11083540115798192"/>
                  <c:y val="1.288659793814427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D9-4631-9EE8-F4ACEFA579C5}"/>
                </c:ext>
              </c:extLst>
            </c:dLbl>
            <c:dLbl>
              <c:idx val="3"/>
              <c:layout>
                <c:manualLayout>
                  <c:x val="-0.11567072634439228"/>
                  <c:y val="8.555224960136716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D9-4631-9EE8-F4ACEFA579C5}"/>
                </c:ext>
              </c:extLst>
            </c:dLbl>
            <c:spPr>
              <a:noFill/>
              <a:ln w="25383">
                <a:noFill/>
              </a:ln>
            </c:spPr>
            <c:txPr>
              <a:bodyPr rot="-5400000" spcFirstLastPara="1" vertOverflow="ellipsis" wrap="square" lIns="38100" tIns="19050" rIns="38100" bIns="19050" anchor="ctr" anchorCtr="1">
                <a:spAutoFit/>
              </a:bodyPr>
              <a:lstStyle/>
              <a:p>
                <a:pPr>
                  <a:defRPr sz="1196" b="1" i="0" u="none" strike="noStrike" kern="1200" baseline="0">
                    <a:solidFill>
                      <a:schemeClr val="tx2">
                        <a:lumMod val="50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Sheet1!$C$7:$F$7</c:f>
              <c:numCache>
                <c:formatCode>_(* #,##0.0_);_(* \(#,##0.0\);_(* "-"??_);_(@_)</c:formatCode>
                <c:ptCount val="4"/>
                <c:pt idx="0">
                  <c:v>287.7</c:v>
                </c:pt>
                <c:pt idx="1">
                  <c:v>250</c:v>
                </c:pt>
                <c:pt idx="2">
                  <c:v>326.2</c:v>
                </c:pt>
                <c:pt idx="3">
                  <c:v>404.8</c:v>
                </c:pt>
              </c:numCache>
            </c:numRef>
          </c:val>
          <c:extLst>
            <c:ext xmlns:c16="http://schemas.microsoft.com/office/drawing/2014/chart" uri="{C3380CC4-5D6E-409C-BE32-E72D297353CC}">
              <c16:uniqueId val="{00000004-F9D9-4631-9EE8-F4ACEFA579C5}"/>
            </c:ext>
          </c:extLst>
        </c:ser>
        <c:dLbls>
          <c:showLegendKey val="0"/>
          <c:showVal val="0"/>
          <c:showCatName val="0"/>
          <c:showSerName val="0"/>
          <c:showPercent val="0"/>
          <c:showBubbleSize val="0"/>
        </c:dLbls>
        <c:gapWidth val="34"/>
        <c:overlap val="100"/>
        <c:axId val="-693072464"/>
        <c:axId val="-693077904"/>
      </c:barChart>
      <c:barChart>
        <c:barDir val="col"/>
        <c:grouping val="stacked"/>
        <c:varyColors val="0"/>
        <c:ser>
          <c:idx val="1"/>
          <c:order val="1"/>
          <c:tx>
            <c:strRef>
              <c:f>Sheet1!$B$8</c:f>
              <c:strCache>
                <c:ptCount val="1"/>
                <c:pt idx="0">
                  <c:v>արտաքին ռեսուրսների հաշվին իրականացվող ծարագրեր (ներառյալ ՀՀ կառավարության համաֆինանսավորումը)</c:v>
                </c:pt>
              </c:strCache>
            </c:strRef>
          </c:tx>
          <c:spPr>
            <a:solidFill>
              <a:schemeClr val="accent2">
                <a:lumMod val="75000"/>
              </a:schemeClr>
            </a:solidFill>
            <a:ln>
              <a:noFill/>
            </a:ln>
            <a:effectLst/>
            <a:scene3d>
              <a:camera prst="orthographicFront"/>
              <a:lightRig rig="threePt" dir="t"/>
            </a:scene3d>
            <a:sp3d prstMaterial="metal">
              <a:bevelT/>
            </a:sp3d>
          </c:spPr>
          <c:invertIfNegative val="0"/>
          <c:dLbls>
            <c:spPr>
              <a:noFill/>
              <a:ln w="25383">
                <a:noFill/>
              </a:ln>
            </c:spPr>
            <c:txPr>
              <a:bodyPr rot="0" spcFirstLastPara="1" vertOverflow="ellipsis" vert="horz" wrap="square" lIns="38100" tIns="19050" rIns="38100" bIns="19050" anchor="ctr" anchorCtr="1">
                <a:spAutoFit/>
              </a:bodyPr>
              <a:lstStyle/>
              <a:p>
                <a:pPr>
                  <a:defRPr sz="1196" b="1" i="0" u="none" strike="noStrike" kern="1200" baseline="0">
                    <a:solidFill>
                      <a:schemeClr val="bg1"/>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Sheet1!$C$8:$F$8</c:f>
              <c:numCache>
                <c:formatCode>_(* #,##0.0_);_(* \(#,##0.0\);_(* "-"??_);_(@_)</c:formatCode>
                <c:ptCount val="4"/>
                <c:pt idx="0">
                  <c:v>172.4</c:v>
                </c:pt>
                <c:pt idx="1">
                  <c:v>119.6</c:v>
                </c:pt>
                <c:pt idx="2">
                  <c:v>181.9</c:v>
                </c:pt>
                <c:pt idx="3">
                  <c:v>59</c:v>
                </c:pt>
              </c:numCache>
            </c:numRef>
          </c:val>
          <c:extLst>
            <c:ext xmlns:c16="http://schemas.microsoft.com/office/drawing/2014/chart" uri="{C3380CC4-5D6E-409C-BE32-E72D297353CC}">
              <c16:uniqueId val="{00000005-F9D9-4631-9EE8-F4ACEFA579C5}"/>
            </c:ext>
          </c:extLst>
        </c:ser>
        <c:ser>
          <c:idx val="2"/>
          <c:order val="2"/>
          <c:tx>
            <c:strRef>
              <c:f>Sheet1!$B$9</c:f>
              <c:strCache>
                <c:ptCount val="1"/>
                <c:pt idx="0">
                  <c:v>ներքին ռեսուրսների հաշվին իրականացվող ծրագրեր</c:v>
                </c:pt>
              </c:strCache>
            </c:strRef>
          </c:tx>
          <c:spPr>
            <a:solidFill>
              <a:schemeClr val="accent3">
                <a:lumMod val="75000"/>
              </a:schemeClr>
            </a:solidFill>
            <a:ln>
              <a:noFill/>
            </a:ln>
            <a:effectLst/>
            <a:scene3d>
              <a:camera prst="orthographicFront"/>
              <a:lightRig rig="threePt" dir="t"/>
            </a:scene3d>
            <a:sp3d prstMaterial="metal">
              <a:bevelT/>
            </a:sp3d>
          </c:spPr>
          <c:invertIfNegative val="0"/>
          <c:dLbls>
            <c:spPr>
              <a:noFill/>
              <a:ln w="25383">
                <a:noFill/>
              </a:ln>
            </c:spPr>
            <c:txPr>
              <a:bodyPr rot="0" spcFirstLastPara="1" vertOverflow="ellipsis" vert="horz" wrap="square" lIns="38100" tIns="19050" rIns="38100" bIns="19050" anchor="ctr" anchorCtr="1">
                <a:spAutoFit/>
              </a:bodyPr>
              <a:lstStyle/>
              <a:p>
                <a:pPr>
                  <a:defRPr sz="1196" b="1" i="0" u="none" strike="noStrike" kern="1200" baseline="0">
                    <a:solidFill>
                      <a:schemeClr val="bg1"/>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Sheet1!$C$4:$F$4</c:f>
              <c:strCache>
                <c:ptCount val="4"/>
                <c:pt idx="0">
                  <c:v>2020 թ</c:v>
                </c:pt>
                <c:pt idx="1">
                  <c:v>2021 թ</c:v>
                </c:pt>
                <c:pt idx="2">
                  <c:v>2022 թ</c:v>
                </c:pt>
                <c:pt idx="3">
                  <c:v>2023 թ</c:v>
                </c:pt>
              </c:strCache>
            </c:strRef>
          </c:cat>
          <c:val>
            <c:numRef>
              <c:f>Sheet1!$C$9:$F$9</c:f>
              <c:numCache>
                <c:formatCode>_(* #,##0.0_);_(* \(#,##0.0\);_(* "-"??_);_(@_)</c:formatCode>
                <c:ptCount val="4"/>
                <c:pt idx="0">
                  <c:v>115.3</c:v>
                </c:pt>
                <c:pt idx="1">
                  <c:v>130.4</c:v>
                </c:pt>
                <c:pt idx="2">
                  <c:v>144.30000000000001</c:v>
                </c:pt>
                <c:pt idx="3">
                  <c:v>345.8</c:v>
                </c:pt>
              </c:numCache>
            </c:numRef>
          </c:val>
          <c:extLst>
            <c:ext xmlns:c16="http://schemas.microsoft.com/office/drawing/2014/chart" uri="{C3380CC4-5D6E-409C-BE32-E72D297353CC}">
              <c16:uniqueId val="{00000006-F9D9-4631-9EE8-F4ACEFA579C5}"/>
            </c:ext>
          </c:extLst>
        </c:ser>
        <c:dLbls>
          <c:showLegendKey val="0"/>
          <c:showVal val="0"/>
          <c:showCatName val="0"/>
          <c:showSerName val="0"/>
          <c:showPercent val="0"/>
          <c:showBubbleSize val="0"/>
        </c:dLbls>
        <c:gapWidth val="232"/>
        <c:overlap val="100"/>
        <c:axId val="-693054512"/>
        <c:axId val="-693070832"/>
      </c:barChart>
      <c:catAx>
        <c:axId val="-693072464"/>
        <c:scaling>
          <c:orientation val="minMax"/>
        </c:scaling>
        <c:delete val="0"/>
        <c:axPos val="b"/>
        <c:numFmt formatCode="General" sourceLinked="1"/>
        <c:majorTickMark val="none"/>
        <c:minorTickMark val="none"/>
        <c:tickLblPos val="nextTo"/>
        <c:spPr>
          <a:noFill/>
          <a:ln w="25383" cap="flat" cmpd="sng" algn="ctr">
            <a:solidFill>
              <a:schemeClr val="tx2">
                <a:lumMod val="50000"/>
              </a:schemeClr>
            </a:solidFill>
            <a:round/>
          </a:ln>
          <a:effectLst/>
        </c:spPr>
        <c:txPr>
          <a:bodyPr rot="-60000000" spcFirstLastPara="1" vertOverflow="ellipsis" vert="horz" wrap="square" anchor="ctr" anchorCtr="1"/>
          <a:lstStyle/>
          <a:p>
            <a:pPr>
              <a:defRPr sz="1196" b="0" i="0" u="none" strike="noStrike" kern="1200" baseline="0">
                <a:solidFill>
                  <a:schemeClr val="tx1">
                    <a:lumMod val="65000"/>
                    <a:lumOff val="35000"/>
                  </a:schemeClr>
                </a:solidFill>
                <a:latin typeface="+mn-lt"/>
                <a:ea typeface="+mn-ea"/>
                <a:cs typeface="+mn-cs"/>
              </a:defRPr>
            </a:pPr>
            <a:endParaRPr lang="en-US"/>
          </a:p>
        </c:txPr>
        <c:crossAx val="-693077904"/>
        <c:crosses val="autoZero"/>
        <c:auto val="1"/>
        <c:lblAlgn val="ctr"/>
        <c:lblOffset val="100"/>
        <c:noMultiLvlLbl val="0"/>
      </c:catAx>
      <c:valAx>
        <c:axId val="-693077904"/>
        <c:scaling>
          <c:orientation val="minMax"/>
          <c:max val="450"/>
        </c:scaling>
        <c:delete val="0"/>
        <c:axPos val="l"/>
        <c:majorGridlines>
          <c:spPr>
            <a:ln w="9518" cap="flat" cmpd="sng" algn="ctr">
              <a:solidFill>
                <a:schemeClr val="tx1">
                  <a:lumMod val="15000"/>
                  <a:lumOff val="85000"/>
                </a:schemeClr>
              </a:solidFill>
              <a:round/>
            </a:ln>
            <a:effectLst/>
          </c:spPr>
        </c:majorGridlines>
        <c:title>
          <c:tx>
            <c:rich>
              <a:bodyPr/>
              <a:lstStyle/>
              <a:p>
                <a:pPr>
                  <a:defRPr sz="1329" b="1" i="0" u="none" strike="noStrike" baseline="0">
                    <a:solidFill>
                      <a:srgbClr val="333333"/>
                    </a:solidFill>
                    <a:latin typeface="GHEA Grapalat"/>
                    <a:ea typeface="GHEA Grapalat"/>
                    <a:cs typeface="GHEA Grapalat"/>
                  </a:defRPr>
                </a:pPr>
                <a:r>
                  <a:rPr lang="hy-AM"/>
                  <a:t>մլրդ դրամ</a:t>
                </a:r>
              </a:p>
            </c:rich>
          </c:tx>
          <c:overlay val="0"/>
          <c:spPr>
            <a:noFill/>
            <a:ln w="25383">
              <a:noFill/>
            </a:ln>
          </c:spPr>
        </c:title>
        <c:numFmt formatCode="_(* #,##0.0_);_(* \(#,##0.0\);_(* &quot;-&quot;??_);_(@_)" sourceLinked="1"/>
        <c:majorTickMark val="none"/>
        <c:minorTickMark val="none"/>
        <c:tickLblPos val="nextTo"/>
        <c:spPr>
          <a:noFill/>
          <a:ln w="28555">
            <a:solidFill>
              <a:schemeClr val="tx2">
                <a:lumMod val="50000"/>
              </a:schemeClr>
            </a:solidFill>
          </a:ln>
          <a:effectLst/>
        </c:spPr>
        <c:txPr>
          <a:bodyPr rot="-60000000" spcFirstLastPara="1" vertOverflow="ellipsis" vert="horz" wrap="square" anchor="ctr" anchorCtr="1"/>
          <a:lstStyle/>
          <a:p>
            <a:pPr>
              <a:defRPr sz="1196" b="0" i="0" u="none" strike="noStrike" kern="1200" baseline="0">
                <a:solidFill>
                  <a:schemeClr val="tx1">
                    <a:lumMod val="65000"/>
                    <a:lumOff val="35000"/>
                  </a:schemeClr>
                </a:solidFill>
                <a:latin typeface="+mn-lt"/>
                <a:ea typeface="+mn-ea"/>
                <a:cs typeface="+mn-cs"/>
              </a:defRPr>
            </a:pPr>
            <a:endParaRPr lang="en-US"/>
          </a:p>
        </c:txPr>
        <c:crossAx val="-693072464"/>
        <c:crosses val="autoZero"/>
        <c:crossBetween val="between"/>
      </c:valAx>
      <c:catAx>
        <c:axId val="-693054512"/>
        <c:scaling>
          <c:orientation val="minMax"/>
        </c:scaling>
        <c:delete val="1"/>
        <c:axPos val="b"/>
        <c:numFmt formatCode="General" sourceLinked="1"/>
        <c:majorTickMark val="out"/>
        <c:minorTickMark val="none"/>
        <c:tickLblPos val="none"/>
        <c:crossAx val="-693070832"/>
        <c:crosses val="autoZero"/>
        <c:auto val="1"/>
        <c:lblAlgn val="ctr"/>
        <c:lblOffset val="100"/>
        <c:noMultiLvlLbl val="0"/>
      </c:catAx>
      <c:valAx>
        <c:axId val="-693070832"/>
        <c:scaling>
          <c:orientation val="minMax"/>
          <c:max val="1800"/>
          <c:min val="0"/>
        </c:scaling>
        <c:delete val="1"/>
        <c:axPos val="r"/>
        <c:numFmt formatCode="_(* #,##0.0_);_(* \(#,##0.0\);_(* &quot;-&quot;??_);_(@_)" sourceLinked="1"/>
        <c:majorTickMark val="out"/>
        <c:minorTickMark val="none"/>
        <c:tickLblPos val="none"/>
        <c:crossAx val="-693054512"/>
        <c:crosses val="max"/>
        <c:crossBetween val="between"/>
        <c:majorUnit val="200"/>
      </c:valAx>
      <c:spPr>
        <a:noFill/>
        <a:ln w="25383">
          <a:noFill/>
        </a:ln>
      </c:spPr>
    </c:plotArea>
    <c:legend>
      <c:legendPos val="b"/>
      <c:legendEntry>
        <c:idx val="0"/>
        <c:delete val="1"/>
      </c:legendEntry>
      <c:layout>
        <c:manualLayout>
          <c:xMode val="edge"/>
          <c:yMode val="edge"/>
          <c:x val="8.8978571708387216E-2"/>
          <c:y val="0.82125816362506932"/>
          <c:w val="0.89454930074039252"/>
          <c:h val="0.16204041658971741"/>
        </c:manualLayout>
      </c:layout>
      <c:overlay val="0"/>
      <c:spPr>
        <a:noFill/>
        <a:ln w="25383">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a:noFill/>
    </a:ln>
  </c:spPr>
  <c:txPr>
    <a:bodyPr/>
    <a:lstStyle/>
    <a:p>
      <a:pPr>
        <a:defRPr/>
      </a:pPr>
      <a:endParaRPr lang="en-US"/>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165384673736593"/>
          <c:y val="7.2607260726072612E-2"/>
          <c:w val="0.73706218803574286"/>
          <c:h val="0.54230243496790509"/>
        </c:manualLayout>
      </c:layout>
      <c:lineChart>
        <c:grouping val="standard"/>
        <c:varyColors val="0"/>
        <c:ser>
          <c:idx val="0"/>
          <c:order val="0"/>
          <c:tx>
            <c:strRef>
              <c:f>Sheet1!$B$1</c:f>
              <c:strCache>
                <c:ptCount val="1"/>
                <c:pt idx="0">
                  <c:v>Չինաստան</c:v>
                </c:pt>
              </c:strCache>
            </c:strRef>
          </c:tx>
          <c:spPr>
            <a:ln w="28575" cap="rnd">
              <a:solidFill>
                <a:schemeClr val="accent1"/>
              </a:solidFill>
              <a:round/>
            </a:ln>
            <a:effectLst/>
          </c:spPr>
          <c:marker>
            <c:symbol val="none"/>
          </c:marker>
          <c:cat>
            <c:numRef>
              <c:f>Sheet1!$A$2:$A$332</c:f>
              <c:numCache>
                <c:formatCode>m\/d\/yyyy</c:formatCode>
                <c:ptCount val="331"/>
                <c:pt idx="0">
                  <c:v>43466</c:v>
                </c:pt>
                <c:pt idx="1">
                  <c:v>43467</c:v>
                </c:pt>
                <c:pt idx="2">
                  <c:v>43468</c:v>
                </c:pt>
                <c:pt idx="3">
                  <c:v>43469</c:v>
                </c:pt>
                <c:pt idx="4">
                  <c:v>43472</c:v>
                </c:pt>
                <c:pt idx="5">
                  <c:v>43473</c:v>
                </c:pt>
                <c:pt idx="6">
                  <c:v>43474</c:v>
                </c:pt>
                <c:pt idx="7">
                  <c:v>43475</c:v>
                </c:pt>
                <c:pt idx="8">
                  <c:v>43476</c:v>
                </c:pt>
                <c:pt idx="9">
                  <c:v>43479</c:v>
                </c:pt>
                <c:pt idx="10">
                  <c:v>43480</c:v>
                </c:pt>
                <c:pt idx="11">
                  <c:v>43481</c:v>
                </c:pt>
                <c:pt idx="12">
                  <c:v>43482</c:v>
                </c:pt>
                <c:pt idx="13">
                  <c:v>43483</c:v>
                </c:pt>
                <c:pt idx="14">
                  <c:v>43486</c:v>
                </c:pt>
                <c:pt idx="15">
                  <c:v>43487</c:v>
                </c:pt>
                <c:pt idx="16">
                  <c:v>43488</c:v>
                </c:pt>
                <c:pt idx="17">
                  <c:v>43489</c:v>
                </c:pt>
                <c:pt idx="18">
                  <c:v>43490</c:v>
                </c:pt>
                <c:pt idx="19">
                  <c:v>43493</c:v>
                </c:pt>
                <c:pt idx="20">
                  <c:v>43494</c:v>
                </c:pt>
                <c:pt idx="21">
                  <c:v>43495</c:v>
                </c:pt>
                <c:pt idx="22">
                  <c:v>43496</c:v>
                </c:pt>
                <c:pt idx="23">
                  <c:v>43497</c:v>
                </c:pt>
                <c:pt idx="24">
                  <c:v>43500</c:v>
                </c:pt>
                <c:pt idx="25">
                  <c:v>43501</c:v>
                </c:pt>
                <c:pt idx="26">
                  <c:v>43502</c:v>
                </c:pt>
                <c:pt idx="27">
                  <c:v>43503</c:v>
                </c:pt>
                <c:pt idx="28">
                  <c:v>43504</c:v>
                </c:pt>
                <c:pt idx="29">
                  <c:v>43507</c:v>
                </c:pt>
                <c:pt idx="30">
                  <c:v>43508</c:v>
                </c:pt>
                <c:pt idx="31">
                  <c:v>43509</c:v>
                </c:pt>
                <c:pt idx="32">
                  <c:v>43510</c:v>
                </c:pt>
                <c:pt idx="33">
                  <c:v>43511</c:v>
                </c:pt>
                <c:pt idx="34">
                  <c:v>43514</c:v>
                </c:pt>
                <c:pt idx="35">
                  <c:v>43515</c:v>
                </c:pt>
                <c:pt idx="36">
                  <c:v>43516</c:v>
                </c:pt>
                <c:pt idx="37">
                  <c:v>43517</c:v>
                </c:pt>
                <c:pt idx="38">
                  <c:v>43518</c:v>
                </c:pt>
                <c:pt idx="39">
                  <c:v>43521</c:v>
                </c:pt>
                <c:pt idx="40">
                  <c:v>43522</c:v>
                </c:pt>
                <c:pt idx="41">
                  <c:v>43523</c:v>
                </c:pt>
                <c:pt idx="42">
                  <c:v>43524</c:v>
                </c:pt>
                <c:pt idx="43">
                  <c:v>43525</c:v>
                </c:pt>
                <c:pt idx="44">
                  <c:v>43528</c:v>
                </c:pt>
                <c:pt idx="45">
                  <c:v>43529</c:v>
                </c:pt>
                <c:pt idx="46">
                  <c:v>43530</c:v>
                </c:pt>
                <c:pt idx="47">
                  <c:v>43531</c:v>
                </c:pt>
                <c:pt idx="48">
                  <c:v>43532</c:v>
                </c:pt>
                <c:pt idx="49">
                  <c:v>43535</c:v>
                </c:pt>
                <c:pt idx="50">
                  <c:v>43536</c:v>
                </c:pt>
                <c:pt idx="51">
                  <c:v>43537</c:v>
                </c:pt>
                <c:pt idx="52">
                  <c:v>43538</c:v>
                </c:pt>
                <c:pt idx="53">
                  <c:v>43539</c:v>
                </c:pt>
                <c:pt idx="54">
                  <c:v>43542</c:v>
                </c:pt>
                <c:pt idx="55">
                  <c:v>43543</c:v>
                </c:pt>
                <c:pt idx="56">
                  <c:v>43544</c:v>
                </c:pt>
                <c:pt idx="57">
                  <c:v>43545</c:v>
                </c:pt>
                <c:pt idx="58">
                  <c:v>43546</c:v>
                </c:pt>
                <c:pt idx="59">
                  <c:v>43549</c:v>
                </c:pt>
                <c:pt idx="60">
                  <c:v>43550</c:v>
                </c:pt>
                <c:pt idx="61">
                  <c:v>43551</c:v>
                </c:pt>
                <c:pt idx="62">
                  <c:v>43552</c:v>
                </c:pt>
                <c:pt idx="63">
                  <c:v>43553</c:v>
                </c:pt>
                <c:pt idx="64">
                  <c:v>43556</c:v>
                </c:pt>
                <c:pt idx="65">
                  <c:v>43557</c:v>
                </c:pt>
                <c:pt idx="66">
                  <c:v>43558</c:v>
                </c:pt>
                <c:pt idx="67">
                  <c:v>43559</c:v>
                </c:pt>
                <c:pt idx="68">
                  <c:v>43560</c:v>
                </c:pt>
                <c:pt idx="69">
                  <c:v>43563</c:v>
                </c:pt>
                <c:pt idx="70">
                  <c:v>43564</c:v>
                </c:pt>
                <c:pt idx="71">
                  <c:v>43565</c:v>
                </c:pt>
                <c:pt idx="72">
                  <c:v>43566</c:v>
                </c:pt>
                <c:pt idx="73">
                  <c:v>43567</c:v>
                </c:pt>
                <c:pt idx="74">
                  <c:v>43570</c:v>
                </c:pt>
                <c:pt idx="75">
                  <c:v>43571</c:v>
                </c:pt>
                <c:pt idx="76">
                  <c:v>43572</c:v>
                </c:pt>
                <c:pt idx="77">
                  <c:v>43573</c:v>
                </c:pt>
                <c:pt idx="78">
                  <c:v>43574</c:v>
                </c:pt>
                <c:pt idx="79">
                  <c:v>43577</c:v>
                </c:pt>
                <c:pt idx="80">
                  <c:v>43578</c:v>
                </c:pt>
                <c:pt idx="81">
                  <c:v>43579</c:v>
                </c:pt>
                <c:pt idx="82">
                  <c:v>43580</c:v>
                </c:pt>
                <c:pt idx="83">
                  <c:v>43581</c:v>
                </c:pt>
                <c:pt idx="84">
                  <c:v>43584</c:v>
                </c:pt>
                <c:pt idx="85">
                  <c:v>43585</c:v>
                </c:pt>
                <c:pt idx="86">
                  <c:v>43586</c:v>
                </c:pt>
                <c:pt idx="87">
                  <c:v>43587</c:v>
                </c:pt>
                <c:pt idx="88">
                  <c:v>43588</c:v>
                </c:pt>
                <c:pt idx="89">
                  <c:v>43591</c:v>
                </c:pt>
                <c:pt idx="90">
                  <c:v>43592</c:v>
                </c:pt>
                <c:pt idx="91">
                  <c:v>43593</c:v>
                </c:pt>
                <c:pt idx="92">
                  <c:v>43594</c:v>
                </c:pt>
                <c:pt idx="93">
                  <c:v>43595</c:v>
                </c:pt>
                <c:pt idx="94">
                  <c:v>43598</c:v>
                </c:pt>
                <c:pt idx="95">
                  <c:v>43599</c:v>
                </c:pt>
                <c:pt idx="96">
                  <c:v>43600</c:v>
                </c:pt>
                <c:pt idx="97">
                  <c:v>43601</c:v>
                </c:pt>
                <c:pt idx="98">
                  <c:v>43602</c:v>
                </c:pt>
                <c:pt idx="99">
                  <c:v>43605</c:v>
                </c:pt>
                <c:pt idx="100">
                  <c:v>43606</c:v>
                </c:pt>
                <c:pt idx="101">
                  <c:v>43607</c:v>
                </c:pt>
                <c:pt idx="102">
                  <c:v>43608</c:v>
                </c:pt>
                <c:pt idx="103">
                  <c:v>43609</c:v>
                </c:pt>
                <c:pt idx="104">
                  <c:v>43612</c:v>
                </c:pt>
                <c:pt idx="105">
                  <c:v>43613</c:v>
                </c:pt>
                <c:pt idx="106">
                  <c:v>43614</c:v>
                </c:pt>
                <c:pt idx="107">
                  <c:v>43615</c:v>
                </c:pt>
                <c:pt idx="108">
                  <c:v>43616</c:v>
                </c:pt>
                <c:pt idx="109">
                  <c:v>43619</c:v>
                </c:pt>
                <c:pt idx="110">
                  <c:v>43620</c:v>
                </c:pt>
                <c:pt idx="111">
                  <c:v>43621</c:v>
                </c:pt>
                <c:pt idx="112">
                  <c:v>43622</c:v>
                </c:pt>
                <c:pt idx="113">
                  <c:v>43623</c:v>
                </c:pt>
                <c:pt idx="114">
                  <c:v>43626</c:v>
                </c:pt>
                <c:pt idx="115">
                  <c:v>43627</c:v>
                </c:pt>
                <c:pt idx="116">
                  <c:v>43628</c:v>
                </c:pt>
                <c:pt idx="117">
                  <c:v>43629</c:v>
                </c:pt>
                <c:pt idx="118">
                  <c:v>43630</c:v>
                </c:pt>
                <c:pt idx="119">
                  <c:v>43633</c:v>
                </c:pt>
                <c:pt idx="120">
                  <c:v>43634</c:v>
                </c:pt>
                <c:pt idx="121">
                  <c:v>43635</c:v>
                </c:pt>
                <c:pt idx="122">
                  <c:v>43636</c:v>
                </c:pt>
                <c:pt idx="123">
                  <c:v>43637</c:v>
                </c:pt>
                <c:pt idx="124">
                  <c:v>43640</c:v>
                </c:pt>
                <c:pt idx="125">
                  <c:v>43641</c:v>
                </c:pt>
                <c:pt idx="126">
                  <c:v>43642</c:v>
                </c:pt>
                <c:pt idx="127">
                  <c:v>43643</c:v>
                </c:pt>
                <c:pt idx="128">
                  <c:v>43644</c:v>
                </c:pt>
                <c:pt idx="129">
                  <c:v>43647</c:v>
                </c:pt>
                <c:pt idx="130">
                  <c:v>43648</c:v>
                </c:pt>
                <c:pt idx="131">
                  <c:v>43649</c:v>
                </c:pt>
                <c:pt idx="132">
                  <c:v>43650</c:v>
                </c:pt>
                <c:pt idx="133">
                  <c:v>43651</c:v>
                </c:pt>
                <c:pt idx="134">
                  <c:v>43654</c:v>
                </c:pt>
                <c:pt idx="135">
                  <c:v>43655</c:v>
                </c:pt>
                <c:pt idx="136">
                  <c:v>43656</c:v>
                </c:pt>
                <c:pt idx="137">
                  <c:v>43657</c:v>
                </c:pt>
                <c:pt idx="138">
                  <c:v>43658</c:v>
                </c:pt>
                <c:pt idx="139">
                  <c:v>43661</c:v>
                </c:pt>
                <c:pt idx="140">
                  <c:v>43662</c:v>
                </c:pt>
                <c:pt idx="141">
                  <c:v>43663</c:v>
                </c:pt>
                <c:pt idx="142">
                  <c:v>43664</c:v>
                </c:pt>
                <c:pt idx="143">
                  <c:v>43665</c:v>
                </c:pt>
                <c:pt idx="144">
                  <c:v>43668</c:v>
                </c:pt>
                <c:pt idx="145">
                  <c:v>43669</c:v>
                </c:pt>
                <c:pt idx="146">
                  <c:v>43670</c:v>
                </c:pt>
                <c:pt idx="147">
                  <c:v>43671</c:v>
                </c:pt>
                <c:pt idx="148">
                  <c:v>43672</c:v>
                </c:pt>
                <c:pt idx="149">
                  <c:v>43675</c:v>
                </c:pt>
                <c:pt idx="150">
                  <c:v>43676</c:v>
                </c:pt>
                <c:pt idx="151">
                  <c:v>43677</c:v>
                </c:pt>
                <c:pt idx="152">
                  <c:v>43678</c:v>
                </c:pt>
                <c:pt idx="153">
                  <c:v>43679</c:v>
                </c:pt>
                <c:pt idx="154">
                  <c:v>43682</c:v>
                </c:pt>
                <c:pt idx="155">
                  <c:v>43683</c:v>
                </c:pt>
                <c:pt idx="156">
                  <c:v>43684</c:v>
                </c:pt>
                <c:pt idx="157">
                  <c:v>43685</c:v>
                </c:pt>
                <c:pt idx="158">
                  <c:v>43686</c:v>
                </c:pt>
                <c:pt idx="159">
                  <c:v>43689</c:v>
                </c:pt>
                <c:pt idx="160">
                  <c:v>43690</c:v>
                </c:pt>
                <c:pt idx="161">
                  <c:v>43691</c:v>
                </c:pt>
                <c:pt idx="162">
                  <c:v>43692</c:v>
                </c:pt>
                <c:pt idx="163">
                  <c:v>43693</c:v>
                </c:pt>
                <c:pt idx="164">
                  <c:v>43696</c:v>
                </c:pt>
                <c:pt idx="165">
                  <c:v>43697</c:v>
                </c:pt>
                <c:pt idx="166">
                  <c:v>43698</c:v>
                </c:pt>
                <c:pt idx="167">
                  <c:v>43699</c:v>
                </c:pt>
                <c:pt idx="168">
                  <c:v>43700</c:v>
                </c:pt>
                <c:pt idx="169">
                  <c:v>43703</c:v>
                </c:pt>
                <c:pt idx="170">
                  <c:v>43704</c:v>
                </c:pt>
                <c:pt idx="171">
                  <c:v>43705</c:v>
                </c:pt>
                <c:pt idx="172">
                  <c:v>43706</c:v>
                </c:pt>
                <c:pt idx="173">
                  <c:v>43707</c:v>
                </c:pt>
                <c:pt idx="174">
                  <c:v>43710</c:v>
                </c:pt>
                <c:pt idx="175">
                  <c:v>43711</c:v>
                </c:pt>
                <c:pt idx="176">
                  <c:v>43712</c:v>
                </c:pt>
                <c:pt idx="177">
                  <c:v>43713</c:v>
                </c:pt>
                <c:pt idx="178">
                  <c:v>43714</c:v>
                </c:pt>
                <c:pt idx="179">
                  <c:v>43717</c:v>
                </c:pt>
                <c:pt idx="180">
                  <c:v>43718</c:v>
                </c:pt>
                <c:pt idx="181">
                  <c:v>43719</c:v>
                </c:pt>
                <c:pt idx="182">
                  <c:v>43720</c:v>
                </c:pt>
                <c:pt idx="183">
                  <c:v>43721</c:v>
                </c:pt>
                <c:pt idx="184">
                  <c:v>43724</c:v>
                </c:pt>
                <c:pt idx="185">
                  <c:v>43725</c:v>
                </c:pt>
                <c:pt idx="186">
                  <c:v>43726</c:v>
                </c:pt>
                <c:pt idx="187">
                  <c:v>43727</c:v>
                </c:pt>
                <c:pt idx="188">
                  <c:v>43728</c:v>
                </c:pt>
                <c:pt idx="189">
                  <c:v>43731</c:v>
                </c:pt>
                <c:pt idx="190">
                  <c:v>43732</c:v>
                </c:pt>
                <c:pt idx="191">
                  <c:v>43733</c:v>
                </c:pt>
                <c:pt idx="192">
                  <c:v>43734</c:v>
                </c:pt>
                <c:pt idx="193">
                  <c:v>43735</c:v>
                </c:pt>
                <c:pt idx="194">
                  <c:v>43738</c:v>
                </c:pt>
                <c:pt idx="195">
                  <c:v>43739</c:v>
                </c:pt>
                <c:pt idx="196">
                  <c:v>43740</c:v>
                </c:pt>
                <c:pt idx="197">
                  <c:v>43741</c:v>
                </c:pt>
                <c:pt idx="198">
                  <c:v>43742</c:v>
                </c:pt>
                <c:pt idx="199">
                  <c:v>43745</c:v>
                </c:pt>
                <c:pt idx="200">
                  <c:v>43746</c:v>
                </c:pt>
                <c:pt idx="201">
                  <c:v>43747</c:v>
                </c:pt>
                <c:pt idx="202">
                  <c:v>43748</c:v>
                </c:pt>
                <c:pt idx="203">
                  <c:v>43749</c:v>
                </c:pt>
                <c:pt idx="204">
                  <c:v>43752</c:v>
                </c:pt>
                <c:pt idx="205">
                  <c:v>43753</c:v>
                </c:pt>
                <c:pt idx="206">
                  <c:v>43754</c:v>
                </c:pt>
                <c:pt idx="207">
                  <c:v>43755</c:v>
                </c:pt>
                <c:pt idx="208">
                  <c:v>43756</c:v>
                </c:pt>
                <c:pt idx="209">
                  <c:v>43759</c:v>
                </c:pt>
                <c:pt idx="210">
                  <c:v>43760</c:v>
                </c:pt>
                <c:pt idx="211">
                  <c:v>43761</c:v>
                </c:pt>
                <c:pt idx="212">
                  <c:v>43762</c:v>
                </c:pt>
                <c:pt idx="213">
                  <c:v>43763</c:v>
                </c:pt>
                <c:pt idx="214">
                  <c:v>43766</c:v>
                </c:pt>
                <c:pt idx="215">
                  <c:v>43767</c:v>
                </c:pt>
                <c:pt idx="216">
                  <c:v>43768</c:v>
                </c:pt>
                <c:pt idx="217">
                  <c:v>43769</c:v>
                </c:pt>
                <c:pt idx="218">
                  <c:v>43770</c:v>
                </c:pt>
                <c:pt idx="219">
                  <c:v>43773</c:v>
                </c:pt>
                <c:pt idx="220">
                  <c:v>43774</c:v>
                </c:pt>
                <c:pt idx="221">
                  <c:v>43775</c:v>
                </c:pt>
                <c:pt idx="222">
                  <c:v>43776</c:v>
                </c:pt>
                <c:pt idx="223">
                  <c:v>43777</c:v>
                </c:pt>
                <c:pt idx="224">
                  <c:v>43780</c:v>
                </c:pt>
                <c:pt idx="225">
                  <c:v>43781</c:v>
                </c:pt>
                <c:pt idx="226">
                  <c:v>43782</c:v>
                </c:pt>
                <c:pt idx="227">
                  <c:v>43783</c:v>
                </c:pt>
                <c:pt idx="228">
                  <c:v>43784</c:v>
                </c:pt>
                <c:pt idx="229">
                  <c:v>43787</c:v>
                </c:pt>
                <c:pt idx="230">
                  <c:v>43788</c:v>
                </c:pt>
                <c:pt idx="231">
                  <c:v>43789</c:v>
                </c:pt>
                <c:pt idx="232">
                  <c:v>43790</c:v>
                </c:pt>
                <c:pt idx="233">
                  <c:v>43791</c:v>
                </c:pt>
                <c:pt idx="234">
                  <c:v>43794</c:v>
                </c:pt>
                <c:pt idx="235">
                  <c:v>43795</c:v>
                </c:pt>
                <c:pt idx="236">
                  <c:v>43796</c:v>
                </c:pt>
                <c:pt idx="237">
                  <c:v>43797</c:v>
                </c:pt>
                <c:pt idx="238">
                  <c:v>43798</c:v>
                </c:pt>
                <c:pt idx="239">
                  <c:v>43801</c:v>
                </c:pt>
                <c:pt idx="240">
                  <c:v>43802</c:v>
                </c:pt>
                <c:pt idx="241">
                  <c:v>43803</c:v>
                </c:pt>
                <c:pt idx="242">
                  <c:v>43804</c:v>
                </c:pt>
                <c:pt idx="243">
                  <c:v>43805</c:v>
                </c:pt>
                <c:pt idx="244">
                  <c:v>43808</c:v>
                </c:pt>
                <c:pt idx="245">
                  <c:v>43809</c:v>
                </c:pt>
                <c:pt idx="246">
                  <c:v>43810</c:v>
                </c:pt>
                <c:pt idx="247">
                  <c:v>43811</c:v>
                </c:pt>
                <c:pt idx="248">
                  <c:v>43812</c:v>
                </c:pt>
                <c:pt idx="249">
                  <c:v>43815</c:v>
                </c:pt>
                <c:pt idx="250">
                  <c:v>43816</c:v>
                </c:pt>
                <c:pt idx="251">
                  <c:v>43817</c:v>
                </c:pt>
                <c:pt idx="252">
                  <c:v>43818</c:v>
                </c:pt>
                <c:pt idx="253">
                  <c:v>43819</c:v>
                </c:pt>
                <c:pt idx="254">
                  <c:v>43822</c:v>
                </c:pt>
                <c:pt idx="255">
                  <c:v>43823</c:v>
                </c:pt>
                <c:pt idx="256">
                  <c:v>43824</c:v>
                </c:pt>
                <c:pt idx="257">
                  <c:v>43825</c:v>
                </c:pt>
                <c:pt idx="258">
                  <c:v>43826</c:v>
                </c:pt>
                <c:pt idx="259">
                  <c:v>43829</c:v>
                </c:pt>
                <c:pt idx="260">
                  <c:v>43830</c:v>
                </c:pt>
                <c:pt idx="261">
                  <c:v>43831</c:v>
                </c:pt>
                <c:pt idx="262">
                  <c:v>43832</c:v>
                </c:pt>
                <c:pt idx="263">
                  <c:v>43833</c:v>
                </c:pt>
                <c:pt idx="264">
                  <c:v>43836</c:v>
                </c:pt>
                <c:pt idx="265">
                  <c:v>43837</c:v>
                </c:pt>
                <c:pt idx="266">
                  <c:v>43838</c:v>
                </c:pt>
                <c:pt idx="267">
                  <c:v>43839</c:v>
                </c:pt>
                <c:pt idx="268">
                  <c:v>43840</c:v>
                </c:pt>
                <c:pt idx="269">
                  <c:v>43843</c:v>
                </c:pt>
                <c:pt idx="270">
                  <c:v>43844</c:v>
                </c:pt>
                <c:pt idx="271">
                  <c:v>43845</c:v>
                </c:pt>
                <c:pt idx="272">
                  <c:v>43846</c:v>
                </c:pt>
                <c:pt idx="273">
                  <c:v>43847</c:v>
                </c:pt>
                <c:pt idx="274">
                  <c:v>43850</c:v>
                </c:pt>
                <c:pt idx="275">
                  <c:v>43851</c:v>
                </c:pt>
                <c:pt idx="276">
                  <c:v>43852</c:v>
                </c:pt>
                <c:pt idx="277">
                  <c:v>43853</c:v>
                </c:pt>
                <c:pt idx="278">
                  <c:v>43854</c:v>
                </c:pt>
                <c:pt idx="279">
                  <c:v>43857</c:v>
                </c:pt>
                <c:pt idx="280">
                  <c:v>43858</c:v>
                </c:pt>
                <c:pt idx="281">
                  <c:v>43859</c:v>
                </c:pt>
                <c:pt idx="282">
                  <c:v>43860</c:v>
                </c:pt>
                <c:pt idx="283">
                  <c:v>43861</c:v>
                </c:pt>
                <c:pt idx="284">
                  <c:v>43864</c:v>
                </c:pt>
                <c:pt idx="285">
                  <c:v>43865</c:v>
                </c:pt>
                <c:pt idx="286">
                  <c:v>43866</c:v>
                </c:pt>
                <c:pt idx="287">
                  <c:v>43867</c:v>
                </c:pt>
                <c:pt idx="288">
                  <c:v>43868</c:v>
                </c:pt>
                <c:pt idx="289">
                  <c:v>43871</c:v>
                </c:pt>
                <c:pt idx="290">
                  <c:v>43872</c:v>
                </c:pt>
                <c:pt idx="291">
                  <c:v>43873</c:v>
                </c:pt>
                <c:pt idx="292">
                  <c:v>43874</c:v>
                </c:pt>
                <c:pt idx="293">
                  <c:v>43875</c:v>
                </c:pt>
                <c:pt idx="294">
                  <c:v>43878</c:v>
                </c:pt>
                <c:pt idx="295">
                  <c:v>43879</c:v>
                </c:pt>
                <c:pt idx="296">
                  <c:v>43880</c:v>
                </c:pt>
                <c:pt idx="297">
                  <c:v>43881</c:v>
                </c:pt>
                <c:pt idx="298">
                  <c:v>43882</c:v>
                </c:pt>
                <c:pt idx="299">
                  <c:v>43885</c:v>
                </c:pt>
                <c:pt idx="300">
                  <c:v>43886</c:v>
                </c:pt>
                <c:pt idx="301">
                  <c:v>43887</c:v>
                </c:pt>
                <c:pt idx="302">
                  <c:v>43888</c:v>
                </c:pt>
                <c:pt idx="303">
                  <c:v>43889</c:v>
                </c:pt>
                <c:pt idx="304">
                  <c:v>43892</c:v>
                </c:pt>
                <c:pt idx="305">
                  <c:v>43893</c:v>
                </c:pt>
                <c:pt idx="306">
                  <c:v>43894</c:v>
                </c:pt>
                <c:pt idx="307">
                  <c:v>43895</c:v>
                </c:pt>
                <c:pt idx="308">
                  <c:v>43896</c:v>
                </c:pt>
                <c:pt idx="309">
                  <c:v>43899</c:v>
                </c:pt>
                <c:pt idx="310">
                  <c:v>43900</c:v>
                </c:pt>
                <c:pt idx="311">
                  <c:v>43901</c:v>
                </c:pt>
                <c:pt idx="312">
                  <c:v>43902</c:v>
                </c:pt>
                <c:pt idx="313">
                  <c:v>43903</c:v>
                </c:pt>
                <c:pt idx="314">
                  <c:v>43906</c:v>
                </c:pt>
                <c:pt idx="315">
                  <c:v>43907</c:v>
                </c:pt>
                <c:pt idx="316">
                  <c:v>43908</c:v>
                </c:pt>
                <c:pt idx="317">
                  <c:v>43909</c:v>
                </c:pt>
                <c:pt idx="318">
                  <c:v>43910</c:v>
                </c:pt>
                <c:pt idx="319">
                  <c:v>43913</c:v>
                </c:pt>
                <c:pt idx="320">
                  <c:v>43914</c:v>
                </c:pt>
                <c:pt idx="321">
                  <c:v>43915</c:v>
                </c:pt>
                <c:pt idx="322">
                  <c:v>43916</c:v>
                </c:pt>
                <c:pt idx="323">
                  <c:v>43917</c:v>
                </c:pt>
                <c:pt idx="324">
                  <c:v>43920</c:v>
                </c:pt>
                <c:pt idx="325">
                  <c:v>43921</c:v>
                </c:pt>
                <c:pt idx="326">
                  <c:v>43922</c:v>
                </c:pt>
                <c:pt idx="327">
                  <c:v>43923</c:v>
                </c:pt>
                <c:pt idx="328">
                  <c:v>43924</c:v>
                </c:pt>
                <c:pt idx="329">
                  <c:v>43927</c:v>
                </c:pt>
                <c:pt idx="330">
                  <c:v>43928</c:v>
                </c:pt>
              </c:numCache>
            </c:numRef>
          </c:cat>
          <c:val>
            <c:numRef>
              <c:f>Sheet1!$B$2:$B$332</c:f>
              <c:numCache>
                <c:formatCode>General</c:formatCode>
                <c:ptCount val="331"/>
                <c:pt idx="0">
                  <c:v>190</c:v>
                </c:pt>
                <c:pt idx="1">
                  <c:v>189</c:v>
                </c:pt>
                <c:pt idx="2">
                  <c:v>195</c:v>
                </c:pt>
                <c:pt idx="3">
                  <c:v>188</c:v>
                </c:pt>
                <c:pt idx="4">
                  <c:v>187</c:v>
                </c:pt>
                <c:pt idx="5">
                  <c:v>186</c:v>
                </c:pt>
                <c:pt idx="6">
                  <c:v>185</c:v>
                </c:pt>
                <c:pt idx="7">
                  <c:v>185</c:v>
                </c:pt>
                <c:pt idx="8">
                  <c:v>186</c:v>
                </c:pt>
                <c:pt idx="9">
                  <c:v>184</c:v>
                </c:pt>
                <c:pt idx="10">
                  <c:v>184</c:v>
                </c:pt>
                <c:pt idx="11">
                  <c:v>185</c:v>
                </c:pt>
                <c:pt idx="12">
                  <c:v>182</c:v>
                </c:pt>
                <c:pt idx="13">
                  <c:v>182</c:v>
                </c:pt>
                <c:pt idx="14">
                  <c:v>182</c:v>
                </c:pt>
                <c:pt idx="15">
                  <c:v>181</c:v>
                </c:pt>
                <c:pt idx="16">
                  <c:v>181</c:v>
                </c:pt>
                <c:pt idx="17">
                  <c:v>180</c:v>
                </c:pt>
                <c:pt idx="18">
                  <c:v>177</c:v>
                </c:pt>
                <c:pt idx="19">
                  <c:v>179</c:v>
                </c:pt>
                <c:pt idx="20">
                  <c:v>180</c:v>
                </c:pt>
                <c:pt idx="21">
                  <c:v>181</c:v>
                </c:pt>
                <c:pt idx="22">
                  <c:v>187</c:v>
                </c:pt>
                <c:pt idx="23">
                  <c:v>182</c:v>
                </c:pt>
                <c:pt idx="24">
                  <c:v>183</c:v>
                </c:pt>
                <c:pt idx="25">
                  <c:v>184</c:v>
                </c:pt>
                <c:pt idx="26">
                  <c:v>183</c:v>
                </c:pt>
                <c:pt idx="27">
                  <c:v>184</c:v>
                </c:pt>
                <c:pt idx="28">
                  <c:v>184</c:v>
                </c:pt>
                <c:pt idx="29">
                  <c:v>184</c:v>
                </c:pt>
                <c:pt idx="30">
                  <c:v>183</c:v>
                </c:pt>
                <c:pt idx="31">
                  <c:v>182</c:v>
                </c:pt>
                <c:pt idx="32">
                  <c:v>184</c:v>
                </c:pt>
                <c:pt idx="33">
                  <c:v>182</c:v>
                </c:pt>
                <c:pt idx="34">
                  <c:v>182</c:v>
                </c:pt>
                <c:pt idx="35">
                  <c:v>183</c:v>
                </c:pt>
                <c:pt idx="36">
                  <c:v>181</c:v>
                </c:pt>
                <c:pt idx="37">
                  <c:v>181</c:v>
                </c:pt>
                <c:pt idx="38">
                  <c:v>183</c:v>
                </c:pt>
                <c:pt idx="39">
                  <c:v>182</c:v>
                </c:pt>
                <c:pt idx="40">
                  <c:v>183</c:v>
                </c:pt>
                <c:pt idx="41">
                  <c:v>180</c:v>
                </c:pt>
                <c:pt idx="42">
                  <c:v>178</c:v>
                </c:pt>
                <c:pt idx="43">
                  <c:v>178</c:v>
                </c:pt>
                <c:pt idx="44">
                  <c:v>179</c:v>
                </c:pt>
                <c:pt idx="45">
                  <c:v>180</c:v>
                </c:pt>
                <c:pt idx="46">
                  <c:v>178</c:v>
                </c:pt>
                <c:pt idx="47">
                  <c:v>180</c:v>
                </c:pt>
                <c:pt idx="48">
                  <c:v>179</c:v>
                </c:pt>
                <c:pt idx="49">
                  <c:v>179</c:v>
                </c:pt>
                <c:pt idx="50">
                  <c:v>180</c:v>
                </c:pt>
                <c:pt idx="51">
                  <c:v>179</c:v>
                </c:pt>
                <c:pt idx="52">
                  <c:v>177</c:v>
                </c:pt>
                <c:pt idx="53">
                  <c:v>178</c:v>
                </c:pt>
                <c:pt idx="54">
                  <c:v>175</c:v>
                </c:pt>
                <c:pt idx="55">
                  <c:v>175</c:v>
                </c:pt>
                <c:pt idx="56">
                  <c:v>181</c:v>
                </c:pt>
                <c:pt idx="57">
                  <c:v>174</c:v>
                </c:pt>
                <c:pt idx="58">
                  <c:v>176</c:v>
                </c:pt>
                <c:pt idx="59">
                  <c:v>178</c:v>
                </c:pt>
                <c:pt idx="60">
                  <c:v>178</c:v>
                </c:pt>
                <c:pt idx="61">
                  <c:v>175</c:v>
                </c:pt>
                <c:pt idx="62">
                  <c:v>174</c:v>
                </c:pt>
                <c:pt idx="63">
                  <c:v>177</c:v>
                </c:pt>
                <c:pt idx="64">
                  <c:v>173</c:v>
                </c:pt>
                <c:pt idx="65">
                  <c:v>175</c:v>
                </c:pt>
                <c:pt idx="66">
                  <c:v>175</c:v>
                </c:pt>
                <c:pt idx="67">
                  <c:v>174</c:v>
                </c:pt>
                <c:pt idx="68">
                  <c:v>176</c:v>
                </c:pt>
                <c:pt idx="69">
                  <c:v>175</c:v>
                </c:pt>
                <c:pt idx="70">
                  <c:v>176</c:v>
                </c:pt>
                <c:pt idx="71">
                  <c:v>177</c:v>
                </c:pt>
                <c:pt idx="72">
                  <c:v>174</c:v>
                </c:pt>
                <c:pt idx="73">
                  <c:v>174</c:v>
                </c:pt>
                <c:pt idx="74">
                  <c:v>175</c:v>
                </c:pt>
                <c:pt idx="75">
                  <c:v>173</c:v>
                </c:pt>
                <c:pt idx="76">
                  <c:v>174</c:v>
                </c:pt>
                <c:pt idx="77">
                  <c:v>174</c:v>
                </c:pt>
                <c:pt idx="78">
                  <c:v>174</c:v>
                </c:pt>
                <c:pt idx="79">
                  <c:v>173</c:v>
                </c:pt>
                <c:pt idx="80">
                  <c:v>175</c:v>
                </c:pt>
                <c:pt idx="81">
                  <c:v>175</c:v>
                </c:pt>
                <c:pt idx="82">
                  <c:v>174</c:v>
                </c:pt>
                <c:pt idx="83">
                  <c:v>175</c:v>
                </c:pt>
                <c:pt idx="84">
                  <c:v>172</c:v>
                </c:pt>
                <c:pt idx="85">
                  <c:v>175</c:v>
                </c:pt>
                <c:pt idx="86">
                  <c:v>172</c:v>
                </c:pt>
                <c:pt idx="87">
                  <c:v>172</c:v>
                </c:pt>
                <c:pt idx="88">
                  <c:v>174</c:v>
                </c:pt>
                <c:pt idx="89">
                  <c:v>174</c:v>
                </c:pt>
                <c:pt idx="90">
                  <c:v>175</c:v>
                </c:pt>
                <c:pt idx="91">
                  <c:v>172</c:v>
                </c:pt>
                <c:pt idx="92">
                  <c:v>174</c:v>
                </c:pt>
                <c:pt idx="93">
                  <c:v>174</c:v>
                </c:pt>
                <c:pt idx="94">
                  <c:v>176</c:v>
                </c:pt>
                <c:pt idx="95">
                  <c:v>175</c:v>
                </c:pt>
                <c:pt idx="96">
                  <c:v>176</c:v>
                </c:pt>
                <c:pt idx="97">
                  <c:v>176</c:v>
                </c:pt>
                <c:pt idx="98">
                  <c:v>176</c:v>
                </c:pt>
                <c:pt idx="99">
                  <c:v>175</c:v>
                </c:pt>
                <c:pt idx="100">
                  <c:v>176</c:v>
                </c:pt>
                <c:pt idx="101">
                  <c:v>178</c:v>
                </c:pt>
                <c:pt idx="102">
                  <c:v>181</c:v>
                </c:pt>
                <c:pt idx="103">
                  <c:v>178</c:v>
                </c:pt>
                <c:pt idx="104">
                  <c:v>178</c:v>
                </c:pt>
                <c:pt idx="105">
                  <c:v>179</c:v>
                </c:pt>
                <c:pt idx="106">
                  <c:v>179</c:v>
                </c:pt>
                <c:pt idx="107">
                  <c:v>182</c:v>
                </c:pt>
                <c:pt idx="108">
                  <c:v>182</c:v>
                </c:pt>
                <c:pt idx="109">
                  <c:v>184</c:v>
                </c:pt>
                <c:pt idx="110">
                  <c:v>181</c:v>
                </c:pt>
                <c:pt idx="111">
                  <c:v>181</c:v>
                </c:pt>
                <c:pt idx="112">
                  <c:v>179</c:v>
                </c:pt>
                <c:pt idx="113">
                  <c:v>183</c:v>
                </c:pt>
                <c:pt idx="114">
                  <c:v>180</c:v>
                </c:pt>
                <c:pt idx="115">
                  <c:v>180</c:v>
                </c:pt>
                <c:pt idx="116">
                  <c:v>180</c:v>
                </c:pt>
                <c:pt idx="117">
                  <c:v>181</c:v>
                </c:pt>
                <c:pt idx="118">
                  <c:v>178</c:v>
                </c:pt>
                <c:pt idx="119">
                  <c:v>181</c:v>
                </c:pt>
                <c:pt idx="120">
                  <c:v>179</c:v>
                </c:pt>
                <c:pt idx="121">
                  <c:v>183</c:v>
                </c:pt>
                <c:pt idx="122">
                  <c:v>179</c:v>
                </c:pt>
                <c:pt idx="123">
                  <c:v>177</c:v>
                </c:pt>
                <c:pt idx="124">
                  <c:v>179</c:v>
                </c:pt>
                <c:pt idx="125">
                  <c:v>180</c:v>
                </c:pt>
                <c:pt idx="126">
                  <c:v>178</c:v>
                </c:pt>
                <c:pt idx="127">
                  <c:v>180</c:v>
                </c:pt>
                <c:pt idx="128">
                  <c:v>180</c:v>
                </c:pt>
                <c:pt idx="129">
                  <c:v>179</c:v>
                </c:pt>
                <c:pt idx="130">
                  <c:v>180</c:v>
                </c:pt>
                <c:pt idx="131">
                  <c:v>180</c:v>
                </c:pt>
                <c:pt idx="132">
                  <c:v>180</c:v>
                </c:pt>
                <c:pt idx="133">
                  <c:v>174</c:v>
                </c:pt>
                <c:pt idx="134">
                  <c:v>176</c:v>
                </c:pt>
                <c:pt idx="135">
                  <c:v>176</c:v>
                </c:pt>
                <c:pt idx="136">
                  <c:v>179</c:v>
                </c:pt>
                <c:pt idx="137">
                  <c:v>175</c:v>
                </c:pt>
                <c:pt idx="138">
                  <c:v>177</c:v>
                </c:pt>
                <c:pt idx="139">
                  <c:v>177</c:v>
                </c:pt>
                <c:pt idx="140">
                  <c:v>176</c:v>
                </c:pt>
                <c:pt idx="141">
                  <c:v>178</c:v>
                </c:pt>
                <c:pt idx="142">
                  <c:v>179</c:v>
                </c:pt>
                <c:pt idx="143">
                  <c:v>177</c:v>
                </c:pt>
                <c:pt idx="144">
                  <c:v>177</c:v>
                </c:pt>
                <c:pt idx="145">
                  <c:v>176</c:v>
                </c:pt>
                <c:pt idx="146">
                  <c:v>177</c:v>
                </c:pt>
                <c:pt idx="147">
                  <c:v>174</c:v>
                </c:pt>
                <c:pt idx="148">
                  <c:v>176</c:v>
                </c:pt>
                <c:pt idx="149">
                  <c:v>175</c:v>
                </c:pt>
                <c:pt idx="150">
                  <c:v>175</c:v>
                </c:pt>
                <c:pt idx="151">
                  <c:v>179</c:v>
                </c:pt>
                <c:pt idx="152">
                  <c:v>185</c:v>
                </c:pt>
                <c:pt idx="153">
                  <c:v>181</c:v>
                </c:pt>
                <c:pt idx="154">
                  <c:v>187</c:v>
                </c:pt>
                <c:pt idx="155">
                  <c:v>185</c:v>
                </c:pt>
                <c:pt idx="156">
                  <c:v>184</c:v>
                </c:pt>
                <c:pt idx="157">
                  <c:v>185</c:v>
                </c:pt>
                <c:pt idx="158">
                  <c:v>183</c:v>
                </c:pt>
                <c:pt idx="159">
                  <c:v>185</c:v>
                </c:pt>
                <c:pt idx="160">
                  <c:v>181</c:v>
                </c:pt>
                <c:pt idx="161">
                  <c:v>183</c:v>
                </c:pt>
                <c:pt idx="162">
                  <c:v>184</c:v>
                </c:pt>
                <c:pt idx="163">
                  <c:v>185</c:v>
                </c:pt>
                <c:pt idx="164">
                  <c:v>183</c:v>
                </c:pt>
                <c:pt idx="165">
                  <c:v>185</c:v>
                </c:pt>
                <c:pt idx="166">
                  <c:v>183</c:v>
                </c:pt>
                <c:pt idx="167">
                  <c:v>182</c:v>
                </c:pt>
                <c:pt idx="168">
                  <c:v>186</c:v>
                </c:pt>
                <c:pt idx="169">
                  <c:v>183</c:v>
                </c:pt>
                <c:pt idx="170">
                  <c:v>184</c:v>
                </c:pt>
                <c:pt idx="171">
                  <c:v>183</c:v>
                </c:pt>
                <c:pt idx="172">
                  <c:v>183</c:v>
                </c:pt>
                <c:pt idx="173">
                  <c:v>187</c:v>
                </c:pt>
                <c:pt idx="174">
                  <c:v>187</c:v>
                </c:pt>
                <c:pt idx="175">
                  <c:v>188</c:v>
                </c:pt>
                <c:pt idx="176">
                  <c:v>190</c:v>
                </c:pt>
                <c:pt idx="177">
                  <c:v>185</c:v>
                </c:pt>
                <c:pt idx="178">
                  <c:v>188</c:v>
                </c:pt>
                <c:pt idx="179">
                  <c:v>185</c:v>
                </c:pt>
                <c:pt idx="180">
                  <c:v>182</c:v>
                </c:pt>
                <c:pt idx="181">
                  <c:v>184</c:v>
                </c:pt>
                <c:pt idx="182">
                  <c:v>181</c:v>
                </c:pt>
                <c:pt idx="183">
                  <c:v>179</c:v>
                </c:pt>
                <c:pt idx="184">
                  <c:v>182</c:v>
                </c:pt>
                <c:pt idx="185">
                  <c:v>183</c:v>
                </c:pt>
                <c:pt idx="186">
                  <c:v>181</c:v>
                </c:pt>
                <c:pt idx="187">
                  <c:v>181</c:v>
                </c:pt>
                <c:pt idx="188">
                  <c:v>184</c:v>
                </c:pt>
                <c:pt idx="189">
                  <c:v>182</c:v>
                </c:pt>
                <c:pt idx="190">
                  <c:v>185</c:v>
                </c:pt>
                <c:pt idx="191">
                  <c:v>180</c:v>
                </c:pt>
                <c:pt idx="192">
                  <c:v>184</c:v>
                </c:pt>
                <c:pt idx="193">
                  <c:v>186</c:v>
                </c:pt>
                <c:pt idx="194">
                  <c:v>186</c:v>
                </c:pt>
                <c:pt idx="195">
                  <c:v>187</c:v>
                </c:pt>
                <c:pt idx="196">
                  <c:v>188</c:v>
                </c:pt>
                <c:pt idx="197">
                  <c:v>191</c:v>
                </c:pt>
                <c:pt idx="198">
                  <c:v>190</c:v>
                </c:pt>
                <c:pt idx="199">
                  <c:v>187</c:v>
                </c:pt>
                <c:pt idx="200">
                  <c:v>188</c:v>
                </c:pt>
                <c:pt idx="201">
                  <c:v>189</c:v>
                </c:pt>
                <c:pt idx="202">
                  <c:v>186</c:v>
                </c:pt>
                <c:pt idx="203">
                  <c:v>185</c:v>
                </c:pt>
                <c:pt idx="204">
                  <c:v>185</c:v>
                </c:pt>
                <c:pt idx="205">
                  <c:v>184</c:v>
                </c:pt>
                <c:pt idx="206">
                  <c:v>186</c:v>
                </c:pt>
                <c:pt idx="207">
                  <c:v>186</c:v>
                </c:pt>
                <c:pt idx="208">
                  <c:v>187</c:v>
                </c:pt>
                <c:pt idx="209">
                  <c:v>185</c:v>
                </c:pt>
                <c:pt idx="210">
                  <c:v>186</c:v>
                </c:pt>
                <c:pt idx="211">
                  <c:v>184</c:v>
                </c:pt>
                <c:pt idx="212">
                  <c:v>185</c:v>
                </c:pt>
                <c:pt idx="213">
                  <c:v>184</c:v>
                </c:pt>
                <c:pt idx="214">
                  <c:v>184</c:v>
                </c:pt>
                <c:pt idx="215">
                  <c:v>184</c:v>
                </c:pt>
                <c:pt idx="216">
                  <c:v>186</c:v>
                </c:pt>
                <c:pt idx="217">
                  <c:v>177</c:v>
                </c:pt>
                <c:pt idx="218">
                  <c:v>175</c:v>
                </c:pt>
                <c:pt idx="219">
                  <c:v>175</c:v>
                </c:pt>
                <c:pt idx="220">
                  <c:v>173</c:v>
                </c:pt>
                <c:pt idx="221">
                  <c:v>175</c:v>
                </c:pt>
                <c:pt idx="222">
                  <c:v>172</c:v>
                </c:pt>
                <c:pt idx="223">
                  <c:v>174</c:v>
                </c:pt>
                <c:pt idx="224">
                  <c:v>174</c:v>
                </c:pt>
                <c:pt idx="225">
                  <c:v>175</c:v>
                </c:pt>
                <c:pt idx="226">
                  <c:v>174</c:v>
                </c:pt>
                <c:pt idx="227">
                  <c:v>175</c:v>
                </c:pt>
                <c:pt idx="228">
                  <c:v>174</c:v>
                </c:pt>
                <c:pt idx="229">
                  <c:v>176</c:v>
                </c:pt>
                <c:pt idx="230">
                  <c:v>175</c:v>
                </c:pt>
                <c:pt idx="231">
                  <c:v>175</c:v>
                </c:pt>
                <c:pt idx="232">
                  <c:v>174</c:v>
                </c:pt>
                <c:pt idx="233">
                  <c:v>173</c:v>
                </c:pt>
                <c:pt idx="234">
                  <c:v>175</c:v>
                </c:pt>
                <c:pt idx="235">
                  <c:v>175</c:v>
                </c:pt>
                <c:pt idx="236">
                  <c:v>173</c:v>
                </c:pt>
                <c:pt idx="237">
                  <c:v>173</c:v>
                </c:pt>
                <c:pt idx="238">
                  <c:v>180</c:v>
                </c:pt>
                <c:pt idx="239">
                  <c:v>181</c:v>
                </c:pt>
                <c:pt idx="240">
                  <c:v>184</c:v>
                </c:pt>
                <c:pt idx="241">
                  <c:v>180</c:v>
                </c:pt>
                <c:pt idx="242">
                  <c:v>181</c:v>
                </c:pt>
                <c:pt idx="243">
                  <c:v>179</c:v>
                </c:pt>
                <c:pt idx="244">
                  <c:v>181</c:v>
                </c:pt>
                <c:pt idx="245">
                  <c:v>180</c:v>
                </c:pt>
                <c:pt idx="246">
                  <c:v>182</c:v>
                </c:pt>
                <c:pt idx="247">
                  <c:v>176</c:v>
                </c:pt>
                <c:pt idx="248">
                  <c:v>179</c:v>
                </c:pt>
                <c:pt idx="249">
                  <c:v>176</c:v>
                </c:pt>
                <c:pt idx="250">
                  <c:v>175</c:v>
                </c:pt>
                <c:pt idx="251">
                  <c:v>175</c:v>
                </c:pt>
                <c:pt idx="252">
                  <c:v>177</c:v>
                </c:pt>
                <c:pt idx="253">
                  <c:v>177</c:v>
                </c:pt>
                <c:pt idx="254">
                  <c:v>174</c:v>
                </c:pt>
                <c:pt idx="255">
                  <c:v>178</c:v>
                </c:pt>
                <c:pt idx="256">
                  <c:v>178</c:v>
                </c:pt>
                <c:pt idx="257">
                  <c:v>176</c:v>
                </c:pt>
                <c:pt idx="258">
                  <c:v>177</c:v>
                </c:pt>
                <c:pt idx="259">
                  <c:v>178</c:v>
                </c:pt>
                <c:pt idx="260">
                  <c:v>175</c:v>
                </c:pt>
                <c:pt idx="261">
                  <c:v>175</c:v>
                </c:pt>
                <c:pt idx="262">
                  <c:v>176</c:v>
                </c:pt>
                <c:pt idx="263">
                  <c:v>176</c:v>
                </c:pt>
                <c:pt idx="264">
                  <c:v>174</c:v>
                </c:pt>
                <c:pt idx="265">
                  <c:v>175</c:v>
                </c:pt>
                <c:pt idx="266">
                  <c:v>173</c:v>
                </c:pt>
                <c:pt idx="267">
                  <c:v>176</c:v>
                </c:pt>
                <c:pt idx="268">
                  <c:v>177</c:v>
                </c:pt>
                <c:pt idx="269">
                  <c:v>174</c:v>
                </c:pt>
                <c:pt idx="270">
                  <c:v>174</c:v>
                </c:pt>
                <c:pt idx="271">
                  <c:v>173</c:v>
                </c:pt>
                <c:pt idx="272">
                  <c:v>172</c:v>
                </c:pt>
                <c:pt idx="273">
                  <c:v>172</c:v>
                </c:pt>
                <c:pt idx="274">
                  <c:v>172</c:v>
                </c:pt>
                <c:pt idx="275">
                  <c:v>173</c:v>
                </c:pt>
                <c:pt idx="276">
                  <c:v>173</c:v>
                </c:pt>
                <c:pt idx="277">
                  <c:v>173</c:v>
                </c:pt>
                <c:pt idx="278">
                  <c:v>175</c:v>
                </c:pt>
                <c:pt idx="279">
                  <c:v>175</c:v>
                </c:pt>
                <c:pt idx="280">
                  <c:v>173</c:v>
                </c:pt>
                <c:pt idx="281">
                  <c:v>178</c:v>
                </c:pt>
                <c:pt idx="282">
                  <c:v>178</c:v>
                </c:pt>
                <c:pt idx="283">
                  <c:v>172</c:v>
                </c:pt>
                <c:pt idx="284">
                  <c:v>171</c:v>
                </c:pt>
                <c:pt idx="285">
                  <c:v>168</c:v>
                </c:pt>
                <c:pt idx="286">
                  <c:v>168</c:v>
                </c:pt>
                <c:pt idx="287">
                  <c:v>167</c:v>
                </c:pt>
                <c:pt idx="288">
                  <c:v>169</c:v>
                </c:pt>
                <c:pt idx="289">
                  <c:v>170</c:v>
                </c:pt>
                <c:pt idx="290">
                  <c:v>169</c:v>
                </c:pt>
                <c:pt idx="291">
                  <c:v>166</c:v>
                </c:pt>
                <c:pt idx="292">
                  <c:v>166</c:v>
                </c:pt>
                <c:pt idx="293">
                  <c:v>167</c:v>
                </c:pt>
                <c:pt idx="294">
                  <c:v>167</c:v>
                </c:pt>
                <c:pt idx="295">
                  <c:v>166</c:v>
                </c:pt>
                <c:pt idx="296">
                  <c:v>166</c:v>
                </c:pt>
                <c:pt idx="297">
                  <c:v>168</c:v>
                </c:pt>
                <c:pt idx="298">
                  <c:v>169</c:v>
                </c:pt>
                <c:pt idx="299">
                  <c:v>170</c:v>
                </c:pt>
                <c:pt idx="300">
                  <c:v>171</c:v>
                </c:pt>
                <c:pt idx="301">
                  <c:v>173</c:v>
                </c:pt>
                <c:pt idx="302">
                  <c:v>170</c:v>
                </c:pt>
                <c:pt idx="303">
                  <c:v>178</c:v>
                </c:pt>
                <c:pt idx="304">
                  <c:v>175</c:v>
                </c:pt>
                <c:pt idx="305">
                  <c:v>184</c:v>
                </c:pt>
                <c:pt idx="306">
                  <c:v>180</c:v>
                </c:pt>
                <c:pt idx="307">
                  <c:v>181</c:v>
                </c:pt>
                <c:pt idx="308">
                  <c:v>187</c:v>
                </c:pt>
                <c:pt idx="309">
                  <c:v>197</c:v>
                </c:pt>
                <c:pt idx="310">
                  <c:v>193</c:v>
                </c:pt>
                <c:pt idx="311">
                  <c:v>194</c:v>
                </c:pt>
                <c:pt idx="312">
                  <c:v>204</c:v>
                </c:pt>
                <c:pt idx="313">
                  <c:v>212</c:v>
                </c:pt>
                <c:pt idx="314">
                  <c:v>218</c:v>
                </c:pt>
                <c:pt idx="315">
                  <c:v>218</c:v>
                </c:pt>
                <c:pt idx="316">
                  <c:v>229</c:v>
                </c:pt>
                <c:pt idx="317">
                  <c:v>246</c:v>
                </c:pt>
                <c:pt idx="318">
                  <c:v>254</c:v>
                </c:pt>
                <c:pt idx="319">
                  <c:v>266</c:v>
                </c:pt>
                <c:pt idx="320">
                  <c:v>259</c:v>
                </c:pt>
                <c:pt idx="321">
                  <c:v>253</c:v>
                </c:pt>
                <c:pt idx="322">
                  <c:v>247</c:v>
                </c:pt>
                <c:pt idx="323">
                  <c:v>243</c:v>
                </c:pt>
                <c:pt idx="324">
                  <c:v>245</c:v>
                </c:pt>
                <c:pt idx="325">
                  <c:v>242</c:v>
                </c:pt>
                <c:pt idx="326">
                  <c:v>244</c:v>
                </c:pt>
                <c:pt idx="327">
                  <c:v>244</c:v>
                </c:pt>
                <c:pt idx="328">
                  <c:v>245</c:v>
                </c:pt>
                <c:pt idx="329">
                  <c:v>243</c:v>
                </c:pt>
                <c:pt idx="330">
                  <c:v>242</c:v>
                </c:pt>
              </c:numCache>
            </c:numRef>
          </c:val>
          <c:smooth val="0"/>
          <c:extLst>
            <c:ext xmlns:c16="http://schemas.microsoft.com/office/drawing/2014/chart" uri="{C3380CC4-5D6E-409C-BE32-E72D297353CC}">
              <c16:uniqueId val="{00000000-03F2-47BD-83F8-78F2959E3570}"/>
            </c:ext>
          </c:extLst>
        </c:ser>
        <c:ser>
          <c:idx val="1"/>
          <c:order val="1"/>
          <c:tx>
            <c:strRef>
              <c:f>Sheet1!$C$1</c:f>
              <c:strCache>
                <c:ptCount val="1"/>
                <c:pt idx="0">
                  <c:v>Զարգացող երկրներ</c:v>
                </c:pt>
              </c:strCache>
            </c:strRef>
          </c:tx>
          <c:spPr>
            <a:ln w="28575" cap="rnd">
              <a:solidFill>
                <a:schemeClr val="accent2"/>
              </a:solidFill>
              <a:round/>
            </a:ln>
            <a:effectLst/>
          </c:spPr>
          <c:marker>
            <c:symbol val="none"/>
          </c:marker>
          <c:cat>
            <c:numRef>
              <c:f>Sheet1!$A$2:$A$332</c:f>
              <c:numCache>
                <c:formatCode>m\/d\/yyyy</c:formatCode>
                <c:ptCount val="331"/>
                <c:pt idx="0">
                  <c:v>43466</c:v>
                </c:pt>
                <c:pt idx="1">
                  <c:v>43467</c:v>
                </c:pt>
                <c:pt idx="2">
                  <c:v>43468</c:v>
                </c:pt>
                <c:pt idx="3">
                  <c:v>43469</c:v>
                </c:pt>
                <c:pt idx="4">
                  <c:v>43472</c:v>
                </c:pt>
                <c:pt idx="5">
                  <c:v>43473</c:v>
                </c:pt>
                <c:pt idx="6">
                  <c:v>43474</c:v>
                </c:pt>
                <c:pt idx="7">
                  <c:v>43475</c:v>
                </c:pt>
                <c:pt idx="8">
                  <c:v>43476</c:v>
                </c:pt>
                <c:pt idx="9">
                  <c:v>43479</c:v>
                </c:pt>
                <c:pt idx="10">
                  <c:v>43480</c:v>
                </c:pt>
                <c:pt idx="11">
                  <c:v>43481</c:v>
                </c:pt>
                <c:pt idx="12">
                  <c:v>43482</c:v>
                </c:pt>
                <c:pt idx="13">
                  <c:v>43483</c:v>
                </c:pt>
                <c:pt idx="14">
                  <c:v>43486</c:v>
                </c:pt>
                <c:pt idx="15">
                  <c:v>43487</c:v>
                </c:pt>
                <c:pt idx="16">
                  <c:v>43488</c:v>
                </c:pt>
                <c:pt idx="17">
                  <c:v>43489</c:v>
                </c:pt>
                <c:pt idx="18">
                  <c:v>43490</c:v>
                </c:pt>
                <c:pt idx="19">
                  <c:v>43493</c:v>
                </c:pt>
                <c:pt idx="20">
                  <c:v>43494</c:v>
                </c:pt>
                <c:pt idx="21">
                  <c:v>43495</c:v>
                </c:pt>
                <c:pt idx="22">
                  <c:v>43496</c:v>
                </c:pt>
                <c:pt idx="23">
                  <c:v>43497</c:v>
                </c:pt>
                <c:pt idx="24">
                  <c:v>43500</c:v>
                </c:pt>
                <c:pt idx="25">
                  <c:v>43501</c:v>
                </c:pt>
                <c:pt idx="26">
                  <c:v>43502</c:v>
                </c:pt>
                <c:pt idx="27">
                  <c:v>43503</c:v>
                </c:pt>
                <c:pt idx="28">
                  <c:v>43504</c:v>
                </c:pt>
                <c:pt idx="29">
                  <c:v>43507</c:v>
                </c:pt>
                <c:pt idx="30">
                  <c:v>43508</c:v>
                </c:pt>
                <c:pt idx="31">
                  <c:v>43509</c:v>
                </c:pt>
                <c:pt idx="32">
                  <c:v>43510</c:v>
                </c:pt>
                <c:pt idx="33">
                  <c:v>43511</c:v>
                </c:pt>
                <c:pt idx="34">
                  <c:v>43514</c:v>
                </c:pt>
                <c:pt idx="35">
                  <c:v>43515</c:v>
                </c:pt>
                <c:pt idx="36">
                  <c:v>43516</c:v>
                </c:pt>
                <c:pt idx="37">
                  <c:v>43517</c:v>
                </c:pt>
                <c:pt idx="38">
                  <c:v>43518</c:v>
                </c:pt>
                <c:pt idx="39">
                  <c:v>43521</c:v>
                </c:pt>
                <c:pt idx="40">
                  <c:v>43522</c:v>
                </c:pt>
                <c:pt idx="41">
                  <c:v>43523</c:v>
                </c:pt>
                <c:pt idx="42">
                  <c:v>43524</c:v>
                </c:pt>
                <c:pt idx="43">
                  <c:v>43525</c:v>
                </c:pt>
                <c:pt idx="44">
                  <c:v>43528</c:v>
                </c:pt>
                <c:pt idx="45">
                  <c:v>43529</c:v>
                </c:pt>
                <c:pt idx="46">
                  <c:v>43530</c:v>
                </c:pt>
                <c:pt idx="47">
                  <c:v>43531</c:v>
                </c:pt>
                <c:pt idx="48">
                  <c:v>43532</c:v>
                </c:pt>
                <c:pt idx="49">
                  <c:v>43535</c:v>
                </c:pt>
                <c:pt idx="50">
                  <c:v>43536</c:v>
                </c:pt>
                <c:pt idx="51">
                  <c:v>43537</c:v>
                </c:pt>
                <c:pt idx="52">
                  <c:v>43538</c:v>
                </c:pt>
                <c:pt idx="53">
                  <c:v>43539</c:v>
                </c:pt>
                <c:pt idx="54">
                  <c:v>43542</c:v>
                </c:pt>
                <c:pt idx="55">
                  <c:v>43543</c:v>
                </c:pt>
                <c:pt idx="56">
                  <c:v>43544</c:v>
                </c:pt>
                <c:pt idx="57">
                  <c:v>43545</c:v>
                </c:pt>
                <c:pt idx="58">
                  <c:v>43546</c:v>
                </c:pt>
                <c:pt idx="59">
                  <c:v>43549</c:v>
                </c:pt>
                <c:pt idx="60">
                  <c:v>43550</c:v>
                </c:pt>
                <c:pt idx="61">
                  <c:v>43551</c:v>
                </c:pt>
                <c:pt idx="62">
                  <c:v>43552</c:v>
                </c:pt>
                <c:pt idx="63">
                  <c:v>43553</c:v>
                </c:pt>
                <c:pt idx="64">
                  <c:v>43556</c:v>
                </c:pt>
                <c:pt idx="65">
                  <c:v>43557</c:v>
                </c:pt>
                <c:pt idx="66">
                  <c:v>43558</c:v>
                </c:pt>
                <c:pt idx="67">
                  <c:v>43559</c:v>
                </c:pt>
                <c:pt idx="68">
                  <c:v>43560</c:v>
                </c:pt>
                <c:pt idx="69">
                  <c:v>43563</c:v>
                </c:pt>
                <c:pt idx="70">
                  <c:v>43564</c:v>
                </c:pt>
                <c:pt idx="71">
                  <c:v>43565</c:v>
                </c:pt>
                <c:pt idx="72">
                  <c:v>43566</c:v>
                </c:pt>
                <c:pt idx="73">
                  <c:v>43567</c:v>
                </c:pt>
                <c:pt idx="74">
                  <c:v>43570</c:v>
                </c:pt>
                <c:pt idx="75">
                  <c:v>43571</c:v>
                </c:pt>
                <c:pt idx="76">
                  <c:v>43572</c:v>
                </c:pt>
                <c:pt idx="77">
                  <c:v>43573</c:v>
                </c:pt>
                <c:pt idx="78">
                  <c:v>43574</c:v>
                </c:pt>
                <c:pt idx="79">
                  <c:v>43577</c:v>
                </c:pt>
                <c:pt idx="80">
                  <c:v>43578</c:v>
                </c:pt>
                <c:pt idx="81">
                  <c:v>43579</c:v>
                </c:pt>
                <c:pt idx="82">
                  <c:v>43580</c:v>
                </c:pt>
                <c:pt idx="83">
                  <c:v>43581</c:v>
                </c:pt>
                <c:pt idx="84">
                  <c:v>43584</c:v>
                </c:pt>
                <c:pt idx="85">
                  <c:v>43585</c:v>
                </c:pt>
                <c:pt idx="86">
                  <c:v>43586</c:v>
                </c:pt>
                <c:pt idx="87">
                  <c:v>43587</c:v>
                </c:pt>
                <c:pt idx="88">
                  <c:v>43588</c:v>
                </c:pt>
                <c:pt idx="89">
                  <c:v>43591</c:v>
                </c:pt>
                <c:pt idx="90">
                  <c:v>43592</c:v>
                </c:pt>
                <c:pt idx="91">
                  <c:v>43593</c:v>
                </c:pt>
                <c:pt idx="92">
                  <c:v>43594</c:v>
                </c:pt>
                <c:pt idx="93">
                  <c:v>43595</c:v>
                </c:pt>
                <c:pt idx="94">
                  <c:v>43598</c:v>
                </c:pt>
                <c:pt idx="95">
                  <c:v>43599</c:v>
                </c:pt>
                <c:pt idx="96">
                  <c:v>43600</c:v>
                </c:pt>
                <c:pt idx="97">
                  <c:v>43601</c:v>
                </c:pt>
                <c:pt idx="98">
                  <c:v>43602</c:v>
                </c:pt>
                <c:pt idx="99">
                  <c:v>43605</c:v>
                </c:pt>
                <c:pt idx="100">
                  <c:v>43606</c:v>
                </c:pt>
                <c:pt idx="101">
                  <c:v>43607</c:v>
                </c:pt>
                <c:pt idx="102">
                  <c:v>43608</c:v>
                </c:pt>
                <c:pt idx="103">
                  <c:v>43609</c:v>
                </c:pt>
                <c:pt idx="104">
                  <c:v>43612</c:v>
                </c:pt>
                <c:pt idx="105">
                  <c:v>43613</c:v>
                </c:pt>
                <c:pt idx="106">
                  <c:v>43614</c:v>
                </c:pt>
                <c:pt idx="107">
                  <c:v>43615</c:v>
                </c:pt>
                <c:pt idx="108">
                  <c:v>43616</c:v>
                </c:pt>
                <c:pt idx="109">
                  <c:v>43619</c:v>
                </c:pt>
                <c:pt idx="110">
                  <c:v>43620</c:v>
                </c:pt>
                <c:pt idx="111">
                  <c:v>43621</c:v>
                </c:pt>
                <c:pt idx="112">
                  <c:v>43622</c:v>
                </c:pt>
                <c:pt idx="113">
                  <c:v>43623</c:v>
                </c:pt>
                <c:pt idx="114">
                  <c:v>43626</c:v>
                </c:pt>
                <c:pt idx="115">
                  <c:v>43627</c:v>
                </c:pt>
                <c:pt idx="116">
                  <c:v>43628</c:v>
                </c:pt>
                <c:pt idx="117">
                  <c:v>43629</c:v>
                </c:pt>
                <c:pt idx="118">
                  <c:v>43630</c:v>
                </c:pt>
                <c:pt idx="119">
                  <c:v>43633</c:v>
                </c:pt>
                <c:pt idx="120">
                  <c:v>43634</c:v>
                </c:pt>
                <c:pt idx="121">
                  <c:v>43635</c:v>
                </c:pt>
                <c:pt idx="122">
                  <c:v>43636</c:v>
                </c:pt>
                <c:pt idx="123">
                  <c:v>43637</c:v>
                </c:pt>
                <c:pt idx="124">
                  <c:v>43640</c:v>
                </c:pt>
                <c:pt idx="125">
                  <c:v>43641</c:v>
                </c:pt>
                <c:pt idx="126">
                  <c:v>43642</c:v>
                </c:pt>
                <c:pt idx="127">
                  <c:v>43643</c:v>
                </c:pt>
                <c:pt idx="128">
                  <c:v>43644</c:v>
                </c:pt>
                <c:pt idx="129">
                  <c:v>43647</c:v>
                </c:pt>
                <c:pt idx="130">
                  <c:v>43648</c:v>
                </c:pt>
                <c:pt idx="131">
                  <c:v>43649</c:v>
                </c:pt>
                <c:pt idx="132">
                  <c:v>43650</c:v>
                </c:pt>
                <c:pt idx="133">
                  <c:v>43651</c:v>
                </c:pt>
                <c:pt idx="134">
                  <c:v>43654</c:v>
                </c:pt>
                <c:pt idx="135">
                  <c:v>43655</c:v>
                </c:pt>
                <c:pt idx="136">
                  <c:v>43656</c:v>
                </c:pt>
                <c:pt idx="137">
                  <c:v>43657</c:v>
                </c:pt>
                <c:pt idx="138">
                  <c:v>43658</c:v>
                </c:pt>
                <c:pt idx="139">
                  <c:v>43661</c:v>
                </c:pt>
                <c:pt idx="140">
                  <c:v>43662</c:v>
                </c:pt>
                <c:pt idx="141">
                  <c:v>43663</c:v>
                </c:pt>
                <c:pt idx="142">
                  <c:v>43664</c:v>
                </c:pt>
                <c:pt idx="143">
                  <c:v>43665</c:v>
                </c:pt>
                <c:pt idx="144">
                  <c:v>43668</c:v>
                </c:pt>
                <c:pt idx="145">
                  <c:v>43669</c:v>
                </c:pt>
                <c:pt idx="146">
                  <c:v>43670</c:v>
                </c:pt>
                <c:pt idx="147">
                  <c:v>43671</c:v>
                </c:pt>
                <c:pt idx="148">
                  <c:v>43672</c:v>
                </c:pt>
                <c:pt idx="149">
                  <c:v>43675</c:v>
                </c:pt>
                <c:pt idx="150">
                  <c:v>43676</c:v>
                </c:pt>
                <c:pt idx="151">
                  <c:v>43677</c:v>
                </c:pt>
                <c:pt idx="152">
                  <c:v>43678</c:v>
                </c:pt>
                <c:pt idx="153">
                  <c:v>43679</c:v>
                </c:pt>
                <c:pt idx="154">
                  <c:v>43682</c:v>
                </c:pt>
                <c:pt idx="155">
                  <c:v>43683</c:v>
                </c:pt>
                <c:pt idx="156">
                  <c:v>43684</c:v>
                </c:pt>
                <c:pt idx="157">
                  <c:v>43685</c:v>
                </c:pt>
                <c:pt idx="158">
                  <c:v>43686</c:v>
                </c:pt>
                <c:pt idx="159">
                  <c:v>43689</c:v>
                </c:pt>
                <c:pt idx="160">
                  <c:v>43690</c:v>
                </c:pt>
                <c:pt idx="161">
                  <c:v>43691</c:v>
                </c:pt>
                <c:pt idx="162">
                  <c:v>43692</c:v>
                </c:pt>
                <c:pt idx="163">
                  <c:v>43693</c:v>
                </c:pt>
                <c:pt idx="164">
                  <c:v>43696</c:v>
                </c:pt>
                <c:pt idx="165">
                  <c:v>43697</c:v>
                </c:pt>
                <c:pt idx="166">
                  <c:v>43698</c:v>
                </c:pt>
                <c:pt idx="167">
                  <c:v>43699</c:v>
                </c:pt>
                <c:pt idx="168">
                  <c:v>43700</c:v>
                </c:pt>
                <c:pt idx="169">
                  <c:v>43703</c:v>
                </c:pt>
                <c:pt idx="170">
                  <c:v>43704</c:v>
                </c:pt>
                <c:pt idx="171">
                  <c:v>43705</c:v>
                </c:pt>
                <c:pt idx="172">
                  <c:v>43706</c:v>
                </c:pt>
                <c:pt idx="173">
                  <c:v>43707</c:v>
                </c:pt>
                <c:pt idx="174">
                  <c:v>43710</c:v>
                </c:pt>
                <c:pt idx="175">
                  <c:v>43711</c:v>
                </c:pt>
                <c:pt idx="176">
                  <c:v>43712</c:v>
                </c:pt>
                <c:pt idx="177">
                  <c:v>43713</c:v>
                </c:pt>
                <c:pt idx="178">
                  <c:v>43714</c:v>
                </c:pt>
                <c:pt idx="179">
                  <c:v>43717</c:v>
                </c:pt>
                <c:pt idx="180">
                  <c:v>43718</c:v>
                </c:pt>
                <c:pt idx="181">
                  <c:v>43719</c:v>
                </c:pt>
                <c:pt idx="182">
                  <c:v>43720</c:v>
                </c:pt>
                <c:pt idx="183">
                  <c:v>43721</c:v>
                </c:pt>
                <c:pt idx="184">
                  <c:v>43724</c:v>
                </c:pt>
                <c:pt idx="185">
                  <c:v>43725</c:v>
                </c:pt>
                <c:pt idx="186">
                  <c:v>43726</c:v>
                </c:pt>
                <c:pt idx="187">
                  <c:v>43727</c:v>
                </c:pt>
                <c:pt idx="188">
                  <c:v>43728</c:v>
                </c:pt>
                <c:pt idx="189">
                  <c:v>43731</c:v>
                </c:pt>
                <c:pt idx="190">
                  <c:v>43732</c:v>
                </c:pt>
                <c:pt idx="191">
                  <c:v>43733</c:v>
                </c:pt>
                <c:pt idx="192">
                  <c:v>43734</c:v>
                </c:pt>
                <c:pt idx="193">
                  <c:v>43735</c:v>
                </c:pt>
                <c:pt idx="194">
                  <c:v>43738</c:v>
                </c:pt>
                <c:pt idx="195">
                  <c:v>43739</c:v>
                </c:pt>
                <c:pt idx="196">
                  <c:v>43740</c:v>
                </c:pt>
                <c:pt idx="197">
                  <c:v>43741</c:v>
                </c:pt>
                <c:pt idx="198">
                  <c:v>43742</c:v>
                </c:pt>
                <c:pt idx="199">
                  <c:v>43745</c:v>
                </c:pt>
                <c:pt idx="200">
                  <c:v>43746</c:v>
                </c:pt>
                <c:pt idx="201">
                  <c:v>43747</c:v>
                </c:pt>
                <c:pt idx="202">
                  <c:v>43748</c:v>
                </c:pt>
                <c:pt idx="203">
                  <c:v>43749</c:v>
                </c:pt>
                <c:pt idx="204">
                  <c:v>43752</c:v>
                </c:pt>
                <c:pt idx="205">
                  <c:v>43753</c:v>
                </c:pt>
                <c:pt idx="206">
                  <c:v>43754</c:v>
                </c:pt>
                <c:pt idx="207">
                  <c:v>43755</c:v>
                </c:pt>
                <c:pt idx="208">
                  <c:v>43756</c:v>
                </c:pt>
                <c:pt idx="209">
                  <c:v>43759</c:v>
                </c:pt>
                <c:pt idx="210">
                  <c:v>43760</c:v>
                </c:pt>
                <c:pt idx="211">
                  <c:v>43761</c:v>
                </c:pt>
                <c:pt idx="212">
                  <c:v>43762</c:v>
                </c:pt>
                <c:pt idx="213">
                  <c:v>43763</c:v>
                </c:pt>
                <c:pt idx="214">
                  <c:v>43766</c:v>
                </c:pt>
                <c:pt idx="215">
                  <c:v>43767</c:v>
                </c:pt>
                <c:pt idx="216">
                  <c:v>43768</c:v>
                </c:pt>
                <c:pt idx="217">
                  <c:v>43769</c:v>
                </c:pt>
                <c:pt idx="218">
                  <c:v>43770</c:v>
                </c:pt>
                <c:pt idx="219">
                  <c:v>43773</c:v>
                </c:pt>
                <c:pt idx="220">
                  <c:v>43774</c:v>
                </c:pt>
                <c:pt idx="221">
                  <c:v>43775</c:v>
                </c:pt>
                <c:pt idx="222">
                  <c:v>43776</c:v>
                </c:pt>
                <c:pt idx="223">
                  <c:v>43777</c:v>
                </c:pt>
                <c:pt idx="224">
                  <c:v>43780</c:v>
                </c:pt>
                <c:pt idx="225">
                  <c:v>43781</c:v>
                </c:pt>
                <c:pt idx="226">
                  <c:v>43782</c:v>
                </c:pt>
                <c:pt idx="227">
                  <c:v>43783</c:v>
                </c:pt>
                <c:pt idx="228">
                  <c:v>43784</c:v>
                </c:pt>
                <c:pt idx="229">
                  <c:v>43787</c:v>
                </c:pt>
                <c:pt idx="230">
                  <c:v>43788</c:v>
                </c:pt>
                <c:pt idx="231">
                  <c:v>43789</c:v>
                </c:pt>
                <c:pt idx="232">
                  <c:v>43790</c:v>
                </c:pt>
                <c:pt idx="233">
                  <c:v>43791</c:v>
                </c:pt>
                <c:pt idx="234">
                  <c:v>43794</c:v>
                </c:pt>
                <c:pt idx="235">
                  <c:v>43795</c:v>
                </c:pt>
                <c:pt idx="236">
                  <c:v>43796</c:v>
                </c:pt>
                <c:pt idx="237">
                  <c:v>43797</c:v>
                </c:pt>
                <c:pt idx="238">
                  <c:v>43798</c:v>
                </c:pt>
                <c:pt idx="239">
                  <c:v>43801</c:v>
                </c:pt>
                <c:pt idx="240">
                  <c:v>43802</c:v>
                </c:pt>
                <c:pt idx="241">
                  <c:v>43803</c:v>
                </c:pt>
                <c:pt idx="242">
                  <c:v>43804</c:v>
                </c:pt>
                <c:pt idx="243">
                  <c:v>43805</c:v>
                </c:pt>
                <c:pt idx="244">
                  <c:v>43808</c:v>
                </c:pt>
                <c:pt idx="245">
                  <c:v>43809</c:v>
                </c:pt>
                <c:pt idx="246">
                  <c:v>43810</c:v>
                </c:pt>
                <c:pt idx="247">
                  <c:v>43811</c:v>
                </c:pt>
                <c:pt idx="248">
                  <c:v>43812</c:v>
                </c:pt>
                <c:pt idx="249">
                  <c:v>43815</c:v>
                </c:pt>
                <c:pt idx="250">
                  <c:v>43816</c:v>
                </c:pt>
                <c:pt idx="251">
                  <c:v>43817</c:v>
                </c:pt>
                <c:pt idx="252">
                  <c:v>43818</c:v>
                </c:pt>
                <c:pt idx="253">
                  <c:v>43819</c:v>
                </c:pt>
                <c:pt idx="254">
                  <c:v>43822</c:v>
                </c:pt>
                <c:pt idx="255">
                  <c:v>43823</c:v>
                </c:pt>
                <c:pt idx="256">
                  <c:v>43824</c:v>
                </c:pt>
                <c:pt idx="257">
                  <c:v>43825</c:v>
                </c:pt>
                <c:pt idx="258">
                  <c:v>43826</c:v>
                </c:pt>
                <c:pt idx="259">
                  <c:v>43829</c:v>
                </c:pt>
                <c:pt idx="260">
                  <c:v>43830</c:v>
                </c:pt>
                <c:pt idx="261">
                  <c:v>43831</c:v>
                </c:pt>
                <c:pt idx="262">
                  <c:v>43832</c:v>
                </c:pt>
                <c:pt idx="263">
                  <c:v>43833</c:v>
                </c:pt>
                <c:pt idx="264">
                  <c:v>43836</c:v>
                </c:pt>
                <c:pt idx="265">
                  <c:v>43837</c:v>
                </c:pt>
                <c:pt idx="266">
                  <c:v>43838</c:v>
                </c:pt>
                <c:pt idx="267">
                  <c:v>43839</c:v>
                </c:pt>
                <c:pt idx="268">
                  <c:v>43840</c:v>
                </c:pt>
                <c:pt idx="269">
                  <c:v>43843</c:v>
                </c:pt>
                <c:pt idx="270">
                  <c:v>43844</c:v>
                </c:pt>
                <c:pt idx="271">
                  <c:v>43845</c:v>
                </c:pt>
                <c:pt idx="272">
                  <c:v>43846</c:v>
                </c:pt>
                <c:pt idx="273">
                  <c:v>43847</c:v>
                </c:pt>
                <c:pt idx="274">
                  <c:v>43850</c:v>
                </c:pt>
                <c:pt idx="275">
                  <c:v>43851</c:v>
                </c:pt>
                <c:pt idx="276">
                  <c:v>43852</c:v>
                </c:pt>
                <c:pt idx="277">
                  <c:v>43853</c:v>
                </c:pt>
                <c:pt idx="278">
                  <c:v>43854</c:v>
                </c:pt>
                <c:pt idx="279">
                  <c:v>43857</c:v>
                </c:pt>
                <c:pt idx="280">
                  <c:v>43858</c:v>
                </c:pt>
                <c:pt idx="281">
                  <c:v>43859</c:v>
                </c:pt>
                <c:pt idx="282">
                  <c:v>43860</c:v>
                </c:pt>
                <c:pt idx="283">
                  <c:v>43861</c:v>
                </c:pt>
                <c:pt idx="284">
                  <c:v>43864</c:v>
                </c:pt>
                <c:pt idx="285">
                  <c:v>43865</c:v>
                </c:pt>
                <c:pt idx="286">
                  <c:v>43866</c:v>
                </c:pt>
                <c:pt idx="287">
                  <c:v>43867</c:v>
                </c:pt>
                <c:pt idx="288">
                  <c:v>43868</c:v>
                </c:pt>
                <c:pt idx="289">
                  <c:v>43871</c:v>
                </c:pt>
                <c:pt idx="290">
                  <c:v>43872</c:v>
                </c:pt>
                <c:pt idx="291">
                  <c:v>43873</c:v>
                </c:pt>
                <c:pt idx="292">
                  <c:v>43874</c:v>
                </c:pt>
                <c:pt idx="293">
                  <c:v>43875</c:v>
                </c:pt>
                <c:pt idx="294">
                  <c:v>43878</c:v>
                </c:pt>
                <c:pt idx="295">
                  <c:v>43879</c:v>
                </c:pt>
                <c:pt idx="296">
                  <c:v>43880</c:v>
                </c:pt>
                <c:pt idx="297">
                  <c:v>43881</c:v>
                </c:pt>
                <c:pt idx="298">
                  <c:v>43882</c:v>
                </c:pt>
                <c:pt idx="299">
                  <c:v>43885</c:v>
                </c:pt>
                <c:pt idx="300">
                  <c:v>43886</c:v>
                </c:pt>
                <c:pt idx="301">
                  <c:v>43887</c:v>
                </c:pt>
                <c:pt idx="302">
                  <c:v>43888</c:v>
                </c:pt>
                <c:pt idx="303">
                  <c:v>43889</c:v>
                </c:pt>
                <c:pt idx="304">
                  <c:v>43892</c:v>
                </c:pt>
                <c:pt idx="305">
                  <c:v>43893</c:v>
                </c:pt>
                <c:pt idx="306">
                  <c:v>43894</c:v>
                </c:pt>
                <c:pt idx="307">
                  <c:v>43895</c:v>
                </c:pt>
                <c:pt idx="308">
                  <c:v>43896</c:v>
                </c:pt>
                <c:pt idx="309">
                  <c:v>43899</c:v>
                </c:pt>
                <c:pt idx="310">
                  <c:v>43900</c:v>
                </c:pt>
                <c:pt idx="311">
                  <c:v>43901</c:v>
                </c:pt>
                <c:pt idx="312">
                  <c:v>43902</c:v>
                </c:pt>
                <c:pt idx="313">
                  <c:v>43903</c:v>
                </c:pt>
                <c:pt idx="314">
                  <c:v>43906</c:v>
                </c:pt>
                <c:pt idx="315">
                  <c:v>43907</c:v>
                </c:pt>
                <c:pt idx="316">
                  <c:v>43908</c:v>
                </c:pt>
                <c:pt idx="317">
                  <c:v>43909</c:v>
                </c:pt>
                <c:pt idx="318">
                  <c:v>43910</c:v>
                </c:pt>
                <c:pt idx="319">
                  <c:v>43913</c:v>
                </c:pt>
                <c:pt idx="320">
                  <c:v>43914</c:v>
                </c:pt>
                <c:pt idx="321">
                  <c:v>43915</c:v>
                </c:pt>
                <c:pt idx="322">
                  <c:v>43916</c:v>
                </c:pt>
                <c:pt idx="323">
                  <c:v>43917</c:v>
                </c:pt>
                <c:pt idx="324">
                  <c:v>43920</c:v>
                </c:pt>
                <c:pt idx="325">
                  <c:v>43921</c:v>
                </c:pt>
                <c:pt idx="326">
                  <c:v>43922</c:v>
                </c:pt>
                <c:pt idx="327">
                  <c:v>43923</c:v>
                </c:pt>
                <c:pt idx="328">
                  <c:v>43924</c:v>
                </c:pt>
                <c:pt idx="329">
                  <c:v>43927</c:v>
                </c:pt>
                <c:pt idx="330">
                  <c:v>43928</c:v>
                </c:pt>
              </c:numCache>
            </c:numRef>
          </c:cat>
          <c:val>
            <c:numRef>
              <c:f>Sheet1!$C$2:$C$332</c:f>
              <c:numCache>
                <c:formatCode>General</c:formatCode>
                <c:ptCount val="331"/>
                <c:pt idx="0">
                  <c:v>215.71642369999998</c:v>
                </c:pt>
                <c:pt idx="1">
                  <c:v>214.9616939</c:v>
                </c:pt>
                <c:pt idx="2">
                  <c:v>221.45376239999999</c:v>
                </c:pt>
                <c:pt idx="3">
                  <c:v>210.94704000000004</c:v>
                </c:pt>
                <c:pt idx="4">
                  <c:v>207.63075959999998</c:v>
                </c:pt>
                <c:pt idx="5">
                  <c:v>206.80943720000027</c:v>
                </c:pt>
                <c:pt idx="6">
                  <c:v>204.692365</c:v>
                </c:pt>
                <c:pt idx="7">
                  <c:v>205.68789509999999</c:v>
                </c:pt>
                <c:pt idx="8">
                  <c:v>207.2671235</c:v>
                </c:pt>
                <c:pt idx="9">
                  <c:v>205.87704140000028</c:v>
                </c:pt>
                <c:pt idx="10">
                  <c:v>205.12276869999999</c:v>
                </c:pt>
                <c:pt idx="11">
                  <c:v>204.6512907</c:v>
                </c:pt>
                <c:pt idx="12">
                  <c:v>201.62616890000001</c:v>
                </c:pt>
                <c:pt idx="13">
                  <c:v>198.7429564</c:v>
                </c:pt>
                <c:pt idx="14">
                  <c:v>198.7429564</c:v>
                </c:pt>
                <c:pt idx="15">
                  <c:v>199.95891620000032</c:v>
                </c:pt>
                <c:pt idx="16">
                  <c:v>198.30874920000028</c:v>
                </c:pt>
                <c:pt idx="17">
                  <c:v>197.30459680000001</c:v>
                </c:pt>
                <c:pt idx="18">
                  <c:v>193.44497259999972</c:v>
                </c:pt>
                <c:pt idx="19">
                  <c:v>195.69248140000028</c:v>
                </c:pt>
                <c:pt idx="20">
                  <c:v>198.02228880000041</c:v>
                </c:pt>
                <c:pt idx="21">
                  <c:v>199.17060389999995</c:v>
                </c:pt>
                <c:pt idx="22">
                  <c:v>200.86112590000027</c:v>
                </c:pt>
                <c:pt idx="23">
                  <c:v>195.85540870000028</c:v>
                </c:pt>
                <c:pt idx="24">
                  <c:v>195.6260048</c:v>
                </c:pt>
                <c:pt idx="25">
                  <c:v>194.8087156</c:v>
                </c:pt>
                <c:pt idx="26">
                  <c:v>195.37606869999999</c:v>
                </c:pt>
                <c:pt idx="27">
                  <c:v>198.69160259999998</c:v>
                </c:pt>
                <c:pt idx="28">
                  <c:v>199.65534180000031</c:v>
                </c:pt>
                <c:pt idx="29">
                  <c:v>199.70288549999998</c:v>
                </c:pt>
                <c:pt idx="30">
                  <c:v>197.40737000000001</c:v>
                </c:pt>
                <c:pt idx="31">
                  <c:v>195.51032800000004</c:v>
                </c:pt>
                <c:pt idx="32">
                  <c:v>198.34767880000001</c:v>
                </c:pt>
                <c:pt idx="33">
                  <c:v>196.92076950000001</c:v>
                </c:pt>
                <c:pt idx="34">
                  <c:v>196.92076950000001</c:v>
                </c:pt>
                <c:pt idx="35">
                  <c:v>197.5162401</c:v>
                </c:pt>
                <c:pt idx="36">
                  <c:v>196.06180509999999</c:v>
                </c:pt>
                <c:pt idx="37">
                  <c:v>195.83039150000027</c:v>
                </c:pt>
                <c:pt idx="38">
                  <c:v>197.62533690000038</c:v>
                </c:pt>
                <c:pt idx="39">
                  <c:v>195.89055309999998</c:v>
                </c:pt>
                <c:pt idx="40">
                  <c:v>196.79093650000004</c:v>
                </c:pt>
                <c:pt idx="41">
                  <c:v>193.26004419999998</c:v>
                </c:pt>
                <c:pt idx="42">
                  <c:v>191.26156069999971</c:v>
                </c:pt>
                <c:pt idx="43">
                  <c:v>191.43489549999998</c:v>
                </c:pt>
                <c:pt idx="44">
                  <c:v>193.2721166</c:v>
                </c:pt>
                <c:pt idx="45">
                  <c:v>194.35282470000001</c:v>
                </c:pt>
                <c:pt idx="46">
                  <c:v>193.04231240000001</c:v>
                </c:pt>
                <c:pt idx="47">
                  <c:v>196.23287329999971</c:v>
                </c:pt>
                <c:pt idx="48">
                  <c:v>196.2528672</c:v>
                </c:pt>
                <c:pt idx="49">
                  <c:v>194.23962349999971</c:v>
                </c:pt>
                <c:pt idx="50">
                  <c:v>195.05762780000038</c:v>
                </c:pt>
                <c:pt idx="51">
                  <c:v>194.25139910000001</c:v>
                </c:pt>
                <c:pt idx="52">
                  <c:v>191.281778</c:v>
                </c:pt>
                <c:pt idx="53">
                  <c:v>192.85111310000028</c:v>
                </c:pt>
                <c:pt idx="54">
                  <c:v>189.89322340000001</c:v>
                </c:pt>
                <c:pt idx="55">
                  <c:v>188.9908561</c:v>
                </c:pt>
                <c:pt idx="56">
                  <c:v>195.45947910000001</c:v>
                </c:pt>
                <c:pt idx="57">
                  <c:v>188.81898140000001</c:v>
                </c:pt>
                <c:pt idx="58">
                  <c:v>194.72900249999998</c:v>
                </c:pt>
                <c:pt idx="59">
                  <c:v>196.6084712</c:v>
                </c:pt>
                <c:pt idx="60">
                  <c:v>196.81587569999971</c:v>
                </c:pt>
                <c:pt idx="61">
                  <c:v>196.6418869</c:v>
                </c:pt>
                <c:pt idx="62">
                  <c:v>195.53496939999999</c:v>
                </c:pt>
                <c:pt idx="63">
                  <c:v>196.69056959999998</c:v>
                </c:pt>
                <c:pt idx="64">
                  <c:v>191.25964419999971</c:v>
                </c:pt>
                <c:pt idx="65">
                  <c:v>193.72795209999998</c:v>
                </c:pt>
                <c:pt idx="66">
                  <c:v>192.58269660000028</c:v>
                </c:pt>
                <c:pt idx="67">
                  <c:v>191.3531571</c:v>
                </c:pt>
                <c:pt idx="68">
                  <c:v>192.82837380000038</c:v>
                </c:pt>
                <c:pt idx="69">
                  <c:v>192.06992439999999</c:v>
                </c:pt>
                <c:pt idx="70">
                  <c:v>192.74585949999971</c:v>
                </c:pt>
                <c:pt idx="71">
                  <c:v>193.75300259999995</c:v>
                </c:pt>
                <c:pt idx="72">
                  <c:v>191.66892300000001</c:v>
                </c:pt>
                <c:pt idx="73">
                  <c:v>191.27414019999998</c:v>
                </c:pt>
                <c:pt idx="74">
                  <c:v>192.90550339999999</c:v>
                </c:pt>
                <c:pt idx="75">
                  <c:v>189.48693460000001</c:v>
                </c:pt>
                <c:pt idx="76">
                  <c:v>189.77092249999998</c:v>
                </c:pt>
                <c:pt idx="77">
                  <c:v>190.72637559999998</c:v>
                </c:pt>
                <c:pt idx="78">
                  <c:v>190.72637559999998</c:v>
                </c:pt>
                <c:pt idx="79">
                  <c:v>189.41241990000032</c:v>
                </c:pt>
                <c:pt idx="80">
                  <c:v>190.57048209999999</c:v>
                </c:pt>
                <c:pt idx="81">
                  <c:v>191.26380339999992</c:v>
                </c:pt>
                <c:pt idx="82">
                  <c:v>191.26432369999998</c:v>
                </c:pt>
                <c:pt idx="83">
                  <c:v>191.78615169999998</c:v>
                </c:pt>
                <c:pt idx="84">
                  <c:v>188.07272940000001</c:v>
                </c:pt>
                <c:pt idx="85">
                  <c:v>190.63421359999998</c:v>
                </c:pt>
                <c:pt idx="86">
                  <c:v>187.97975809999971</c:v>
                </c:pt>
                <c:pt idx="87">
                  <c:v>187.47926469999967</c:v>
                </c:pt>
                <c:pt idx="88">
                  <c:v>188.8923309000005</c:v>
                </c:pt>
                <c:pt idx="89">
                  <c:v>189.68052850000001</c:v>
                </c:pt>
                <c:pt idx="90">
                  <c:v>192.5275436</c:v>
                </c:pt>
                <c:pt idx="91">
                  <c:v>190.0347179</c:v>
                </c:pt>
                <c:pt idx="92">
                  <c:v>193.316768</c:v>
                </c:pt>
                <c:pt idx="93">
                  <c:v>192.84419009999999</c:v>
                </c:pt>
                <c:pt idx="94">
                  <c:v>196.48750480000001</c:v>
                </c:pt>
                <c:pt idx="95">
                  <c:v>194.99021230000028</c:v>
                </c:pt>
                <c:pt idx="96">
                  <c:v>196.57236850000001</c:v>
                </c:pt>
                <c:pt idx="97">
                  <c:v>195.45037850000028</c:v>
                </c:pt>
                <c:pt idx="98">
                  <c:v>196.05243850000056</c:v>
                </c:pt>
                <c:pt idx="99">
                  <c:v>193.62581630000028</c:v>
                </c:pt>
                <c:pt idx="100">
                  <c:v>193.21149690000001</c:v>
                </c:pt>
                <c:pt idx="101">
                  <c:v>195.3358667</c:v>
                </c:pt>
                <c:pt idx="102">
                  <c:v>201.50580589999998</c:v>
                </c:pt>
                <c:pt idx="103">
                  <c:v>198.49829830000044</c:v>
                </c:pt>
                <c:pt idx="104">
                  <c:v>198.49829830000044</c:v>
                </c:pt>
                <c:pt idx="105">
                  <c:v>200.04321179999971</c:v>
                </c:pt>
                <c:pt idx="106">
                  <c:v>200.44443850000027</c:v>
                </c:pt>
                <c:pt idx="107">
                  <c:v>202.85808750000038</c:v>
                </c:pt>
                <c:pt idx="108">
                  <c:v>205.06273660000028</c:v>
                </c:pt>
                <c:pt idx="109">
                  <c:v>207.93713860000028</c:v>
                </c:pt>
                <c:pt idx="110">
                  <c:v>201.93794170000001</c:v>
                </c:pt>
                <c:pt idx="111">
                  <c:v>200.0264932</c:v>
                </c:pt>
                <c:pt idx="112">
                  <c:v>198.39924650000032</c:v>
                </c:pt>
                <c:pt idx="113">
                  <c:v>201.74138690000001</c:v>
                </c:pt>
                <c:pt idx="114">
                  <c:v>196.76653319999971</c:v>
                </c:pt>
                <c:pt idx="115">
                  <c:v>196.93006740000001</c:v>
                </c:pt>
                <c:pt idx="116">
                  <c:v>197.10645980000001</c:v>
                </c:pt>
                <c:pt idx="117">
                  <c:v>199.36562330000001</c:v>
                </c:pt>
                <c:pt idx="118">
                  <c:v>197.55119329999999</c:v>
                </c:pt>
                <c:pt idx="119">
                  <c:v>200.17721040000001</c:v>
                </c:pt>
                <c:pt idx="120">
                  <c:v>196.97233270000001</c:v>
                </c:pt>
                <c:pt idx="121">
                  <c:v>200.02710770000004</c:v>
                </c:pt>
                <c:pt idx="122">
                  <c:v>193.495102</c:v>
                </c:pt>
                <c:pt idx="123">
                  <c:v>191.51926399999971</c:v>
                </c:pt>
                <c:pt idx="124">
                  <c:v>193.91578239999998</c:v>
                </c:pt>
                <c:pt idx="125">
                  <c:v>195.21767119999961</c:v>
                </c:pt>
                <c:pt idx="126">
                  <c:v>192.59221180000029</c:v>
                </c:pt>
                <c:pt idx="127">
                  <c:v>194.5964658</c:v>
                </c:pt>
                <c:pt idx="128">
                  <c:v>193.33118150000001</c:v>
                </c:pt>
                <c:pt idx="129">
                  <c:v>189.68837200000004</c:v>
                </c:pt>
                <c:pt idx="130">
                  <c:v>191.79830369999999</c:v>
                </c:pt>
                <c:pt idx="131">
                  <c:v>191.60328589999995</c:v>
                </c:pt>
                <c:pt idx="132">
                  <c:v>191.60328589999995</c:v>
                </c:pt>
                <c:pt idx="133">
                  <c:v>185.26279169999998</c:v>
                </c:pt>
                <c:pt idx="134">
                  <c:v>187.20988539999971</c:v>
                </c:pt>
                <c:pt idx="135">
                  <c:v>187.20582680000001</c:v>
                </c:pt>
                <c:pt idx="136">
                  <c:v>189.31831670000028</c:v>
                </c:pt>
                <c:pt idx="137">
                  <c:v>184.8319056</c:v>
                </c:pt>
                <c:pt idx="138">
                  <c:v>187.0967579</c:v>
                </c:pt>
                <c:pt idx="139">
                  <c:v>186.73452809999998</c:v>
                </c:pt>
                <c:pt idx="140">
                  <c:v>184.89001519999999</c:v>
                </c:pt>
                <c:pt idx="141">
                  <c:v>187.42311409999999</c:v>
                </c:pt>
                <c:pt idx="142">
                  <c:v>188.9838245</c:v>
                </c:pt>
                <c:pt idx="143">
                  <c:v>186.73731219999999</c:v>
                </c:pt>
                <c:pt idx="144">
                  <c:v>186.2045680999997</c:v>
                </c:pt>
                <c:pt idx="145">
                  <c:v>184.32292460000028</c:v>
                </c:pt>
                <c:pt idx="146">
                  <c:v>184.9432908</c:v>
                </c:pt>
                <c:pt idx="147">
                  <c:v>181.24008659999998</c:v>
                </c:pt>
                <c:pt idx="148">
                  <c:v>182.74450169999949</c:v>
                </c:pt>
                <c:pt idx="149">
                  <c:v>182.15352189999999</c:v>
                </c:pt>
                <c:pt idx="150">
                  <c:v>182.46215660000001</c:v>
                </c:pt>
                <c:pt idx="151">
                  <c:v>185.47331829999999</c:v>
                </c:pt>
                <c:pt idx="152">
                  <c:v>195.00979669999998</c:v>
                </c:pt>
                <c:pt idx="153">
                  <c:v>191.74158629999971</c:v>
                </c:pt>
                <c:pt idx="154">
                  <c:v>200.40197990000001</c:v>
                </c:pt>
                <c:pt idx="155">
                  <c:v>199.26635099999999</c:v>
                </c:pt>
                <c:pt idx="156">
                  <c:v>196.84406499999992</c:v>
                </c:pt>
                <c:pt idx="157">
                  <c:v>196.33446640000028</c:v>
                </c:pt>
                <c:pt idx="158">
                  <c:v>193.2178284</c:v>
                </c:pt>
                <c:pt idx="159">
                  <c:v>199.31176389999999</c:v>
                </c:pt>
                <c:pt idx="160">
                  <c:v>194.73974869999998</c:v>
                </c:pt>
                <c:pt idx="161">
                  <c:v>197.9932791</c:v>
                </c:pt>
                <c:pt idx="162">
                  <c:v>200.8265882</c:v>
                </c:pt>
                <c:pt idx="163">
                  <c:v>200.0381553</c:v>
                </c:pt>
                <c:pt idx="164">
                  <c:v>197.42180600000032</c:v>
                </c:pt>
                <c:pt idx="165">
                  <c:v>200.42055059999998</c:v>
                </c:pt>
                <c:pt idx="166">
                  <c:v>198.01665449999967</c:v>
                </c:pt>
                <c:pt idx="167">
                  <c:v>196.23633409999999</c:v>
                </c:pt>
                <c:pt idx="168">
                  <c:v>201.3126354</c:v>
                </c:pt>
                <c:pt idx="169">
                  <c:v>198.2913819</c:v>
                </c:pt>
                <c:pt idx="170">
                  <c:v>200.33311630000028</c:v>
                </c:pt>
                <c:pt idx="171">
                  <c:v>199.21754659999999</c:v>
                </c:pt>
                <c:pt idx="172">
                  <c:v>197.44295829999999</c:v>
                </c:pt>
                <c:pt idx="173">
                  <c:v>199.48754990000037</c:v>
                </c:pt>
                <c:pt idx="174">
                  <c:v>199.48754990000037</c:v>
                </c:pt>
                <c:pt idx="175">
                  <c:v>199.36490610000001</c:v>
                </c:pt>
                <c:pt idx="176">
                  <c:v>199.5076238</c:v>
                </c:pt>
                <c:pt idx="177">
                  <c:v>193.22972819999998</c:v>
                </c:pt>
                <c:pt idx="178">
                  <c:v>196.74758339999971</c:v>
                </c:pt>
                <c:pt idx="179">
                  <c:v>193.26499329999967</c:v>
                </c:pt>
                <c:pt idx="180">
                  <c:v>190.02285620000001</c:v>
                </c:pt>
                <c:pt idx="181">
                  <c:v>191.334057</c:v>
                </c:pt>
                <c:pt idx="182">
                  <c:v>186.10509119999998</c:v>
                </c:pt>
                <c:pt idx="183">
                  <c:v>183.44283530000001</c:v>
                </c:pt>
                <c:pt idx="184">
                  <c:v>187.96831730000056</c:v>
                </c:pt>
                <c:pt idx="185">
                  <c:v>189.45072250000001</c:v>
                </c:pt>
                <c:pt idx="186">
                  <c:v>187.1879935</c:v>
                </c:pt>
                <c:pt idx="187">
                  <c:v>187.28356249999968</c:v>
                </c:pt>
                <c:pt idx="188">
                  <c:v>189.72192440000001</c:v>
                </c:pt>
                <c:pt idx="189">
                  <c:v>187.9857251</c:v>
                </c:pt>
                <c:pt idx="190">
                  <c:v>192.83910599999999</c:v>
                </c:pt>
                <c:pt idx="191">
                  <c:v>187.98369289999999</c:v>
                </c:pt>
                <c:pt idx="192">
                  <c:v>191.59842040000038</c:v>
                </c:pt>
                <c:pt idx="193">
                  <c:v>193.74058419999949</c:v>
                </c:pt>
                <c:pt idx="194">
                  <c:v>193.60306349999971</c:v>
                </c:pt>
                <c:pt idx="195">
                  <c:v>196.00795869999999</c:v>
                </c:pt>
                <c:pt idx="196">
                  <c:v>198.57583919999999</c:v>
                </c:pt>
                <c:pt idx="197">
                  <c:v>201.71604209999998</c:v>
                </c:pt>
                <c:pt idx="198">
                  <c:v>200.4068202</c:v>
                </c:pt>
                <c:pt idx="199">
                  <c:v>196.62970680000001</c:v>
                </c:pt>
                <c:pt idx="200">
                  <c:v>198.7393098</c:v>
                </c:pt>
                <c:pt idx="201">
                  <c:v>198.05182360000001</c:v>
                </c:pt>
                <c:pt idx="202">
                  <c:v>194.61022700000001</c:v>
                </c:pt>
                <c:pt idx="203">
                  <c:v>191.59870610000004</c:v>
                </c:pt>
                <c:pt idx="204">
                  <c:v>191.59870610000004</c:v>
                </c:pt>
                <c:pt idx="205">
                  <c:v>190.68221560000001</c:v>
                </c:pt>
                <c:pt idx="206">
                  <c:v>192.71756949999971</c:v>
                </c:pt>
                <c:pt idx="207">
                  <c:v>192.4639909</c:v>
                </c:pt>
                <c:pt idx="208">
                  <c:v>192.50489409999992</c:v>
                </c:pt>
                <c:pt idx="209">
                  <c:v>190.36574870000001</c:v>
                </c:pt>
                <c:pt idx="210">
                  <c:v>191.63422650000001</c:v>
                </c:pt>
                <c:pt idx="211">
                  <c:v>189.60830429999999</c:v>
                </c:pt>
                <c:pt idx="212">
                  <c:v>189.27387369999943</c:v>
                </c:pt>
                <c:pt idx="213">
                  <c:v>187.07751949999999</c:v>
                </c:pt>
                <c:pt idx="214">
                  <c:v>185.8458444</c:v>
                </c:pt>
                <c:pt idx="215">
                  <c:v>185.68102020000001</c:v>
                </c:pt>
                <c:pt idx="216">
                  <c:v>189.85611350000028</c:v>
                </c:pt>
                <c:pt idx="217">
                  <c:v>187.56778409999998</c:v>
                </c:pt>
                <c:pt idx="218">
                  <c:v>184.56578099999999</c:v>
                </c:pt>
                <c:pt idx="219">
                  <c:v>183.15460499999998</c:v>
                </c:pt>
                <c:pt idx="220">
                  <c:v>181.29612850000001</c:v>
                </c:pt>
                <c:pt idx="221">
                  <c:v>183.59069930000001</c:v>
                </c:pt>
                <c:pt idx="222">
                  <c:v>178.68145640000031</c:v>
                </c:pt>
                <c:pt idx="223">
                  <c:v>180.44015299999998</c:v>
                </c:pt>
                <c:pt idx="224">
                  <c:v>180.44015299999998</c:v>
                </c:pt>
                <c:pt idx="225">
                  <c:v>182.14472739999999</c:v>
                </c:pt>
                <c:pt idx="226">
                  <c:v>182.51060519999967</c:v>
                </c:pt>
                <c:pt idx="227">
                  <c:v>183.95836650000041</c:v>
                </c:pt>
                <c:pt idx="228">
                  <c:v>183.06340449999999</c:v>
                </c:pt>
                <c:pt idx="229">
                  <c:v>184.40612930000032</c:v>
                </c:pt>
                <c:pt idx="230">
                  <c:v>185.20084349999999</c:v>
                </c:pt>
                <c:pt idx="231">
                  <c:v>185.90141940000038</c:v>
                </c:pt>
                <c:pt idx="232">
                  <c:v>183.74124180000001</c:v>
                </c:pt>
                <c:pt idx="233">
                  <c:v>182.43761910000001</c:v>
                </c:pt>
                <c:pt idx="234">
                  <c:v>184.24192969999999</c:v>
                </c:pt>
                <c:pt idx="235">
                  <c:v>184.84957519999958</c:v>
                </c:pt>
                <c:pt idx="236">
                  <c:v>183.29654650000001</c:v>
                </c:pt>
                <c:pt idx="237">
                  <c:v>183.29654650000001</c:v>
                </c:pt>
                <c:pt idx="238">
                  <c:v>186.54969239999971</c:v>
                </c:pt>
                <c:pt idx="239">
                  <c:v>187.24970409999958</c:v>
                </c:pt>
                <c:pt idx="240">
                  <c:v>193.12677419999972</c:v>
                </c:pt>
                <c:pt idx="241">
                  <c:v>186.67650609999998</c:v>
                </c:pt>
                <c:pt idx="242">
                  <c:v>186.336883</c:v>
                </c:pt>
                <c:pt idx="243">
                  <c:v>183.27948799999999</c:v>
                </c:pt>
                <c:pt idx="244">
                  <c:v>184.21723469999998</c:v>
                </c:pt>
                <c:pt idx="245">
                  <c:v>182.81046359999999</c:v>
                </c:pt>
                <c:pt idx="246">
                  <c:v>185.09506709999999</c:v>
                </c:pt>
                <c:pt idx="247">
                  <c:v>176.7527054</c:v>
                </c:pt>
                <c:pt idx="248">
                  <c:v>181.04413650000001</c:v>
                </c:pt>
                <c:pt idx="249">
                  <c:v>176.71659689999998</c:v>
                </c:pt>
                <c:pt idx="250">
                  <c:v>175.22819250000001</c:v>
                </c:pt>
                <c:pt idx="251">
                  <c:v>174.14194419999998</c:v>
                </c:pt>
                <c:pt idx="252">
                  <c:v>177.0946525999997</c:v>
                </c:pt>
                <c:pt idx="253">
                  <c:v>177.29436509999971</c:v>
                </c:pt>
                <c:pt idx="254">
                  <c:v>174.62030970000001</c:v>
                </c:pt>
                <c:pt idx="255">
                  <c:v>178.5040502999997</c:v>
                </c:pt>
                <c:pt idx="256">
                  <c:v>178.5040502999997</c:v>
                </c:pt>
                <c:pt idx="257">
                  <c:v>176.94058989999999</c:v>
                </c:pt>
                <c:pt idx="258">
                  <c:v>177.76732140000001</c:v>
                </c:pt>
                <c:pt idx="259">
                  <c:v>177.80406099999999</c:v>
                </c:pt>
                <c:pt idx="260">
                  <c:v>174.92713550000028</c:v>
                </c:pt>
                <c:pt idx="261">
                  <c:v>173.8174247</c:v>
                </c:pt>
                <c:pt idx="262">
                  <c:v>175.59174130000028</c:v>
                </c:pt>
                <c:pt idx="263">
                  <c:v>178.01424840000001</c:v>
                </c:pt>
                <c:pt idx="264">
                  <c:v>175.97539040000001</c:v>
                </c:pt>
                <c:pt idx="265">
                  <c:v>175.67058359999967</c:v>
                </c:pt>
                <c:pt idx="266">
                  <c:v>172.51052019999995</c:v>
                </c:pt>
                <c:pt idx="267">
                  <c:v>175.46172050000001</c:v>
                </c:pt>
                <c:pt idx="268">
                  <c:v>176.23718159999999</c:v>
                </c:pt>
                <c:pt idx="269">
                  <c:v>173.7486443</c:v>
                </c:pt>
                <c:pt idx="270">
                  <c:v>173.99898490000001</c:v>
                </c:pt>
                <c:pt idx="271">
                  <c:v>173.57003900000001</c:v>
                </c:pt>
                <c:pt idx="272">
                  <c:v>172.18651369999998</c:v>
                </c:pt>
                <c:pt idx="273">
                  <c:v>171.48607480000001</c:v>
                </c:pt>
                <c:pt idx="274">
                  <c:v>171.48607480000001</c:v>
                </c:pt>
                <c:pt idx="275">
                  <c:v>173.70078359999971</c:v>
                </c:pt>
                <c:pt idx="276">
                  <c:v>173.31499369999995</c:v>
                </c:pt>
                <c:pt idx="277">
                  <c:v>174.20680809999999</c:v>
                </c:pt>
                <c:pt idx="278">
                  <c:v>177.19779469999995</c:v>
                </c:pt>
                <c:pt idx="279">
                  <c:v>179.55609790000028</c:v>
                </c:pt>
                <c:pt idx="280">
                  <c:v>176.37053900000001</c:v>
                </c:pt>
                <c:pt idx="281">
                  <c:v>180.12115230000001</c:v>
                </c:pt>
                <c:pt idx="282">
                  <c:v>179.65132820000028</c:v>
                </c:pt>
                <c:pt idx="283">
                  <c:v>177.57170049999999</c:v>
                </c:pt>
                <c:pt idx="284">
                  <c:v>176.51709690000001</c:v>
                </c:pt>
                <c:pt idx="285">
                  <c:v>173.2473924</c:v>
                </c:pt>
                <c:pt idx="286">
                  <c:v>171.55397369999972</c:v>
                </c:pt>
                <c:pt idx="287">
                  <c:v>171.0845458</c:v>
                </c:pt>
                <c:pt idx="288">
                  <c:v>174.40106969999999</c:v>
                </c:pt>
                <c:pt idx="289">
                  <c:v>175.90692229999999</c:v>
                </c:pt>
                <c:pt idx="290">
                  <c:v>172.88700870000028</c:v>
                </c:pt>
                <c:pt idx="291">
                  <c:v>169.17481559999968</c:v>
                </c:pt>
                <c:pt idx="292">
                  <c:v>169.20776039999998</c:v>
                </c:pt>
                <c:pt idx="293">
                  <c:v>169.6011412</c:v>
                </c:pt>
                <c:pt idx="294">
                  <c:v>169.6011412</c:v>
                </c:pt>
                <c:pt idx="295">
                  <c:v>169.20819319999998</c:v>
                </c:pt>
                <c:pt idx="296">
                  <c:v>168.04623559999999</c:v>
                </c:pt>
                <c:pt idx="297">
                  <c:v>170.86971559999998</c:v>
                </c:pt>
                <c:pt idx="298">
                  <c:v>172.50345449999998</c:v>
                </c:pt>
                <c:pt idx="299">
                  <c:v>175.7677789</c:v>
                </c:pt>
                <c:pt idx="300">
                  <c:v>178.8440311</c:v>
                </c:pt>
                <c:pt idx="301">
                  <c:v>181.22132690000038</c:v>
                </c:pt>
                <c:pt idx="302">
                  <c:v>183.35101130000038</c:v>
                </c:pt>
                <c:pt idx="303">
                  <c:v>201.73357119999949</c:v>
                </c:pt>
                <c:pt idx="304">
                  <c:v>197.57337919999998</c:v>
                </c:pt>
                <c:pt idx="305">
                  <c:v>202.32324910000028</c:v>
                </c:pt>
                <c:pt idx="306">
                  <c:v>195.06934000000001</c:v>
                </c:pt>
                <c:pt idx="307">
                  <c:v>199.65626069999999</c:v>
                </c:pt>
                <c:pt idx="308">
                  <c:v>213.53672409999999</c:v>
                </c:pt>
                <c:pt idx="309">
                  <c:v>241.74162899999999</c:v>
                </c:pt>
                <c:pt idx="310">
                  <c:v>229.58651660000001</c:v>
                </c:pt>
                <c:pt idx="311">
                  <c:v>234.51348459999971</c:v>
                </c:pt>
                <c:pt idx="312">
                  <c:v>257.92681389999939</c:v>
                </c:pt>
                <c:pt idx="313">
                  <c:v>258.48934189999994</c:v>
                </c:pt>
                <c:pt idx="314">
                  <c:v>282.55443689999998</c:v>
                </c:pt>
                <c:pt idx="315">
                  <c:v>278.2033773999994</c:v>
                </c:pt>
                <c:pt idx="316">
                  <c:v>308.28036379999969</c:v>
                </c:pt>
                <c:pt idx="317">
                  <c:v>329.873245</c:v>
                </c:pt>
                <c:pt idx="318">
                  <c:v>335.57278720000005</c:v>
                </c:pt>
                <c:pt idx="319">
                  <c:v>353.83578610000001</c:v>
                </c:pt>
                <c:pt idx="320">
                  <c:v>338.47066430000001</c:v>
                </c:pt>
                <c:pt idx="321">
                  <c:v>321.51667839999999</c:v>
                </c:pt>
                <c:pt idx="322">
                  <c:v>307.17529309999998</c:v>
                </c:pt>
                <c:pt idx="323">
                  <c:v>309.71308439999996</c:v>
                </c:pt>
                <c:pt idx="324">
                  <c:v>317.22074179999993</c:v>
                </c:pt>
                <c:pt idx="325">
                  <c:v>311.5776998</c:v>
                </c:pt>
                <c:pt idx="326">
                  <c:v>319.55352339999996</c:v>
                </c:pt>
                <c:pt idx="327">
                  <c:v>318.66926800000056</c:v>
                </c:pt>
                <c:pt idx="328">
                  <c:v>321.24359719999995</c:v>
                </c:pt>
                <c:pt idx="329">
                  <c:v>319.86241510000002</c:v>
                </c:pt>
                <c:pt idx="330">
                  <c:v>313.90683079999963</c:v>
                </c:pt>
              </c:numCache>
            </c:numRef>
          </c:val>
          <c:smooth val="0"/>
          <c:extLst>
            <c:ext xmlns:c16="http://schemas.microsoft.com/office/drawing/2014/chart" uri="{C3380CC4-5D6E-409C-BE32-E72D297353CC}">
              <c16:uniqueId val="{00000001-03F2-47BD-83F8-78F2959E3570}"/>
            </c:ext>
          </c:extLst>
        </c:ser>
        <c:ser>
          <c:idx val="2"/>
          <c:order val="2"/>
          <c:tx>
            <c:strRef>
              <c:f>Sheet1!$D$1</c:f>
              <c:strCache>
                <c:ptCount val="1"/>
                <c:pt idx="0">
                  <c:v>ՌԴ</c:v>
                </c:pt>
              </c:strCache>
            </c:strRef>
          </c:tx>
          <c:spPr>
            <a:ln w="28575" cap="rnd">
              <a:solidFill>
                <a:srgbClr val="C00000"/>
              </a:solidFill>
              <a:round/>
            </a:ln>
            <a:effectLst/>
          </c:spPr>
          <c:marker>
            <c:symbol val="none"/>
          </c:marker>
          <c:cat>
            <c:numRef>
              <c:f>Sheet1!$A$2:$A$332</c:f>
              <c:numCache>
                <c:formatCode>m\/d\/yyyy</c:formatCode>
                <c:ptCount val="331"/>
                <c:pt idx="0">
                  <c:v>43466</c:v>
                </c:pt>
                <c:pt idx="1">
                  <c:v>43467</c:v>
                </c:pt>
                <c:pt idx="2">
                  <c:v>43468</c:v>
                </c:pt>
                <c:pt idx="3">
                  <c:v>43469</c:v>
                </c:pt>
                <c:pt idx="4">
                  <c:v>43472</c:v>
                </c:pt>
                <c:pt idx="5">
                  <c:v>43473</c:v>
                </c:pt>
                <c:pt idx="6">
                  <c:v>43474</c:v>
                </c:pt>
                <c:pt idx="7">
                  <c:v>43475</c:v>
                </c:pt>
                <c:pt idx="8">
                  <c:v>43476</c:v>
                </c:pt>
                <c:pt idx="9">
                  <c:v>43479</c:v>
                </c:pt>
                <c:pt idx="10">
                  <c:v>43480</c:v>
                </c:pt>
                <c:pt idx="11">
                  <c:v>43481</c:v>
                </c:pt>
                <c:pt idx="12">
                  <c:v>43482</c:v>
                </c:pt>
                <c:pt idx="13">
                  <c:v>43483</c:v>
                </c:pt>
                <c:pt idx="14">
                  <c:v>43486</c:v>
                </c:pt>
                <c:pt idx="15">
                  <c:v>43487</c:v>
                </c:pt>
                <c:pt idx="16">
                  <c:v>43488</c:v>
                </c:pt>
                <c:pt idx="17">
                  <c:v>43489</c:v>
                </c:pt>
                <c:pt idx="18">
                  <c:v>43490</c:v>
                </c:pt>
                <c:pt idx="19">
                  <c:v>43493</c:v>
                </c:pt>
                <c:pt idx="20">
                  <c:v>43494</c:v>
                </c:pt>
                <c:pt idx="21">
                  <c:v>43495</c:v>
                </c:pt>
                <c:pt idx="22">
                  <c:v>43496</c:v>
                </c:pt>
                <c:pt idx="23">
                  <c:v>43497</c:v>
                </c:pt>
                <c:pt idx="24">
                  <c:v>43500</c:v>
                </c:pt>
                <c:pt idx="25">
                  <c:v>43501</c:v>
                </c:pt>
                <c:pt idx="26">
                  <c:v>43502</c:v>
                </c:pt>
                <c:pt idx="27">
                  <c:v>43503</c:v>
                </c:pt>
                <c:pt idx="28">
                  <c:v>43504</c:v>
                </c:pt>
                <c:pt idx="29">
                  <c:v>43507</c:v>
                </c:pt>
                <c:pt idx="30">
                  <c:v>43508</c:v>
                </c:pt>
                <c:pt idx="31">
                  <c:v>43509</c:v>
                </c:pt>
                <c:pt idx="32">
                  <c:v>43510</c:v>
                </c:pt>
                <c:pt idx="33">
                  <c:v>43511</c:v>
                </c:pt>
                <c:pt idx="34">
                  <c:v>43514</c:v>
                </c:pt>
                <c:pt idx="35">
                  <c:v>43515</c:v>
                </c:pt>
                <c:pt idx="36">
                  <c:v>43516</c:v>
                </c:pt>
                <c:pt idx="37">
                  <c:v>43517</c:v>
                </c:pt>
                <c:pt idx="38">
                  <c:v>43518</c:v>
                </c:pt>
                <c:pt idx="39">
                  <c:v>43521</c:v>
                </c:pt>
                <c:pt idx="40">
                  <c:v>43522</c:v>
                </c:pt>
                <c:pt idx="41">
                  <c:v>43523</c:v>
                </c:pt>
                <c:pt idx="42">
                  <c:v>43524</c:v>
                </c:pt>
                <c:pt idx="43">
                  <c:v>43525</c:v>
                </c:pt>
                <c:pt idx="44">
                  <c:v>43528</c:v>
                </c:pt>
                <c:pt idx="45">
                  <c:v>43529</c:v>
                </c:pt>
                <c:pt idx="46">
                  <c:v>43530</c:v>
                </c:pt>
                <c:pt idx="47">
                  <c:v>43531</c:v>
                </c:pt>
                <c:pt idx="48">
                  <c:v>43532</c:v>
                </c:pt>
                <c:pt idx="49">
                  <c:v>43535</c:v>
                </c:pt>
                <c:pt idx="50">
                  <c:v>43536</c:v>
                </c:pt>
                <c:pt idx="51">
                  <c:v>43537</c:v>
                </c:pt>
                <c:pt idx="52">
                  <c:v>43538</c:v>
                </c:pt>
                <c:pt idx="53">
                  <c:v>43539</c:v>
                </c:pt>
                <c:pt idx="54">
                  <c:v>43542</c:v>
                </c:pt>
                <c:pt idx="55">
                  <c:v>43543</c:v>
                </c:pt>
                <c:pt idx="56">
                  <c:v>43544</c:v>
                </c:pt>
                <c:pt idx="57">
                  <c:v>43545</c:v>
                </c:pt>
                <c:pt idx="58">
                  <c:v>43546</c:v>
                </c:pt>
                <c:pt idx="59">
                  <c:v>43549</c:v>
                </c:pt>
                <c:pt idx="60">
                  <c:v>43550</c:v>
                </c:pt>
                <c:pt idx="61">
                  <c:v>43551</c:v>
                </c:pt>
                <c:pt idx="62">
                  <c:v>43552</c:v>
                </c:pt>
                <c:pt idx="63">
                  <c:v>43553</c:v>
                </c:pt>
                <c:pt idx="64">
                  <c:v>43556</c:v>
                </c:pt>
                <c:pt idx="65">
                  <c:v>43557</c:v>
                </c:pt>
                <c:pt idx="66">
                  <c:v>43558</c:v>
                </c:pt>
                <c:pt idx="67">
                  <c:v>43559</c:v>
                </c:pt>
                <c:pt idx="68">
                  <c:v>43560</c:v>
                </c:pt>
                <c:pt idx="69">
                  <c:v>43563</c:v>
                </c:pt>
                <c:pt idx="70">
                  <c:v>43564</c:v>
                </c:pt>
                <c:pt idx="71">
                  <c:v>43565</c:v>
                </c:pt>
                <c:pt idx="72">
                  <c:v>43566</c:v>
                </c:pt>
                <c:pt idx="73">
                  <c:v>43567</c:v>
                </c:pt>
                <c:pt idx="74">
                  <c:v>43570</c:v>
                </c:pt>
                <c:pt idx="75">
                  <c:v>43571</c:v>
                </c:pt>
                <c:pt idx="76">
                  <c:v>43572</c:v>
                </c:pt>
                <c:pt idx="77">
                  <c:v>43573</c:v>
                </c:pt>
                <c:pt idx="78">
                  <c:v>43574</c:v>
                </c:pt>
                <c:pt idx="79">
                  <c:v>43577</c:v>
                </c:pt>
                <c:pt idx="80">
                  <c:v>43578</c:v>
                </c:pt>
                <c:pt idx="81">
                  <c:v>43579</c:v>
                </c:pt>
                <c:pt idx="82">
                  <c:v>43580</c:v>
                </c:pt>
                <c:pt idx="83">
                  <c:v>43581</c:v>
                </c:pt>
                <c:pt idx="84">
                  <c:v>43584</c:v>
                </c:pt>
                <c:pt idx="85">
                  <c:v>43585</c:v>
                </c:pt>
                <c:pt idx="86">
                  <c:v>43586</c:v>
                </c:pt>
                <c:pt idx="87">
                  <c:v>43587</c:v>
                </c:pt>
                <c:pt idx="88">
                  <c:v>43588</c:v>
                </c:pt>
                <c:pt idx="89">
                  <c:v>43591</c:v>
                </c:pt>
                <c:pt idx="90">
                  <c:v>43592</c:v>
                </c:pt>
                <c:pt idx="91">
                  <c:v>43593</c:v>
                </c:pt>
                <c:pt idx="92">
                  <c:v>43594</c:v>
                </c:pt>
                <c:pt idx="93">
                  <c:v>43595</c:v>
                </c:pt>
                <c:pt idx="94">
                  <c:v>43598</c:v>
                </c:pt>
                <c:pt idx="95">
                  <c:v>43599</c:v>
                </c:pt>
                <c:pt idx="96">
                  <c:v>43600</c:v>
                </c:pt>
                <c:pt idx="97">
                  <c:v>43601</c:v>
                </c:pt>
                <c:pt idx="98">
                  <c:v>43602</c:v>
                </c:pt>
                <c:pt idx="99">
                  <c:v>43605</c:v>
                </c:pt>
                <c:pt idx="100">
                  <c:v>43606</c:v>
                </c:pt>
                <c:pt idx="101">
                  <c:v>43607</c:v>
                </c:pt>
                <c:pt idx="102">
                  <c:v>43608</c:v>
                </c:pt>
                <c:pt idx="103">
                  <c:v>43609</c:v>
                </c:pt>
                <c:pt idx="104">
                  <c:v>43612</c:v>
                </c:pt>
                <c:pt idx="105">
                  <c:v>43613</c:v>
                </c:pt>
                <c:pt idx="106">
                  <c:v>43614</c:v>
                </c:pt>
                <c:pt idx="107">
                  <c:v>43615</c:v>
                </c:pt>
                <c:pt idx="108">
                  <c:v>43616</c:v>
                </c:pt>
                <c:pt idx="109">
                  <c:v>43619</c:v>
                </c:pt>
                <c:pt idx="110">
                  <c:v>43620</c:v>
                </c:pt>
                <c:pt idx="111">
                  <c:v>43621</c:v>
                </c:pt>
                <c:pt idx="112">
                  <c:v>43622</c:v>
                </c:pt>
                <c:pt idx="113">
                  <c:v>43623</c:v>
                </c:pt>
                <c:pt idx="114">
                  <c:v>43626</c:v>
                </c:pt>
                <c:pt idx="115">
                  <c:v>43627</c:v>
                </c:pt>
                <c:pt idx="116">
                  <c:v>43628</c:v>
                </c:pt>
                <c:pt idx="117">
                  <c:v>43629</c:v>
                </c:pt>
                <c:pt idx="118">
                  <c:v>43630</c:v>
                </c:pt>
                <c:pt idx="119">
                  <c:v>43633</c:v>
                </c:pt>
                <c:pt idx="120">
                  <c:v>43634</c:v>
                </c:pt>
                <c:pt idx="121">
                  <c:v>43635</c:v>
                </c:pt>
                <c:pt idx="122">
                  <c:v>43636</c:v>
                </c:pt>
                <c:pt idx="123">
                  <c:v>43637</c:v>
                </c:pt>
                <c:pt idx="124">
                  <c:v>43640</c:v>
                </c:pt>
                <c:pt idx="125">
                  <c:v>43641</c:v>
                </c:pt>
                <c:pt idx="126">
                  <c:v>43642</c:v>
                </c:pt>
                <c:pt idx="127">
                  <c:v>43643</c:v>
                </c:pt>
                <c:pt idx="128">
                  <c:v>43644</c:v>
                </c:pt>
                <c:pt idx="129">
                  <c:v>43647</c:v>
                </c:pt>
                <c:pt idx="130">
                  <c:v>43648</c:v>
                </c:pt>
                <c:pt idx="131">
                  <c:v>43649</c:v>
                </c:pt>
                <c:pt idx="132">
                  <c:v>43650</c:v>
                </c:pt>
                <c:pt idx="133">
                  <c:v>43651</c:v>
                </c:pt>
                <c:pt idx="134">
                  <c:v>43654</c:v>
                </c:pt>
                <c:pt idx="135">
                  <c:v>43655</c:v>
                </c:pt>
                <c:pt idx="136">
                  <c:v>43656</c:v>
                </c:pt>
                <c:pt idx="137">
                  <c:v>43657</c:v>
                </c:pt>
                <c:pt idx="138">
                  <c:v>43658</c:v>
                </c:pt>
                <c:pt idx="139">
                  <c:v>43661</c:v>
                </c:pt>
                <c:pt idx="140">
                  <c:v>43662</c:v>
                </c:pt>
                <c:pt idx="141">
                  <c:v>43663</c:v>
                </c:pt>
                <c:pt idx="142">
                  <c:v>43664</c:v>
                </c:pt>
                <c:pt idx="143">
                  <c:v>43665</c:v>
                </c:pt>
                <c:pt idx="144">
                  <c:v>43668</c:v>
                </c:pt>
                <c:pt idx="145">
                  <c:v>43669</c:v>
                </c:pt>
                <c:pt idx="146">
                  <c:v>43670</c:v>
                </c:pt>
                <c:pt idx="147">
                  <c:v>43671</c:v>
                </c:pt>
                <c:pt idx="148">
                  <c:v>43672</c:v>
                </c:pt>
                <c:pt idx="149">
                  <c:v>43675</c:v>
                </c:pt>
                <c:pt idx="150">
                  <c:v>43676</c:v>
                </c:pt>
                <c:pt idx="151">
                  <c:v>43677</c:v>
                </c:pt>
                <c:pt idx="152">
                  <c:v>43678</c:v>
                </c:pt>
                <c:pt idx="153">
                  <c:v>43679</c:v>
                </c:pt>
                <c:pt idx="154">
                  <c:v>43682</c:v>
                </c:pt>
                <c:pt idx="155">
                  <c:v>43683</c:v>
                </c:pt>
                <c:pt idx="156">
                  <c:v>43684</c:v>
                </c:pt>
                <c:pt idx="157">
                  <c:v>43685</c:v>
                </c:pt>
                <c:pt idx="158">
                  <c:v>43686</c:v>
                </c:pt>
                <c:pt idx="159">
                  <c:v>43689</c:v>
                </c:pt>
                <c:pt idx="160">
                  <c:v>43690</c:v>
                </c:pt>
                <c:pt idx="161">
                  <c:v>43691</c:v>
                </c:pt>
                <c:pt idx="162">
                  <c:v>43692</c:v>
                </c:pt>
                <c:pt idx="163">
                  <c:v>43693</c:v>
                </c:pt>
                <c:pt idx="164">
                  <c:v>43696</c:v>
                </c:pt>
                <c:pt idx="165">
                  <c:v>43697</c:v>
                </c:pt>
                <c:pt idx="166">
                  <c:v>43698</c:v>
                </c:pt>
                <c:pt idx="167">
                  <c:v>43699</c:v>
                </c:pt>
                <c:pt idx="168">
                  <c:v>43700</c:v>
                </c:pt>
                <c:pt idx="169">
                  <c:v>43703</c:v>
                </c:pt>
                <c:pt idx="170">
                  <c:v>43704</c:v>
                </c:pt>
                <c:pt idx="171">
                  <c:v>43705</c:v>
                </c:pt>
                <c:pt idx="172">
                  <c:v>43706</c:v>
                </c:pt>
                <c:pt idx="173">
                  <c:v>43707</c:v>
                </c:pt>
                <c:pt idx="174">
                  <c:v>43710</c:v>
                </c:pt>
                <c:pt idx="175">
                  <c:v>43711</c:v>
                </c:pt>
                <c:pt idx="176">
                  <c:v>43712</c:v>
                </c:pt>
                <c:pt idx="177">
                  <c:v>43713</c:v>
                </c:pt>
                <c:pt idx="178">
                  <c:v>43714</c:v>
                </c:pt>
                <c:pt idx="179">
                  <c:v>43717</c:v>
                </c:pt>
                <c:pt idx="180">
                  <c:v>43718</c:v>
                </c:pt>
                <c:pt idx="181">
                  <c:v>43719</c:v>
                </c:pt>
                <c:pt idx="182">
                  <c:v>43720</c:v>
                </c:pt>
                <c:pt idx="183">
                  <c:v>43721</c:v>
                </c:pt>
                <c:pt idx="184">
                  <c:v>43724</c:v>
                </c:pt>
                <c:pt idx="185">
                  <c:v>43725</c:v>
                </c:pt>
                <c:pt idx="186">
                  <c:v>43726</c:v>
                </c:pt>
                <c:pt idx="187">
                  <c:v>43727</c:v>
                </c:pt>
                <c:pt idx="188">
                  <c:v>43728</c:v>
                </c:pt>
                <c:pt idx="189">
                  <c:v>43731</c:v>
                </c:pt>
                <c:pt idx="190">
                  <c:v>43732</c:v>
                </c:pt>
                <c:pt idx="191">
                  <c:v>43733</c:v>
                </c:pt>
                <c:pt idx="192">
                  <c:v>43734</c:v>
                </c:pt>
                <c:pt idx="193">
                  <c:v>43735</c:v>
                </c:pt>
                <c:pt idx="194">
                  <c:v>43738</c:v>
                </c:pt>
                <c:pt idx="195">
                  <c:v>43739</c:v>
                </c:pt>
                <c:pt idx="196">
                  <c:v>43740</c:v>
                </c:pt>
                <c:pt idx="197">
                  <c:v>43741</c:v>
                </c:pt>
                <c:pt idx="198">
                  <c:v>43742</c:v>
                </c:pt>
                <c:pt idx="199">
                  <c:v>43745</c:v>
                </c:pt>
                <c:pt idx="200">
                  <c:v>43746</c:v>
                </c:pt>
                <c:pt idx="201">
                  <c:v>43747</c:v>
                </c:pt>
                <c:pt idx="202">
                  <c:v>43748</c:v>
                </c:pt>
                <c:pt idx="203">
                  <c:v>43749</c:v>
                </c:pt>
                <c:pt idx="204">
                  <c:v>43752</c:v>
                </c:pt>
                <c:pt idx="205">
                  <c:v>43753</c:v>
                </c:pt>
                <c:pt idx="206">
                  <c:v>43754</c:v>
                </c:pt>
                <c:pt idx="207">
                  <c:v>43755</c:v>
                </c:pt>
                <c:pt idx="208">
                  <c:v>43756</c:v>
                </c:pt>
                <c:pt idx="209">
                  <c:v>43759</c:v>
                </c:pt>
                <c:pt idx="210">
                  <c:v>43760</c:v>
                </c:pt>
                <c:pt idx="211">
                  <c:v>43761</c:v>
                </c:pt>
                <c:pt idx="212">
                  <c:v>43762</c:v>
                </c:pt>
                <c:pt idx="213">
                  <c:v>43763</c:v>
                </c:pt>
                <c:pt idx="214">
                  <c:v>43766</c:v>
                </c:pt>
                <c:pt idx="215">
                  <c:v>43767</c:v>
                </c:pt>
                <c:pt idx="216">
                  <c:v>43768</c:v>
                </c:pt>
                <c:pt idx="217">
                  <c:v>43769</c:v>
                </c:pt>
                <c:pt idx="218">
                  <c:v>43770</c:v>
                </c:pt>
                <c:pt idx="219">
                  <c:v>43773</c:v>
                </c:pt>
                <c:pt idx="220">
                  <c:v>43774</c:v>
                </c:pt>
                <c:pt idx="221">
                  <c:v>43775</c:v>
                </c:pt>
                <c:pt idx="222">
                  <c:v>43776</c:v>
                </c:pt>
                <c:pt idx="223">
                  <c:v>43777</c:v>
                </c:pt>
                <c:pt idx="224">
                  <c:v>43780</c:v>
                </c:pt>
                <c:pt idx="225">
                  <c:v>43781</c:v>
                </c:pt>
                <c:pt idx="226">
                  <c:v>43782</c:v>
                </c:pt>
                <c:pt idx="227">
                  <c:v>43783</c:v>
                </c:pt>
                <c:pt idx="228">
                  <c:v>43784</c:v>
                </c:pt>
                <c:pt idx="229">
                  <c:v>43787</c:v>
                </c:pt>
                <c:pt idx="230">
                  <c:v>43788</c:v>
                </c:pt>
                <c:pt idx="231">
                  <c:v>43789</c:v>
                </c:pt>
                <c:pt idx="232">
                  <c:v>43790</c:v>
                </c:pt>
                <c:pt idx="233">
                  <c:v>43791</c:v>
                </c:pt>
                <c:pt idx="234">
                  <c:v>43794</c:v>
                </c:pt>
                <c:pt idx="235">
                  <c:v>43795</c:v>
                </c:pt>
                <c:pt idx="236">
                  <c:v>43796</c:v>
                </c:pt>
                <c:pt idx="237">
                  <c:v>43797</c:v>
                </c:pt>
                <c:pt idx="238">
                  <c:v>43798</c:v>
                </c:pt>
                <c:pt idx="239">
                  <c:v>43801</c:v>
                </c:pt>
                <c:pt idx="240">
                  <c:v>43802</c:v>
                </c:pt>
                <c:pt idx="241">
                  <c:v>43803</c:v>
                </c:pt>
                <c:pt idx="242">
                  <c:v>43804</c:v>
                </c:pt>
                <c:pt idx="243">
                  <c:v>43805</c:v>
                </c:pt>
                <c:pt idx="244">
                  <c:v>43808</c:v>
                </c:pt>
                <c:pt idx="245">
                  <c:v>43809</c:v>
                </c:pt>
                <c:pt idx="246">
                  <c:v>43810</c:v>
                </c:pt>
                <c:pt idx="247">
                  <c:v>43811</c:v>
                </c:pt>
                <c:pt idx="248">
                  <c:v>43812</c:v>
                </c:pt>
                <c:pt idx="249">
                  <c:v>43815</c:v>
                </c:pt>
                <c:pt idx="250">
                  <c:v>43816</c:v>
                </c:pt>
                <c:pt idx="251">
                  <c:v>43817</c:v>
                </c:pt>
                <c:pt idx="252">
                  <c:v>43818</c:v>
                </c:pt>
                <c:pt idx="253">
                  <c:v>43819</c:v>
                </c:pt>
                <c:pt idx="254">
                  <c:v>43822</c:v>
                </c:pt>
                <c:pt idx="255">
                  <c:v>43823</c:v>
                </c:pt>
                <c:pt idx="256">
                  <c:v>43824</c:v>
                </c:pt>
                <c:pt idx="257">
                  <c:v>43825</c:v>
                </c:pt>
                <c:pt idx="258">
                  <c:v>43826</c:v>
                </c:pt>
                <c:pt idx="259">
                  <c:v>43829</c:v>
                </c:pt>
                <c:pt idx="260">
                  <c:v>43830</c:v>
                </c:pt>
                <c:pt idx="261">
                  <c:v>43831</c:v>
                </c:pt>
                <c:pt idx="262">
                  <c:v>43832</c:v>
                </c:pt>
                <c:pt idx="263">
                  <c:v>43833</c:v>
                </c:pt>
                <c:pt idx="264">
                  <c:v>43836</c:v>
                </c:pt>
                <c:pt idx="265">
                  <c:v>43837</c:v>
                </c:pt>
                <c:pt idx="266">
                  <c:v>43838</c:v>
                </c:pt>
                <c:pt idx="267">
                  <c:v>43839</c:v>
                </c:pt>
                <c:pt idx="268">
                  <c:v>43840</c:v>
                </c:pt>
                <c:pt idx="269">
                  <c:v>43843</c:v>
                </c:pt>
                <c:pt idx="270">
                  <c:v>43844</c:v>
                </c:pt>
                <c:pt idx="271">
                  <c:v>43845</c:v>
                </c:pt>
                <c:pt idx="272">
                  <c:v>43846</c:v>
                </c:pt>
                <c:pt idx="273">
                  <c:v>43847</c:v>
                </c:pt>
                <c:pt idx="274">
                  <c:v>43850</c:v>
                </c:pt>
                <c:pt idx="275">
                  <c:v>43851</c:v>
                </c:pt>
                <c:pt idx="276">
                  <c:v>43852</c:v>
                </c:pt>
                <c:pt idx="277">
                  <c:v>43853</c:v>
                </c:pt>
                <c:pt idx="278">
                  <c:v>43854</c:v>
                </c:pt>
                <c:pt idx="279">
                  <c:v>43857</c:v>
                </c:pt>
                <c:pt idx="280">
                  <c:v>43858</c:v>
                </c:pt>
                <c:pt idx="281">
                  <c:v>43859</c:v>
                </c:pt>
                <c:pt idx="282">
                  <c:v>43860</c:v>
                </c:pt>
                <c:pt idx="283">
                  <c:v>43861</c:v>
                </c:pt>
                <c:pt idx="284">
                  <c:v>43864</c:v>
                </c:pt>
                <c:pt idx="285">
                  <c:v>43865</c:v>
                </c:pt>
                <c:pt idx="286">
                  <c:v>43866</c:v>
                </c:pt>
                <c:pt idx="287">
                  <c:v>43867</c:v>
                </c:pt>
                <c:pt idx="288">
                  <c:v>43868</c:v>
                </c:pt>
                <c:pt idx="289">
                  <c:v>43871</c:v>
                </c:pt>
                <c:pt idx="290">
                  <c:v>43872</c:v>
                </c:pt>
                <c:pt idx="291">
                  <c:v>43873</c:v>
                </c:pt>
                <c:pt idx="292">
                  <c:v>43874</c:v>
                </c:pt>
                <c:pt idx="293">
                  <c:v>43875</c:v>
                </c:pt>
                <c:pt idx="294">
                  <c:v>43878</c:v>
                </c:pt>
                <c:pt idx="295">
                  <c:v>43879</c:v>
                </c:pt>
                <c:pt idx="296">
                  <c:v>43880</c:v>
                </c:pt>
                <c:pt idx="297">
                  <c:v>43881</c:v>
                </c:pt>
                <c:pt idx="298">
                  <c:v>43882</c:v>
                </c:pt>
                <c:pt idx="299">
                  <c:v>43885</c:v>
                </c:pt>
                <c:pt idx="300">
                  <c:v>43886</c:v>
                </c:pt>
                <c:pt idx="301">
                  <c:v>43887</c:v>
                </c:pt>
                <c:pt idx="302">
                  <c:v>43888</c:v>
                </c:pt>
                <c:pt idx="303">
                  <c:v>43889</c:v>
                </c:pt>
                <c:pt idx="304">
                  <c:v>43892</c:v>
                </c:pt>
                <c:pt idx="305">
                  <c:v>43893</c:v>
                </c:pt>
                <c:pt idx="306">
                  <c:v>43894</c:v>
                </c:pt>
                <c:pt idx="307">
                  <c:v>43895</c:v>
                </c:pt>
                <c:pt idx="308">
                  <c:v>43896</c:v>
                </c:pt>
                <c:pt idx="309">
                  <c:v>43899</c:v>
                </c:pt>
                <c:pt idx="310">
                  <c:v>43900</c:v>
                </c:pt>
                <c:pt idx="311">
                  <c:v>43901</c:v>
                </c:pt>
                <c:pt idx="312">
                  <c:v>43902</c:v>
                </c:pt>
                <c:pt idx="313">
                  <c:v>43903</c:v>
                </c:pt>
                <c:pt idx="314">
                  <c:v>43906</c:v>
                </c:pt>
                <c:pt idx="315">
                  <c:v>43907</c:v>
                </c:pt>
                <c:pt idx="316">
                  <c:v>43908</c:v>
                </c:pt>
                <c:pt idx="317">
                  <c:v>43909</c:v>
                </c:pt>
                <c:pt idx="318">
                  <c:v>43910</c:v>
                </c:pt>
                <c:pt idx="319">
                  <c:v>43913</c:v>
                </c:pt>
                <c:pt idx="320">
                  <c:v>43914</c:v>
                </c:pt>
                <c:pt idx="321">
                  <c:v>43915</c:v>
                </c:pt>
                <c:pt idx="322">
                  <c:v>43916</c:v>
                </c:pt>
                <c:pt idx="323">
                  <c:v>43917</c:v>
                </c:pt>
                <c:pt idx="324">
                  <c:v>43920</c:v>
                </c:pt>
                <c:pt idx="325">
                  <c:v>43921</c:v>
                </c:pt>
                <c:pt idx="326">
                  <c:v>43922</c:v>
                </c:pt>
                <c:pt idx="327">
                  <c:v>43923</c:v>
                </c:pt>
                <c:pt idx="328">
                  <c:v>43924</c:v>
                </c:pt>
                <c:pt idx="329">
                  <c:v>43927</c:v>
                </c:pt>
                <c:pt idx="330">
                  <c:v>43928</c:v>
                </c:pt>
              </c:numCache>
            </c:numRef>
          </c:cat>
          <c:val>
            <c:numRef>
              <c:f>Sheet1!$D$2:$D$332</c:f>
              <c:numCache>
                <c:formatCode>General</c:formatCode>
                <c:ptCount val="331"/>
                <c:pt idx="0">
                  <c:v>254</c:v>
                </c:pt>
                <c:pt idx="1">
                  <c:v>252</c:v>
                </c:pt>
                <c:pt idx="2">
                  <c:v>253</c:v>
                </c:pt>
                <c:pt idx="3">
                  <c:v>235</c:v>
                </c:pt>
                <c:pt idx="4">
                  <c:v>223</c:v>
                </c:pt>
                <c:pt idx="5">
                  <c:v>223</c:v>
                </c:pt>
                <c:pt idx="6">
                  <c:v>221</c:v>
                </c:pt>
                <c:pt idx="7">
                  <c:v>226</c:v>
                </c:pt>
                <c:pt idx="8">
                  <c:v>225</c:v>
                </c:pt>
                <c:pt idx="9">
                  <c:v>225</c:v>
                </c:pt>
                <c:pt idx="10">
                  <c:v>222</c:v>
                </c:pt>
                <c:pt idx="11">
                  <c:v>218</c:v>
                </c:pt>
                <c:pt idx="12">
                  <c:v>219</c:v>
                </c:pt>
                <c:pt idx="13">
                  <c:v>213</c:v>
                </c:pt>
                <c:pt idx="14">
                  <c:v>213</c:v>
                </c:pt>
                <c:pt idx="15">
                  <c:v>217</c:v>
                </c:pt>
                <c:pt idx="16">
                  <c:v>215</c:v>
                </c:pt>
                <c:pt idx="17">
                  <c:v>213</c:v>
                </c:pt>
                <c:pt idx="18">
                  <c:v>211</c:v>
                </c:pt>
                <c:pt idx="19">
                  <c:v>214</c:v>
                </c:pt>
                <c:pt idx="20">
                  <c:v>218</c:v>
                </c:pt>
                <c:pt idx="21">
                  <c:v>221</c:v>
                </c:pt>
                <c:pt idx="22">
                  <c:v>219</c:v>
                </c:pt>
                <c:pt idx="23">
                  <c:v>219</c:v>
                </c:pt>
                <c:pt idx="24">
                  <c:v>219</c:v>
                </c:pt>
                <c:pt idx="25">
                  <c:v>215</c:v>
                </c:pt>
                <c:pt idx="26">
                  <c:v>215</c:v>
                </c:pt>
                <c:pt idx="27">
                  <c:v>220</c:v>
                </c:pt>
                <c:pt idx="28">
                  <c:v>224</c:v>
                </c:pt>
                <c:pt idx="29">
                  <c:v>222</c:v>
                </c:pt>
                <c:pt idx="30">
                  <c:v>217</c:v>
                </c:pt>
                <c:pt idx="31">
                  <c:v>217</c:v>
                </c:pt>
                <c:pt idx="32">
                  <c:v>232</c:v>
                </c:pt>
                <c:pt idx="33">
                  <c:v>228</c:v>
                </c:pt>
                <c:pt idx="34">
                  <c:v>228</c:v>
                </c:pt>
                <c:pt idx="35">
                  <c:v>225</c:v>
                </c:pt>
                <c:pt idx="36">
                  <c:v>223</c:v>
                </c:pt>
                <c:pt idx="37">
                  <c:v>220</c:v>
                </c:pt>
                <c:pt idx="38">
                  <c:v>219</c:v>
                </c:pt>
                <c:pt idx="39">
                  <c:v>216</c:v>
                </c:pt>
                <c:pt idx="40">
                  <c:v>217</c:v>
                </c:pt>
                <c:pt idx="41">
                  <c:v>214</c:v>
                </c:pt>
                <c:pt idx="42">
                  <c:v>208</c:v>
                </c:pt>
                <c:pt idx="43">
                  <c:v>209</c:v>
                </c:pt>
                <c:pt idx="44">
                  <c:v>209</c:v>
                </c:pt>
                <c:pt idx="45">
                  <c:v>211</c:v>
                </c:pt>
                <c:pt idx="46">
                  <c:v>209</c:v>
                </c:pt>
                <c:pt idx="47">
                  <c:v>213</c:v>
                </c:pt>
                <c:pt idx="48">
                  <c:v>217</c:v>
                </c:pt>
                <c:pt idx="49">
                  <c:v>212</c:v>
                </c:pt>
                <c:pt idx="50">
                  <c:v>213</c:v>
                </c:pt>
                <c:pt idx="51">
                  <c:v>214</c:v>
                </c:pt>
                <c:pt idx="52">
                  <c:v>210</c:v>
                </c:pt>
                <c:pt idx="53">
                  <c:v>213</c:v>
                </c:pt>
                <c:pt idx="54">
                  <c:v>212</c:v>
                </c:pt>
                <c:pt idx="55">
                  <c:v>209</c:v>
                </c:pt>
                <c:pt idx="56">
                  <c:v>216</c:v>
                </c:pt>
                <c:pt idx="57">
                  <c:v>212</c:v>
                </c:pt>
                <c:pt idx="58">
                  <c:v>220</c:v>
                </c:pt>
                <c:pt idx="59">
                  <c:v>219</c:v>
                </c:pt>
                <c:pt idx="60">
                  <c:v>219</c:v>
                </c:pt>
                <c:pt idx="61">
                  <c:v>223</c:v>
                </c:pt>
                <c:pt idx="62">
                  <c:v>224</c:v>
                </c:pt>
                <c:pt idx="63">
                  <c:v>227</c:v>
                </c:pt>
                <c:pt idx="64">
                  <c:v>220</c:v>
                </c:pt>
                <c:pt idx="65">
                  <c:v>219</c:v>
                </c:pt>
                <c:pt idx="66">
                  <c:v>217</c:v>
                </c:pt>
                <c:pt idx="67">
                  <c:v>216</c:v>
                </c:pt>
                <c:pt idx="68">
                  <c:v>216</c:v>
                </c:pt>
                <c:pt idx="69">
                  <c:v>214</c:v>
                </c:pt>
                <c:pt idx="70">
                  <c:v>213</c:v>
                </c:pt>
                <c:pt idx="71">
                  <c:v>214</c:v>
                </c:pt>
                <c:pt idx="72">
                  <c:v>210</c:v>
                </c:pt>
                <c:pt idx="73">
                  <c:v>207</c:v>
                </c:pt>
                <c:pt idx="74">
                  <c:v>205</c:v>
                </c:pt>
                <c:pt idx="75">
                  <c:v>201</c:v>
                </c:pt>
                <c:pt idx="76">
                  <c:v>200</c:v>
                </c:pt>
                <c:pt idx="77">
                  <c:v>203</c:v>
                </c:pt>
                <c:pt idx="78">
                  <c:v>203</c:v>
                </c:pt>
                <c:pt idx="79">
                  <c:v>200</c:v>
                </c:pt>
                <c:pt idx="80">
                  <c:v>200</c:v>
                </c:pt>
                <c:pt idx="81">
                  <c:v>202</c:v>
                </c:pt>
                <c:pt idx="82">
                  <c:v>203</c:v>
                </c:pt>
                <c:pt idx="83">
                  <c:v>203</c:v>
                </c:pt>
                <c:pt idx="84">
                  <c:v>198</c:v>
                </c:pt>
                <c:pt idx="85">
                  <c:v>199</c:v>
                </c:pt>
                <c:pt idx="86">
                  <c:v>197</c:v>
                </c:pt>
                <c:pt idx="87">
                  <c:v>200</c:v>
                </c:pt>
                <c:pt idx="88">
                  <c:v>201</c:v>
                </c:pt>
                <c:pt idx="89">
                  <c:v>203</c:v>
                </c:pt>
                <c:pt idx="90">
                  <c:v>210</c:v>
                </c:pt>
                <c:pt idx="91">
                  <c:v>210</c:v>
                </c:pt>
                <c:pt idx="92">
                  <c:v>213</c:v>
                </c:pt>
                <c:pt idx="93">
                  <c:v>210</c:v>
                </c:pt>
                <c:pt idx="94">
                  <c:v>217</c:v>
                </c:pt>
                <c:pt idx="95">
                  <c:v>214</c:v>
                </c:pt>
                <c:pt idx="96">
                  <c:v>215</c:v>
                </c:pt>
                <c:pt idx="97">
                  <c:v>208</c:v>
                </c:pt>
                <c:pt idx="98">
                  <c:v>209</c:v>
                </c:pt>
                <c:pt idx="99">
                  <c:v>201</c:v>
                </c:pt>
                <c:pt idx="100">
                  <c:v>198</c:v>
                </c:pt>
                <c:pt idx="101">
                  <c:v>201</c:v>
                </c:pt>
                <c:pt idx="102">
                  <c:v>213</c:v>
                </c:pt>
                <c:pt idx="103">
                  <c:v>209</c:v>
                </c:pt>
                <c:pt idx="104">
                  <c:v>209</c:v>
                </c:pt>
                <c:pt idx="105">
                  <c:v>211</c:v>
                </c:pt>
                <c:pt idx="106">
                  <c:v>217</c:v>
                </c:pt>
                <c:pt idx="107">
                  <c:v>218</c:v>
                </c:pt>
                <c:pt idx="108">
                  <c:v>227</c:v>
                </c:pt>
                <c:pt idx="109">
                  <c:v>231</c:v>
                </c:pt>
                <c:pt idx="110">
                  <c:v>222</c:v>
                </c:pt>
                <c:pt idx="111">
                  <c:v>216</c:v>
                </c:pt>
                <c:pt idx="112">
                  <c:v>212</c:v>
                </c:pt>
                <c:pt idx="113">
                  <c:v>212</c:v>
                </c:pt>
                <c:pt idx="114">
                  <c:v>207</c:v>
                </c:pt>
                <c:pt idx="115">
                  <c:v>207</c:v>
                </c:pt>
                <c:pt idx="116">
                  <c:v>210</c:v>
                </c:pt>
                <c:pt idx="117">
                  <c:v>213</c:v>
                </c:pt>
                <c:pt idx="118">
                  <c:v>213</c:v>
                </c:pt>
                <c:pt idx="119">
                  <c:v>212</c:v>
                </c:pt>
                <c:pt idx="120">
                  <c:v>207</c:v>
                </c:pt>
                <c:pt idx="121">
                  <c:v>209</c:v>
                </c:pt>
                <c:pt idx="122">
                  <c:v>197</c:v>
                </c:pt>
                <c:pt idx="123">
                  <c:v>198</c:v>
                </c:pt>
                <c:pt idx="124">
                  <c:v>202</c:v>
                </c:pt>
                <c:pt idx="125">
                  <c:v>206</c:v>
                </c:pt>
                <c:pt idx="126">
                  <c:v>205</c:v>
                </c:pt>
                <c:pt idx="127">
                  <c:v>207</c:v>
                </c:pt>
                <c:pt idx="128">
                  <c:v>206</c:v>
                </c:pt>
                <c:pt idx="129">
                  <c:v>197</c:v>
                </c:pt>
                <c:pt idx="130">
                  <c:v>202</c:v>
                </c:pt>
                <c:pt idx="131">
                  <c:v>201</c:v>
                </c:pt>
                <c:pt idx="132">
                  <c:v>201</c:v>
                </c:pt>
                <c:pt idx="133">
                  <c:v>196</c:v>
                </c:pt>
                <c:pt idx="134">
                  <c:v>196</c:v>
                </c:pt>
                <c:pt idx="135">
                  <c:v>196</c:v>
                </c:pt>
                <c:pt idx="136">
                  <c:v>196</c:v>
                </c:pt>
                <c:pt idx="137">
                  <c:v>190</c:v>
                </c:pt>
                <c:pt idx="138">
                  <c:v>191</c:v>
                </c:pt>
                <c:pt idx="139">
                  <c:v>189</c:v>
                </c:pt>
                <c:pt idx="140">
                  <c:v>187</c:v>
                </c:pt>
                <c:pt idx="141">
                  <c:v>189</c:v>
                </c:pt>
                <c:pt idx="142">
                  <c:v>194</c:v>
                </c:pt>
                <c:pt idx="143">
                  <c:v>193</c:v>
                </c:pt>
                <c:pt idx="144">
                  <c:v>191</c:v>
                </c:pt>
                <c:pt idx="145">
                  <c:v>188</c:v>
                </c:pt>
                <c:pt idx="146">
                  <c:v>189</c:v>
                </c:pt>
                <c:pt idx="147">
                  <c:v>186</c:v>
                </c:pt>
                <c:pt idx="148">
                  <c:v>186</c:v>
                </c:pt>
                <c:pt idx="149">
                  <c:v>186</c:v>
                </c:pt>
                <c:pt idx="150">
                  <c:v>187</c:v>
                </c:pt>
                <c:pt idx="151">
                  <c:v>192</c:v>
                </c:pt>
                <c:pt idx="152">
                  <c:v>206</c:v>
                </c:pt>
                <c:pt idx="153">
                  <c:v>209</c:v>
                </c:pt>
                <c:pt idx="154">
                  <c:v>220</c:v>
                </c:pt>
                <c:pt idx="155">
                  <c:v>218</c:v>
                </c:pt>
                <c:pt idx="156">
                  <c:v>213</c:v>
                </c:pt>
                <c:pt idx="157">
                  <c:v>211</c:v>
                </c:pt>
                <c:pt idx="158">
                  <c:v>205</c:v>
                </c:pt>
                <c:pt idx="159">
                  <c:v>216</c:v>
                </c:pt>
                <c:pt idx="160">
                  <c:v>212</c:v>
                </c:pt>
                <c:pt idx="161">
                  <c:v>211</c:v>
                </c:pt>
                <c:pt idx="162">
                  <c:v>215</c:v>
                </c:pt>
                <c:pt idx="163">
                  <c:v>216</c:v>
                </c:pt>
                <c:pt idx="164">
                  <c:v>212</c:v>
                </c:pt>
                <c:pt idx="165">
                  <c:v>214</c:v>
                </c:pt>
                <c:pt idx="166">
                  <c:v>212</c:v>
                </c:pt>
                <c:pt idx="167">
                  <c:v>211</c:v>
                </c:pt>
                <c:pt idx="168">
                  <c:v>215</c:v>
                </c:pt>
                <c:pt idx="169">
                  <c:v>214</c:v>
                </c:pt>
                <c:pt idx="170">
                  <c:v>215</c:v>
                </c:pt>
                <c:pt idx="171">
                  <c:v>214</c:v>
                </c:pt>
                <c:pt idx="172">
                  <c:v>210</c:v>
                </c:pt>
                <c:pt idx="173">
                  <c:v>209</c:v>
                </c:pt>
                <c:pt idx="174">
                  <c:v>209</c:v>
                </c:pt>
                <c:pt idx="175">
                  <c:v>206</c:v>
                </c:pt>
                <c:pt idx="176">
                  <c:v>200</c:v>
                </c:pt>
                <c:pt idx="177">
                  <c:v>192</c:v>
                </c:pt>
                <c:pt idx="178">
                  <c:v>195</c:v>
                </c:pt>
                <c:pt idx="179">
                  <c:v>192</c:v>
                </c:pt>
                <c:pt idx="180">
                  <c:v>187</c:v>
                </c:pt>
                <c:pt idx="181">
                  <c:v>187</c:v>
                </c:pt>
                <c:pt idx="182">
                  <c:v>178</c:v>
                </c:pt>
                <c:pt idx="183">
                  <c:v>176</c:v>
                </c:pt>
                <c:pt idx="184">
                  <c:v>180</c:v>
                </c:pt>
                <c:pt idx="185">
                  <c:v>182</c:v>
                </c:pt>
                <c:pt idx="186">
                  <c:v>181</c:v>
                </c:pt>
                <c:pt idx="187">
                  <c:v>182</c:v>
                </c:pt>
                <c:pt idx="188">
                  <c:v>181</c:v>
                </c:pt>
                <c:pt idx="189">
                  <c:v>179</c:v>
                </c:pt>
                <c:pt idx="190">
                  <c:v>189</c:v>
                </c:pt>
                <c:pt idx="191">
                  <c:v>184</c:v>
                </c:pt>
                <c:pt idx="192">
                  <c:v>188</c:v>
                </c:pt>
                <c:pt idx="193">
                  <c:v>191</c:v>
                </c:pt>
                <c:pt idx="194">
                  <c:v>193</c:v>
                </c:pt>
                <c:pt idx="195">
                  <c:v>197</c:v>
                </c:pt>
                <c:pt idx="196">
                  <c:v>203</c:v>
                </c:pt>
                <c:pt idx="197">
                  <c:v>207</c:v>
                </c:pt>
                <c:pt idx="198">
                  <c:v>207</c:v>
                </c:pt>
                <c:pt idx="199">
                  <c:v>201</c:v>
                </c:pt>
                <c:pt idx="200">
                  <c:v>203</c:v>
                </c:pt>
                <c:pt idx="201">
                  <c:v>200</c:v>
                </c:pt>
                <c:pt idx="202">
                  <c:v>194</c:v>
                </c:pt>
                <c:pt idx="203">
                  <c:v>188</c:v>
                </c:pt>
                <c:pt idx="204">
                  <c:v>188</c:v>
                </c:pt>
                <c:pt idx="205">
                  <c:v>185</c:v>
                </c:pt>
                <c:pt idx="206">
                  <c:v>185</c:v>
                </c:pt>
                <c:pt idx="207">
                  <c:v>184</c:v>
                </c:pt>
                <c:pt idx="208">
                  <c:v>184</c:v>
                </c:pt>
                <c:pt idx="209">
                  <c:v>181</c:v>
                </c:pt>
                <c:pt idx="210">
                  <c:v>183</c:v>
                </c:pt>
                <c:pt idx="211">
                  <c:v>182</c:v>
                </c:pt>
                <c:pt idx="212">
                  <c:v>180</c:v>
                </c:pt>
                <c:pt idx="213">
                  <c:v>178</c:v>
                </c:pt>
                <c:pt idx="214">
                  <c:v>174</c:v>
                </c:pt>
                <c:pt idx="215">
                  <c:v>174</c:v>
                </c:pt>
                <c:pt idx="216">
                  <c:v>180</c:v>
                </c:pt>
                <c:pt idx="217">
                  <c:v>180</c:v>
                </c:pt>
                <c:pt idx="218">
                  <c:v>177</c:v>
                </c:pt>
                <c:pt idx="219">
                  <c:v>173</c:v>
                </c:pt>
                <c:pt idx="220">
                  <c:v>170</c:v>
                </c:pt>
                <c:pt idx="221">
                  <c:v>173</c:v>
                </c:pt>
                <c:pt idx="222">
                  <c:v>166</c:v>
                </c:pt>
                <c:pt idx="223">
                  <c:v>164</c:v>
                </c:pt>
                <c:pt idx="224">
                  <c:v>164</c:v>
                </c:pt>
                <c:pt idx="225">
                  <c:v>165</c:v>
                </c:pt>
                <c:pt idx="226">
                  <c:v>168</c:v>
                </c:pt>
                <c:pt idx="227">
                  <c:v>169</c:v>
                </c:pt>
                <c:pt idx="228">
                  <c:v>169</c:v>
                </c:pt>
                <c:pt idx="229">
                  <c:v>167</c:v>
                </c:pt>
                <c:pt idx="230">
                  <c:v>169</c:v>
                </c:pt>
                <c:pt idx="231">
                  <c:v>169</c:v>
                </c:pt>
                <c:pt idx="232">
                  <c:v>163</c:v>
                </c:pt>
                <c:pt idx="233">
                  <c:v>161</c:v>
                </c:pt>
                <c:pt idx="234">
                  <c:v>163</c:v>
                </c:pt>
                <c:pt idx="235">
                  <c:v>165</c:v>
                </c:pt>
                <c:pt idx="236">
                  <c:v>160</c:v>
                </c:pt>
                <c:pt idx="237">
                  <c:v>160</c:v>
                </c:pt>
                <c:pt idx="238">
                  <c:v>159</c:v>
                </c:pt>
                <c:pt idx="239">
                  <c:v>158</c:v>
                </c:pt>
                <c:pt idx="240">
                  <c:v>167</c:v>
                </c:pt>
                <c:pt idx="241">
                  <c:v>156</c:v>
                </c:pt>
                <c:pt idx="242">
                  <c:v>153</c:v>
                </c:pt>
                <c:pt idx="243">
                  <c:v>150</c:v>
                </c:pt>
                <c:pt idx="244">
                  <c:v>147</c:v>
                </c:pt>
                <c:pt idx="245">
                  <c:v>147</c:v>
                </c:pt>
                <c:pt idx="246">
                  <c:v>147</c:v>
                </c:pt>
                <c:pt idx="247">
                  <c:v>135</c:v>
                </c:pt>
                <c:pt idx="248">
                  <c:v>141</c:v>
                </c:pt>
                <c:pt idx="249">
                  <c:v>135</c:v>
                </c:pt>
                <c:pt idx="250">
                  <c:v>129</c:v>
                </c:pt>
                <c:pt idx="251">
                  <c:v>128</c:v>
                </c:pt>
                <c:pt idx="252">
                  <c:v>135</c:v>
                </c:pt>
                <c:pt idx="253">
                  <c:v>134</c:v>
                </c:pt>
                <c:pt idx="254">
                  <c:v>131</c:v>
                </c:pt>
                <c:pt idx="255">
                  <c:v>135</c:v>
                </c:pt>
                <c:pt idx="256">
                  <c:v>135</c:v>
                </c:pt>
                <c:pt idx="257">
                  <c:v>135</c:v>
                </c:pt>
                <c:pt idx="258">
                  <c:v>135</c:v>
                </c:pt>
                <c:pt idx="259">
                  <c:v>135</c:v>
                </c:pt>
                <c:pt idx="260">
                  <c:v>131</c:v>
                </c:pt>
                <c:pt idx="261">
                  <c:v>131</c:v>
                </c:pt>
                <c:pt idx="262">
                  <c:v>137</c:v>
                </c:pt>
                <c:pt idx="263">
                  <c:v>149</c:v>
                </c:pt>
                <c:pt idx="264">
                  <c:v>148</c:v>
                </c:pt>
                <c:pt idx="265">
                  <c:v>145</c:v>
                </c:pt>
                <c:pt idx="266">
                  <c:v>139</c:v>
                </c:pt>
                <c:pt idx="267">
                  <c:v>143</c:v>
                </c:pt>
                <c:pt idx="268">
                  <c:v>143</c:v>
                </c:pt>
                <c:pt idx="269">
                  <c:v>140</c:v>
                </c:pt>
                <c:pt idx="270">
                  <c:v>141</c:v>
                </c:pt>
                <c:pt idx="271">
                  <c:v>141</c:v>
                </c:pt>
                <c:pt idx="272">
                  <c:v>139</c:v>
                </c:pt>
                <c:pt idx="273">
                  <c:v>136</c:v>
                </c:pt>
                <c:pt idx="274">
                  <c:v>136</c:v>
                </c:pt>
                <c:pt idx="275">
                  <c:v>140</c:v>
                </c:pt>
                <c:pt idx="276">
                  <c:v>141</c:v>
                </c:pt>
                <c:pt idx="277">
                  <c:v>142</c:v>
                </c:pt>
                <c:pt idx="278">
                  <c:v>148</c:v>
                </c:pt>
                <c:pt idx="279">
                  <c:v>155</c:v>
                </c:pt>
                <c:pt idx="280">
                  <c:v>150</c:v>
                </c:pt>
                <c:pt idx="281">
                  <c:v>153</c:v>
                </c:pt>
                <c:pt idx="282">
                  <c:v>149</c:v>
                </c:pt>
                <c:pt idx="283">
                  <c:v>150</c:v>
                </c:pt>
                <c:pt idx="284">
                  <c:v>150</c:v>
                </c:pt>
                <c:pt idx="285">
                  <c:v>148</c:v>
                </c:pt>
                <c:pt idx="286">
                  <c:v>144</c:v>
                </c:pt>
                <c:pt idx="287">
                  <c:v>145</c:v>
                </c:pt>
                <c:pt idx="288">
                  <c:v>151</c:v>
                </c:pt>
                <c:pt idx="289">
                  <c:v>151</c:v>
                </c:pt>
                <c:pt idx="290">
                  <c:v>142</c:v>
                </c:pt>
                <c:pt idx="291">
                  <c:v>139</c:v>
                </c:pt>
                <c:pt idx="292">
                  <c:v>140</c:v>
                </c:pt>
                <c:pt idx="293">
                  <c:v>140</c:v>
                </c:pt>
                <c:pt idx="294">
                  <c:v>140</c:v>
                </c:pt>
                <c:pt idx="295">
                  <c:v>142</c:v>
                </c:pt>
                <c:pt idx="296">
                  <c:v>140</c:v>
                </c:pt>
                <c:pt idx="297">
                  <c:v>142</c:v>
                </c:pt>
                <c:pt idx="298">
                  <c:v>143</c:v>
                </c:pt>
                <c:pt idx="299">
                  <c:v>147</c:v>
                </c:pt>
                <c:pt idx="300">
                  <c:v>154</c:v>
                </c:pt>
                <c:pt idx="301">
                  <c:v>157</c:v>
                </c:pt>
                <c:pt idx="302">
                  <c:v>166</c:v>
                </c:pt>
                <c:pt idx="303">
                  <c:v>195</c:v>
                </c:pt>
                <c:pt idx="304">
                  <c:v>195</c:v>
                </c:pt>
                <c:pt idx="305">
                  <c:v>186</c:v>
                </c:pt>
                <c:pt idx="306">
                  <c:v>174</c:v>
                </c:pt>
                <c:pt idx="307">
                  <c:v>182</c:v>
                </c:pt>
                <c:pt idx="308">
                  <c:v>217</c:v>
                </c:pt>
                <c:pt idx="309">
                  <c:v>275</c:v>
                </c:pt>
                <c:pt idx="310">
                  <c:v>242</c:v>
                </c:pt>
                <c:pt idx="311">
                  <c:v>240</c:v>
                </c:pt>
                <c:pt idx="312">
                  <c:v>291</c:v>
                </c:pt>
                <c:pt idx="313">
                  <c:v>263</c:v>
                </c:pt>
                <c:pt idx="314">
                  <c:v>302</c:v>
                </c:pt>
                <c:pt idx="315">
                  <c:v>280</c:v>
                </c:pt>
                <c:pt idx="316">
                  <c:v>332</c:v>
                </c:pt>
                <c:pt idx="317">
                  <c:v>336</c:v>
                </c:pt>
                <c:pt idx="318">
                  <c:v>318</c:v>
                </c:pt>
                <c:pt idx="319">
                  <c:v>342</c:v>
                </c:pt>
                <c:pt idx="320">
                  <c:v>304</c:v>
                </c:pt>
                <c:pt idx="321">
                  <c:v>277</c:v>
                </c:pt>
                <c:pt idx="322">
                  <c:v>267</c:v>
                </c:pt>
                <c:pt idx="323">
                  <c:v>284</c:v>
                </c:pt>
                <c:pt idx="324">
                  <c:v>311</c:v>
                </c:pt>
                <c:pt idx="325">
                  <c:v>299</c:v>
                </c:pt>
                <c:pt idx="326">
                  <c:v>313</c:v>
                </c:pt>
                <c:pt idx="327">
                  <c:v>293</c:v>
                </c:pt>
                <c:pt idx="328">
                  <c:v>283</c:v>
                </c:pt>
                <c:pt idx="329">
                  <c:v>272</c:v>
                </c:pt>
                <c:pt idx="330">
                  <c:v>263</c:v>
                </c:pt>
              </c:numCache>
            </c:numRef>
          </c:val>
          <c:smooth val="0"/>
          <c:extLst>
            <c:ext xmlns:c16="http://schemas.microsoft.com/office/drawing/2014/chart" uri="{C3380CC4-5D6E-409C-BE32-E72D297353CC}">
              <c16:uniqueId val="{00000002-03F2-47BD-83F8-78F2959E3570}"/>
            </c:ext>
          </c:extLst>
        </c:ser>
        <c:dLbls>
          <c:showLegendKey val="0"/>
          <c:showVal val="0"/>
          <c:showCatName val="0"/>
          <c:showSerName val="0"/>
          <c:showPercent val="0"/>
          <c:showBubbleSize val="0"/>
        </c:dLbls>
        <c:smooth val="0"/>
        <c:axId val="-603818304"/>
        <c:axId val="-603811232"/>
      </c:lineChart>
      <c:dateAx>
        <c:axId val="-603818304"/>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11232"/>
        <c:crosses val="autoZero"/>
        <c:auto val="1"/>
        <c:lblOffset val="100"/>
        <c:baseTimeUnit val="days"/>
      </c:dateAx>
      <c:valAx>
        <c:axId val="-603811232"/>
        <c:scaling>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hy-AM" sz="800"/>
                  <a:t>Բազիսային կետ</a:t>
                </a:r>
                <a:endParaRPr lang="en-US" sz="80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18304"/>
        <c:crosses val="autoZero"/>
        <c:crossBetween val="between"/>
      </c:valAx>
      <c:spPr>
        <a:noFill/>
        <a:ln>
          <a:noFill/>
        </a:ln>
        <a:effectLst/>
      </c:spPr>
    </c:plotArea>
    <c:legend>
      <c:legendPos val="b"/>
      <c:layout>
        <c:manualLayout>
          <c:xMode val="edge"/>
          <c:yMode val="edge"/>
          <c:x val="0"/>
          <c:y val="0.82921616279446431"/>
          <c:w val="1"/>
          <c:h val="0.170783837205534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0"/>
          <c:order val="0"/>
          <c:tx>
            <c:strRef>
              <c:f>Sheet3!$B$3</c:f>
              <c:strCache>
                <c:ptCount val="1"/>
              </c:strCache>
            </c:strRef>
          </c:tx>
          <c:spPr>
            <a:noFill/>
          </c:spPr>
          <c:cat>
            <c:strRef>
              <c:f>Sheet3!$A$4:$A$91</c:f>
              <c:strCache>
                <c:ptCount val="7"/>
                <c:pt idx="0">
                  <c:v>2017</c:v>
                </c:pt>
                <c:pt idx="1">
                  <c:v>2018</c:v>
                </c:pt>
                <c:pt idx="2">
                  <c:v>2019</c:v>
                </c:pt>
                <c:pt idx="3">
                  <c:v>2020*</c:v>
                </c:pt>
                <c:pt idx="4">
                  <c:v>2021*</c:v>
                </c:pt>
                <c:pt idx="5">
                  <c:v>2022*</c:v>
                </c:pt>
                <c:pt idx="6">
                  <c:v>2023*</c:v>
                </c:pt>
              </c:strCache>
            </c:strRef>
          </c:cat>
          <c:val>
            <c:numRef>
              <c:f>Sheet3!$B$4:$B$91</c:f>
              <c:numCache>
                <c:formatCode>General</c:formatCode>
                <c:ptCount val="7"/>
                <c:pt idx="0">
                  <c:v>7.2522380206240484</c:v>
                </c:pt>
                <c:pt idx="1">
                  <c:v>8.6471304773412214</c:v>
                </c:pt>
                <c:pt idx="2">
                  <c:v>16.389092714898791</c:v>
                </c:pt>
                <c:pt idx="3">
                  <c:v>-9.331933271801752</c:v>
                </c:pt>
                <c:pt idx="4">
                  <c:v>8.9138920334012663</c:v>
                </c:pt>
                <c:pt idx="5">
                  <c:v>7.4159068272591675</c:v>
                </c:pt>
                <c:pt idx="6">
                  <c:v>4.142897399477536</c:v>
                </c:pt>
              </c:numCache>
            </c:numRef>
          </c:val>
          <c:extLst>
            <c:ext xmlns:c16="http://schemas.microsoft.com/office/drawing/2014/chart" uri="{C3380CC4-5D6E-409C-BE32-E72D297353CC}">
              <c16:uniqueId val="{00000000-D356-9244-B549-E9323F5AE15D}"/>
            </c:ext>
          </c:extLst>
        </c:ser>
        <c:ser>
          <c:idx val="1"/>
          <c:order val="1"/>
          <c:tx>
            <c:strRef>
              <c:f>Sheet3!$C$3</c:f>
              <c:strCache>
                <c:ptCount val="1"/>
              </c:strCache>
            </c:strRef>
          </c:tx>
          <c:spPr>
            <a:solidFill>
              <a:srgbClr val="FF0000">
                <a:alpha val="2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Sheet3!$C$4:$C$91</c:f>
              <c:numCache>
                <c:formatCode>General</c:formatCode>
                <c:ptCount val="7"/>
                <c:pt idx="3">
                  <c:v>1.0292910370721673</c:v>
                </c:pt>
                <c:pt idx="4">
                  <c:v>1.2656151965525169</c:v>
                </c:pt>
                <c:pt idx="5">
                  <c:v>1.3891932635069377</c:v>
                </c:pt>
                <c:pt idx="6">
                  <c:v>1.6024321445974221</c:v>
                </c:pt>
              </c:numCache>
            </c:numRef>
          </c:val>
          <c:extLst>
            <c:ext xmlns:c16="http://schemas.microsoft.com/office/drawing/2014/chart" uri="{C3380CC4-5D6E-409C-BE32-E72D297353CC}">
              <c16:uniqueId val="{00000001-D356-9244-B549-E9323F5AE15D}"/>
            </c:ext>
          </c:extLst>
        </c:ser>
        <c:ser>
          <c:idx val="2"/>
          <c:order val="2"/>
          <c:tx>
            <c:strRef>
              <c:f>Sheet3!$D$3</c:f>
              <c:strCache>
                <c:ptCount val="1"/>
              </c:strCache>
            </c:strRef>
          </c:tx>
          <c:spPr>
            <a:solidFill>
              <a:srgbClr val="FF0000">
                <a:alpha val="3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Sheet3!$D$4:$D$91</c:f>
              <c:numCache>
                <c:formatCode>General</c:formatCode>
                <c:ptCount val="7"/>
                <c:pt idx="3">
                  <c:v>0.69445777614243454</c:v>
                </c:pt>
                <c:pt idx="4">
                  <c:v>0.85390456459236042</c:v>
                </c:pt>
                <c:pt idx="5">
                  <c:v>0.93728209967832044</c:v>
                </c:pt>
                <c:pt idx="6">
                  <c:v>1.0811533603962127</c:v>
                </c:pt>
              </c:numCache>
            </c:numRef>
          </c:val>
          <c:extLst>
            <c:ext xmlns:c16="http://schemas.microsoft.com/office/drawing/2014/chart" uri="{C3380CC4-5D6E-409C-BE32-E72D297353CC}">
              <c16:uniqueId val="{00000002-D356-9244-B549-E9323F5AE15D}"/>
            </c:ext>
          </c:extLst>
        </c:ser>
        <c:ser>
          <c:idx val="3"/>
          <c:order val="3"/>
          <c:tx>
            <c:strRef>
              <c:f>Sheet3!$E$3</c:f>
              <c:strCache>
                <c:ptCount val="1"/>
              </c:strCache>
            </c:strRef>
          </c:tx>
          <c:spPr>
            <a:solidFill>
              <a:srgbClr val="FF0000">
                <a:alpha val="4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Sheet3!$E$4:$E$91</c:f>
              <c:numCache>
                <c:formatCode>General</c:formatCode>
                <c:ptCount val="7"/>
                <c:pt idx="3">
                  <c:v>0.55193302571850023</c:v>
                </c:pt>
                <c:pt idx="4">
                  <c:v>0.67865627861244682</c:v>
                </c:pt>
                <c:pt idx="5">
                  <c:v>0.74492210037711715</c:v>
                </c:pt>
                <c:pt idx="6">
                  <c:v>0.85926641758391864</c:v>
                </c:pt>
              </c:numCache>
            </c:numRef>
          </c:val>
          <c:extLst>
            <c:ext xmlns:c16="http://schemas.microsoft.com/office/drawing/2014/chart" uri="{C3380CC4-5D6E-409C-BE32-E72D297353CC}">
              <c16:uniqueId val="{00000003-D356-9244-B549-E9323F5AE15D}"/>
            </c:ext>
          </c:extLst>
        </c:ser>
        <c:ser>
          <c:idx val="4"/>
          <c:order val="4"/>
          <c:tx>
            <c:strRef>
              <c:f>Sheet3!$F$3</c:f>
              <c:strCache>
                <c:ptCount val="1"/>
              </c:strCache>
            </c:strRef>
          </c:tx>
          <c:spPr>
            <a:solidFill>
              <a:srgbClr val="FF0000">
                <a:alpha val="5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Sheet3!$F$4:$F$91</c:f>
              <c:numCache>
                <c:formatCode>General</c:formatCode>
                <c:ptCount val="7"/>
                <c:pt idx="3">
                  <c:v>0.47350939101799538</c:v>
                </c:pt>
                <c:pt idx="4">
                  <c:v>0.58222665834860798</c:v>
                </c:pt>
                <c:pt idx="5">
                  <c:v>0.63907683300204365</c:v>
                </c:pt>
                <c:pt idx="6">
                  <c:v>0.73717407575441762</c:v>
                </c:pt>
              </c:numCache>
            </c:numRef>
          </c:val>
          <c:extLst>
            <c:ext xmlns:c16="http://schemas.microsoft.com/office/drawing/2014/chart" uri="{C3380CC4-5D6E-409C-BE32-E72D297353CC}">
              <c16:uniqueId val="{00000004-D356-9244-B549-E9323F5AE15D}"/>
            </c:ext>
          </c:extLst>
        </c:ser>
        <c:ser>
          <c:idx val="5"/>
          <c:order val="5"/>
          <c:tx>
            <c:strRef>
              <c:f>Sheet3!$G$3</c:f>
              <c:strCache>
                <c:ptCount val="1"/>
              </c:strCache>
            </c:strRef>
          </c:tx>
          <c:spPr>
            <a:solidFill>
              <a:srgbClr val="FF0000">
                <a:alpha val="6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Sheet3!$G$4:$G$91</c:f>
              <c:numCache>
                <c:formatCode>General</c:formatCode>
                <c:ptCount val="7"/>
                <c:pt idx="3">
                  <c:v>0.4252260675571129</c:v>
                </c:pt>
                <c:pt idx="4">
                  <c:v>0.52285753366840515</c:v>
                </c:pt>
                <c:pt idx="5">
                  <c:v>0.5739107475357027</c:v>
                </c:pt>
                <c:pt idx="6">
                  <c:v>0.66200510335008189</c:v>
                </c:pt>
              </c:numCache>
            </c:numRef>
          </c:val>
          <c:extLst>
            <c:ext xmlns:c16="http://schemas.microsoft.com/office/drawing/2014/chart" uri="{C3380CC4-5D6E-409C-BE32-E72D297353CC}">
              <c16:uniqueId val="{00000005-D356-9244-B549-E9323F5AE15D}"/>
            </c:ext>
          </c:extLst>
        </c:ser>
        <c:ser>
          <c:idx val="6"/>
          <c:order val="6"/>
          <c:tx>
            <c:strRef>
              <c:f>Sheet3!$H$3</c:f>
              <c:strCache>
                <c:ptCount val="1"/>
              </c:strCache>
            </c:strRef>
          </c:tx>
          <c:spPr>
            <a:solidFill>
              <a:srgbClr val="FF0000">
                <a:alpha val="7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Sheet3!$H$4:$H$91</c:f>
              <c:numCache>
                <c:formatCode>General</c:formatCode>
                <c:ptCount val="7"/>
                <c:pt idx="3">
                  <c:v>0.39403532294394988</c:v>
                </c:pt>
                <c:pt idx="4">
                  <c:v>0.48450542629312027</c:v>
                </c:pt>
                <c:pt idx="5">
                  <c:v>0.53181383739100263</c:v>
                </c:pt>
                <c:pt idx="6">
                  <c:v>0.61344638673652152</c:v>
                </c:pt>
              </c:numCache>
            </c:numRef>
          </c:val>
          <c:extLst>
            <c:ext xmlns:c16="http://schemas.microsoft.com/office/drawing/2014/chart" uri="{C3380CC4-5D6E-409C-BE32-E72D297353CC}">
              <c16:uniqueId val="{00000006-D356-9244-B549-E9323F5AE15D}"/>
            </c:ext>
          </c:extLst>
        </c:ser>
        <c:ser>
          <c:idx val="7"/>
          <c:order val="7"/>
          <c:tx>
            <c:strRef>
              <c:f>Sheet3!$I$3</c:f>
              <c:strCache>
                <c:ptCount val="1"/>
              </c:strCache>
            </c:strRef>
          </c:tx>
          <c:spPr>
            <a:solidFill>
              <a:srgbClr val="FF0000">
                <a:alpha val="8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Sheet3!$I$4:$I$91</c:f>
              <c:numCache>
                <c:formatCode>General</c:formatCode>
                <c:ptCount val="7"/>
                <c:pt idx="3">
                  <c:v>0.37390098867556715</c:v>
                </c:pt>
                <c:pt idx="4">
                  <c:v>0.45974826966323512</c:v>
                </c:pt>
                <c:pt idx="5">
                  <c:v>0.5046393254955146</c:v>
                </c:pt>
                <c:pt idx="6">
                  <c:v>0.58210063196000839</c:v>
                </c:pt>
              </c:numCache>
            </c:numRef>
          </c:val>
          <c:extLst>
            <c:ext xmlns:c16="http://schemas.microsoft.com/office/drawing/2014/chart" uri="{C3380CC4-5D6E-409C-BE32-E72D297353CC}">
              <c16:uniqueId val="{00000007-D356-9244-B549-E9323F5AE15D}"/>
            </c:ext>
          </c:extLst>
        </c:ser>
        <c:ser>
          <c:idx val="8"/>
          <c:order val="8"/>
          <c:tx>
            <c:strRef>
              <c:f>Sheet3!$J$3</c:f>
              <c:strCache>
                <c:ptCount val="1"/>
              </c:strCache>
            </c:strRef>
          </c:tx>
          <c:spPr>
            <a:solidFill>
              <a:srgbClr val="FF0000">
                <a:alpha val="9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Sheet3!$J$4:$J$91</c:f>
              <c:numCache>
                <c:formatCode>General</c:formatCode>
                <c:ptCount val="7"/>
                <c:pt idx="3">
                  <c:v>0.36175353366449781</c:v>
                </c:pt>
                <c:pt idx="4">
                  <c:v>0.44481177152255641</c:v>
                </c:pt>
                <c:pt idx="5">
                  <c:v>0.48824438756024591</c:v>
                </c:pt>
                <c:pt idx="6">
                  <c:v>0.56318909801703754</c:v>
                </c:pt>
              </c:numCache>
            </c:numRef>
          </c:val>
          <c:extLst>
            <c:ext xmlns:c16="http://schemas.microsoft.com/office/drawing/2014/chart" uri="{C3380CC4-5D6E-409C-BE32-E72D297353CC}">
              <c16:uniqueId val="{00000008-D356-9244-B549-E9323F5AE15D}"/>
            </c:ext>
          </c:extLst>
        </c:ser>
        <c:ser>
          <c:idx val="9"/>
          <c:order val="9"/>
          <c:tx>
            <c:strRef>
              <c:f>Sheet3!$K$3</c:f>
              <c:strCache>
                <c:ptCount val="1"/>
              </c:strCache>
            </c:strRef>
          </c:tx>
          <c:spPr>
            <a:solidFill>
              <a:srgbClr val="FF0000"/>
            </a:solidFill>
            <a:ln>
              <a:solidFill>
                <a:srgbClr val="FF0000"/>
              </a:solidFill>
              <a:prstDash val="solid"/>
            </a:ln>
          </c:spPr>
          <c:cat>
            <c:strRef>
              <c:f>Sheet3!$A$4:$A$91</c:f>
              <c:strCache>
                <c:ptCount val="7"/>
                <c:pt idx="0">
                  <c:v>2017</c:v>
                </c:pt>
                <c:pt idx="1">
                  <c:v>2018</c:v>
                </c:pt>
                <c:pt idx="2">
                  <c:v>2019</c:v>
                </c:pt>
                <c:pt idx="3">
                  <c:v>2020*</c:v>
                </c:pt>
                <c:pt idx="4">
                  <c:v>2021*</c:v>
                </c:pt>
                <c:pt idx="5">
                  <c:v>2022*</c:v>
                </c:pt>
                <c:pt idx="6">
                  <c:v>2023*</c:v>
                </c:pt>
              </c:strCache>
            </c:strRef>
          </c:cat>
          <c:val>
            <c:numRef>
              <c:f>Sheet3!$K$4:$K$91</c:f>
              <c:numCache>
                <c:formatCode>General</c:formatCode>
                <c:ptCount val="7"/>
                <c:pt idx="3">
                  <c:v>0.55791695443378964</c:v>
                </c:pt>
                <c:pt idx="4">
                  <c:v>0.67567650960199122</c:v>
                </c:pt>
                <c:pt idx="5">
                  <c:v>0.71687391465962202</c:v>
                </c:pt>
                <c:pt idx="6">
                  <c:v>0.78421602293001946</c:v>
                </c:pt>
              </c:numCache>
            </c:numRef>
          </c:val>
          <c:extLst>
            <c:ext xmlns:c16="http://schemas.microsoft.com/office/drawing/2014/chart" uri="{C3380CC4-5D6E-409C-BE32-E72D297353CC}">
              <c16:uniqueId val="{00000009-D356-9244-B549-E9323F5AE15D}"/>
            </c:ext>
          </c:extLst>
        </c:ser>
        <c:ser>
          <c:idx val="10"/>
          <c:order val="10"/>
          <c:tx>
            <c:strRef>
              <c:f>Sheet3!$L$3</c:f>
              <c:strCache>
                <c:ptCount val="1"/>
              </c:strCache>
            </c:strRef>
          </c:tx>
          <c:spPr>
            <a:solidFill>
              <a:srgbClr val="FF0000">
                <a:alpha val="9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Sheet3!$L$4:$L$91</c:f>
              <c:numCache>
                <c:formatCode>General</c:formatCode>
                <c:ptCount val="7"/>
                <c:pt idx="3">
                  <c:v>0.20515148567193131</c:v>
                </c:pt>
                <c:pt idx="4">
                  <c:v>0.24174991422120617</c:v>
                </c:pt>
                <c:pt idx="5">
                  <c:v>0.24017839511775041</c:v>
                </c:pt>
                <c:pt idx="6">
                  <c:v>0.2336606770436</c:v>
                </c:pt>
              </c:numCache>
            </c:numRef>
          </c:val>
          <c:extLst>
            <c:ext xmlns:c16="http://schemas.microsoft.com/office/drawing/2014/chart" uri="{C3380CC4-5D6E-409C-BE32-E72D297353CC}">
              <c16:uniqueId val="{0000000A-D356-9244-B549-E9323F5AE15D}"/>
            </c:ext>
          </c:extLst>
        </c:ser>
        <c:ser>
          <c:idx val="11"/>
          <c:order val="11"/>
          <c:tx>
            <c:strRef>
              <c:f>Sheet3!$M$3</c:f>
              <c:strCache>
                <c:ptCount val="1"/>
              </c:strCache>
            </c:strRef>
          </c:tx>
          <c:spPr>
            <a:solidFill>
              <a:srgbClr val="FF0000">
                <a:alpha val="8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Sheet3!$M$4:$M$91</c:f>
              <c:numCache>
                <c:formatCode>General</c:formatCode>
                <c:ptCount val="7"/>
                <c:pt idx="3">
                  <c:v>0.21204034289305917</c:v>
                </c:pt>
                <c:pt idx="4">
                  <c:v>0.24986772354066941</c:v>
                </c:pt>
                <c:pt idx="5">
                  <c:v>0.24824343381901551</c:v>
                </c:pt>
                <c:pt idx="6">
                  <c:v>0.24150685489150991</c:v>
                </c:pt>
              </c:numCache>
            </c:numRef>
          </c:val>
          <c:extLst>
            <c:ext xmlns:c16="http://schemas.microsoft.com/office/drawing/2014/chart" uri="{C3380CC4-5D6E-409C-BE32-E72D297353CC}">
              <c16:uniqueId val="{0000000B-D356-9244-B549-E9323F5AE15D}"/>
            </c:ext>
          </c:extLst>
        </c:ser>
        <c:ser>
          <c:idx val="12"/>
          <c:order val="12"/>
          <c:tx>
            <c:strRef>
              <c:f>Sheet3!$N$3</c:f>
              <c:strCache>
                <c:ptCount val="1"/>
              </c:strCache>
            </c:strRef>
          </c:tx>
          <c:spPr>
            <a:solidFill>
              <a:srgbClr val="FF0000">
                <a:alpha val="7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Sheet3!$N$4:$N$91</c:f>
              <c:numCache>
                <c:formatCode>General</c:formatCode>
                <c:ptCount val="7"/>
                <c:pt idx="3">
                  <c:v>0.22345858267176241</c:v>
                </c:pt>
                <c:pt idx="4">
                  <c:v>0.26332294409643531</c:v>
                </c:pt>
                <c:pt idx="5">
                  <c:v>0.26161118738968347</c:v>
                </c:pt>
                <c:pt idx="6">
                  <c:v>0.25451184790240688</c:v>
                </c:pt>
              </c:numCache>
            </c:numRef>
          </c:val>
          <c:extLst>
            <c:ext xmlns:c16="http://schemas.microsoft.com/office/drawing/2014/chart" uri="{C3380CC4-5D6E-409C-BE32-E72D297353CC}">
              <c16:uniqueId val="{0000000C-D356-9244-B549-E9323F5AE15D}"/>
            </c:ext>
          </c:extLst>
        </c:ser>
        <c:ser>
          <c:idx val="13"/>
          <c:order val="13"/>
          <c:tx>
            <c:strRef>
              <c:f>Sheet3!$O$3</c:f>
              <c:strCache>
                <c:ptCount val="1"/>
              </c:strCache>
            </c:strRef>
          </c:tx>
          <c:spPr>
            <a:solidFill>
              <a:srgbClr val="FF0000">
                <a:alpha val="6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Sheet3!$O$4:$O$91</c:f>
              <c:numCache>
                <c:formatCode>General</c:formatCode>
                <c:ptCount val="7"/>
                <c:pt idx="3">
                  <c:v>0.24114694505425241</c:v>
                </c:pt>
                <c:pt idx="4">
                  <c:v>0.28416685889761401</c:v>
                </c:pt>
                <c:pt idx="5">
                  <c:v>0.282319604271836</c:v>
                </c:pt>
                <c:pt idx="6">
                  <c:v>0.27465830073723652</c:v>
                </c:pt>
              </c:numCache>
            </c:numRef>
          </c:val>
          <c:extLst>
            <c:ext xmlns:c16="http://schemas.microsoft.com/office/drawing/2014/chart" uri="{C3380CC4-5D6E-409C-BE32-E72D297353CC}">
              <c16:uniqueId val="{0000000D-D356-9244-B549-E9323F5AE15D}"/>
            </c:ext>
          </c:extLst>
        </c:ser>
        <c:ser>
          <c:idx val="14"/>
          <c:order val="14"/>
          <c:tx>
            <c:strRef>
              <c:f>Sheet3!$P$3</c:f>
              <c:strCache>
                <c:ptCount val="1"/>
              </c:strCache>
            </c:strRef>
          </c:tx>
          <c:spPr>
            <a:solidFill>
              <a:srgbClr val="FF0000">
                <a:alpha val="5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Sheet3!$P$4:$P$91</c:f>
              <c:numCache>
                <c:formatCode>General</c:formatCode>
                <c:ptCount val="7"/>
                <c:pt idx="3">
                  <c:v>0.26852855883101068</c:v>
                </c:pt>
                <c:pt idx="4">
                  <c:v>0.31643327295788126</c:v>
                </c:pt>
                <c:pt idx="5">
                  <c:v>0.31437626733277568</c:v>
                </c:pt>
                <c:pt idx="6">
                  <c:v>0.30584504253766032</c:v>
                </c:pt>
              </c:numCache>
            </c:numRef>
          </c:val>
          <c:extLst>
            <c:ext xmlns:c16="http://schemas.microsoft.com/office/drawing/2014/chart" uri="{C3380CC4-5D6E-409C-BE32-E72D297353CC}">
              <c16:uniqueId val="{0000000E-D356-9244-B549-E9323F5AE15D}"/>
            </c:ext>
          </c:extLst>
        </c:ser>
        <c:ser>
          <c:idx val="15"/>
          <c:order val="15"/>
          <c:tx>
            <c:strRef>
              <c:f>Sheet3!$Q$3</c:f>
              <c:strCache>
                <c:ptCount val="1"/>
              </c:strCache>
            </c:strRef>
          </c:tx>
          <c:spPr>
            <a:solidFill>
              <a:srgbClr val="FF0000">
                <a:alpha val="4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Sheet3!$Q$4:$Q$91</c:f>
              <c:numCache>
                <c:formatCode>General</c:formatCode>
                <c:ptCount val="7"/>
                <c:pt idx="3">
                  <c:v>0.31300283115566696</c:v>
                </c:pt>
                <c:pt idx="4">
                  <c:v>0.36884162615269445</c:v>
                </c:pt>
                <c:pt idx="5">
                  <c:v>0.36644393487112825</c:v>
                </c:pt>
                <c:pt idx="6">
                  <c:v>0.35649975043979154</c:v>
                </c:pt>
              </c:numCache>
            </c:numRef>
          </c:val>
          <c:extLst>
            <c:ext xmlns:c16="http://schemas.microsoft.com/office/drawing/2014/chart" uri="{C3380CC4-5D6E-409C-BE32-E72D297353CC}">
              <c16:uniqueId val="{0000000F-D356-9244-B549-E9323F5AE15D}"/>
            </c:ext>
          </c:extLst>
        </c:ser>
        <c:ser>
          <c:idx val="16"/>
          <c:order val="16"/>
          <c:tx>
            <c:strRef>
              <c:f>Sheet3!$R$3</c:f>
              <c:strCache>
                <c:ptCount val="1"/>
              </c:strCache>
            </c:strRef>
          </c:tx>
          <c:spPr>
            <a:solidFill>
              <a:srgbClr val="FF0000">
                <a:alpha val="3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Sheet3!$R$4:$R$91</c:f>
              <c:numCache>
                <c:formatCode>General</c:formatCode>
                <c:ptCount val="7"/>
                <c:pt idx="3">
                  <c:v>0.39382903345507136</c:v>
                </c:pt>
                <c:pt idx="4">
                  <c:v>0.46408698793357089</c:v>
                </c:pt>
                <c:pt idx="5">
                  <c:v>0.46107014480644182</c:v>
                </c:pt>
                <c:pt idx="6">
                  <c:v>0.44855809011149894</c:v>
                </c:pt>
              </c:numCache>
            </c:numRef>
          </c:val>
          <c:extLst>
            <c:ext xmlns:c16="http://schemas.microsoft.com/office/drawing/2014/chart" uri="{C3380CC4-5D6E-409C-BE32-E72D297353CC}">
              <c16:uniqueId val="{00000010-D356-9244-B549-E9323F5AE15D}"/>
            </c:ext>
          </c:extLst>
        </c:ser>
        <c:ser>
          <c:idx val="17"/>
          <c:order val="17"/>
          <c:tx>
            <c:strRef>
              <c:f>Sheet3!$S$3</c:f>
              <c:strCache>
                <c:ptCount val="1"/>
              </c:strCache>
            </c:strRef>
          </c:tx>
          <c:spPr>
            <a:solidFill>
              <a:srgbClr val="FF0000">
                <a:alpha val="20000"/>
              </a:srgbClr>
            </a:solidFill>
          </c:spPr>
          <c:cat>
            <c:strRef>
              <c:f>Sheet3!$A$4:$A$91</c:f>
              <c:strCache>
                <c:ptCount val="7"/>
                <c:pt idx="0">
                  <c:v>2017</c:v>
                </c:pt>
                <c:pt idx="1">
                  <c:v>2018</c:v>
                </c:pt>
                <c:pt idx="2">
                  <c:v>2019</c:v>
                </c:pt>
                <c:pt idx="3">
                  <c:v>2020*</c:v>
                </c:pt>
                <c:pt idx="4">
                  <c:v>2021*</c:v>
                </c:pt>
                <c:pt idx="5">
                  <c:v>2022*</c:v>
                </c:pt>
                <c:pt idx="6">
                  <c:v>2023*</c:v>
                </c:pt>
              </c:strCache>
            </c:strRef>
          </c:cat>
          <c:val>
            <c:numRef>
              <c:f>Sheet3!$S$4:$S$91</c:f>
              <c:numCache>
                <c:formatCode>General</c:formatCode>
                <c:ptCount val="7"/>
                <c:pt idx="3">
                  <c:v>0.58371395382137559</c:v>
                </c:pt>
                <c:pt idx="4">
                  <c:v>0.68784682598740332</c:v>
                </c:pt>
                <c:pt idx="5">
                  <c:v>0.68337541001701463</c:v>
                </c:pt>
                <c:pt idx="6">
                  <c:v>0.6648306601484214</c:v>
                </c:pt>
              </c:numCache>
            </c:numRef>
          </c:val>
          <c:extLst>
            <c:ext xmlns:c16="http://schemas.microsoft.com/office/drawing/2014/chart" uri="{C3380CC4-5D6E-409C-BE32-E72D297353CC}">
              <c16:uniqueId val="{00000011-D356-9244-B549-E9323F5AE15D}"/>
            </c:ext>
          </c:extLst>
        </c:ser>
        <c:dLbls>
          <c:showLegendKey val="0"/>
          <c:showVal val="0"/>
          <c:showCatName val="0"/>
          <c:showSerName val="0"/>
          <c:showPercent val="0"/>
          <c:showBubbleSize val="0"/>
        </c:dLbls>
        <c:axId val="-693066480"/>
        <c:axId val="-693064304"/>
      </c:areaChart>
      <c:catAx>
        <c:axId val="-693066480"/>
        <c:scaling>
          <c:orientation val="minMax"/>
        </c:scaling>
        <c:delete val="0"/>
        <c:axPos val="b"/>
        <c:numFmt formatCode="General" sourceLinked="1"/>
        <c:majorTickMark val="out"/>
        <c:minorTickMark val="none"/>
        <c:tickLblPos val="nextTo"/>
        <c:crossAx val="-693064304"/>
        <c:crosses val="autoZero"/>
        <c:auto val="1"/>
        <c:lblAlgn val="ctr"/>
        <c:lblOffset val="100"/>
        <c:noMultiLvlLbl val="0"/>
      </c:catAx>
      <c:valAx>
        <c:axId val="-693064304"/>
        <c:scaling>
          <c:orientation val="minMax"/>
        </c:scaling>
        <c:delete val="0"/>
        <c:axPos val="l"/>
        <c:majorGridlines/>
        <c:numFmt formatCode="General" sourceLinked="1"/>
        <c:majorTickMark val="out"/>
        <c:minorTickMark val="none"/>
        <c:tickLblPos val="nextTo"/>
        <c:crossAx val="-693066480"/>
        <c:crosses val="autoZero"/>
        <c:crossBetween val="between"/>
      </c:valAx>
    </c:plotArea>
    <c:plotVisOnly val="1"/>
    <c:dispBlanksAs val="zero"/>
    <c:showDLblsOverMax val="0"/>
  </c:chart>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050" b="0" i="0" u="none" strike="noStrike" kern="1200" spc="0" baseline="0">
                <a:solidFill>
                  <a:schemeClr val="tx1">
                    <a:lumMod val="65000"/>
                    <a:lumOff val="35000"/>
                  </a:schemeClr>
                </a:solidFill>
                <a:latin typeface="+mn-lt"/>
                <a:ea typeface="+mn-ea"/>
                <a:cs typeface="+mn-cs"/>
              </a:defRPr>
            </a:pPr>
            <a:r>
              <a:rPr lang="hy-AM" sz="1050" b="1">
                <a:solidFill>
                  <a:schemeClr val="tx2"/>
                </a:solidFill>
                <a:latin typeface="GHEA Grapalat" panose="02000506050000020003" pitchFamily="50" charset="0"/>
              </a:rPr>
              <a:t>ՀՀ կառավարության</a:t>
            </a:r>
            <a:r>
              <a:rPr lang="hy-AM" sz="1050" b="1" baseline="0">
                <a:solidFill>
                  <a:schemeClr val="tx2"/>
                </a:solidFill>
                <a:latin typeface="GHEA Grapalat" panose="02000506050000020003" pitchFamily="50" charset="0"/>
              </a:rPr>
              <a:t> պարտք</a:t>
            </a:r>
            <a:r>
              <a:rPr lang="en-US" sz="1050" b="1" baseline="0">
                <a:solidFill>
                  <a:schemeClr val="tx2"/>
                </a:solidFill>
                <a:latin typeface="GHEA Grapalat" panose="02000506050000020003" pitchFamily="50" charset="0"/>
              </a:rPr>
              <a:t>/</a:t>
            </a:r>
            <a:r>
              <a:rPr lang="hy-AM" sz="1050" b="1" baseline="0">
                <a:solidFill>
                  <a:schemeClr val="tx2"/>
                </a:solidFill>
                <a:latin typeface="GHEA Grapalat" panose="02000506050000020003" pitchFamily="50" charset="0"/>
              </a:rPr>
              <a:t>ՀՆԱ</a:t>
            </a:r>
            <a:r>
              <a:rPr lang="en-US" sz="1050" b="1" baseline="0">
                <a:solidFill>
                  <a:schemeClr val="tx2"/>
                </a:solidFill>
                <a:latin typeface="GHEA Grapalat" panose="02000506050000020003" pitchFamily="50" charset="0"/>
              </a:rPr>
              <a:t>, %</a:t>
            </a:r>
            <a:endParaRPr lang="en-US" sz="1050" b="1">
              <a:solidFill>
                <a:schemeClr val="tx2"/>
              </a:solidFill>
              <a:latin typeface="GHEA Grapalat" panose="02000506050000020003" pitchFamily="50" charset="0"/>
            </a:endParaRPr>
          </a:p>
        </c:rich>
      </c:tx>
      <c:layout>
        <c:manualLayout>
          <c:xMode val="edge"/>
          <c:yMode val="edge"/>
          <c:x val="0.12640249769277626"/>
          <c:y val="9.4674189348378894E-3"/>
        </c:manualLayout>
      </c:layout>
      <c:overlay val="0"/>
      <c:spPr>
        <a:noFill/>
        <a:ln>
          <a:noFill/>
        </a:ln>
        <a:effectLst/>
      </c:spPr>
    </c:title>
    <c:autoTitleDeleted val="0"/>
    <c:plotArea>
      <c:layout>
        <c:manualLayout>
          <c:layoutTarget val="inner"/>
          <c:xMode val="edge"/>
          <c:yMode val="edge"/>
          <c:x val="8.3574385837753798E-2"/>
          <c:y val="0.14718253968253969"/>
          <c:w val="0.87807136032682165"/>
          <c:h val="0.74885608048993879"/>
        </c:manualLayout>
      </c:layout>
      <c:lineChart>
        <c:grouping val="standard"/>
        <c:varyColors val="0"/>
        <c:ser>
          <c:idx val="0"/>
          <c:order val="0"/>
          <c:tx>
            <c:strRef>
              <c:f>Sheet1!$B$1</c:f>
              <c:strCache>
                <c:ptCount val="1"/>
                <c:pt idx="0">
                  <c:v>Բազային սցենար</c:v>
                </c:pt>
              </c:strCache>
            </c:strRef>
          </c:tx>
          <c:spPr>
            <a:ln w="38100" cap="rnd">
              <a:solidFill>
                <a:schemeClr val="tx1"/>
              </a:solidFill>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Sheet1!$B$2:$B$7</c:f>
              <c:numCache>
                <c:formatCode>0.0</c:formatCode>
                <c:ptCount val="6"/>
                <c:pt idx="0">
                  <c:v>58.609691611535993</c:v>
                </c:pt>
                <c:pt idx="1">
                  <c:v>58.161914325538824</c:v>
                </c:pt>
                <c:pt idx="2">
                  <c:v>56.451806345764403</c:v>
                </c:pt>
                <c:pt idx="3">
                  <c:v>54.674707551193777</c:v>
                </c:pt>
                <c:pt idx="4">
                  <c:v>52.101121623672704</c:v>
                </c:pt>
                <c:pt idx="5">
                  <c:v>49.225220474143121</c:v>
                </c:pt>
              </c:numCache>
            </c:numRef>
          </c:val>
          <c:smooth val="0"/>
          <c:extLst>
            <c:ext xmlns:c16="http://schemas.microsoft.com/office/drawing/2014/chart" uri="{C3380CC4-5D6E-409C-BE32-E72D297353CC}">
              <c16:uniqueId val="{00000000-ECAA-084A-B7C0-25F818BA032C}"/>
            </c:ext>
          </c:extLst>
        </c:ser>
        <c:ser>
          <c:idx val="1"/>
          <c:order val="1"/>
          <c:tx>
            <c:strRef>
              <c:f>Sheet1!$C$1</c:f>
              <c:strCache>
                <c:ptCount val="1"/>
                <c:pt idx="0">
                  <c:v>Փոխարժեքի շոկ</c:v>
                </c:pt>
              </c:strCache>
            </c:strRef>
          </c:tx>
          <c:spPr>
            <a:ln w="31750" cap="rnd">
              <a:solidFill>
                <a:schemeClr val="accent2">
                  <a:lumMod val="50000"/>
                </a:schemeClr>
              </a:solidFill>
              <a:prstDash val="lgDash"/>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Sheet1!$C$2:$C$7</c:f>
              <c:numCache>
                <c:formatCode>0.0</c:formatCode>
                <c:ptCount val="6"/>
                <c:pt idx="0">
                  <c:v>58.609691611535993</c:v>
                </c:pt>
                <c:pt idx="1">
                  <c:v>64.329099823214079</c:v>
                </c:pt>
                <c:pt idx="2">
                  <c:v>62.19721650019293</c:v>
                </c:pt>
                <c:pt idx="3">
                  <c:v>60.02050938299201</c:v>
                </c:pt>
                <c:pt idx="4">
                  <c:v>57.061378252948913</c:v>
                </c:pt>
                <c:pt idx="5">
                  <c:v>53.920199558173366</c:v>
                </c:pt>
              </c:numCache>
            </c:numRef>
          </c:val>
          <c:smooth val="0"/>
          <c:extLst>
            <c:ext xmlns:c16="http://schemas.microsoft.com/office/drawing/2014/chart" uri="{C3380CC4-5D6E-409C-BE32-E72D297353CC}">
              <c16:uniqueId val="{00000001-ECAA-084A-B7C0-25F818BA032C}"/>
            </c:ext>
          </c:extLst>
        </c:ser>
        <c:ser>
          <c:idx val="2"/>
          <c:order val="2"/>
          <c:tx>
            <c:strRef>
              <c:f>Sheet1!$D$1</c:f>
              <c:strCache>
                <c:ptCount val="1"/>
                <c:pt idx="0">
                  <c:v>Տնտեսական աճի շոկ</c:v>
                </c:pt>
              </c:strCache>
            </c:strRef>
          </c:tx>
          <c:spPr>
            <a:ln w="28575" cap="rnd">
              <a:solidFill>
                <a:schemeClr val="accent3"/>
              </a:solidFill>
              <a:prstDash val="dashDot"/>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Sheet1!$D$2:$D$7</c:f>
              <c:numCache>
                <c:formatCode>0.0</c:formatCode>
                <c:ptCount val="6"/>
                <c:pt idx="0">
                  <c:v>58.609691611535993</c:v>
                </c:pt>
                <c:pt idx="1">
                  <c:v>60.583962869743317</c:v>
                </c:pt>
                <c:pt idx="2">
                  <c:v>62.010782863463874</c:v>
                </c:pt>
                <c:pt idx="3">
                  <c:v>60.144172690977662</c:v>
                </c:pt>
                <c:pt idx="4">
                  <c:v>57.426898962852015</c:v>
                </c:pt>
                <c:pt idx="5">
                  <c:v>54.38428659974965</c:v>
                </c:pt>
              </c:numCache>
            </c:numRef>
          </c:val>
          <c:smooth val="0"/>
          <c:extLst>
            <c:ext xmlns:c16="http://schemas.microsoft.com/office/drawing/2014/chart" uri="{C3380CC4-5D6E-409C-BE32-E72D297353CC}">
              <c16:uniqueId val="{00000002-ECAA-084A-B7C0-25F818BA032C}"/>
            </c:ext>
          </c:extLst>
        </c:ser>
        <c:ser>
          <c:idx val="3"/>
          <c:order val="3"/>
          <c:tx>
            <c:strRef>
              <c:f>Sheet1!$E$1</c:f>
              <c:strCache>
                <c:ptCount val="1"/>
                <c:pt idx="0">
                  <c:v>Առաջնային հաշվեկշռի շոկ</c:v>
                </c:pt>
              </c:strCache>
            </c:strRef>
          </c:tx>
          <c:spPr>
            <a:ln w="28575" cap="rnd">
              <a:solidFill>
                <a:schemeClr val="accent4"/>
              </a:solidFill>
              <a:prstDash val="sysDot"/>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Sheet1!$E$2:$E$7</c:f>
              <c:numCache>
                <c:formatCode>0.0</c:formatCode>
                <c:ptCount val="6"/>
                <c:pt idx="0">
                  <c:v>58.609691611535993</c:v>
                </c:pt>
                <c:pt idx="1">
                  <c:v>59.498880569309897</c:v>
                </c:pt>
                <c:pt idx="2">
                  <c:v>58.378287491979314</c:v>
                </c:pt>
                <c:pt idx="3">
                  <c:v>56.566564982967648</c:v>
                </c:pt>
                <c:pt idx="4">
                  <c:v>53.952552498632308</c:v>
                </c:pt>
                <c:pt idx="5">
                  <c:v>51.033593816979071</c:v>
                </c:pt>
              </c:numCache>
            </c:numRef>
          </c:val>
          <c:smooth val="0"/>
          <c:extLst>
            <c:ext xmlns:c16="http://schemas.microsoft.com/office/drawing/2014/chart" uri="{C3380CC4-5D6E-409C-BE32-E72D297353CC}">
              <c16:uniqueId val="{00000003-ECAA-084A-B7C0-25F818BA032C}"/>
            </c:ext>
          </c:extLst>
        </c:ser>
        <c:ser>
          <c:idx val="4"/>
          <c:order val="4"/>
          <c:tx>
            <c:strRef>
              <c:f>Sheet1!$F$1</c:f>
              <c:strCache>
                <c:ptCount val="1"/>
                <c:pt idx="0">
                  <c:v>Իրական տոկոսադրույքի շոկ</c:v>
                </c:pt>
              </c:strCache>
            </c:strRef>
          </c:tx>
          <c:spPr>
            <a:ln w="28575" cap="rnd">
              <a:solidFill>
                <a:schemeClr val="accent5"/>
              </a:solidFill>
              <a:prstDash val="dash"/>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Sheet1!$F$2:$F$7</c:f>
              <c:numCache>
                <c:formatCode>0.0</c:formatCode>
                <c:ptCount val="6"/>
                <c:pt idx="0">
                  <c:v>58.609691611535993</c:v>
                </c:pt>
                <c:pt idx="1">
                  <c:v>58.161914325538824</c:v>
                </c:pt>
                <c:pt idx="2">
                  <c:v>56.655254252219244</c:v>
                </c:pt>
                <c:pt idx="3">
                  <c:v>55.225962822345608</c:v>
                </c:pt>
                <c:pt idx="4">
                  <c:v>53.106647293087434</c:v>
                </c:pt>
                <c:pt idx="5">
                  <c:v>50.744673090748748</c:v>
                </c:pt>
              </c:numCache>
            </c:numRef>
          </c:val>
          <c:smooth val="0"/>
          <c:extLst>
            <c:ext xmlns:c16="http://schemas.microsoft.com/office/drawing/2014/chart" uri="{C3380CC4-5D6E-409C-BE32-E72D297353CC}">
              <c16:uniqueId val="{00000004-ECAA-084A-B7C0-25F818BA032C}"/>
            </c:ext>
          </c:extLst>
        </c:ser>
        <c:dLbls>
          <c:showLegendKey val="0"/>
          <c:showVal val="0"/>
          <c:showCatName val="0"/>
          <c:showSerName val="0"/>
          <c:showPercent val="0"/>
          <c:showBubbleSize val="0"/>
        </c:dLbls>
        <c:smooth val="0"/>
        <c:axId val="-693075184"/>
        <c:axId val="-693071920"/>
      </c:lineChart>
      <c:catAx>
        <c:axId val="-69307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071920"/>
        <c:crosses val="autoZero"/>
        <c:auto val="1"/>
        <c:lblAlgn val="ctr"/>
        <c:lblOffset val="100"/>
        <c:noMultiLvlLbl val="0"/>
      </c:catAx>
      <c:valAx>
        <c:axId val="-693071920"/>
        <c:scaling>
          <c:orientation val="minMax"/>
          <c:min val="4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075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0" i="0" u="none" strike="noStrike" kern="1200" spc="0" baseline="0">
                <a:solidFill>
                  <a:schemeClr val="tx2"/>
                </a:solidFill>
                <a:latin typeface="+mn-lt"/>
                <a:ea typeface="+mn-ea"/>
                <a:cs typeface="+mn-cs"/>
              </a:defRPr>
            </a:pPr>
            <a:r>
              <a:rPr lang="hy-AM" sz="1100" b="1">
                <a:solidFill>
                  <a:schemeClr val="tx2"/>
                </a:solidFill>
                <a:latin typeface="GHEA Grapalat" panose="02000506050000020003" pitchFamily="50" charset="0"/>
              </a:rPr>
              <a:t>Համախառն ֆինանսավորման կարիք/ՀՆԱ, </a:t>
            </a:r>
            <a:r>
              <a:rPr lang="en-US" sz="1100" b="1">
                <a:solidFill>
                  <a:schemeClr val="tx2"/>
                </a:solidFill>
                <a:latin typeface="GHEA Grapalat" panose="02000506050000020003" pitchFamily="50" charset="0"/>
              </a:rPr>
              <a:t>%</a:t>
            </a:r>
          </a:p>
        </c:rich>
      </c:tx>
      <c:layout>
        <c:manualLayout>
          <c:xMode val="edge"/>
          <c:yMode val="edge"/>
          <c:x val="0.1591085233452518"/>
          <c:y val="1.7361111111111143E-2"/>
        </c:manualLayout>
      </c:layout>
      <c:overlay val="0"/>
      <c:spPr>
        <a:noFill/>
        <a:ln>
          <a:noFill/>
        </a:ln>
        <a:effectLst/>
      </c:spPr>
    </c:title>
    <c:autoTitleDeleted val="0"/>
    <c:plotArea>
      <c:layout>
        <c:manualLayout>
          <c:layoutTarget val="inner"/>
          <c:xMode val="edge"/>
          <c:yMode val="edge"/>
          <c:x val="8.3574385837753798E-2"/>
          <c:y val="0.14718253968253969"/>
          <c:w val="0.87807136032682165"/>
          <c:h val="0.74141326084239456"/>
        </c:manualLayout>
      </c:layout>
      <c:lineChart>
        <c:grouping val="standard"/>
        <c:varyColors val="0"/>
        <c:ser>
          <c:idx val="0"/>
          <c:order val="0"/>
          <c:tx>
            <c:strRef>
              <c:f>Sheet1!$B$1</c:f>
              <c:strCache>
                <c:ptCount val="1"/>
                <c:pt idx="0">
                  <c:v>Բազային սցենար</c:v>
                </c:pt>
              </c:strCache>
            </c:strRef>
          </c:tx>
          <c:spPr>
            <a:ln w="38100" cap="rnd">
              <a:solidFill>
                <a:schemeClr val="tx1"/>
              </a:solidFill>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Sheet1!$B$2:$B$7</c:f>
              <c:numCache>
                <c:formatCode>0.0</c:formatCode>
                <c:ptCount val="6"/>
                <c:pt idx="0">
                  <c:v>9.2399396599342563</c:v>
                </c:pt>
                <c:pt idx="1">
                  <c:v>5.6845142793256738</c:v>
                </c:pt>
                <c:pt idx="2">
                  <c:v>4.6519300433943496</c:v>
                </c:pt>
                <c:pt idx="3">
                  <c:v>4.23523494517974</c:v>
                </c:pt>
                <c:pt idx="4">
                  <c:v>3.7391957866755812</c:v>
                </c:pt>
                <c:pt idx="5">
                  <c:v>7.1721393032841503</c:v>
                </c:pt>
              </c:numCache>
            </c:numRef>
          </c:val>
          <c:smooth val="0"/>
          <c:extLst>
            <c:ext xmlns:c16="http://schemas.microsoft.com/office/drawing/2014/chart" uri="{C3380CC4-5D6E-409C-BE32-E72D297353CC}">
              <c16:uniqueId val="{00000000-9D83-5644-9329-656945CBB9FF}"/>
            </c:ext>
          </c:extLst>
        </c:ser>
        <c:ser>
          <c:idx val="1"/>
          <c:order val="1"/>
          <c:tx>
            <c:strRef>
              <c:f>Sheet1!$C$1</c:f>
              <c:strCache>
                <c:ptCount val="1"/>
                <c:pt idx="0">
                  <c:v>Փոխարժեքի շոկ</c:v>
                </c:pt>
              </c:strCache>
            </c:strRef>
          </c:tx>
          <c:spPr>
            <a:ln w="31750" cap="rnd">
              <a:solidFill>
                <a:schemeClr val="accent2">
                  <a:lumMod val="50000"/>
                </a:schemeClr>
              </a:solidFill>
              <a:prstDash val="lgDash"/>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Sheet1!$C$2:$C$7</c:f>
              <c:numCache>
                <c:formatCode>0.0</c:formatCode>
                <c:ptCount val="6"/>
                <c:pt idx="0">
                  <c:v>9.2399396599342563</c:v>
                </c:pt>
                <c:pt idx="1">
                  <c:v>5.9749585982576905</c:v>
                </c:pt>
                <c:pt idx="2">
                  <c:v>4.9445900426383487</c:v>
                </c:pt>
                <c:pt idx="3">
                  <c:v>4.5116466095454264</c:v>
                </c:pt>
                <c:pt idx="4">
                  <c:v>3.9935524887404101</c:v>
                </c:pt>
                <c:pt idx="5">
                  <c:v>7.9141870507895336</c:v>
                </c:pt>
              </c:numCache>
            </c:numRef>
          </c:val>
          <c:smooth val="0"/>
          <c:extLst>
            <c:ext xmlns:c16="http://schemas.microsoft.com/office/drawing/2014/chart" uri="{C3380CC4-5D6E-409C-BE32-E72D297353CC}">
              <c16:uniqueId val="{00000001-9D83-5644-9329-656945CBB9FF}"/>
            </c:ext>
          </c:extLst>
        </c:ser>
        <c:ser>
          <c:idx val="2"/>
          <c:order val="2"/>
          <c:tx>
            <c:strRef>
              <c:f>Sheet1!$D$1</c:f>
              <c:strCache>
                <c:ptCount val="1"/>
                <c:pt idx="0">
                  <c:v>Տնտեսական աճի շոկ</c:v>
                </c:pt>
              </c:strCache>
            </c:strRef>
          </c:tx>
          <c:spPr>
            <a:ln w="28575" cap="rnd">
              <a:solidFill>
                <a:schemeClr val="accent3"/>
              </a:solidFill>
              <a:prstDash val="dashDot"/>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Sheet1!$D$2:$D$7</c:f>
              <c:numCache>
                <c:formatCode>0.0</c:formatCode>
                <c:ptCount val="6"/>
                <c:pt idx="0">
                  <c:v>9.2399396599342563</c:v>
                </c:pt>
                <c:pt idx="1">
                  <c:v>6.5468260133375811</c:v>
                </c:pt>
                <c:pt idx="2">
                  <c:v>6.4492337489974929</c:v>
                </c:pt>
                <c:pt idx="3">
                  <c:v>4.7699264001807515</c:v>
                </c:pt>
                <c:pt idx="4">
                  <c:v>4.2668230616730334</c:v>
                </c:pt>
                <c:pt idx="5">
                  <c:v>7.9102495167106293</c:v>
                </c:pt>
              </c:numCache>
            </c:numRef>
          </c:val>
          <c:smooth val="0"/>
          <c:extLst>
            <c:ext xmlns:c16="http://schemas.microsoft.com/office/drawing/2014/chart" uri="{C3380CC4-5D6E-409C-BE32-E72D297353CC}">
              <c16:uniqueId val="{00000002-9D83-5644-9329-656945CBB9FF}"/>
            </c:ext>
          </c:extLst>
        </c:ser>
        <c:ser>
          <c:idx val="3"/>
          <c:order val="3"/>
          <c:tx>
            <c:strRef>
              <c:f>Sheet1!$E$1</c:f>
              <c:strCache>
                <c:ptCount val="1"/>
                <c:pt idx="0">
                  <c:v>Առաջնային հաշվեկշռի շոկ</c:v>
                </c:pt>
              </c:strCache>
            </c:strRef>
          </c:tx>
          <c:spPr>
            <a:ln w="28575" cap="rnd">
              <a:solidFill>
                <a:schemeClr val="accent4"/>
              </a:solidFill>
              <a:prstDash val="sysDot"/>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Sheet1!$E$2:$E$7</c:f>
              <c:numCache>
                <c:formatCode>0.0</c:formatCode>
                <c:ptCount val="6"/>
                <c:pt idx="0">
                  <c:v>9.2399396599342563</c:v>
                </c:pt>
                <c:pt idx="1">
                  <c:v>7.0163570455271831</c:v>
                </c:pt>
                <c:pt idx="2">
                  <c:v>5.3978105243486807</c:v>
                </c:pt>
                <c:pt idx="3">
                  <c:v>4.4472311279275214</c:v>
                </c:pt>
                <c:pt idx="4">
                  <c:v>3.9547530400966941</c:v>
                </c:pt>
                <c:pt idx="5">
                  <c:v>7.3853118129577773</c:v>
                </c:pt>
              </c:numCache>
            </c:numRef>
          </c:val>
          <c:smooth val="0"/>
          <c:extLst>
            <c:ext xmlns:c16="http://schemas.microsoft.com/office/drawing/2014/chart" uri="{C3380CC4-5D6E-409C-BE32-E72D297353CC}">
              <c16:uniqueId val="{00000003-9D83-5644-9329-656945CBB9FF}"/>
            </c:ext>
          </c:extLst>
        </c:ser>
        <c:ser>
          <c:idx val="4"/>
          <c:order val="4"/>
          <c:tx>
            <c:strRef>
              <c:f>Sheet1!$F$1</c:f>
              <c:strCache>
                <c:ptCount val="1"/>
                <c:pt idx="0">
                  <c:v>Իրական տոկոսադրույքի շոկ</c:v>
                </c:pt>
              </c:strCache>
            </c:strRef>
          </c:tx>
          <c:spPr>
            <a:ln w="28575" cap="rnd">
              <a:solidFill>
                <a:schemeClr val="accent5"/>
              </a:solidFill>
              <a:prstDash val="dash"/>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Sheet1!$F$2:$F$7</c:f>
              <c:numCache>
                <c:formatCode>0.0</c:formatCode>
                <c:ptCount val="6"/>
                <c:pt idx="0">
                  <c:v>9.2399396599342563</c:v>
                </c:pt>
                <c:pt idx="1">
                  <c:v>5.6845142793256738</c:v>
                </c:pt>
                <c:pt idx="2">
                  <c:v>4.8546541589573673</c:v>
                </c:pt>
                <c:pt idx="3">
                  <c:v>4.6054524684690215</c:v>
                </c:pt>
                <c:pt idx="4">
                  <c:v>4.2608579700227205</c:v>
                </c:pt>
                <c:pt idx="5">
                  <c:v>7.8163591681295621</c:v>
                </c:pt>
              </c:numCache>
            </c:numRef>
          </c:val>
          <c:smooth val="0"/>
          <c:extLst>
            <c:ext xmlns:c16="http://schemas.microsoft.com/office/drawing/2014/chart" uri="{C3380CC4-5D6E-409C-BE32-E72D297353CC}">
              <c16:uniqueId val="{00000004-9D83-5644-9329-656945CBB9FF}"/>
            </c:ext>
          </c:extLst>
        </c:ser>
        <c:dLbls>
          <c:showLegendKey val="0"/>
          <c:showVal val="0"/>
          <c:showCatName val="0"/>
          <c:showSerName val="0"/>
          <c:showPercent val="0"/>
          <c:showBubbleSize val="0"/>
        </c:dLbls>
        <c:smooth val="0"/>
        <c:axId val="-693051792"/>
        <c:axId val="-693053424"/>
      </c:lineChart>
      <c:catAx>
        <c:axId val="-69305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053424"/>
        <c:crosses val="autoZero"/>
        <c:auto val="1"/>
        <c:lblAlgn val="ctr"/>
        <c:lblOffset val="100"/>
        <c:noMultiLvlLbl val="0"/>
      </c:catAx>
      <c:valAx>
        <c:axId val="-693053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051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574385837753798E-2"/>
          <c:y val="0.14718253968253969"/>
          <c:w val="0.87807136032682165"/>
          <c:h val="9.4587525517643919E-2"/>
        </c:manualLayout>
      </c:layout>
      <c:lineChart>
        <c:grouping val="standard"/>
        <c:varyColors val="0"/>
        <c:ser>
          <c:idx val="0"/>
          <c:order val="0"/>
          <c:tx>
            <c:strRef>
              <c:f>Sheet1!$B$1</c:f>
              <c:strCache>
                <c:ptCount val="1"/>
                <c:pt idx="0">
                  <c:v>Բազային սցենար</c:v>
                </c:pt>
              </c:strCache>
            </c:strRef>
          </c:tx>
          <c:spPr>
            <a:ln w="38100" cap="rnd">
              <a:solidFill>
                <a:schemeClr val="tx1"/>
              </a:solidFill>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Sheet1!$B$2:$B$7</c:f>
              <c:numCache>
                <c:formatCode>0.0</c:formatCode>
                <c:ptCount val="6"/>
                <c:pt idx="0">
                  <c:v>9.2364105194473112</c:v>
                </c:pt>
                <c:pt idx="1">
                  <c:v>5.8906196570980898</c:v>
                </c:pt>
                <c:pt idx="2">
                  <c:v>4.7992169531566002</c:v>
                </c:pt>
                <c:pt idx="3">
                  <c:v>4.6551944353280375</c:v>
                </c:pt>
                <c:pt idx="4">
                  <c:v>4.4197743200379405</c:v>
                </c:pt>
                <c:pt idx="5">
                  <c:v>7.5591751787639865</c:v>
                </c:pt>
              </c:numCache>
            </c:numRef>
          </c:val>
          <c:smooth val="0"/>
          <c:extLst>
            <c:ext xmlns:c16="http://schemas.microsoft.com/office/drawing/2014/chart" uri="{C3380CC4-5D6E-409C-BE32-E72D297353CC}">
              <c16:uniqueId val="{00000000-0ECF-6247-915E-51ED709D3EC2}"/>
            </c:ext>
          </c:extLst>
        </c:ser>
        <c:ser>
          <c:idx val="1"/>
          <c:order val="1"/>
          <c:tx>
            <c:strRef>
              <c:f>Sheet1!$C$1</c:f>
              <c:strCache>
                <c:ptCount val="1"/>
                <c:pt idx="0">
                  <c:v>Փոխարժեքի շոկ</c:v>
                </c:pt>
              </c:strCache>
            </c:strRef>
          </c:tx>
          <c:spPr>
            <a:ln w="31750" cap="rnd">
              <a:solidFill>
                <a:schemeClr val="accent2">
                  <a:lumMod val="50000"/>
                </a:schemeClr>
              </a:solidFill>
              <a:prstDash val="lgDash"/>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Sheet1!$C$2:$C$7</c:f>
              <c:numCache>
                <c:formatCode>0.0</c:formatCode>
                <c:ptCount val="6"/>
                <c:pt idx="0">
                  <c:v>9.2364105194473165</c:v>
                </c:pt>
                <c:pt idx="1">
                  <c:v>6.2015484074426093</c:v>
                </c:pt>
                <c:pt idx="2">
                  <c:v>5.1056244953860164</c:v>
                </c:pt>
                <c:pt idx="3">
                  <c:v>4.9934706017121826</c:v>
                </c:pt>
                <c:pt idx="4">
                  <c:v>4.784106833106347</c:v>
                </c:pt>
                <c:pt idx="5">
                  <c:v>8.364413074085455</c:v>
                </c:pt>
              </c:numCache>
            </c:numRef>
          </c:val>
          <c:smooth val="0"/>
          <c:extLst>
            <c:ext xmlns:c16="http://schemas.microsoft.com/office/drawing/2014/chart" uri="{C3380CC4-5D6E-409C-BE32-E72D297353CC}">
              <c16:uniqueId val="{00000001-0ECF-6247-915E-51ED709D3EC2}"/>
            </c:ext>
          </c:extLst>
        </c:ser>
        <c:ser>
          <c:idx val="2"/>
          <c:order val="2"/>
          <c:tx>
            <c:strRef>
              <c:f>Sheet1!$D$1</c:f>
              <c:strCache>
                <c:ptCount val="1"/>
                <c:pt idx="0">
                  <c:v>Տնտեսական աճի շոկ</c:v>
                </c:pt>
              </c:strCache>
            </c:strRef>
          </c:tx>
          <c:spPr>
            <a:ln w="28575" cap="rnd">
              <a:solidFill>
                <a:schemeClr val="accent3"/>
              </a:solidFill>
              <a:prstDash val="dashDot"/>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Sheet1!$D$2:$D$7</c:f>
              <c:numCache>
                <c:formatCode>0.0</c:formatCode>
                <c:ptCount val="6"/>
                <c:pt idx="0">
                  <c:v>9.2364105194473165</c:v>
                </c:pt>
                <c:pt idx="1">
                  <c:v>6.759046788874957</c:v>
                </c:pt>
                <c:pt idx="2">
                  <c:v>6.6055156197926017</c:v>
                </c:pt>
                <c:pt idx="3">
                  <c:v>5.2156452760068408</c:v>
                </c:pt>
                <c:pt idx="4">
                  <c:v>4.9888664469959254</c:v>
                </c:pt>
                <c:pt idx="5">
                  <c:v>8.3210346778025706</c:v>
                </c:pt>
              </c:numCache>
            </c:numRef>
          </c:val>
          <c:smooth val="0"/>
          <c:extLst>
            <c:ext xmlns:c16="http://schemas.microsoft.com/office/drawing/2014/chart" uri="{C3380CC4-5D6E-409C-BE32-E72D297353CC}">
              <c16:uniqueId val="{00000002-0ECF-6247-915E-51ED709D3EC2}"/>
            </c:ext>
          </c:extLst>
        </c:ser>
        <c:ser>
          <c:idx val="3"/>
          <c:order val="3"/>
          <c:tx>
            <c:strRef>
              <c:f>Sheet1!$E$1</c:f>
              <c:strCache>
                <c:ptCount val="1"/>
                <c:pt idx="0">
                  <c:v>Առաջնային հաշվեկշռի շոկ</c:v>
                </c:pt>
              </c:strCache>
            </c:strRef>
          </c:tx>
          <c:spPr>
            <a:ln w="28575" cap="rnd">
              <a:solidFill>
                <a:schemeClr val="accent4"/>
              </a:solidFill>
              <a:prstDash val="sysDot"/>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Sheet1!$E$2:$E$7</c:f>
              <c:numCache>
                <c:formatCode>0.0</c:formatCode>
                <c:ptCount val="6"/>
                <c:pt idx="0">
                  <c:v>9.2364105194473165</c:v>
                </c:pt>
                <c:pt idx="1">
                  <c:v>7.2224624232995822</c:v>
                </c:pt>
                <c:pt idx="2">
                  <c:v>5.5452952465036018</c:v>
                </c:pt>
                <c:pt idx="3">
                  <c:v>4.8675147628777511</c:v>
                </c:pt>
                <c:pt idx="4">
                  <c:v>4.635645523264988</c:v>
                </c:pt>
                <c:pt idx="5">
                  <c:v>7.7726542847349434</c:v>
                </c:pt>
              </c:numCache>
            </c:numRef>
          </c:val>
          <c:smooth val="0"/>
          <c:extLst>
            <c:ext xmlns:c16="http://schemas.microsoft.com/office/drawing/2014/chart" uri="{C3380CC4-5D6E-409C-BE32-E72D297353CC}">
              <c16:uniqueId val="{00000003-0ECF-6247-915E-51ED709D3EC2}"/>
            </c:ext>
          </c:extLst>
        </c:ser>
        <c:ser>
          <c:idx val="4"/>
          <c:order val="4"/>
          <c:tx>
            <c:strRef>
              <c:f>Sheet1!$F$1</c:f>
              <c:strCache>
                <c:ptCount val="1"/>
                <c:pt idx="0">
                  <c:v>Իրական տոկոսադրույքի շոկ</c:v>
                </c:pt>
              </c:strCache>
            </c:strRef>
          </c:tx>
          <c:spPr>
            <a:ln w="28575" cap="rnd">
              <a:solidFill>
                <a:schemeClr val="accent5"/>
              </a:solidFill>
              <a:prstDash val="dash"/>
              <a:round/>
            </a:ln>
            <a:effectLst/>
          </c:spPr>
          <c:marker>
            <c:symbol val="none"/>
          </c:marker>
          <c:cat>
            <c:strRef>
              <c:f>Sheet1!$A$2:$A$7</c:f>
              <c:strCache>
                <c:ptCount val="6"/>
                <c:pt idx="0">
                  <c:v>2020</c:v>
                </c:pt>
                <c:pt idx="1">
                  <c:v>2021</c:v>
                </c:pt>
                <c:pt idx="2">
                  <c:v>2022</c:v>
                </c:pt>
                <c:pt idx="3">
                  <c:v>2023</c:v>
                </c:pt>
                <c:pt idx="4">
                  <c:v>2024</c:v>
                </c:pt>
                <c:pt idx="5">
                  <c:v>2025</c:v>
                </c:pt>
              </c:strCache>
            </c:strRef>
          </c:cat>
          <c:val>
            <c:numRef>
              <c:f>Sheet1!$F$2:$F$7</c:f>
              <c:numCache>
                <c:formatCode>0.0</c:formatCode>
                <c:ptCount val="6"/>
                <c:pt idx="0">
                  <c:v>9.2364105194473165</c:v>
                </c:pt>
                <c:pt idx="1">
                  <c:v>5.8906196570980898</c:v>
                </c:pt>
                <c:pt idx="2">
                  <c:v>4.9768751196112104</c:v>
                </c:pt>
                <c:pt idx="3">
                  <c:v>4.9799839215262853</c:v>
                </c:pt>
                <c:pt idx="4">
                  <c:v>4.8762929936848707</c:v>
                </c:pt>
                <c:pt idx="5">
                  <c:v>8.1370762284921909</c:v>
                </c:pt>
              </c:numCache>
            </c:numRef>
          </c:val>
          <c:smooth val="0"/>
          <c:extLst>
            <c:ext xmlns:c16="http://schemas.microsoft.com/office/drawing/2014/chart" uri="{C3380CC4-5D6E-409C-BE32-E72D297353CC}">
              <c16:uniqueId val="{00000004-0ECF-6247-915E-51ED709D3EC2}"/>
            </c:ext>
          </c:extLst>
        </c:ser>
        <c:dLbls>
          <c:showLegendKey val="0"/>
          <c:showVal val="0"/>
          <c:showCatName val="0"/>
          <c:showSerName val="0"/>
          <c:showPercent val="0"/>
          <c:showBubbleSize val="0"/>
        </c:dLbls>
        <c:smooth val="0"/>
        <c:axId val="-693052880"/>
        <c:axId val="-693068112"/>
      </c:lineChart>
      <c:catAx>
        <c:axId val="-693052880"/>
        <c:scaling>
          <c:orientation val="minMax"/>
        </c:scaling>
        <c:delete val="1"/>
        <c:axPos val="b"/>
        <c:numFmt formatCode="General" sourceLinked="1"/>
        <c:majorTickMark val="none"/>
        <c:minorTickMark val="none"/>
        <c:tickLblPos val="none"/>
        <c:crossAx val="-693068112"/>
        <c:crosses val="autoZero"/>
        <c:auto val="1"/>
        <c:lblAlgn val="ctr"/>
        <c:lblOffset val="100"/>
        <c:noMultiLvlLbl val="0"/>
      </c:catAx>
      <c:valAx>
        <c:axId val="-693068112"/>
        <c:scaling>
          <c:orientation val="minMax"/>
          <c:min val="45"/>
        </c:scaling>
        <c:delete val="1"/>
        <c:axPos val="l"/>
        <c:numFmt formatCode="0.0" sourceLinked="1"/>
        <c:majorTickMark val="none"/>
        <c:minorTickMark val="none"/>
        <c:tickLblPos val="none"/>
        <c:crossAx val="-693052880"/>
        <c:crosses val="autoZero"/>
        <c:crossBetween val="between"/>
      </c:valAx>
      <c:spPr>
        <a:noFill/>
        <a:ln>
          <a:noFill/>
        </a:ln>
        <a:effectLst/>
      </c:spPr>
    </c:plotArea>
    <c:legend>
      <c:legendPos val="b"/>
      <c:layout>
        <c:manualLayout>
          <c:xMode val="edge"/>
          <c:yMode val="edge"/>
          <c:x val="2.1562463274180231E-2"/>
          <c:y val="4.3451079031787701E-2"/>
          <c:w val="0.9604573915200898"/>
          <c:h val="0.932739136774571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accent3"/>
      </a:solidFill>
      <a:round/>
    </a:ln>
    <a:effectLst/>
  </c:spPr>
  <c:txPr>
    <a:bodyPr/>
    <a:lstStyle/>
    <a:p>
      <a:pPr>
        <a:defRPr/>
      </a:pPr>
      <a:endParaRPr lang="en-US"/>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100">
                <a:latin typeface="GHEA Grapalat" panose="02000506050000020003" pitchFamily="50" charset="0"/>
              </a:defRPr>
            </a:pPr>
            <a:r>
              <a:rPr lang="hy-AM" sz="1100" b="1">
                <a:latin typeface="GHEA Grapalat" panose="02000506050000020003" pitchFamily="50" charset="0"/>
                <a:cs typeface="Segoe UI" pitchFamily="34" charset="0"/>
              </a:rPr>
              <a:t>ՀՀ կառավարության</a:t>
            </a:r>
            <a:r>
              <a:rPr lang="hy-AM" sz="1100" b="1" baseline="0">
                <a:latin typeface="GHEA Grapalat" panose="02000506050000020003" pitchFamily="50" charset="0"/>
                <a:cs typeface="Segoe UI" pitchFamily="34" charset="0"/>
              </a:rPr>
              <a:t> պարտք</a:t>
            </a:r>
            <a:r>
              <a:rPr lang="en-US" sz="1100" b="1" baseline="0">
                <a:latin typeface="GHEA Grapalat" panose="02000506050000020003" pitchFamily="50" charset="0"/>
                <a:cs typeface="Segoe UI" pitchFamily="34" charset="0"/>
              </a:rPr>
              <a:t>/</a:t>
            </a:r>
            <a:r>
              <a:rPr lang="hy-AM" sz="1100" b="1" baseline="0">
                <a:latin typeface="GHEA Grapalat" panose="02000506050000020003" pitchFamily="50" charset="0"/>
                <a:cs typeface="Segoe UI" pitchFamily="34" charset="0"/>
              </a:rPr>
              <a:t>ՀՆԱ</a:t>
            </a:r>
            <a:r>
              <a:rPr lang="en-US" sz="1100" b="1" baseline="0">
                <a:latin typeface="GHEA Grapalat" panose="02000506050000020003" pitchFamily="50" charset="0"/>
                <a:cs typeface="Segoe UI" pitchFamily="34" charset="0"/>
              </a:rPr>
              <a:t>, %</a:t>
            </a:r>
            <a:endParaRPr lang="en-US" sz="1100" b="1">
              <a:latin typeface="GHEA Grapalat" panose="02000506050000020003" pitchFamily="50" charset="0"/>
              <a:cs typeface="Segoe UI" pitchFamily="34" charset="0"/>
            </a:endParaRPr>
          </a:p>
        </c:rich>
      </c:tx>
      <c:layout>
        <c:manualLayout>
          <c:xMode val="edge"/>
          <c:yMode val="edge"/>
          <c:x val="2.7760629204870376E-2"/>
          <c:y val="3.235198964736339E-2"/>
        </c:manualLayout>
      </c:layout>
      <c:overlay val="1"/>
    </c:title>
    <c:autoTitleDeleted val="0"/>
    <c:plotArea>
      <c:layout>
        <c:manualLayout>
          <c:layoutTarget val="inner"/>
          <c:xMode val="edge"/>
          <c:yMode val="edge"/>
          <c:x val="9.9476609328318144E-2"/>
          <c:y val="0.16107503082751048"/>
          <c:w val="0.84467857745458319"/>
          <c:h val="0.64052521677316798"/>
        </c:manualLayout>
      </c:layout>
      <c:areaChart>
        <c:grouping val="stacked"/>
        <c:varyColors val="0"/>
        <c:ser>
          <c:idx val="0"/>
          <c:order val="0"/>
          <c:tx>
            <c:v/>
          </c:tx>
          <c:spPr>
            <a:noFill/>
            <a:ln w="25400">
              <a:noFill/>
            </a:ln>
          </c:spPr>
          <c:cat>
            <c:numRef>
              <c:f>'Fan Chart'!$BL$41:$BS$41</c:f>
              <c:numCache>
                <c:formatCode>General</c:formatCode>
                <c:ptCount val="8"/>
                <c:pt idx="0">
                  <c:v>2018</c:v>
                </c:pt>
                <c:pt idx="1">
                  <c:v>2019</c:v>
                </c:pt>
                <c:pt idx="2">
                  <c:v>2020</c:v>
                </c:pt>
                <c:pt idx="3">
                  <c:v>2021</c:v>
                </c:pt>
                <c:pt idx="4">
                  <c:v>2022</c:v>
                </c:pt>
                <c:pt idx="5">
                  <c:v>2023</c:v>
                </c:pt>
                <c:pt idx="6">
                  <c:v>2024</c:v>
                </c:pt>
                <c:pt idx="7">
                  <c:v>2025</c:v>
                </c:pt>
              </c:numCache>
            </c:numRef>
          </c:cat>
          <c:val>
            <c:numRef>
              <c:f>'Fan Chart'!$BL$42:$BS$42</c:f>
              <c:numCache>
                <c:formatCode>0.0</c:formatCode>
                <c:ptCount val="8"/>
                <c:pt idx="0">
                  <c:v>51.235639506393625</c:v>
                </c:pt>
                <c:pt idx="1">
                  <c:v>49.911133926665656</c:v>
                </c:pt>
                <c:pt idx="2">
                  <c:v>51.066934384941888</c:v>
                </c:pt>
                <c:pt idx="3">
                  <c:v>48.497582847122672</c:v>
                </c:pt>
                <c:pt idx="4">
                  <c:v>45.531456429736323</c:v>
                </c:pt>
                <c:pt idx="5">
                  <c:v>43.424832662142144</c:v>
                </c:pt>
                <c:pt idx="6">
                  <c:v>39.530064884046404</c:v>
                </c:pt>
                <c:pt idx="7">
                  <c:v>36.407992181203497</c:v>
                </c:pt>
              </c:numCache>
            </c:numRef>
          </c:val>
          <c:extLst>
            <c:ext xmlns:c16="http://schemas.microsoft.com/office/drawing/2014/chart" uri="{C3380CC4-5D6E-409C-BE32-E72D297353CC}">
              <c16:uniqueId val="{00000000-D23B-0D4B-A700-00C17ADBB987}"/>
            </c:ext>
          </c:extLst>
        </c:ser>
        <c:ser>
          <c:idx val="2"/>
          <c:order val="1"/>
          <c:tx>
            <c:strRef>
              <c:f>'Fan Chart'!$BG$43</c:f>
              <c:strCache>
                <c:ptCount val="1"/>
                <c:pt idx="0">
                  <c:v>10-25%</c:v>
                </c:pt>
              </c:strCache>
            </c:strRef>
          </c:tx>
          <c:spPr>
            <a:solidFill>
              <a:schemeClr val="accent5">
                <a:lumMod val="40000"/>
                <a:lumOff val="60000"/>
              </a:schemeClr>
            </a:solidFill>
            <a:ln w="12700">
              <a:noFill/>
              <a:prstDash val="solid"/>
            </a:ln>
          </c:spPr>
          <c:cat>
            <c:numRef>
              <c:f>'Fan Chart'!$BL$41:$BS$41</c:f>
              <c:numCache>
                <c:formatCode>General</c:formatCode>
                <c:ptCount val="8"/>
                <c:pt idx="0">
                  <c:v>2018</c:v>
                </c:pt>
                <c:pt idx="1">
                  <c:v>2019</c:v>
                </c:pt>
                <c:pt idx="2">
                  <c:v>2020</c:v>
                </c:pt>
                <c:pt idx="3">
                  <c:v>2021</c:v>
                </c:pt>
                <c:pt idx="4">
                  <c:v>2022</c:v>
                </c:pt>
                <c:pt idx="5">
                  <c:v>2023</c:v>
                </c:pt>
                <c:pt idx="6">
                  <c:v>2024</c:v>
                </c:pt>
                <c:pt idx="7">
                  <c:v>2025</c:v>
                </c:pt>
              </c:numCache>
            </c:numRef>
          </c:cat>
          <c:val>
            <c:numRef>
              <c:f>'Fan Chart'!$BL$43:$BS$43</c:f>
              <c:numCache>
                <c:formatCode>0.0</c:formatCode>
                <c:ptCount val="8"/>
                <c:pt idx="0">
                  <c:v>0</c:v>
                </c:pt>
                <c:pt idx="1">
                  <c:v>0</c:v>
                </c:pt>
                <c:pt idx="2">
                  <c:v>3.673497345057902</c:v>
                </c:pt>
                <c:pt idx="3">
                  <c:v>4.5682885741974815</c:v>
                </c:pt>
                <c:pt idx="4">
                  <c:v>6.1710392298961363</c:v>
                </c:pt>
                <c:pt idx="5">
                  <c:v>6.742026222835908</c:v>
                </c:pt>
                <c:pt idx="6">
                  <c:v>8.0606552496863273</c:v>
                </c:pt>
                <c:pt idx="7">
                  <c:v>8.0376395863643761</c:v>
                </c:pt>
              </c:numCache>
            </c:numRef>
          </c:val>
          <c:extLst>
            <c:ext xmlns:c16="http://schemas.microsoft.com/office/drawing/2014/chart" uri="{C3380CC4-5D6E-409C-BE32-E72D297353CC}">
              <c16:uniqueId val="{00000001-D23B-0D4B-A700-00C17ADBB987}"/>
            </c:ext>
          </c:extLst>
        </c:ser>
        <c:ser>
          <c:idx val="3"/>
          <c:order val="2"/>
          <c:tx>
            <c:strRef>
              <c:f>'Fan Chart'!$BG$44</c:f>
              <c:strCache>
                <c:ptCount val="1"/>
                <c:pt idx="0">
                  <c:v>25-50%</c:v>
                </c:pt>
              </c:strCache>
            </c:strRef>
          </c:tx>
          <c:spPr>
            <a:solidFill>
              <a:srgbClr val="57B7FF"/>
            </a:solidFill>
            <a:ln w="12700">
              <a:noFill/>
              <a:prstDash val="solid"/>
            </a:ln>
          </c:spPr>
          <c:cat>
            <c:numRef>
              <c:f>'Fan Chart'!$BL$41:$BS$41</c:f>
              <c:numCache>
                <c:formatCode>General</c:formatCode>
                <c:ptCount val="8"/>
                <c:pt idx="0">
                  <c:v>2018</c:v>
                </c:pt>
                <c:pt idx="1">
                  <c:v>2019</c:v>
                </c:pt>
                <c:pt idx="2">
                  <c:v>2020</c:v>
                </c:pt>
                <c:pt idx="3">
                  <c:v>2021</c:v>
                </c:pt>
                <c:pt idx="4">
                  <c:v>2022</c:v>
                </c:pt>
                <c:pt idx="5">
                  <c:v>2023</c:v>
                </c:pt>
                <c:pt idx="6">
                  <c:v>2024</c:v>
                </c:pt>
                <c:pt idx="7">
                  <c:v>2025</c:v>
                </c:pt>
              </c:numCache>
            </c:numRef>
          </c:cat>
          <c:val>
            <c:numRef>
              <c:f>'Fan Chart'!$BL$44:$BS$44</c:f>
              <c:numCache>
                <c:formatCode>0.0</c:formatCode>
                <c:ptCount val="8"/>
                <c:pt idx="0">
                  <c:v>0</c:v>
                </c:pt>
                <c:pt idx="1">
                  <c:v>0</c:v>
                </c:pt>
                <c:pt idx="2">
                  <c:v>4.4243633420296424</c:v>
                </c:pt>
                <c:pt idx="3">
                  <c:v>6.7713554569673544</c:v>
                </c:pt>
                <c:pt idx="4">
                  <c:v>6.8958051618033025</c:v>
                </c:pt>
                <c:pt idx="5">
                  <c:v>7.5610062562016616</c:v>
                </c:pt>
                <c:pt idx="6">
                  <c:v>8.1425009251612668</c:v>
                </c:pt>
                <c:pt idx="7">
                  <c:v>8.4884049550048548</c:v>
                </c:pt>
              </c:numCache>
            </c:numRef>
          </c:val>
          <c:extLst>
            <c:ext xmlns:c16="http://schemas.microsoft.com/office/drawing/2014/chart" uri="{C3380CC4-5D6E-409C-BE32-E72D297353CC}">
              <c16:uniqueId val="{00000002-D23B-0D4B-A700-00C17ADBB987}"/>
            </c:ext>
          </c:extLst>
        </c:ser>
        <c:ser>
          <c:idx val="4"/>
          <c:order val="3"/>
          <c:tx>
            <c:strRef>
              <c:f>'Fan Chart'!$BG$45</c:f>
              <c:strCache>
                <c:ptCount val="1"/>
                <c:pt idx="0">
                  <c:v>50-75%</c:v>
                </c:pt>
              </c:strCache>
            </c:strRef>
          </c:tx>
          <c:spPr>
            <a:solidFill>
              <a:schemeClr val="accent2">
                <a:lumMod val="60000"/>
                <a:lumOff val="40000"/>
              </a:schemeClr>
            </a:solidFill>
            <a:ln w="12700">
              <a:noFill/>
              <a:prstDash val="solid"/>
            </a:ln>
          </c:spPr>
          <c:cat>
            <c:numRef>
              <c:f>'Fan Chart'!$BL$41:$BS$41</c:f>
              <c:numCache>
                <c:formatCode>General</c:formatCode>
                <c:ptCount val="8"/>
                <c:pt idx="0">
                  <c:v>2018</c:v>
                </c:pt>
                <c:pt idx="1">
                  <c:v>2019</c:v>
                </c:pt>
                <c:pt idx="2">
                  <c:v>2020</c:v>
                </c:pt>
                <c:pt idx="3">
                  <c:v>2021</c:v>
                </c:pt>
                <c:pt idx="4">
                  <c:v>2022</c:v>
                </c:pt>
                <c:pt idx="5">
                  <c:v>2023</c:v>
                </c:pt>
                <c:pt idx="6">
                  <c:v>2024</c:v>
                </c:pt>
                <c:pt idx="7">
                  <c:v>2025</c:v>
                </c:pt>
              </c:numCache>
            </c:numRef>
          </c:cat>
          <c:val>
            <c:numRef>
              <c:f>'Fan Chart'!$BL$45:$BS$45</c:f>
              <c:numCache>
                <c:formatCode>0.0</c:formatCode>
                <c:ptCount val="8"/>
                <c:pt idx="0">
                  <c:v>0</c:v>
                </c:pt>
                <c:pt idx="1">
                  <c:v>0</c:v>
                </c:pt>
                <c:pt idx="2">
                  <c:v>5.3362264952849445</c:v>
                </c:pt>
                <c:pt idx="3">
                  <c:v>7.3265315548968086</c:v>
                </c:pt>
                <c:pt idx="4">
                  <c:v>8.392462754891314</c:v>
                </c:pt>
                <c:pt idx="5">
                  <c:v>9.448692036359196</c:v>
                </c:pt>
                <c:pt idx="6">
                  <c:v>10.852291861180852</c:v>
                </c:pt>
                <c:pt idx="7">
                  <c:v>11.46983649692991</c:v>
                </c:pt>
              </c:numCache>
            </c:numRef>
          </c:val>
          <c:extLst>
            <c:ext xmlns:c16="http://schemas.microsoft.com/office/drawing/2014/chart" uri="{C3380CC4-5D6E-409C-BE32-E72D297353CC}">
              <c16:uniqueId val="{00000003-D23B-0D4B-A700-00C17ADBB987}"/>
            </c:ext>
          </c:extLst>
        </c:ser>
        <c:ser>
          <c:idx val="5"/>
          <c:order val="4"/>
          <c:tx>
            <c:strRef>
              <c:f>'Fan Chart'!$BG$46</c:f>
              <c:strCache>
                <c:ptCount val="1"/>
                <c:pt idx="0">
                  <c:v>75-90%</c:v>
                </c:pt>
              </c:strCache>
            </c:strRef>
          </c:tx>
          <c:spPr>
            <a:solidFill>
              <a:schemeClr val="accent4">
                <a:lumMod val="40000"/>
                <a:lumOff val="60000"/>
              </a:schemeClr>
            </a:solidFill>
            <a:ln w="12700">
              <a:noFill/>
              <a:prstDash val="solid"/>
            </a:ln>
          </c:spPr>
          <c:cat>
            <c:numRef>
              <c:f>'Fan Chart'!$BL$41:$BS$41</c:f>
              <c:numCache>
                <c:formatCode>General</c:formatCode>
                <c:ptCount val="8"/>
                <c:pt idx="0">
                  <c:v>2018</c:v>
                </c:pt>
                <c:pt idx="1">
                  <c:v>2019</c:v>
                </c:pt>
                <c:pt idx="2">
                  <c:v>2020</c:v>
                </c:pt>
                <c:pt idx="3">
                  <c:v>2021</c:v>
                </c:pt>
                <c:pt idx="4">
                  <c:v>2022</c:v>
                </c:pt>
                <c:pt idx="5">
                  <c:v>2023</c:v>
                </c:pt>
                <c:pt idx="6">
                  <c:v>2024</c:v>
                </c:pt>
                <c:pt idx="7">
                  <c:v>2025</c:v>
                </c:pt>
              </c:numCache>
            </c:numRef>
          </c:cat>
          <c:val>
            <c:numRef>
              <c:f>'Fan Chart'!$BL$46:$BS$46</c:f>
              <c:numCache>
                <c:formatCode>0.0</c:formatCode>
                <c:ptCount val="8"/>
                <c:pt idx="0">
                  <c:v>0</c:v>
                </c:pt>
                <c:pt idx="1">
                  <c:v>0</c:v>
                </c:pt>
                <c:pt idx="2">
                  <c:v>5.7022779037093114</c:v>
                </c:pt>
                <c:pt idx="3">
                  <c:v>6.9993760114873123</c:v>
                </c:pt>
                <c:pt idx="4">
                  <c:v>10.6613891514061</c:v>
                </c:pt>
                <c:pt idx="5">
                  <c:v>11.055477468040564</c:v>
                </c:pt>
                <c:pt idx="6">
                  <c:v>10.800202267869437</c:v>
                </c:pt>
                <c:pt idx="7">
                  <c:v>12.9925004479605</c:v>
                </c:pt>
              </c:numCache>
            </c:numRef>
          </c:val>
          <c:extLst>
            <c:ext xmlns:c16="http://schemas.microsoft.com/office/drawing/2014/chart" uri="{C3380CC4-5D6E-409C-BE32-E72D297353CC}">
              <c16:uniqueId val="{00000004-D23B-0D4B-A700-00C17ADBB987}"/>
            </c:ext>
          </c:extLst>
        </c:ser>
        <c:dLbls>
          <c:showLegendKey val="0"/>
          <c:showVal val="0"/>
          <c:showCatName val="0"/>
          <c:showSerName val="0"/>
          <c:showPercent val="0"/>
          <c:showBubbleSize val="0"/>
        </c:dLbls>
        <c:axId val="-693063216"/>
        <c:axId val="-693067568"/>
      </c:areaChart>
      <c:lineChart>
        <c:grouping val="standard"/>
        <c:varyColors val="0"/>
        <c:ser>
          <c:idx val="1"/>
          <c:order val="5"/>
          <c:tx>
            <c:v>Կանխատեսում</c:v>
          </c:tx>
          <c:spPr>
            <a:ln>
              <a:solidFill>
                <a:srgbClr val="000000"/>
              </a:solidFill>
            </a:ln>
          </c:spPr>
          <c:marker>
            <c:symbol val="none"/>
          </c:marker>
          <c:cat>
            <c:numRef>
              <c:f>'Fan Chart'!$R$52:$Y$52</c:f>
              <c:numCache>
                <c:formatCode>General</c:formatCode>
                <c:ptCount val="8"/>
                <c:pt idx="0">
                  <c:v>2018</c:v>
                </c:pt>
                <c:pt idx="1">
                  <c:v>2019</c:v>
                </c:pt>
                <c:pt idx="2">
                  <c:v>2020</c:v>
                </c:pt>
                <c:pt idx="3">
                  <c:v>2021</c:v>
                </c:pt>
                <c:pt idx="4">
                  <c:v>2022</c:v>
                </c:pt>
                <c:pt idx="5">
                  <c:v>2023</c:v>
                </c:pt>
                <c:pt idx="6">
                  <c:v>2024</c:v>
                </c:pt>
                <c:pt idx="7">
                  <c:v>2025</c:v>
                </c:pt>
              </c:numCache>
            </c:numRef>
          </c:cat>
          <c:val>
            <c:numRef>
              <c:f>'Fan Chart'!$R$53:$Y$53</c:f>
              <c:numCache>
                <c:formatCode>0.0</c:formatCode>
                <c:ptCount val="8"/>
                <c:pt idx="0">
                  <c:v>51.235639506393625</c:v>
                </c:pt>
                <c:pt idx="1">
                  <c:v>49.911133926665656</c:v>
                </c:pt>
                <c:pt idx="2">
                  <c:v>58.609691611535993</c:v>
                </c:pt>
                <c:pt idx="3">
                  <c:v>58.161914325538824</c:v>
                </c:pt>
                <c:pt idx="4">
                  <c:v>56.451806345764403</c:v>
                </c:pt>
                <c:pt idx="5">
                  <c:v>54.674707551193777</c:v>
                </c:pt>
                <c:pt idx="6">
                  <c:v>52.101121623672704</c:v>
                </c:pt>
                <c:pt idx="7">
                  <c:v>49.225220474132136</c:v>
                </c:pt>
              </c:numCache>
            </c:numRef>
          </c:val>
          <c:smooth val="0"/>
          <c:extLst>
            <c:ext xmlns:c16="http://schemas.microsoft.com/office/drawing/2014/chart" uri="{C3380CC4-5D6E-409C-BE32-E72D297353CC}">
              <c16:uniqueId val="{00000005-D23B-0D4B-A700-00C17ADBB987}"/>
            </c:ext>
          </c:extLst>
        </c:ser>
        <c:dLbls>
          <c:showLegendKey val="0"/>
          <c:showVal val="0"/>
          <c:showCatName val="0"/>
          <c:showSerName val="0"/>
          <c:showPercent val="0"/>
          <c:showBubbleSize val="0"/>
        </c:dLbls>
        <c:marker val="1"/>
        <c:smooth val="0"/>
        <c:axId val="-693063216"/>
        <c:axId val="-693067568"/>
      </c:lineChart>
      <c:catAx>
        <c:axId val="-693063216"/>
        <c:scaling>
          <c:orientation val="minMax"/>
        </c:scaling>
        <c:delete val="0"/>
        <c:axPos val="b"/>
        <c:numFmt formatCode="General" sourceLinked="1"/>
        <c:majorTickMark val="in"/>
        <c:minorTickMark val="none"/>
        <c:tickLblPos val="low"/>
        <c:spPr>
          <a:ln w="3175">
            <a:solidFill>
              <a:srgbClr val="7F7F7F"/>
            </a:solidFill>
            <a:prstDash val="solid"/>
          </a:ln>
        </c:spPr>
        <c:txPr>
          <a:bodyPr rot="0" vert="horz"/>
          <a:lstStyle/>
          <a:p>
            <a:pPr>
              <a:defRPr sz="1200">
                <a:latin typeface="Segoe UI" pitchFamily="34" charset="0"/>
                <a:ea typeface="Segoe UI" pitchFamily="34" charset="0"/>
                <a:cs typeface="Segoe UI" pitchFamily="34" charset="0"/>
              </a:defRPr>
            </a:pPr>
            <a:endParaRPr lang="en-US"/>
          </a:p>
        </c:txPr>
        <c:crossAx val="-693067568"/>
        <c:crosses val="autoZero"/>
        <c:auto val="1"/>
        <c:lblAlgn val="ctr"/>
        <c:lblOffset val="100"/>
        <c:tickLblSkip val="1"/>
        <c:tickMarkSkip val="1"/>
        <c:noMultiLvlLbl val="0"/>
      </c:catAx>
      <c:valAx>
        <c:axId val="-693067568"/>
        <c:scaling>
          <c:orientation val="minMax"/>
        </c:scaling>
        <c:delete val="0"/>
        <c:axPos val="l"/>
        <c:numFmt formatCode="0" sourceLinked="0"/>
        <c:majorTickMark val="in"/>
        <c:minorTickMark val="none"/>
        <c:tickLblPos val="nextTo"/>
        <c:spPr>
          <a:ln>
            <a:solidFill>
              <a:srgbClr val="7F7F7F"/>
            </a:solidFill>
          </a:ln>
        </c:spPr>
        <c:txPr>
          <a:bodyPr rot="0" vert="horz"/>
          <a:lstStyle/>
          <a:p>
            <a:pPr>
              <a:defRPr sz="1200">
                <a:latin typeface="Segoe UI" pitchFamily="34" charset="0"/>
                <a:ea typeface="Segoe UI" pitchFamily="34" charset="0"/>
                <a:cs typeface="Segoe UI" pitchFamily="34" charset="0"/>
              </a:defRPr>
            </a:pPr>
            <a:endParaRPr lang="en-US"/>
          </a:p>
        </c:txPr>
        <c:crossAx val="-693063216"/>
        <c:crosses val="autoZero"/>
        <c:crossBetween val="midCat"/>
      </c:valAx>
      <c:spPr>
        <a:noFill/>
        <a:ln w="0">
          <a:solidFill>
            <a:srgbClr val="7F7F7F"/>
          </a:solidFill>
          <a:prstDash val="solid"/>
        </a:ln>
      </c:spPr>
    </c:plotArea>
    <c:legend>
      <c:legendPos val="b"/>
      <c:layout>
        <c:manualLayout>
          <c:xMode val="edge"/>
          <c:yMode val="edge"/>
          <c:x val="5.78811575199623E-3"/>
          <c:y val="0.89796886712598878"/>
          <c:w val="0.93562425672321492"/>
          <c:h val="7.4546339542565884E-2"/>
        </c:manualLayout>
      </c:layout>
      <c:overlay val="0"/>
      <c:txPr>
        <a:bodyPr/>
        <a:lstStyle/>
        <a:p>
          <a:pPr>
            <a:defRPr sz="1200">
              <a:latin typeface="Segoe UI" pitchFamily="34" charset="0"/>
              <a:ea typeface="Segoe UI" pitchFamily="34" charset="0"/>
              <a:cs typeface="Segoe UI" pitchFamily="34" charset="0"/>
            </a:defRPr>
          </a:pPr>
          <a:endParaRPr lang="en-US"/>
        </a:p>
      </c:txPr>
    </c:legend>
    <c:plotVisOnly val="1"/>
    <c:dispBlanksAs val="zero"/>
    <c:showDLblsOverMax val="0"/>
  </c:chart>
  <c:spPr>
    <a:solidFill>
      <a:srgbClr val="FFFFFF"/>
    </a:solidFill>
    <a:ln w="9525">
      <a:solidFill>
        <a:schemeClr val="tx1"/>
      </a:solidFill>
    </a:ln>
  </c:spPr>
  <c:txPr>
    <a:bodyPr/>
    <a:lstStyle/>
    <a:p>
      <a:pPr>
        <a:defRPr sz="1050" b="0" i="0" u="none" strike="noStrike" baseline="0">
          <a:solidFill>
            <a:srgbClr val="000000"/>
          </a:solidFill>
          <a:latin typeface="Calibri" pitchFamily="34" charset="0"/>
          <a:ea typeface="Times New Roman"/>
          <a:cs typeface="Times New Roman"/>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543969387004247"/>
          <c:y val="0.14718253968253969"/>
          <c:w val="0.7637814899305827"/>
          <c:h val="0.66998656417947866"/>
        </c:manualLayout>
      </c:layout>
      <c:barChart>
        <c:barDir val="col"/>
        <c:grouping val="clustered"/>
        <c:varyColors val="0"/>
        <c:ser>
          <c:idx val="0"/>
          <c:order val="0"/>
          <c:tx>
            <c:strRef>
              <c:f>Sheet1!$B$1</c:f>
              <c:strCache>
                <c:ptCount val="1"/>
                <c:pt idx="0">
                  <c:v>Տնտեսական աճի փոփոխություն</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2009 GFC</c:v>
                </c:pt>
                <c:pt idx="1">
                  <c:v>2020 COVID-19</c:v>
                </c:pt>
              </c:strCache>
            </c:strRef>
          </c:cat>
          <c:val>
            <c:numRef>
              <c:f>Sheet1!$B$2:$B$3</c:f>
              <c:numCache>
                <c:formatCode>General</c:formatCode>
                <c:ptCount val="2"/>
                <c:pt idx="0">
                  <c:v>-3.6</c:v>
                </c:pt>
                <c:pt idx="1">
                  <c:v>-7.8</c:v>
                </c:pt>
              </c:numCache>
            </c:numRef>
          </c:val>
          <c:extLst>
            <c:ext xmlns:c16="http://schemas.microsoft.com/office/drawing/2014/chart" uri="{C3380CC4-5D6E-409C-BE32-E72D297353CC}">
              <c16:uniqueId val="{00000000-1F13-4674-9D46-FE6ED461E237}"/>
            </c:ext>
          </c:extLst>
        </c:ser>
        <c:dLbls>
          <c:showLegendKey val="0"/>
          <c:showVal val="1"/>
          <c:showCatName val="0"/>
          <c:showSerName val="0"/>
          <c:showPercent val="0"/>
          <c:showBubbleSize val="0"/>
        </c:dLbls>
        <c:gapWidth val="219"/>
        <c:overlap val="-27"/>
        <c:axId val="-603804704"/>
        <c:axId val="-603802528"/>
      </c:barChart>
      <c:catAx>
        <c:axId val="-6038047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02528"/>
        <c:crosses val="autoZero"/>
        <c:auto val="1"/>
        <c:lblAlgn val="ctr"/>
        <c:lblOffset val="100"/>
        <c:noMultiLvlLbl val="0"/>
      </c:catAx>
      <c:valAx>
        <c:axId val="-603802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r>
                  <a:rPr lang="en-US" sz="900" b="0" i="0" u="none" strike="noStrike" kern="1200" baseline="0">
                    <a:solidFill>
                      <a:sysClr val="windowText" lastClr="000000">
                        <a:lumMod val="65000"/>
                        <a:lumOff val="35000"/>
                      </a:sysClr>
                    </a:solidFill>
                    <a:latin typeface="GHEA Grapalat" panose="02000506050000020003" pitchFamily="50" charset="0"/>
                    <a:ea typeface="+mn-ea"/>
                    <a:cs typeface="+mn-cs"/>
                  </a:rPr>
                  <a:t>տոկոսային</a:t>
                </a:r>
                <a:r>
                  <a:rPr lang="hy-AM" sz="900" baseline="0">
                    <a:latin typeface="GHEA Grapalat" panose="02000506050000020003" pitchFamily="50" charset="0"/>
                  </a:rPr>
                  <a:t> կետ</a:t>
                </a:r>
                <a:endParaRPr lang="hy-AM" sz="900">
                  <a:latin typeface="GHEA Grapalat" panose="02000506050000020003" pitchFamily="50"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04704"/>
        <c:crosses val="autoZero"/>
        <c:crossBetween val="between"/>
      </c:valAx>
      <c:spPr>
        <a:noFill/>
        <a:ln>
          <a:noFill/>
        </a:ln>
        <a:effectLst/>
      </c:spPr>
    </c:plotArea>
    <c:legend>
      <c:legendPos val="r"/>
      <c:layout>
        <c:manualLayout>
          <c:xMode val="edge"/>
          <c:yMode val="edge"/>
          <c:x val="0"/>
          <c:y val="0.89074015748031565"/>
          <c:w val="0.98333333333333328"/>
          <c:h val="0.1074085739282592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908945961194124"/>
          <c:y val="5.493133583021239E-2"/>
          <c:w val="0.73724875512056365"/>
          <c:h val="0.77590445489615933"/>
        </c:manualLayout>
      </c:layout>
      <c:barChart>
        <c:barDir val="col"/>
        <c:grouping val="clustered"/>
        <c:varyColors val="0"/>
        <c:ser>
          <c:idx val="0"/>
          <c:order val="0"/>
          <c:tx>
            <c:strRef>
              <c:f>Sheet1!$B$1</c:f>
              <c:strCache>
                <c:ptCount val="1"/>
                <c:pt idx="0">
                  <c:v>Պետական պարտքի փոփոխություն</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2009 GFC</c:v>
                </c:pt>
                <c:pt idx="1">
                  <c:v>2020 COVID-19</c:v>
                </c:pt>
              </c:strCache>
            </c:strRef>
          </c:cat>
          <c:val>
            <c:numRef>
              <c:f>Sheet1!$B$2:$B$3</c:f>
              <c:numCache>
                <c:formatCode>General</c:formatCode>
                <c:ptCount val="2"/>
                <c:pt idx="0">
                  <c:v>10.5</c:v>
                </c:pt>
                <c:pt idx="1">
                  <c:v>18.7</c:v>
                </c:pt>
              </c:numCache>
            </c:numRef>
          </c:val>
          <c:extLst>
            <c:ext xmlns:c16="http://schemas.microsoft.com/office/drawing/2014/chart" uri="{C3380CC4-5D6E-409C-BE32-E72D297353CC}">
              <c16:uniqueId val="{00000000-3831-4B7A-9423-F3F613B2096C}"/>
            </c:ext>
          </c:extLst>
        </c:ser>
        <c:dLbls>
          <c:showLegendKey val="0"/>
          <c:showVal val="1"/>
          <c:showCatName val="0"/>
          <c:showSerName val="0"/>
          <c:showPercent val="0"/>
          <c:showBubbleSize val="0"/>
        </c:dLbls>
        <c:gapWidth val="219"/>
        <c:overlap val="-27"/>
        <c:axId val="-603791648"/>
        <c:axId val="-603815040"/>
      </c:barChart>
      <c:catAx>
        <c:axId val="-60379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15040"/>
        <c:crosses val="autoZero"/>
        <c:auto val="1"/>
        <c:lblAlgn val="ctr"/>
        <c:lblOffset val="100"/>
        <c:noMultiLvlLbl val="0"/>
      </c:catAx>
      <c:valAx>
        <c:axId val="-60381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r>
                  <a:rPr lang="en-US" sz="900" b="0" i="0" u="none" strike="noStrike" kern="1200" baseline="0">
                    <a:solidFill>
                      <a:sysClr val="windowText" lastClr="000000">
                        <a:lumMod val="65000"/>
                        <a:lumOff val="35000"/>
                      </a:sysClr>
                    </a:solidFill>
                    <a:latin typeface="GHEA Grapalat" panose="02000506050000020003" pitchFamily="50" charset="0"/>
                    <a:ea typeface="+mn-ea"/>
                    <a:cs typeface="+mn-cs"/>
                  </a:rPr>
                  <a:t>տոկոսային</a:t>
                </a:r>
                <a:r>
                  <a:rPr lang="hy-AM" sz="900">
                    <a:latin typeface="GHEA Grapalat" panose="02000506050000020003" pitchFamily="50" charset="0"/>
                  </a:rPr>
                  <a:t> կետ</a:t>
                </a:r>
                <a:endParaRPr lang="en-US" sz="900">
                  <a:latin typeface="GHEA Grapalat" panose="02000506050000020003" pitchFamily="50"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791648"/>
        <c:crosses val="autoZero"/>
        <c:crossBetween val="between"/>
      </c:valAx>
      <c:spPr>
        <a:noFill/>
        <a:ln>
          <a:noFill/>
        </a:ln>
        <a:effectLst/>
      </c:spPr>
    </c:plotArea>
    <c:legend>
      <c:legendPos val="b"/>
      <c:layout>
        <c:manualLayout>
          <c:xMode val="edge"/>
          <c:yMode val="edge"/>
          <c:x val="4.6587681212745785E-2"/>
          <c:y val="0.90074847385649981"/>
          <c:w val="0.91095984497264948"/>
          <c:h val="8.928633920759909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28996429094432"/>
          <c:y val="4.9717514124294017E-2"/>
          <c:w val="0.74415328985164275"/>
          <c:h val="0.74204119400329338"/>
        </c:manualLayout>
      </c:layout>
      <c:barChart>
        <c:barDir val="col"/>
        <c:grouping val="clustered"/>
        <c:varyColors val="0"/>
        <c:ser>
          <c:idx val="0"/>
          <c:order val="0"/>
          <c:tx>
            <c:strRef>
              <c:f>Sheet1!$B$1</c:f>
              <c:strCache>
                <c:ptCount val="1"/>
                <c:pt idx="0">
                  <c:v>Բյուջեի հաշվեկշռի փոփոխություն</c:v>
                </c:pt>
              </c:strCache>
            </c:strRef>
          </c:tx>
          <c:spPr>
            <a:solidFill>
              <a:schemeClr val="accent2">
                <a:lumMod val="60000"/>
                <a:lumOff val="40000"/>
              </a:schemeClr>
            </a:solidFill>
            <a:ln>
              <a:solidFill>
                <a:schemeClr val="accent2">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2009 GFC</c:v>
                </c:pt>
                <c:pt idx="1">
                  <c:v>2020 COVID-19</c:v>
                </c:pt>
              </c:strCache>
            </c:strRef>
          </c:cat>
          <c:val>
            <c:numRef>
              <c:f>Sheet1!$B$2:$B$3</c:f>
              <c:numCache>
                <c:formatCode>General</c:formatCode>
                <c:ptCount val="2"/>
                <c:pt idx="0">
                  <c:v>-4.9000000000000004</c:v>
                </c:pt>
                <c:pt idx="1">
                  <c:v>-10</c:v>
                </c:pt>
              </c:numCache>
            </c:numRef>
          </c:val>
          <c:extLst>
            <c:ext xmlns:c16="http://schemas.microsoft.com/office/drawing/2014/chart" uri="{C3380CC4-5D6E-409C-BE32-E72D297353CC}">
              <c16:uniqueId val="{00000000-AF1D-4B77-9231-419235A015D3}"/>
            </c:ext>
          </c:extLst>
        </c:ser>
        <c:dLbls>
          <c:showLegendKey val="0"/>
          <c:showVal val="0"/>
          <c:showCatName val="0"/>
          <c:showSerName val="0"/>
          <c:showPercent val="0"/>
          <c:showBubbleSize val="0"/>
        </c:dLbls>
        <c:gapWidth val="219"/>
        <c:overlap val="-27"/>
        <c:axId val="-603796544"/>
        <c:axId val="-603819392"/>
      </c:barChart>
      <c:catAx>
        <c:axId val="-6037965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19392"/>
        <c:crosses val="autoZero"/>
        <c:auto val="1"/>
        <c:lblAlgn val="ctr"/>
        <c:lblOffset val="100"/>
        <c:noMultiLvlLbl val="0"/>
      </c:catAx>
      <c:valAx>
        <c:axId val="-603819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r>
                  <a:rPr lang="en-US" sz="900" b="0" i="0" u="none" strike="noStrike" kern="1200" baseline="0">
                    <a:solidFill>
                      <a:sysClr val="windowText" lastClr="000000">
                        <a:lumMod val="65000"/>
                        <a:lumOff val="35000"/>
                      </a:sysClr>
                    </a:solidFill>
                    <a:latin typeface="GHEA Grapalat" panose="02000506050000020003" pitchFamily="50" charset="0"/>
                    <a:ea typeface="+mn-ea"/>
                    <a:cs typeface="+mn-cs"/>
                  </a:rPr>
                  <a:t>տոկոսայ</a:t>
                </a:r>
                <a:r>
                  <a:rPr lang="hy-AM" sz="900" b="0" i="0" u="none" strike="noStrike" kern="1200" baseline="0">
                    <a:solidFill>
                      <a:sysClr val="windowText" lastClr="000000">
                        <a:lumMod val="65000"/>
                        <a:lumOff val="35000"/>
                      </a:sysClr>
                    </a:solidFill>
                    <a:latin typeface="GHEA Grapalat" panose="02000506050000020003" pitchFamily="50" charset="0"/>
                    <a:ea typeface="+mn-ea"/>
                    <a:cs typeface="+mn-cs"/>
                  </a:rPr>
                  <a:t>ին</a:t>
                </a:r>
                <a:r>
                  <a:rPr lang="hy-AM" sz="900">
                    <a:latin typeface="GHEA Grapalat" panose="02000506050000020003" pitchFamily="50" charset="0"/>
                  </a:rPr>
                  <a:t> կետ</a:t>
                </a:r>
                <a:endParaRPr lang="en-US" sz="900">
                  <a:latin typeface="GHEA Grapalat" panose="02000506050000020003" pitchFamily="50"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796544"/>
        <c:crosses val="autoZero"/>
        <c:crossBetween val="between"/>
      </c:valAx>
      <c:spPr>
        <a:noFill/>
        <a:ln>
          <a:noFill/>
        </a:ln>
        <a:effectLst/>
      </c:spPr>
    </c:plotArea>
    <c:legend>
      <c:legendPos val="b"/>
      <c:layout>
        <c:manualLayout>
          <c:xMode val="edge"/>
          <c:yMode val="edge"/>
          <c:x val="3.5228518179935657E-2"/>
          <c:y val="0.88945465150189562"/>
          <c:w val="0.9602641605283212"/>
          <c:h val="0.1105453484981044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0.64655</cdr:x>
      <cdr:y>0.00474</cdr:y>
    </cdr:from>
    <cdr:to>
      <cdr:x>1</cdr:x>
      <cdr:y>0.85714</cdr:y>
    </cdr:to>
    <cdr:sp macro="" textlink="">
      <cdr:nvSpPr>
        <cdr:cNvPr id="2" name="Rectangle 1"/>
        <cdr:cNvSpPr/>
      </cdr:nvSpPr>
      <cdr:spPr>
        <a:xfrm xmlns:a="http://schemas.openxmlformats.org/drawingml/2006/main">
          <a:off x="2026110" y="8533"/>
          <a:ext cx="1107615" cy="1534517"/>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0.xml><?xml version="1.0" encoding="utf-8"?>
<c:userShapes xmlns:c="http://schemas.openxmlformats.org/drawingml/2006/chart">
  <cdr:relSizeAnchor xmlns:cdr="http://schemas.openxmlformats.org/drawingml/2006/chartDrawing">
    <cdr:from>
      <cdr:x>0.75814</cdr:x>
      <cdr:y>0</cdr:y>
    </cdr:from>
    <cdr:to>
      <cdr:x>0.90586</cdr:x>
      <cdr:y>0.87535</cdr:y>
    </cdr:to>
    <cdr:sp macro="" textlink="">
      <cdr:nvSpPr>
        <cdr:cNvPr id="2" name="Rectangle 1"/>
        <cdr:cNvSpPr/>
      </cdr:nvSpPr>
      <cdr:spPr>
        <a:xfrm xmlns:a="http://schemas.openxmlformats.org/drawingml/2006/main">
          <a:off x="2301175" y="0"/>
          <a:ext cx="448375" cy="2006600"/>
        </a:xfrm>
        <a:prstGeom xmlns:a="http://schemas.openxmlformats.org/drawingml/2006/main" prst="rect">
          <a:avLst/>
        </a:prstGeom>
        <a:solidFill xmlns:a="http://schemas.openxmlformats.org/drawingml/2006/main">
          <a:srgbClr val="D8E2F4">
            <a:alpha val="21176"/>
          </a:srgb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1.xml><?xml version="1.0" encoding="utf-8"?>
<c:userShapes xmlns:c="http://schemas.openxmlformats.org/drawingml/2006/chart">
  <cdr:relSizeAnchor xmlns:cdr="http://schemas.openxmlformats.org/drawingml/2006/chartDrawing">
    <cdr:from>
      <cdr:x>0.74027</cdr:x>
      <cdr:y>0</cdr:y>
    </cdr:from>
    <cdr:to>
      <cdr:x>0.89758</cdr:x>
      <cdr:y>0.98607</cdr:y>
    </cdr:to>
    <cdr:sp macro="" textlink="">
      <cdr:nvSpPr>
        <cdr:cNvPr id="2" name="Rectangle 1"/>
        <cdr:cNvSpPr/>
      </cdr:nvSpPr>
      <cdr:spPr>
        <a:xfrm xmlns:a="http://schemas.openxmlformats.org/drawingml/2006/main">
          <a:off x="2171250" y="0"/>
          <a:ext cx="461413" cy="1420746"/>
        </a:xfrm>
        <a:prstGeom xmlns:a="http://schemas.openxmlformats.org/drawingml/2006/main" prst="rect">
          <a:avLst/>
        </a:prstGeom>
        <a:solidFill xmlns:a="http://schemas.openxmlformats.org/drawingml/2006/main">
          <a:srgbClr val="D8E2F4">
            <a:alpha val="21176"/>
          </a:srgb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2.xml><?xml version="1.0" encoding="utf-8"?>
<c:userShapes xmlns:c="http://schemas.openxmlformats.org/drawingml/2006/chart">
  <cdr:relSizeAnchor xmlns:cdr="http://schemas.openxmlformats.org/drawingml/2006/chartDrawing">
    <cdr:from>
      <cdr:x>0.49592</cdr:x>
      <cdr:y>4.83068E-7</cdr:y>
    </cdr:from>
    <cdr:to>
      <cdr:x>0.96631</cdr:x>
      <cdr:y>0.61043</cdr:y>
    </cdr:to>
    <cdr:sp macro="" textlink="">
      <cdr:nvSpPr>
        <cdr:cNvPr id="2" name="Rectangle 1"/>
        <cdr:cNvSpPr/>
      </cdr:nvSpPr>
      <cdr:spPr>
        <a:xfrm xmlns:a="http://schemas.openxmlformats.org/drawingml/2006/main">
          <a:off x="1543049" y="1"/>
          <a:ext cx="1463625" cy="1263650"/>
        </a:xfrm>
        <a:prstGeom xmlns:a="http://schemas.openxmlformats.org/drawingml/2006/main" prst="rect">
          <a:avLst/>
        </a:prstGeom>
        <a:solidFill xmlns:a="http://schemas.openxmlformats.org/drawingml/2006/main">
          <a:srgbClr val="D8E2F4">
            <a:alpha val="21176"/>
          </a:srgb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3.xml><?xml version="1.0" encoding="utf-8"?>
<c:userShapes xmlns:c="http://schemas.openxmlformats.org/drawingml/2006/chart">
  <cdr:relSizeAnchor xmlns:cdr="http://schemas.openxmlformats.org/drawingml/2006/chartDrawing">
    <cdr:from>
      <cdr:x>0.51951</cdr:x>
      <cdr:y>0</cdr:y>
    </cdr:from>
    <cdr:to>
      <cdr:x>0.98869</cdr:x>
      <cdr:y>0.67365</cdr:y>
    </cdr:to>
    <cdr:sp macro="" textlink="">
      <cdr:nvSpPr>
        <cdr:cNvPr id="2" name="Rectangle 1"/>
        <cdr:cNvSpPr/>
      </cdr:nvSpPr>
      <cdr:spPr>
        <a:xfrm xmlns:a="http://schemas.openxmlformats.org/drawingml/2006/main">
          <a:off x="1606549" y="0"/>
          <a:ext cx="1450925" cy="1428749"/>
        </a:xfrm>
        <a:prstGeom xmlns:a="http://schemas.openxmlformats.org/drawingml/2006/main" prst="rect">
          <a:avLst/>
        </a:prstGeom>
        <a:solidFill xmlns:a="http://schemas.openxmlformats.org/drawingml/2006/main">
          <a:srgbClr val="D8E2F4">
            <a:alpha val="21176"/>
          </a:srgb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4.xml><?xml version="1.0" encoding="utf-8"?>
<c:userShapes xmlns:c="http://schemas.openxmlformats.org/drawingml/2006/chart">
  <cdr:relSizeAnchor xmlns:cdr="http://schemas.openxmlformats.org/drawingml/2006/chartDrawing">
    <cdr:from>
      <cdr:x>0.46027</cdr:x>
      <cdr:y>0.02286</cdr:y>
    </cdr:from>
    <cdr:to>
      <cdr:x>0.92016</cdr:x>
      <cdr:y>0.84838</cdr:y>
    </cdr:to>
    <cdr:sp macro="" textlink="">
      <cdr:nvSpPr>
        <cdr:cNvPr id="3" name="Rectangle 2"/>
        <cdr:cNvSpPr/>
      </cdr:nvSpPr>
      <cdr:spPr>
        <a:xfrm xmlns:a="http://schemas.openxmlformats.org/drawingml/2006/main">
          <a:off x="1543193" y="51822"/>
          <a:ext cx="1541913" cy="1871413"/>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5.xml><?xml version="1.0" encoding="utf-8"?>
<c:userShapes xmlns:c="http://schemas.openxmlformats.org/drawingml/2006/chart">
  <cdr:relSizeAnchor xmlns:cdr="http://schemas.openxmlformats.org/drawingml/2006/chartDrawing">
    <cdr:from>
      <cdr:x>0.57939</cdr:x>
      <cdr:y>0.25092</cdr:y>
    </cdr:from>
    <cdr:to>
      <cdr:x>0.90808</cdr:x>
      <cdr:y>0.32841</cdr:y>
    </cdr:to>
    <cdr:cxnSp macro="">
      <cdr:nvCxnSpPr>
        <cdr:cNvPr id="4" name="Straight Arrow Connector 3"/>
        <cdr:cNvCxnSpPr/>
      </cdr:nvCxnSpPr>
      <cdr:spPr>
        <a:xfrm xmlns:a="http://schemas.openxmlformats.org/drawingml/2006/main" flipV="1">
          <a:off x="1981200" y="647700"/>
          <a:ext cx="1123950" cy="20002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0.47354</cdr:x>
      <cdr:y>0.04305</cdr:y>
    </cdr:from>
    <cdr:to>
      <cdr:x>0.94986</cdr:x>
      <cdr:y>0.86054</cdr:y>
    </cdr:to>
    <cdr:sp macro="" textlink="">
      <cdr:nvSpPr>
        <cdr:cNvPr id="5" name="Rectangle 4"/>
        <cdr:cNvSpPr/>
      </cdr:nvSpPr>
      <cdr:spPr>
        <a:xfrm xmlns:a="http://schemas.openxmlformats.org/drawingml/2006/main">
          <a:off x="1619250" y="120557"/>
          <a:ext cx="1628775" cy="2289268"/>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6.xml><?xml version="1.0" encoding="utf-8"?>
<c:userShapes xmlns:c="http://schemas.openxmlformats.org/drawingml/2006/chart">
  <cdr:relSizeAnchor xmlns:cdr="http://schemas.openxmlformats.org/drawingml/2006/chartDrawing">
    <cdr:from>
      <cdr:x>0.35093</cdr:x>
      <cdr:y>0.0766</cdr:y>
    </cdr:from>
    <cdr:to>
      <cdr:x>0.73913</cdr:x>
      <cdr:y>0.1895</cdr:y>
    </cdr:to>
    <cdr:sp macro="" textlink="">
      <cdr:nvSpPr>
        <cdr:cNvPr id="2" name="Text Box 1"/>
        <cdr:cNvSpPr txBox="1"/>
      </cdr:nvSpPr>
      <cdr:spPr>
        <a:xfrm xmlns:a="http://schemas.openxmlformats.org/drawingml/2006/main">
          <a:off x="1076325" y="171450"/>
          <a:ext cx="1190625" cy="25273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000">
            <a:latin typeface="GHEA Grapalat" panose="02000506050000020003" pitchFamily="50" charset="0"/>
          </a:endParaRPr>
        </a:p>
      </cdr:txBody>
    </cdr:sp>
  </cdr:relSizeAnchor>
</c:userShapes>
</file>

<file path=word/drawings/drawing17.xml><?xml version="1.0" encoding="utf-8"?>
<c:userShapes xmlns:c="http://schemas.openxmlformats.org/drawingml/2006/chart">
  <cdr:relSizeAnchor xmlns:cdr="http://schemas.openxmlformats.org/drawingml/2006/chartDrawing">
    <cdr:from>
      <cdr:x>0.38097</cdr:x>
      <cdr:y>0.07497</cdr:y>
    </cdr:from>
    <cdr:to>
      <cdr:x>0.80543</cdr:x>
      <cdr:y>0.21226</cdr:y>
    </cdr:to>
    <cdr:sp macro="" textlink="">
      <cdr:nvSpPr>
        <cdr:cNvPr id="2" name="Text Box 1"/>
        <cdr:cNvSpPr txBox="1"/>
      </cdr:nvSpPr>
      <cdr:spPr>
        <a:xfrm xmlns:a="http://schemas.openxmlformats.org/drawingml/2006/main">
          <a:off x="1128538" y="152092"/>
          <a:ext cx="1257361" cy="27855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1000">
            <a:latin typeface="GHEA Grapalat" panose="02000506050000020003" pitchFamily="50" charset="0"/>
          </a:endParaRPr>
        </a:p>
      </cdr:txBody>
    </cdr:sp>
  </cdr:relSizeAnchor>
</c:userShapes>
</file>

<file path=word/drawings/drawing18.xml><?xml version="1.0" encoding="utf-8"?>
<c:userShapes xmlns:c="http://schemas.openxmlformats.org/drawingml/2006/chart">
  <cdr:relSizeAnchor xmlns:cdr="http://schemas.openxmlformats.org/drawingml/2006/chartDrawing">
    <cdr:from>
      <cdr:x>0.2209</cdr:x>
      <cdr:y>0</cdr:y>
    </cdr:from>
    <cdr:to>
      <cdr:x>0.5992</cdr:x>
      <cdr:y>0.1122</cdr:y>
    </cdr:to>
    <cdr:sp macro="" textlink="">
      <cdr:nvSpPr>
        <cdr:cNvPr id="3" name="Text Box 2"/>
        <cdr:cNvSpPr txBox="1"/>
      </cdr:nvSpPr>
      <cdr:spPr>
        <a:xfrm xmlns:a="http://schemas.openxmlformats.org/drawingml/2006/main">
          <a:off x="673303" y="0"/>
          <a:ext cx="1153059"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y-AM" sz="1000" b="1">
              <a:latin typeface="GHEA Grapalat" panose="02000506050000020003" pitchFamily="50" charset="0"/>
            </a:rPr>
            <a:t>Արտահանում</a:t>
          </a:r>
          <a:endParaRPr lang="en-US" sz="1000" b="1">
            <a:latin typeface="GHEA Grapalat" panose="02000506050000020003" pitchFamily="50" charset="0"/>
          </a:endParaRPr>
        </a:p>
      </cdr:txBody>
    </cdr:sp>
  </cdr:relSizeAnchor>
  <cdr:relSizeAnchor xmlns:cdr="http://schemas.openxmlformats.org/drawingml/2006/chartDrawing">
    <cdr:from>
      <cdr:x>0.63692</cdr:x>
      <cdr:y>0.06881</cdr:y>
    </cdr:from>
    <cdr:to>
      <cdr:x>0.96308</cdr:x>
      <cdr:y>0.17431</cdr:y>
    </cdr:to>
    <cdr:cxnSp macro="">
      <cdr:nvCxnSpPr>
        <cdr:cNvPr id="5" name="Straight Arrow Connector 4"/>
        <cdr:cNvCxnSpPr/>
      </cdr:nvCxnSpPr>
      <cdr:spPr>
        <a:xfrm xmlns:a="http://schemas.openxmlformats.org/drawingml/2006/main" flipV="1">
          <a:off x="1971675" y="142881"/>
          <a:ext cx="1009660" cy="21906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0.61846</cdr:x>
      <cdr:y>0.00459</cdr:y>
    </cdr:from>
    <cdr:to>
      <cdr:x>0.98462</cdr:x>
      <cdr:y>0.83633</cdr:y>
    </cdr:to>
    <cdr:sp macro="" textlink="">
      <cdr:nvSpPr>
        <cdr:cNvPr id="4" name="Rectangle 3"/>
        <cdr:cNvSpPr/>
      </cdr:nvSpPr>
      <cdr:spPr>
        <a:xfrm xmlns:a="http://schemas.openxmlformats.org/drawingml/2006/main">
          <a:off x="1885066" y="10187"/>
          <a:ext cx="1116056" cy="1845908"/>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9.xml><?xml version="1.0" encoding="utf-8"?>
<c:userShapes xmlns:c="http://schemas.openxmlformats.org/drawingml/2006/chart">
  <cdr:relSizeAnchor xmlns:cdr="http://schemas.openxmlformats.org/drawingml/2006/chartDrawing">
    <cdr:from>
      <cdr:x>0.19497</cdr:x>
      <cdr:y>0</cdr:y>
    </cdr:from>
    <cdr:to>
      <cdr:x>0.64951</cdr:x>
      <cdr:y>0.10455</cdr:y>
    </cdr:to>
    <cdr:sp macro="" textlink="">
      <cdr:nvSpPr>
        <cdr:cNvPr id="3" name="Text Box 2"/>
        <cdr:cNvSpPr txBox="1"/>
      </cdr:nvSpPr>
      <cdr:spPr>
        <a:xfrm xmlns:a="http://schemas.openxmlformats.org/drawingml/2006/main">
          <a:off x="633260" y="0"/>
          <a:ext cx="1476357" cy="2310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y-AM" sz="1000" b="1">
              <a:latin typeface="GHEA Grapalat" panose="02000506050000020003" pitchFamily="50" charset="0"/>
            </a:rPr>
            <a:t>Ներմուծում</a:t>
          </a:r>
          <a:endParaRPr lang="en-US" sz="1000" b="1">
            <a:latin typeface="GHEA Grapalat" panose="02000506050000020003" pitchFamily="50" charset="0"/>
          </a:endParaRPr>
        </a:p>
      </cdr:txBody>
    </cdr:sp>
  </cdr:relSizeAnchor>
  <cdr:relSizeAnchor xmlns:cdr="http://schemas.openxmlformats.org/drawingml/2006/chartDrawing">
    <cdr:from>
      <cdr:x>0.61639</cdr:x>
      <cdr:y>0.02879</cdr:y>
    </cdr:from>
    <cdr:to>
      <cdr:x>1</cdr:x>
      <cdr:y>0.85847</cdr:y>
    </cdr:to>
    <cdr:sp macro="" textlink="">
      <cdr:nvSpPr>
        <cdr:cNvPr id="4" name="Rectangle 3"/>
        <cdr:cNvSpPr/>
      </cdr:nvSpPr>
      <cdr:spPr>
        <a:xfrm xmlns:a="http://schemas.openxmlformats.org/drawingml/2006/main">
          <a:off x="2002050" y="63620"/>
          <a:ext cx="1245975" cy="1833418"/>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0.62463</cdr:x>
      <cdr:y>0</cdr:y>
    </cdr:from>
    <cdr:to>
      <cdr:x>1</cdr:x>
      <cdr:y>0.83491</cdr:y>
    </cdr:to>
    <cdr:sp macro="" textlink="">
      <cdr:nvSpPr>
        <cdr:cNvPr id="2" name="Rectangle 1"/>
        <cdr:cNvSpPr/>
      </cdr:nvSpPr>
      <cdr:spPr>
        <a:xfrm xmlns:a="http://schemas.openxmlformats.org/drawingml/2006/main">
          <a:off x="2028826" y="0"/>
          <a:ext cx="1219199" cy="1685934"/>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0.xml><?xml version="1.0" encoding="utf-8"?>
<c:userShapes xmlns:c="http://schemas.openxmlformats.org/drawingml/2006/chart">
  <cdr:relSizeAnchor xmlns:cdr="http://schemas.openxmlformats.org/drawingml/2006/chartDrawing">
    <cdr:from>
      <cdr:x>0.47499</cdr:x>
      <cdr:y>0.16295</cdr:y>
    </cdr:from>
    <cdr:to>
      <cdr:x>0.97487</cdr:x>
      <cdr:y>0.82037</cdr:y>
    </cdr:to>
    <cdr:sp macro="" textlink="">
      <cdr:nvSpPr>
        <cdr:cNvPr id="2" name="Rectangle 1"/>
        <cdr:cNvSpPr/>
      </cdr:nvSpPr>
      <cdr:spPr>
        <a:xfrm xmlns:a="http://schemas.openxmlformats.org/drawingml/2006/main">
          <a:off x="2995684" y="395785"/>
          <a:ext cx="3152633" cy="1596788"/>
        </a:xfrm>
        <a:prstGeom xmlns:a="http://schemas.openxmlformats.org/drawingml/2006/main" prst="rect">
          <a:avLst/>
        </a:prstGeom>
        <a:solidFill xmlns:a="http://schemas.openxmlformats.org/drawingml/2006/main">
          <a:schemeClr val="accent1">
            <a:alpha val="20000"/>
          </a:schemeClr>
        </a:solidFill>
        <a:ln xmlns:a="http://schemas.openxmlformats.org/drawingml/2006/main">
          <a:solidFill>
            <a:schemeClr val="bg1">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hy-AM"/>
        </a:p>
      </cdr:txBody>
    </cdr:sp>
  </cdr:relSizeAnchor>
</c:userShapes>
</file>

<file path=word/drawings/drawing21.xml><?xml version="1.0" encoding="utf-8"?>
<c:userShapes xmlns:c="http://schemas.openxmlformats.org/drawingml/2006/chart">
  <cdr:relSizeAnchor xmlns:cdr="http://schemas.openxmlformats.org/drawingml/2006/chartDrawing">
    <cdr:from>
      <cdr:x>0.48834</cdr:x>
      <cdr:y>0.06406</cdr:y>
    </cdr:from>
    <cdr:to>
      <cdr:x>0.97058</cdr:x>
      <cdr:y>0.82022</cdr:y>
    </cdr:to>
    <cdr:sp macro="" textlink="">
      <cdr:nvSpPr>
        <cdr:cNvPr id="2" name="Rounded Rectangle 1"/>
        <cdr:cNvSpPr/>
      </cdr:nvSpPr>
      <cdr:spPr>
        <a:xfrm xmlns:a="http://schemas.openxmlformats.org/drawingml/2006/main">
          <a:off x="1536217" y="156819"/>
          <a:ext cx="1517026" cy="1851023"/>
        </a:xfrm>
        <a:prstGeom xmlns:a="http://schemas.openxmlformats.org/drawingml/2006/main" prst="rect">
          <a:avLst/>
        </a:prstGeom>
        <a:solidFill xmlns:a="http://schemas.openxmlformats.org/drawingml/2006/main">
          <a:schemeClr val="bg1">
            <a:lumMod val="85000"/>
            <a:alpha val="30000"/>
          </a:schemeClr>
        </a:solidFill>
        <a:ln xmlns:a="http://schemas.openxmlformats.org/drawingml/2006/main">
          <a:solidFill>
            <a:schemeClr val="bg1">
              <a:lumMod val="85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22.xml><?xml version="1.0" encoding="utf-8"?>
<c:userShapes xmlns:c="http://schemas.openxmlformats.org/drawingml/2006/chart">
  <cdr:relSizeAnchor xmlns:cdr="http://schemas.openxmlformats.org/drawingml/2006/chartDrawing">
    <cdr:from>
      <cdr:x>0.46855</cdr:x>
      <cdr:y>0</cdr:y>
    </cdr:from>
    <cdr:to>
      <cdr:x>0.98748</cdr:x>
      <cdr:y>0.80196</cdr:y>
    </cdr:to>
    <cdr:sp macro="" textlink="">
      <cdr:nvSpPr>
        <cdr:cNvPr id="2" name="Rounded Rectangle 1"/>
        <cdr:cNvSpPr/>
      </cdr:nvSpPr>
      <cdr:spPr>
        <a:xfrm xmlns:a="http://schemas.openxmlformats.org/drawingml/2006/main">
          <a:off x="1473958" y="0"/>
          <a:ext cx="1632447" cy="1876567"/>
        </a:xfrm>
        <a:prstGeom xmlns:a="http://schemas.openxmlformats.org/drawingml/2006/main" prst="rect">
          <a:avLst/>
        </a:prstGeom>
        <a:solidFill xmlns:a="http://schemas.openxmlformats.org/drawingml/2006/main">
          <a:schemeClr val="bg1">
            <a:lumMod val="85000"/>
            <a:alpha val="30000"/>
          </a:schemeClr>
        </a:solidFill>
        <a:ln xmlns:a="http://schemas.openxmlformats.org/drawingml/2006/main">
          <a:solidFill>
            <a:schemeClr val="bg1">
              <a:lumMod val="85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23.xml><?xml version="1.0" encoding="utf-8"?>
<c:userShapes xmlns:c="http://schemas.openxmlformats.org/drawingml/2006/chart">
  <cdr:relSizeAnchor xmlns:cdr="http://schemas.openxmlformats.org/drawingml/2006/chartDrawing">
    <cdr:from>
      <cdr:x>0.13909</cdr:x>
      <cdr:y>0.17857</cdr:y>
    </cdr:from>
    <cdr:to>
      <cdr:x>0.85372</cdr:x>
      <cdr:y>0.18333</cdr:y>
    </cdr:to>
    <cdr:cxnSp macro="">
      <cdr:nvCxnSpPr>
        <cdr:cNvPr id="3" name="Straight Connector 2"/>
        <cdr:cNvCxnSpPr/>
      </cdr:nvCxnSpPr>
      <cdr:spPr>
        <a:xfrm xmlns:a="http://schemas.openxmlformats.org/drawingml/2006/main" flipH="1">
          <a:off x="441960" y="571500"/>
          <a:ext cx="2270760" cy="15240"/>
        </a:xfrm>
        <a:prstGeom xmlns:a="http://schemas.openxmlformats.org/drawingml/2006/main" prst="line">
          <a:avLst/>
        </a:prstGeom>
        <a:ln xmlns:a="http://schemas.openxmlformats.org/drawingml/2006/main" w="28575">
          <a:solidFill>
            <a:srgbClr val="C0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0.14548</cdr:x>
      <cdr:y>0.51349</cdr:y>
    </cdr:from>
    <cdr:to>
      <cdr:x>0.86011</cdr:x>
      <cdr:y>0.51825</cdr:y>
    </cdr:to>
    <cdr:cxnSp macro="">
      <cdr:nvCxnSpPr>
        <cdr:cNvPr id="4" name="Straight Connector 3"/>
        <cdr:cNvCxnSpPr/>
      </cdr:nvCxnSpPr>
      <cdr:spPr>
        <a:xfrm xmlns:a="http://schemas.openxmlformats.org/drawingml/2006/main" flipH="1">
          <a:off x="462280" y="1643380"/>
          <a:ext cx="2270760" cy="15240"/>
        </a:xfrm>
        <a:prstGeom xmlns:a="http://schemas.openxmlformats.org/drawingml/2006/main" prst="line">
          <a:avLst/>
        </a:prstGeom>
        <a:ln xmlns:a="http://schemas.openxmlformats.org/drawingml/2006/main" w="28575">
          <a:solidFill>
            <a:schemeClr val="accent4"/>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0.47091</cdr:x>
      <cdr:y>0.16512</cdr:y>
    </cdr:from>
    <cdr:to>
      <cdr:x>0.87986</cdr:x>
      <cdr:y>0.76461</cdr:y>
    </cdr:to>
    <cdr:sp macro="" textlink="">
      <cdr:nvSpPr>
        <cdr:cNvPr id="2" name="Rectangle 1"/>
        <cdr:cNvSpPr/>
      </cdr:nvSpPr>
      <cdr:spPr>
        <a:xfrm xmlns:a="http://schemas.openxmlformats.org/drawingml/2006/main">
          <a:off x="1389888" y="475488"/>
          <a:ext cx="1207008" cy="1726387"/>
        </a:xfrm>
        <a:prstGeom xmlns:a="http://schemas.openxmlformats.org/drawingml/2006/main" prst="rect">
          <a:avLst/>
        </a:prstGeom>
        <a:solidFill xmlns:a="http://schemas.openxmlformats.org/drawingml/2006/main">
          <a:schemeClr val="bg1">
            <a:lumMod val="85000"/>
            <a:alpha val="3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hy-AM"/>
        </a:p>
      </cdr:txBody>
    </cdr:sp>
  </cdr:relSizeAnchor>
</c:userShapes>
</file>

<file path=word/drawings/drawing24.xml><?xml version="1.0" encoding="utf-8"?>
<c:userShapes xmlns:c="http://schemas.openxmlformats.org/drawingml/2006/chart">
  <cdr:relSizeAnchor xmlns:cdr="http://schemas.openxmlformats.org/drawingml/2006/chartDrawing">
    <cdr:from>
      <cdr:x>0.3426</cdr:x>
      <cdr:y>0.18095</cdr:y>
    </cdr:from>
    <cdr:to>
      <cdr:x>0.64945</cdr:x>
      <cdr:y>0.95624</cdr:y>
    </cdr:to>
    <cdr:sp macro="" textlink="">
      <cdr:nvSpPr>
        <cdr:cNvPr id="2" name="Rectangle 1"/>
        <cdr:cNvSpPr/>
      </cdr:nvSpPr>
      <cdr:spPr>
        <a:xfrm xmlns:a="http://schemas.openxmlformats.org/drawingml/2006/main">
          <a:off x="1134528" y="517065"/>
          <a:ext cx="1016141" cy="2215391"/>
        </a:xfrm>
        <a:prstGeom xmlns:a="http://schemas.openxmlformats.org/drawingml/2006/main" prst="rect">
          <a:avLst/>
        </a:prstGeom>
        <a:solidFill xmlns:a="http://schemas.openxmlformats.org/drawingml/2006/main">
          <a:schemeClr val="bg1">
            <a:lumMod val="85000"/>
            <a:alpha val="2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25.xml><?xml version="1.0" encoding="utf-8"?>
<c:userShapes xmlns:c="http://schemas.openxmlformats.org/drawingml/2006/chart">
  <cdr:relSizeAnchor xmlns:cdr="http://schemas.openxmlformats.org/drawingml/2006/chartDrawing">
    <cdr:from>
      <cdr:x>0.67005</cdr:x>
      <cdr:y>0.06064</cdr:y>
    </cdr:from>
    <cdr:to>
      <cdr:x>0.94599</cdr:x>
      <cdr:y>0.87668</cdr:y>
    </cdr:to>
    <cdr:sp macro="" textlink="">
      <cdr:nvSpPr>
        <cdr:cNvPr id="2" name="Rectangle 1"/>
        <cdr:cNvSpPr/>
      </cdr:nvSpPr>
      <cdr:spPr>
        <a:xfrm xmlns:a="http://schemas.openxmlformats.org/drawingml/2006/main">
          <a:off x="2016775" y="152798"/>
          <a:ext cx="830567" cy="2056146"/>
        </a:xfrm>
        <a:prstGeom xmlns:a="http://schemas.openxmlformats.org/drawingml/2006/main" prst="rect">
          <a:avLst/>
        </a:prstGeom>
        <a:solidFill xmlns:a="http://schemas.openxmlformats.org/drawingml/2006/main">
          <a:schemeClr val="bg1">
            <a:lumMod val="85000"/>
            <a:alpha val="36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26.xml><?xml version="1.0" encoding="utf-8"?>
<c:userShapes xmlns:c="http://schemas.openxmlformats.org/drawingml/2006/chart">
  <cdr:relSizeAnchor xmlns:cdr="http://schemas.openxmlformats.org/drawingml/2006/chartDrawing">
    <cdr:from>
      <cdr:x>0.67188</cdr:x>
      <cdr:y>0.04048</cdr:y>
    </cdr:from>
    <cdr:to>
      <cdr:x>0.95573</cdr:x>
      <cdr:y>0.9</cdr:y>
    </cdr:to>
    <cdr:sp macro="" textlink="">
      <cdr:nvSpPr>
        <cdr:cNvPr id="2" name="Rectangle 1"/>
        <cdr:cNvSpPr/>
      </cdr:nvSpPr>
      <cdr:spPr>
        <a:xfrm xmlns:a="http://schemas.openxmlformats.org/drawingml/2006/main">
          <a:off x="1965960" y="129540"/>
          <a:ext cx="830580" cy="2750820"/>
        </a:xfrm>
        <a:prstGeom xmlns:a="http://schemas.openxmlformats.org/drawingml/2006/main" prst="rect">
          <a:avLst/>
        </a:prstGeom>
        <a:solidFill xmlns:a="http://schemas.openxmlformats.org/drawingml/2006/main">
          <a:schemeClr val="bg1">
            <a:lumMod val="85000"/>
            <a:alpha val="36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27.xml><?xml version="1.0" encoding="utf-8"?>
<c:userShapes xmlns:c="http://schemas.openxmlformats.org/drawingml/2006/chart">
  <cdr:relSizeAnchor xmlns:cdr="http://schemas.openxmlformats.org/drawingml/2006/chartDrawing">
    <cdr:from>
      <cdr:x>0.80628</cdr:x>
      <cdr:y>0.10833</cdr:y>
    </cdr:from>
    <cdr:to>
      <cdr:x>0.8367</cdr:x>
      <cdr:y>0.78784</cdr:y>
    </cdr:to>
    <cdr:sp macro="" textlink="">
      <cdr:nvSpPr>
        <cdr:cNvPr id="2" name="Left Brace 1"/>
        <cdr:cNvSpPr/>
      </cdr:nvSpPr>
      <cdr:spPr>
        <a:xfrm xmlns:a="http://schemas.openxmlformats.org/drawingml/2006/main">
          <a:off x="4938123" y="371475"/>
          <a:ext cx="186328" cy="2330028"/>
        </a:xfrm>
        <a:prstGeom xmlns:a="http://schemas.openxmlformats.org/drawingml/2006/main" prst="leftBrace">
          <a:avLst>
            <a:gd name="adj1" fmla="val 89859"/>
            <a:gd name="adj2" fmla="val 50000"/>
          </a:avLst>
        </a:prstGeom>
        <a:ln xmlns:a="http://schemas.openxmlformats.org/drawingml/2006/main" w="476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0.17801</cdr:x>
      <cdr:y>0.23333</cdr:y>
    </cdr:from>
    <cdr:to>
      <cdr:x>0.20062</cdr:x>
      <cdr:y>0.78591</cdr:y>
    </cdr:to>
    <cdr:sp macro="" textlink="">
      <cdr:nvSpPr>
        <cdr:cNvPr id="4" name="Left Brace 3"/>
        <cdr:cNvSpPr/>
      </cdr:nvSpPr>
      <cdr:spPr>
        <a:xfrm xmlns:a="http://schemas.openxmlformats.org/drawingml/2006/main">
          <a:off x="1090236" y="800099"/>
          <a:ext cx="138489" cy="1894785"/>
        </a:xfrm>
        <a:prstGeom xmlns:a="http://schemas.openxmlformats.org/drawingml/2006/main" prst="leftBrace">
          <a:avLst>
            <a:gd name="adj1" fmla="val 89859"/>
            <a:gd name="adj2" fmla="val 50000"/>
          </a:avLst>
        </a:prstGeom>
        <a:ln xmlns:a="http://schemas.openxmlformats.org/drawingml/2006/main" w="476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0.60774</cdr:x>
      <cdr:y>0.18056</cdr:y>
    </cdr:from>
    <cdr:to>
      <cdr:x>0.62675</cdr:x>
      <cdr:y>0.79102</cdr:y>
    </cdr:to>
    <cdr:sp macro="" textlink="">
      <cdr:nvSpPr>
        <cdr:cNvPr id="7" name="Left Brace 6"/>
        <cdr:cNvSpPr/>
      </cdr:nvSpPr>
      <cdr:spPr>
        <a:xfrm xmlns:a="http://schemas.openxmlformats.org/drawingml/2006/main">
          <a:off x="3722149" y="619125"/>
          <a:ext cx="116426" cy="2093283"/>
        </a:xfrm>
        <a:prstGeom xmlns:a="http://schemas.openxmlformats.org/drawingml/2006/main" prst="leftBrace">
          <a:avLst>
            <a:gd name="adj1" fmla="val 89859"/>
            <a:gd name="adj2" fmla="val 50000"/>
          </a:avLst>
        </a:prstGeom>
        <a:ln xmlns:a="http://schemas.openxmlformats.org/drawingml/2006/main" w="476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0.38902</cdr:x>
      <cdr:y>0.22222</cdr:y>
    </cdr:from>
    <cdr:to>
      <cdr:x>0.41369</cdr:x>
      <cdr:y>0.79102</cdr:y>
    </cdr:to>
    <cdr:sp macro="" textlink="">
      <cdr:nvSpPr>
        <cdr:cNvPr id="8" name="Left Brace 7"/>
        <cdr:cNvSpPr/>
      </cdr:nvSpPr>
      <cdr:spPr>
        <a:xfrm xmlns:a="http://schemas.openxmlformats.org/drawingml/2006/main">
          <a:off x="2382582" y="762001"/>
          <a:ext cx="151068" cy="1950408"/>
        </a:xfrm>
        <a:prstGeom xmlns:a="http://schemas.openxmlformats.org/drawingml/2006/main" prst="leftBrace">
          <a:avLst>
            <a:gd name="adj1" fmla="val 89859"/>
            <a:gd name="adj2" fmla="val 50411"/>
          </a:avLst>
        </a:prstGeom>
        <a:ln xmlns:a="http://schemas.openxmlformats.org/drawingml/2006/main" w="476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wrap="square">
          <a:noAutofit/>
        </a:bodyPr>
        <a:lstStyle xmlns:a="http://schemas.openxmlformats.org/drawingml/2006/main"/>
        <a:p xmlns:a="http://schemas.openxmlformats.org/drawingml/2006/main">
          <a:endParaRPr lang="en-US"/>
        </a:p>
      </cdr:txBody>
    </cdr:sp>
  </cdr:relSizeAnchor>
</c:userShapes>
</file>

<file path=word/drawings/drawing28.xml><?xml version="1.0" encoding="utf-8"?>
<c:userShapes xmlns:c="http://schemas.openxmlformats.org/drawingml/2006/chart">
  <cdr:relSizeAnchor xmlns:cdr="http://schemas.openxmlformats.org/drawingml/2006/chartDrawing">
    <cdr:from>
      <cdr:x>0.34809</cdr:x>
      <cdr:y>0.08317</cdr:y>
    </cdr:from>
    <cdr:to>
      <cdr:x>0.39366</cdr:x>
      <cdr:y>0.67401</cdr:y>
    </cdr:to>
    <cdr:sp macro="" textlink="">
      <cdr:nvSpPr>
        <cdr:cNvPr id="2" name="Left Brace 1"/>
        <cdr:cNvSpPr/>
      </cdr:nvSpPr>
      <cdr:spPr>
        <a:xfrm xmlns:a="http://schemas.openxmlformats.org/drawingml/2006/main">
          <a:off x="2255928" y="400049"/>
          <a:ext cx="295331" cy="2842039"/>
        </a:xfrm>
        <a:prstGeom xmlns:a="http://schemas.openxmlformats.org/drawingml/2006/main" prst="leftBrace">
          <a:avLst>
            <a:gd name="adj1" fmla="val 89859"/>
            <a:gd name="adj2" fmla="val 50000"/>
          </a:avLst>
        </a:prstGeom>
        <a:ln xmlns:a="http://schemas.openxmlformats.org/drawingml/2006/main" w="222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0.15435</cdr:x>
      <cdr:y>0.04752</cdr:y>
    </cdr:from>
    <cdr:to>
      <cdr:x>0.18519</cdr:x>
      <cdr:y>0.67293</cdr:y>
    </cdr:to>
    <cdr:sp macro="" textlink="">
      <cdr:nvSpPr>
        <cdr:cNvPr id="4" name="Left Brace 3"/>
        <cdr:cNvSpPr/>
      </cdr:nvSpPr>
      <cdr:spPr>
        <a:xfrm xmlns:a="http://schemas.openxmlformats.org/drawingml/2006/main">
          <a:off x="1000304" y="228600"/>
          <a:ext cx="199846" cy="3008299"/>
        </a:xfrm>
        <a:prstGeom xmlns:a="http://schemas.openxmlformats.org/drawingml/2006/main" prst="leftBrace">
          <a:avLst>
            <a:gd name="adj1" fmla="val 89859"/>
            <a:gd name="adj2" fmla="val 48978"/>
          </a:avLst>
        </a:prstGeom>
        <a:ln xmlns:a="http://schemas.openxmlformats.org/drawingml/2006/main" w="222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wrap="square">
          <a:noAutofit/>
        </a:bodyPr>
        <a:lstStyle xmlns:a="http://schemas.openxmlformats.org/drawingml/2006/main"/>
        <a:p xmlns:a="http://schemas.openxmlformats.org/drawingml/2006/main">
          <a:endParaRPr lang="en-US"/>
        </a:p>
      </cdr:txBody>
    </cdr:sp>
  </cdr:relSizeAnchor>
  <cdr:relSizeAnchor xmlns:cdr="http://schemas.openxmlformats.org/drawingml/2006/chartDrawing">
    <cdr:from>
      <cdr:x>0.57502</cdr:x>
      <cdr:y>0.11485</cdr:y>
    </cdr:from>
    <cdr:to>
      <cdr:x>0.62059</cdr:x>
      <cdr:y>0.66931</cdr:y>
    </cdr:to>
    <cdr:sp macro="" textlink="">
      <cdr:nvSpPr>
        <cdr:cNvPr id="5" name="Left Brace 4"/>
        <cdr:cNvSpPr/>
      </cdr:nvSpPr>
      <cdr:spPr>
        <a:xfrm xmlns:a="http://schemas.openxmlformats.org/drawingml/2006/main">
          <a:off x="3726606" y="552450"/>
          <a:ext cx="295331" cy="2667000"/>
        </a:xfrm>
        <a:prstGeom xmlns:a="http://schemas.openxmlformats.org/drawingml/2006/main" prst="leftBrace">
          <a:avLst>
            <a:gd name="adj1" fmla="val 89859"/>
            <a:gd name="adj2" fmla="val 50000"/>
          </a:avLst>
        </a:prstGeom>
        <a:ln xmlns:a="http://schemas.openxmlformats.org/drawingml/2006/main" w="222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0.78278</cdr:x>
      <cdr:y>0.12277</cdr:y>
    </cdr:from>
    <cdr:to>
      <cdr:x>0.82835</cdr:x>
      <cdr:y>0.67723</cdr:y>
    </cdr:to>
    <cdr:sp macro="" textlink="">
      <cdr:nvSpPr>
        <cdr:cNvPr id="6" name="Left Brace 5"/>
        <cdr:cNvSpPr/>
      </cdr:nvSpPr>
      <cdr:spPr>
        <a:xfrm xmlns:a="http://schemas.openxmlformats.org/drawingml/2006/main">
          <a:off x="5073072" y="590550"/>
          <a:ext cx="295330" cy="2667000"/>
        </a:xfrm>
        <a:prstGeom xmlns:a="http://schemas.openxmlformats.org/drawingml/2006/main" prst="leftBrace">
          <a:avLst>
            <a:gd name="adj1" fmla="val 89859"/>
            <a:gd name="adj2" fmla="val 50000"/>
          </a:avLst>
        </a:prstGeom>
        <a:ln xmlns:a="http://schemas.openxmlformats.org/drawingml/2006/main" w="222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drawings/drawing29.xml><?xml version="1.0" encoding="utf-8"?>
<c:userShapes xmlns:c="http://schemas.openxmlformats.org/drawingml/2006/chart">
  <cdr:relSizeAnchor xmlns:cdr="http://schemas.openxmlformats.org/drawingml/2006/chartDrawing">
    <cdr:from>
      <cdr:x>0.60892</cdr:x>
      <cdr:y>0.23207</cdr:y>
    </cdr:from>
    <cdr:to>
      <cdr:x>0.63446</cdr:x>
      <cdr:y>0.73138</cdr:y>
    </cdr:to>
    <cdr:sp macro="" textlink="">
      <cdr:nvSpPr>
        <cdr:cNvPr id="2" name="Left Brace 1"/>
        <cdr:cNvSpPr/>
      </cdr:nvSpPr>
      <cdr:spPr>
        <a:xfrm xmlns:a="http://schemas.openxmlformats.org/drawingml/2006/main">
          <a:off x="3601770" y="1047750"/>
          <a:ext cx="151080" cy="2254318"/>
        </a:xfrm>
        <a:prstGeom xmlns:a="http://schemas.openxmlformats.org/drawingml/2006/main" prst="leftBrace">
          <a:avLst>
            <a:gd name="adj1" fmla="val 70074"/>
            <a:gd name="adj2" fmla="val 50000"/>
          </a:avLst>
        </a:prstGeom>
        <a:ln xmlns:a="http://schemas.openxmlformats.org/drawingml/2006/main" w="476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0.80874</cdr:x>
      <cdr:y>0.10338</cdr:y>
    </cdr:from>
    <cdr:to>
      <cdr:x>0.84058</cdr:x>
      <cdr:y>0.72962</cdr:y>
    </cdr:to>
    <cdr:sp macro="" textlink="">
      <cdr:nvSpPr>
        <cdr:cNvPr id="3" name="Left Brace 2"/>
        <cdr:cNvSpPr/>
      </cdr:nvSpPr>
      <cdr:spPr>
        <a:xfrm xmlns:a="http://schemas.openxmlformats.org/drawingml/2006/main">
          <a:off x="4783717" y="466725"/>
          <a:ext cx="188333" cy="2827400"/>
        </a:xfrm>
        <a:prstGeom xmlns:a="http://schemas.openxmlformats.org/drawingml/2006/main" prst="leftBrace">
          <a:avLst>
            <a:gd name="adj1" fmla="val 89859"/>
            <a:gd name="adj2" fmla="val 50000"/>
          </a:avLst>
        </a:prstGeom>
        <a:ln xmlns:a="http://schemas.openxmlformats.org/drawingml/2006/main" w="476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0.20106</cdr:x>
      <cdr:y>0.29325</cdr:y>
    </cdr:from>
    <cdr:to>
      <cdr:x>0.21578</cdr:x>
      <cdr:y>0.73848</cdr:y>
    </cdr:to>
    <cdr:sp macro="" textlink="">
      <cdr:nvSpPr>
        <cdr:cNvPr id="5" name="Left Brace 4"/>
        <cdr:cNvSpPr/>
      </cdr:nvSpPr>
      <cdr:spPr>
        <a:xfrm xmlns:a="http://schemas.openxmlformats.org/drawingml/2006/main">
          <a:off x="1189275" y="1323975"/>
          <a:ext cx="87075" cy="2010151"/>
        </a:xfrm>
        <a:prstGeom xmlns:a="http://schemas.openxmlformats.org/drawingml/2006/main" prst="leftBrace">
          <a:avLst>
            <a:gd name="adj1" fmla="val 70074"/>
            <a:gd name="adj2" fmla="val 50000"/>
          </a:avLst>
        </a:prstGeom>
        <a:ln xmlns:a="http://schemas.openxmlformats.org/drawingml/2006/main" w="476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0.40915</cdr:x>
      <cdr:y>0.35021</cdr:y>
    </cdr:from>
    <cdr:to>
      <cdr:x>0.42512</cdr:x>
      <cdr:y>0.74181</cdr:y>
    </cdr:to>
    <cdr:sp macro="" textlink="">
      <cdr:nvSpPr>
        <cdr:cNvPr id="6" name="Left Brace 5"/>
        <cdr:cNvSpPr/>
      </cdr:nvSpPr>
      <cdr:spPr>
        <a:xfrm xmlns:a="http://schemas.openxmlformats.org/drawingml/2006/main">
          <a:off x="2420133" y="1581149"/>
          <a:ext cx="94468" cy="1768011"/>
        </a:xfrm>
        <a:prstGeom xmlns:a="http://schemas.openxmlformats.org/drawingml/2006/main" prst="leftBrace">
          <a:avLst>
            <a:gd name="adj1" fmla="val 70074"/>
            <a:gd name="adj2" fmla="val 50000"/>
          </a:avLst>
        </a:prstGeom>
        <a:ln xmlns:a="http://schemas.openxmlformats.org/drawingml/2006/main" w="47625">
          <a:solidFill>
            <a:schemeClr val="tx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3.xml><?xml version="1.0" encoding="utf-8"?>
<c:userShapes xmlns:c="http://schemas.openxmlformats.org/drawingml/2006/chart">
  <cdr:relSizeAnchor xmlns:cdr="http://schemas.openxmlformats.org/drawingml/2006/chartDrawing">
    <cdr:from>
      <cdr:x>0.64833</cdr:x>
      <cdr:y>0</cdr:y>
    </cdr:from>
    <cdr:to>
      <cdr:x>0.97237</cdr:x>
      <cdr:y>0.83248</cdr:y>
    </cdr:to>
    <cdr:sp macro="" textlink="">
      <cdr:nvSpPr>
        <cdr:cNvPr id="2" name="Rectangle 1"/>
        <cdr:cNvSpPr/>
      </cdr:nvSpPr>
      <cdr:spPr>
        <a:xfrm xmlns:a="http://schemas.openxmlformats.org/drawingml/2006/main">
          <a:off x="2007404" y="0"/>
          <a:ext cx="1003312" cy="1440503"/>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0.58314</cdr:x>
      <cdr:y>0</cdr:y>
    </cdr:from>
    <cdr:to>
      <cdr:x>1</cdr:x>
      <cdr:y>0.82273</cdr:y>
    </cdr:to>
    <cdr:sp macro="" textlink="">
      <cdr:nvSpPr>
        <cdr:cNvPr id="2" name="Rectangle 1"/>
        <cdr:cNvSpPr/>
      </cdr:nvSpPr>
      <cdr:spPr>
        <a:xfrm xmlns:a="http://schemas.openxmlformats.org/drawingml/2006/main">
          <a:off x="1133475" y="0"/>
          <a:ext cx="810260" cy="1724025"/>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a:effectLst xmlns:a="http://schemas.openxmlformats.org/drawingml/2006/main"/>
      </cdr:spPr>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5.xml><?xml version="1.0" encoding="utf-8"?>
<c:userShapes xmlns:c="http://schemas.openxmlformats.org/drawingml/2006/chart">
  <cdr:relSizeAnchor xmlns:cdr="http://schemas.openxmlformats.org/drawingml/2006/chartDrawing">
    <cdr:from>
      <cdr:x>0.57944</cdr:x>
      <cdr:y>0</cdr:y>
    </cdr:from>
    <cdr:to>
      <cdr:x>0.96851</cdr:x>
      <cdr:y>0.83486</cdr:y>
    </cdr:to>
    <cdr:sp macro="" textlink="">
      <cdr:nvSpPr>
        <cdr:cNvPr id="3" name="Rectangle 2"/>
        <cdr:cNvSpPr/>
      </cdr:nvSpPr>
      <cdr:spPr>
        <a:xfrm xmlns:a="http://schemas.openxmlformats.org/drawingml/2006/main">
          <a:off x="1181100" y="0"/>
          <a:ext cx="793062" cy="1733550"/>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6.xml><?xml version="1.0" encoding="utf-8"?>
<c:userShapes xmlns:c="http://schemas.openxmlformats.org/drawingml/2006/chart">
  <cdr:relSizeAnchor xmlns:cdr="http://schemas.openxmlformats.org/drawingml/2006/chartDrawing">
    <cdr:from>
      <cdr:x>0.57729</cdr:x>
      <cdr:y>0</cdr:y>
    </cdr:from>
    <cdr:to>
      <cdr:x>0.98556</cdr:x>
      <cdr:y>0.80093</cdr:y>
    </cdr:to>
    <cdr:sp macro="" textlink="">
      <cdr:nvSpPr>
        <cdr:cNvPr id="2" name="Rectangle 1"/>
        <cdr:cNvSpPr/>
      </cdr:nvSpPr>
      <cdr:spPr>
        <a:xfrm xmlns:a="http://schemas.openxmlformats.org/drawingml/2006/main">
          <a:off x="1143000" y="0"/>
          <a:ext cx="808340" cy="1647825"/>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7.xml><?xml version="1.0" encoding="utf-8"?>
<c:userShapes xmlns:c="http://schemas.openxmlformats.org/drawingml/2006/chart">
  <cdr:relSizeAnchor xmlns:cdr="http://schemas.openxmlformats.org/drawingml/2006/chartDrawing">
    <cdr:from>
      <cdr:x>0.43282</cdr:x>
      <cdr:y>0.02031</cdr:y>
    </cdr:from>
    <cdr:to>
      <cdr:x>0.9122</cdr:x>
      <cdr:y>0.79197</cdr:y>
    </cdr:to>
    <cdr:sp macro="" textlink="">
      <cdr:nvSpPr>
        <cdr:cNvPr id="2" name="Rectangle 1"/>
        <cdr:cNvSpPr/>
      </cdr:nvSpPr>
      <cdr:spPr>
        <a:xfrm xmlns:a="http://schemas.openxmlformats.org/drawingml/2006/main">
          <a:off x="1326383" y="41213"/>
          <a:ext cx="1469064" cy="1566059"/>
        </a:xfrm>
        <a:prstGeom xmlns:a="http://schemas.openxmlformats.org/drawingml/2006/main" prst="rect">
          <a:avLst/>
        </a:prstGeom>
        <a:noFill xmlns:a="http://schemas.openxmlformats.org/drawingml/2006/main"/>
        <a:ln xmlns:a="http://schemas.openxmlformats.org/drawingml/2006/main" w="9525"/>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8.xml><?xml version="1.0" encoding="utf-8"?>
<c:userShapes xmlns:c="http://schemas.openxmlformats.org/drawingml/2006/chart">
  <cdr:relSizeAnchor xmlns:cdr="http://schemas.openxmlformats.org/drawingml/2006/chartDrawing">
    <cdr:from>
      <cdr:x>0.4424</cdr:x>
      <cdr:y>0.05925</cdr:y>
    </cdr:from>
    <cdr:to>
      <cdr:x>0.92964</cdr:x>
      <cdr:y>0.70064</cdr:y>
    </cdr:to>
    <cdr:sp macro="" textlink="">
      <cdr:nvSpPr>
        <cdr:cNvPr id="2" name="Rectangle 1"/>
        <cdr:cNvSpPr/>
      </cdr:nvSpPr>
      <cdr:spPr>
        <a:xfrm xmlns:a="http://schemas.openxmlformats.org/drawingml/2006/main">
          <a:off x="1362186" y="110159"/>
          <a:ext cx="1500284" cy="1192530"/>
        </a:xfrm>
        <a:prstGeom xmlns:a="http://schemas.openxmlformats.org/drawingml/2006/main" prst="rect">
          <a:avLst/>
        </a:prstGeom>
        <a:noFill xmlns:a="http://schemas.openxmlformats.org/drawingml/2006/main"/>
        <a:ln xmlns:a="http://schemas.openxmlformats.org/drawingml/2006/main" w="9525"/>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9.xml><?xml version="1.0" encoding="utf-8"?>
<c:userShapes xmlns:c="http://schemas.openxmlformats.org/drawingml/2006/chart">
  <cdr:relSizeAnchor xmlns:cdr="http://schemas.openxmlformats.org/drawingml/2006/chartDrawing">
    <cdr:from>
      <cdr:x>0.50614</cdr:x>
      <cdr:y>0.05925</cdr:y>
    </cdr:from>
    <cdr:to>
      <cdr:x>0.97676</cdr:x>
      <cdr:y>0.70064</cdr:y>
    </cdr:to>
    <cdr:sp macro="" textlink="">
      <cdr:nvSpPr>
        <cdr:cNvPr id="2" name="Rectangle 1"/>
        <cdr:cNvSpPr/>
      </cdr:nvSpPr>
      <cdr:spPr>
        <a:xfrm xmlns:a="http://schemas.openxmlformats.org/drawingml/2006/main">
          <a:off x="1558456" y="110158"/>
          <a:ext cx="1449098" cy="1192530"/>
        </a:xfrm>
        <a:prstGeom xmlns:a="http://schemas.openxmlformats.org/drawingml/2006/main" prst="rect">
          <a:avLst/>
        </a:prstGeom>
        <a:noFill xmlns:a="http://schemas.openxmlformats.org/drawingml/2006/main"/>
        <a:ln xmlns:a="http://schemas.openxmlformats.org/drawingml/2006/main" w="9525"/>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7D66F-7DD9-4B62-8F9F-7432EFAAA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203</Pages>
  <Words>54299</Words>
  <Characters>309505</Characters>
  <Application>Microsoft Office Word</Application>
  <DocSecurity>0</DocSecurity>
  <Lines>2579</Lines>
  <Paragraphs>726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¶ÈàôÊ 11</vt:lpstr>
      <vt:lpstr>¶ÈàôÊ 11</vt:lpstr>
    </vt:vector>
  </TitlesOfParts>
  <Company/>
  <LinksUpToDate>false</LinksUpToDate>
  <CharactersWithSpaces>363078</CharactersWithSpaces>
  <SharedDoc>false</SharedDoc>
  <HLinks>
    <vt:vector size="294" baseType="variant">
      <vt:variant>
        <vt:i4>6029341</vt:i4>
      </vt:variant>
      <vt:variant>
        <vt:i4>381</vt:i4>
      </vt:variant>
      <vt:variant>
        <vt:i4>0</vt:i4>
      </vt:variant>
      <vt:variant>
        <vt:i4>5</vt:i4>
      </vt:variant>
      <vt:variant>
        <vt:lpwstr>https://tradingeconomics.com/country-list/rating</vt:lpwstr>
      </vt:variant>
      <vt:variant>
        <vt:lpwstr/>
      </vt:variant>
      <vt:variant>
        <vt:i4>262170</vt:i4>
      </vt:variant>
      <vt:variant>
        <vt:i4>327</vt:i4>
      </vt:variant>
      <vt:variant>
        <vt:i4>0</vt:i4>
      </vt:variant>
      <vt:variant>
        <vt:i4>5</vt:i4>
      </vt:variant>
      <vt:variant>
        <vt:lpwstr>http://www.centralbanknews.info/</vt:lpwstr>
      </vt:variant>
      <vt:variant>
        <vt:lpwstr/>
      </vt:variant>
      <vt:variant>
        <vt:i4>1114163</vt:i4>
      </vt:variant>
      <vt:variant>
        <vt:i4>260</vt:i4>
      </vt:variant>
      <vt:variant>
        <vt:i4>0</vt:i4>
      </vt:variant>
      <vt:variant>
        <vt:i4>5</vt:i4>
      </vt:variant>
      <vt:variant>
        <vt:lpwstr/>
      </vt:variant>
      <vt:variant>
        <vt:lpwstr>_Toc45294913</vt:lpwstr>
      </vt:variant>
      <vt:variant>
        <vt:i4>1048627</vt:i4>
      </vt:variant>
      <vt:variant>
        <vt:i4>254</vt:i4>
      </vt:variant>
      <vt:variant>
        <vt:i4>0</vt:i4>
      </vt:variant>
      <vt:variant>
        <vt:i4>5</vt:i4>
      </vt:variant>
      <vt:variant>
        <vt:lpwstr/>
      </vt:variant>
      <vt:variant>
        <vt:lpwstr>_Toc45294912</vt:lpwstr>
      </vt:variant>
      <vt:variant>
        <vt:i4>1245235</vt:i4>
      </vt:variant>
      <vt:variant>
        <vt:i4>248</vt:i4>
      </vt:variant>
      <vt:variant>
        <vt:i4>0</vt:i4>
      </vt:variant>
      <vt:variant>
        <vt:i4>5</vt:i4>
      </vt:variant>
      <vt:variant>
        <vt:lpwstr/>
      </vt:variant>
      <vt:variant>
        <vt:lpwstr>_Toc45294911</vt:lpwstr>
      </vt:variant>
      <vt:variant>
        <vt:i4>1179699</vt:i4>
      </vt:variant>
      <vt:variant>
        <vt:i4>242</vt:i4>
      </vt:variant>
      <vt:variant>
        <vt:i4>0</vt:i4>
      </vt:variant>
      <vt:variant>
        <vt:i4>5</vt:i4>
      </vt:variant>
      <vt:variant>
        <vt:lpwstr/>
      </vt:variant>
      <vt:variant>
        <vt:lpwstr>_Toc45294910</vt:lpwstr>
      </vt:variant>
      <vt:variant>
        <vt:i4>1769522</vt:i4>
      </vt:variant>
      <vt:variant>
        <vt:i4>236</vt:i4>
      </vt:variant>
      <vt:variant>
        <vt:i4>0</vt:i4>
      </vt:variant>
      <vt:variant>
        <vt:i4>5</vt:i4>
      </vt:variant>
      <vt:variant>
        <vt:lpwstr/>
      </vt:variant>
      <vt:variant>
        <vt:lpwstr>_Toc45294909</vt:lpwstr>
      </vt:variant>
      <vt:variant>
        <vt:i4>1703986</vt:i4>
      </vt:variant>
      <vt:variant>
        <vt:i4>230</vt:i4>
      </vt:variant>
      <vt:variant>
        <vt:i4>0</vt:i4>
      </vt:variant>
      <vt:variant>
        <vt:i4>5</vt:i4>
      </vt:variant>
      <vt:variant>
        <vt:lpwstr/>
      </vt:variant>
      <vt:variant>
        <vt:lpwstr>_Toc45294908</vt:lpwstr>
      </vt:variant>
      <vt:variant>
        <vt:i4>1376306</vt:i4>
      </vt:variant>
      <vt:variant>
        <vt:i4>224</vt:i4>
      </vt:variant>
      <vt:variant>
        <vt:i4>0</vt:i4>
      </vt:variant>
      <vt:variant>
        <vt:i4>5</vt:i4>
      </vt:variant>
      <vt:variant>
        <vt:lpwstr/>
      </vt:variant>
      <vt:variant>
        <vt:lpwstr>_Toc45294907</vt:lpwstr>
      </vt:variant>
      <vt:variant>
        <vt:i4>1310770</vt:i4>
      </vt:variant>
      <vt:variant>
        <vt:i4>218</vt:i4>
      </vt:variant>
      <vt:variant>
        <vt:i4>0</vt:i4>
      </vt:variant>
      <vt:variant>
        <vt:i4>5</vt:i4>
      </vt:variant>
      <vt:variant>
        <vt:lpwstr/>
      </vt:variant>
      <vt:variant>
        <vt:lpwstr>_Toc45294906</vt:lpwstr>
      </vt:variant>
      <vt:variant>
        <vt:i4>1507378</vt:i4>
      </vt:variant>
      <vt:variant>
        <vt:i4>212</vt:i4>
      </vt:variant>
      <vt:variant>
        <vt:i4>0</vt:i4>
      </vt:variant>
      <vt:variant>
        <vt:i4>5</vt:i4>
      </vt:variant>
      <vt:variant>
        <vt:lpwstr/>
      </vt:variant>
      <vt:variant>
        <vt:lpwstr>_Toc45294905</vt:lpwstr>
      </vt:variant>
      <vt:variant>
        <vt:i4>1441842</vt:i4>
      </vt:variant>
      <vt:variant>
        <vt:i4>206</vt:i4>
      </vt:variant>
      <vt:variant>
        <vt:i4>0</vt:i4>
      </vt:variant>
      <vt:variant>
        <vt:i4>5</vt:i4>
      </vt:variant>
      <vt:variant>
        <vt:lpwstr/>
      </vt:variant>
      <vt:variant>
        <vt:lpwstr>_Toc45294904</vt:lpwstr>
      </vt:variant>
      <vt:variant>
        <vt:i4>1114162</vt:i4>
      </vt:variant>
      <vt:variant>
        <vt:i4>200</vt:i4>
      </vt:variant>
      <vt:variant>
        <vt:i4>0</vt:i4>
      </vt:variant>
      <vt:variant>
        <vt:i4>5</vt:i4>
      </vt:variant>
      <vt:variant>
        <vt:lpwstr/>
      </vt:variant>
      <vt:variant>
        <vt:lpwstr>_Toc45294903</vt:lpwstr>
      </vt:variant>
      <vt:variant>
        <vt:i4>1048626</vt:i4>
      </vt:variant>
      <vt:variant>
        <vt:i4>194</vt:i4>
      </vt:variant>
      <vt:variant>
        <vt:i4>0</vt:i4>
      </vt:variant>
      <vt:variant>
        <vt:i4>5</vt:i4>
      </vt:variant>
      <vt:variant>
        <vt:lpwstr/>
      </vt:variant>
      <vt:variant>
        <vt:lpwstr>_Toc45294902</vt:lpwstr>
      </vt:variant>
      <vt:variant>
        <vt:i4>1245234</vt:i4>
      </vt:variant>
      <vt:variant>
        <vt:i4>188</vt:i4>
      </vt:variant>
      <vt:variant>
        <vt:i4>0</vt:i4>
      </vt:variant>
      <vt:variant>
        <vt:i4>5</vt:i4>
      </vt:variant>
      <vt:variant>
        <vt:lpwstr/>
      </vt:variant>
      <vt:variant>
        <vt:lpwstr>_Toc45294901</vt:lpwstr>
      </vt:variant>
      <vt:variant>
        <vt:i4>1179698</vt:i4>
      </vt:variant>
      <vt:variant>
        <vt:i4>182</vt:i4>
      </vt:variant>
      <vt:variant>
        <vt:i4>0</vt:i4>
      </vt:variant>
      <vt:variant>
        <vt:i4>5</vt:i4>
      </vt:variant>
      <vt:variant>
        <vt:lpwstr/>
      </vt:variant>
      <vt:variant>
        <vt:lpwstr>_Toc45294900</vt:lpwstr>
      </vt:variant>
      <vt:variant>
        <vt:i4>1703995</vt:i4>
      </vt:variant>
      <vt:variant>
        <vt:i4>176</vt:i4>
      </vt:variant>
      <vt:variant>
        <vt:i4>0</vt:i4>
      </vt:variant>
      <vt:variant>
        <vt:i4>5</vt:i4>
      </vt:variant>
      <vt:variant>
        <vt:lpwstr/>
      </vt:variant>
      <vt:variant>
        <vt:lpwstr>_Toc45294899</vt:lpwstr>
      </vt:variant>
      <vt:variant>
        <vt:i4>1769531</vt:i4>
      </vt:variant>
      <vt:variant>
        <vt:i4>170</vt:i4>
      </vt:variant>
      <vt:variant>
        <vt:i4>0</vt:i4>
      </vt:variant>
      <vt:variant>
        <vt:i4>5</vt:i4>
      </vt:variant>
      <vt:variant>
        <vt:lpwstr/>
      </vt:variant>
      <vt:variant>
        <vt:lpwstr>_Toc45294898</vt:lpwstr>
      </vt:variant>
      <vt:variant>
        <vt:i4>1310779</vt:i4>
      </vt:variant>
      <vt:variant>
        <vt:i4>164</vt:i4>
      </vt:variant>
      <vt:variant>
        <vt:i4>0</vt:i4>
      </vt:variant>
      <vt:variant>
        <vt:i4>5</vt:i4>
      </vt:variant>
      <vt:variant>
        <vt:lpwstr/>
      </vt:variant>
      <vt:variant>
        <vt:lpwstr>_Toc45294897</vt:lpwstr>
      </vt:variant>
      <vt:variant>
        <vt:i4>1376315</vt:i4>
      </vt:variant>
      <vt:variant>
        <vt:i4>158</vt:i4>
      </vt:variant>
      <vt:variant>
        <vt:i4>0</vt:i4>
      </vt:variant>
      <vt:variant>
        <vt:i4>5</vt:i4>
      </vt:variant>
      <vt:variant>
        <vt:lpwstr/>
      </vt:variant>
      <vt:variant>
        <vt:lpwstr>_Toc45294896</vt:lpwstr>
      </vt:variant>
      <vt:variant>
        <vt:i4>1441851</vt:i4>
      </vt:variant>
      <vt:variant>
        <vt:i4>152</vt:i4>
      </vt:variant>
      <vt:variant>
        <vt:i4>0</vt:i4>
      </vt:variant>
      <vt:variant>
        <vt:i4>5</vt:i4>
      </vt:variant>
      <vt:variant>
        <vt:lpwstr/>
      </vt:variant>
      <vt:variant>
        <vt:lpwstr>_Toc45294895</vt:lpwstr>
      </vt:variant>
      <vt:variant>
        <vt:i4>1507387</vt:i4>
      </vt:variant>
      <vt:variant>
        <vt:i4>146</vt:i4>
      </vt:variant>
      <vt:variant>
        <vt:i4>0</vt:i4>
      </vt:variant>
      <vt:variant>
        <vt:i4>5</vt:i4>
      </vt:variant>
      <vt:variant>
        <vt:lpwstr/>
      </vt:variant>
      <vt:variant>
        <vt:lpwstr>_Toc45294894</vt:lpwstr>
      </vt:variant>
      <vt:variant>
        <vt:i4>1048635</vt:i4>
      </vt:variant>
      <vt:variant>
        <vt:i4>140</vt:i4>
      </vt:variant>
      <vt:variant>
        <vt:i4>0</vt:i4>
      </vt:variant>
      <vt:variant>
        <vt:i4>5</vt:i4>
      </vt:variant>
      <vt:variant>
        <vt:lpwstr/>
      </vt:variant>
      <vt:variant>
        <vt:lpwstr>_Toc45294893</vt:lpwstr>
      </vt:variant>
      <vt:variant>
        <vt:i4>1114171</vt:i4>
      </vt:variant>
      <vt:variant>
        <vt:i4>134</vt:i4>
      </vt:variant>
      <vt:variant>
        <vt:i4>0</vt:i4>
      </vt:variant>
      <vt:variant>
        <vt:i4>5</vt:i4>
      </vt:variant>
      <vt:variant>
        <vt:lpwstr/>
      </vt:variant>
      <vt:variant>
        <vt:lpwstr>_Toc45294892</vt:lpwstr>
      </vt:variant>
      <vt:variant>
        <vt:i4>1179707</vt:i4>
      </vt:variant>
      <vt:variant>
        <vt:i4>128</vt:i4>
      </vt:variant>
      <vt:variant>
        <vt:i4>0</vt:i4>
      </vt:variant>
      <vt:variant>
        <vt:i4>5</vt:i4>
      </vt:variant>
      <vt:variant>
        <vt:lpwstr/>
      </vt:variant>
      <vt:variant>
        <vt:lpwstr>_Toc45294891</vt:lpwstr>
      </vt:variant>
      <vt:variant>
        <vt:i4>1245243</vt:i4>
      </vt:variant>
      <vt:variant>
        <vt:i4>122</vt:i4>
      </vt:variant>
      <vt:variant>
        <vt:i4>0</vt:i4>
      </vt:variant>
      <vt:variant>
        <vt:i4>5</vt:i4>
      </vt:variant>
      <vt:variant>
        <vt:lpwstr/>
      </vt:variant>
      <vt:variant>
        <vt:lpwstr>_Toc45294890</vt:lpwstr>
      </vt:variant>
      <vt:variant>
        <vt:i4>1703994</vt:i4>
      </vt:variant>
      <vt:variant>
        <vt:i4>116</vt:i4>
      </vt:variant>
      <vt:variant>
        <vt:i4>0</vt:i4>
      </vt:variant>
      <vt:variant>
        <vt:i4>5</vt:i4>
      </vt:variant>
      <vt:variant>
        <vt:lpwstr/>
      </vt:variant>
      <vt:variant>
        <vt:lpwstr>_Toc45294889</vt:lpwstr>
      </vt:variant>
      <vt:variant>
        <vt:i4>1769530</vt:i4>
      </vt:variant>
      <vt:variant>
        <vt:i4>110</vt:i4>
      </vt:variant>
      <vt:variant>
        <vt:i4>0</vt:i4>
      </vt:variant>
      <vt:variant>
        <vt:i4>5</vt:i4>
      </vt:variant>
      <vt:variant>
        <vt:lpwstr/>
      </vt:variant>
      <vt:variant>
        <vt:lpwstr>_Toc45294888</vt:lpwstr>
      </vt:variant>
      <vt:variant>
        <vt:i4>1310778</vt:i4>
      </vt:variant>
      <vt:variant>
        <vt:i4>104</vt:i4>
      </vt:variant>
      <vt:variant>
        <vt:i4>0</vt:i4>
      </vt:variant>
      <vt:variant>
        <vt:i4>5</vt:i4>
      </vt:variant>
      <vt:variant>
        <vt:lpwstr/>
      </vt:variant>
      <vt:variant>
        <vt:lpwstr>_Toc45294887</vt:lpwstr>
      </vt:variant>
      <vt:variant>
        <vt:i4>1376314</vt:i4>
      </vt:variant>
      <vt:variant>
        <vt:i4>98</vt:i4>
      </vt:variant>
      <vt:variant>
        <vt:i4>0</vt:i4>
      </vt:variant>
      <vt:variant>
        <vt:i4>5</vt:i4>
      </vt:variant>
      <vt:variant>
        <vt:lpwstr/>
      </vt:variant>
      <vt:variant>
        <vt:lpwstr>_Toc45294886</vt:lpwstr>
      </vt:variant>
      <vt:variant>
        <vt:i4>1441850</vt:i4>
      </vt:variant>
      <vt:variant>
        <vt:i4>92</vt:i4>
      </vt:variant>
      <vt:variant>
        <vt:i4>0</vt:i4>
      </vt:variant>
      <vt:variant>
        <vt:i4>5</vt:i4>
      </vt:variant>
      <vt:variant>
        <vt:lpwstr/>
      </vt:variant>
      <vt:variant>
        <vt:lpwstr>_Toc45294885</vt:lpwstr>
      </vt:variant>
      <vt:variant>
        <vt:i4>1507386</vt:i4>
      </vt:variant>
      <vt:variant>
        <vt:i4>86</vt:i4>
      </vt:variant>
      <vt:variant>
        <vt:i4>0</vt:i4>
      </vt:variant>
      <vt:variant>
        <vt:i4>5</vt:i4>
      </vt:variant>
      <vt:variant>
        <vt:lpwstr/>
      </vt:variant>
      <vt:variant>
        <vt:lpwstr>_Toc45294884</vt:lpwstr>
      </vt:variant>
      <vt:variant>
        <vt:i4>1048634</vt:i4>
      </vt:variant>
      <vt:variant>
        <vt:i4>80</vt:i4>
      </vt:variant>
      <vt:variant>
        <vt:i4>0</vt:i4>
      </vt:variant>
      <vt:variant>
        <vt:i4>5</vt:i4>
      </vt:variant>
      <vt:variant>
        <vt:lpwstr/>
      </vt:variant>
      <vt:variant>
        <vt:lpwstr>_Toc45294883</vt:lpwstr>
      </vt:variant>
      <vt:variant>
        <vt:i4>1114170</vt:i4>
      </vt:variant>
      <vt:variant>
        <vt:i4>74</vt:i4>
      </vt:variant>
      <vt:variant>
        <vt:i4>0</vt:i4>
      </vt:variant>
      <vt:variant>
        <vt:i4>5</vt:i4>
      </vt:variant>
      <vt:variant>
        <vt:lpwstr/>
      </vt:variant>
      <vt:variant>
        <vt:lpwstr>_Toc45294882</vt:lpwstr>
      </vt:variant>
      <vt:variant>
        <vt:i4>1179706</vt:i4>
      </vt:variant>
      <vt:variant>
        <vt:i4>68</vt:i4>
      </vt:variant>
      <vt:variant>
        <vt:i4>0</vt:i4>
      </vt:variant>
      <vt:variant>
        <vt:i4>5</vt:i4>
      </vt:variant>
      <vt:variant>
        <vt:lpwstr/>
      </vt:variant>
      <vt:variant>
        <vt:lpwstr>_Toc45294881</vt:lpwstr>
      </vt:variant>
      <vt:variant>
        <vt:i4>1245242</vt:i4>
      </vt:variant>
      <vt:variant>
        <vt:i4>62</vt:i4>
      </vt:variant>
      <vt:variant>
        <vt:i4>0</vt:i4>
      </vt:variant>
      <vt:variant>
        <vt:i4>5</vt:i4>
      </vt:variant>
      <vt:variant>
        <vt:lpwstr/>
      </vt:variant>
      <vt:variant>
        <vt:lpwstr>_Toc45294880</vt:lpwstr>
      </vt:variant>
      <vt:variant>
        <vt:i4>1703989</vt:i4>
      </vt:variant>
      <vt:variant>
        <vt:i4>56</vt:i4>
      </vt:variant>
      <vt:variant>
        <vt:i4>0</vt:i4>
      </vt:variant>
      <vt:variant>
        <vt:i4>5</vt:i4>
      </vt:variant>
      <vt:variant>
        <vt:lpwstr/>
      </vt:variant>
      <vt:variant>
        <vt:lpwstr>_Toc45294879</vt:lpwstr>
      </vt:variant>
      <vt:variant>
        <vt:i4>1769525</vt:i4>
      </vt:variant>
      <vt:variant>
        <vt:i4>50</vt:i4>
      </vt:variant>
      <vt:variant>
        <vt:i4>0</vt:i4>
      </vt:variant>
      <vt:variant>
        <vt:i4>5</vt:i4>
      </vt:variant>
      <vt:variant>
        <vt:lpwstr/>
      </vt:variant>
      <vt:variant>
        <vt:lpwstr>_Toc45294878</vt:lpwstr>
      </vt:variant>
      <vt:variant>
        <vt:i4>1310773</vt:i4>
      </vt:variant>
      <vt:variant>
        <vt:i4>44</vt:i4>
      </vt:variant>
      <vt:variant>
        <vt:i4>0</vt:i4>
      </vt:variant>
      <vt:variant>
        <vt:i4>5</vt:i4>
      </vt:variant>
      <vt:variant>
        <vt:lpwstr/>
      </vt:variant>
      <vt:variant>
        <vt:lpwstr>_Toc45294877</vt:lpwstr>
      </vt:variant>
      <vt:variant>
        <vt:i4>1376309</vt:i4>
      </vt:variant>
      <vt:variant>
        <vt:i4>38</vt:i4>
      </vt:variant>
      <vt:variant>
        <vt:i4>0</vt:i4>
      </vt:variant>
      <vt:variant>
        <vt:i4>5</vt:i4>
      </vt:variant>
      <vt:variant>
        <vt:lpwstr/>
      </vt:variant>
      <vt:variant>
        <vt:lpwstr>_Toc45294876</vt:lpwstr>
      </vt:variant>
      <vt:variant>
        <vt:i4>1441845</vt:i4>
      </vt:variant>
      <vt:variant>
        <vt:i4>32</vt:i4>
      </vt:variant>
      <vt:variant>
        <vt:i4>0</vt:i4>
      </vt:variant>
      <vt:variant>
        <vt:i4>5</vt:i4>
      </vt:variant>
      <vt:variant>
        <vt:lpwstr/>
      </vt:variant>
      <vt:variant>
        <vt:lpwstr>_Toc45294875</vt:lpwstr>
      </vt:variant>
      <vt:variant>
        <vt:i4>1507381</vt:i4>
      </vt:variant>
      <vt:variant>
        <vt:i4>26</vt:i4>
      </vt:variant>
      <vt:variant>
        <vt:i4>0</vt:i4>
      </vt:variant>
      <vt:variant>
        <vt:i4>5</vt:i4>
      </vt:variant>
      <vt:variant>
        <vt:lpwstr/>
      </vt:variant>
      <vt:variant>
        <vt:lpwstr>_Toc45294874</vt:lpwstr>
      </vt:variant>
      <vt:variant>
        <vt:i4>1048629</vt:i4>
      </vt:variant>
      <vt:variant>
        <vt:i4>20</vt:i4>
      </vt:variant>
      <vt:variant>
        <vt:i4>0</vt:i4>
      </vt:variant>
      <vt:variant>
        <vt:i4>5</vt:i4>
      </vt:variant>
      <vt:variant>
        <vt:lpwstr/>
      </vt:variant>
      <vt:variant>
        <vt:lpwstr>_Toc45294873</vt:lpwstr>
      </vt:variant>
      <vt:variant>
        <vt:i4>1114165</vt:i4>
      </vt:variant>
      <vt:variant>
        <vt:i4>14</vt:i4>
      </vt:variant>
      <vt:variant>
        <vt:i4>0</vt:i4>
      </vt:variant>
      <vt:variant>
        <vt:i4>5</vt:i4>
      </vt:variant>
      <vt:variant>
        <vt:lpwstr/>
      </vt:variant>
      <vt:variant>
        <vt:lpwstr>_Toc45294872</vt:lpwstr>
      </vt:variant>
      <vt:variant>
        <vt:i4>1179701</vt:i4>
      </vt:variant>
      <vt:variant>
        <vt:i4>8</vt:i4>
      </vt:variant>
      <vt:variant>
        <vt:i4>0</vt:i4>
      </vt:variant>
      <vt:variant>
        <vt:i4>5</vt:i4>
      </vt:variant>
      <vt:variant>
        <vt:lpwstr/>
      </vt:variant>
      <vt:variant>
        <vt:lpwstr>_Toc45294871</vt:lpwstr>
      </vt:variant>
      <vt:variant>
        <vt:i4>1245237</vt:i4>
      </vt:variant>
      <vt:variant>
        <vt:i4>2</vt:i4>
      </vt:variant>
      <vt:variant>
        <vt:i4>0</vt:i4>
      </vt:variant>
      <vt:variant>
        <vt:i4>5</vt:i4>
      </vt:variant>
      <vt:variant>
        <vt:lpwstr/>
      </vt:variant>
      <vt:variant>
        <vt:lpwstr>_Toc45294870</vt:lpwstr>
      </vt:variant>
      <vt:variant>
        <vt:i4>1376321</vt:i4>
      </vt:variant>
      <vt:variant>
        <vt:i4>6</vt:i4>
      </vt:variant>
      <vt:variant>
        <vt:i4>0</vt:i4>
      </vt:variant>
      <vt:variant>
        <vt:i4>5</vt:i4>
      </vt:variant>
      <vt:variant>
        <vt:lpwstr>https://www.gov.am/am/covid-19-cragrer./</vt:lpwstr>
      </vt:variant>
      <vt:variant>
        <vt:lpwstr/>
      </vt:variant>
      <vt:variant>
        <vt:i4>3342394</vt:i4>
      </vt:variant>
      <vt:variant>
        <vt:i4>3</vt:i4>
      </vt:variant>
      <vt:variant>
        <vt:i4>0</vt:i4>
      </vt:variant>
      <vt:variant>
        <vt:i4>5</vt:i4>
      </vt:variant>
      <vt:variant>
        <vt:lpwstr>https://www.gov.am/am/covid19./</vt:lpwstr>
      </vt:variant>
      <vt:variant>
        <vt:lpwstr/>
      </vt:variant>
      <vt:variant>
        <vt:i4>327696</vt:i4>
      </vt:variant>
      <vt:variant>
        <vt:i4>0</vt:i4>
      </vt:variant>
      <vt:variant>
        <vt:i4>0</vt:i4>
      </vt:variant>
      <vt:variant>
        <vt:i4>5</vt:i4>
      </vt:variant>
      <vt:variant>
        <vt:lpwstr>https://www.cba.am/Storage/AM/downloads/parberakan/DVQ/Gnach_II_20.pdf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¶ÈàôÊ 11</dc:title>
  <dc:creator>mariam</dc:creator>
  <cp:keywords>https:/mul2.gov.am/tasks/298961/oneclick/voroshumNrk246.1.docx?token=623693dee67b87df7c6f7cabd818aecd</cp:keywords>
  <cp:lastModifiedBy>Tatevik</cp:lastModifiedBy>
  <cp:revision>5</cp:revision>
  <cp:lastPrinted>2019-07-20T09:29:00Z</cp:lastPrinted>
  <dcterms:created xsi:type="dcterms:W3CDTF">2020-07-21T06:36:00Z</dcterms:created>
  <dcterms:modified xsi:type="dcterms:W3CDTF">2020-07-22T05:43:00Z</dcterms:modified>
</cp:coreProperties>
</file>