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AD9" w:rsidRPr="00DE45F1" w:rsidRDefault="00B73BC6" w:rsidP="00B221A2">
      <w:pPr>
        <w:pStyle w:val="Bodytext20"/>
        <w:shd w:val="clear" w:color="auto" w:fill="auto"/>
        <w:spacing w:before="0" w:after="120" w:line="240" w:lineRule="auto"/>
        <w:ind w:left="4536" w:right="-8"/>
        <w:jc w:val="center"/>
        <w:rPr>
          <w:rFonts w:ascii="Sylfaen" w:hAnsi="Sylfaen"/>
          <w:sz w:val="24"/>
          <w:szCs w:val="24"/>
        </w:rPr>
      </w:pPr>
      <w:r w:rsidRPr="00DE45F1">
        <w:rPr>
          <w:rFonts w:ascii="Sylfaen" w:hAnsi="Sylfaen"/>
          <w:sz w:val="24"/>
          <w:szCs w:val="24"/>
        </w:rPr>
        <w:t>УТВЕРЖДЕН</w:t>
      </w:r>
    </w:p>
    <w:p w:rsidR="001B5AD9" w:rsidRPr="00DE45F1" w:rsidRDefault="00B73BC6" w:rsidP="00B221A2">
      <w:pPr>
        <w:pStyle w:val="Bodytext20"/>
        <w:shd w:val="clear" w:color="auto" w:fill="auto"/>
        <w:spacing w:before="0" w:after="120" w:line="240" w:lineRule="auto"/>
        <w:ind w:left="4536" w:right="-8"/>
        <w:jc w:val="center"/>
        <w:rPr>
          <w:rFonts w:ascii="Sylfaen" w:hAnsi="Sylfaen"/>
          <w:sz w:val="24"/>
          <w:szCs w:val="24"/>
        </w:rPr>
      </w:pPr>
      <w:r w:rsidRPr="00DE45F1">
        <w:rPr>
          <w:rFonts w:ascii="Sylfaen" w:hAnsi="Sylfaen"/>
          <w:sz w:val="24"/>
          <w:szCs w:val="24"/>
        </w:rPr>
        <w:t>Решением Совета</w:t>
      </w:r>
    </w:p>
    <w:p w:rsidR="001B5AD9" w:rsidRPr="00DE45F1" w:rsidRDefault="00B73BC6" w:rsidP="00B221A2">
      <w:pPr>
        <w:pStyle w:val="Bodytext20"/>
        <w:shd w:val="clear" w:color="auto" w:fill="auto"/>
        <w:spacing w:before="0" w:after="120" w:line="240" w:lineRule="auto"/>
        <w:ind w:left="4536" w:right="-8"/>
        <w:jc w:val="center"/>
        <w:rPr>
          <w:rFonts w:ascii="Sylfaen" w:hAnsi="Sylfaen"/>
          <w:sz w:val="24"/>
          <w:szCs w:val="24"/>
        </w:rPr>
      </w:pPr>
      <w:r w:rsidRPr="00DE45F1">
        <w:rPr>
          <w:rFonts w:ascii="Sylfaen" w:hAnsi="Sylfaen"/>
          <w:sz w:val="24"/>
          <w:szCs w:val="24"/>
        </w:rPr>
        <w:t>Евразийской экономической комиссии</w:t>
      </w:r>
    </w:p>
    <w:p w:rsidR="001B5AD9" w:rsidRPr="0085188A" w:rsidRDefault="00B73BC6" w:rsidP="0085188A">
      <w:pPr>
        <w:pStyle w:val="Bodytext20"/>
        <w:shd w:val="clear" w:color="auto" w:fill="auto"/>
        <w:spacing w:before="0" w:after="120" w:line="240" w:lineRule="auto"/>
        <w:ind w:left="4536" w:right="-8"/>
        <w:jc w:val="center"/>
        <w:rPr>
          <w:rFonts w:ascii="Sylfaen" w:hAnsi="Sylfaen"/>
          <w:sz w:val="24"/>
          <w:szCs w:val="24"/>
        </w:rPr>
      </w:pPr>
      <w:r w:rsidRPr="00DE45F1">
        <w:rPr>
          <w:rFonts w:ascii="Sylfaen" w:hAnsi="Sylfaen"/>
          <w:sz w:val="24"/>
          <w:szCs w:val="24"/>
        </w:rPr>
        <w:t>от 20 декабря 2017 г. № 88</w:t>
      </w:r>
    </w:p>
    <w:p w:rsidR="001B5AD9" w:rsidRPr="00DE45F1" w:rsidRDefault="00B73BC6" w:rsidP="00B221A2">
      <w:pPr>
        <w:pStyle w:val="Heading20"/>
        <w:shd w:val="clear" w:color="auto" w:fill="auto"/>
        <w:spacing w:before="0" w:after="120" w:line="240" w:lineRule="auto"/>
        <w:rPr>
          <w:rFonts w:ascii="Sylfaen" w:hAnsi="Sylfaen"/>
          <w:sz w:val="24"/>
          <w:szCs w:val="24"/>
        </w:rPr>
      </w:pPr>
      <w:r w:rsidRPr="00DE45F1">
        <w:rPr>
          <w:rStyle w:val="Heading2Spacing2pt0"/>
          <w:rFonts w:ascii="Sylfaen" w:hAnsi="Sylfaen"/>
          <w:b/>
          <w:bCs/>
          <w:spacing w:val="0"/>
          <w:sz w:val="24"/>
          <w:szCs w:val="24"/>
        </w:rPr>
        <w:t>ПЕРЕЧЕНЬ</w:t>
      </w:r>
    </w:p>
    <w:p w:rsidR="001B5AD9" w:rsidRPr="00DE45F1" w:rsidRDefault="00B73BC6" w:rsidP="00B221A2">
      <w:pPr>
        <w:pStyle w:val="Bodytext30"/>
        <w:shd w:val="clear" w:color="auto" w:fill="auto"/>
        <w:spacing w:line="240" w:lineRule="auto"/>
        <w:rPr>
          <w:rFonts w:ascii="Sylfaen" w:hAnsi="Sylfaen"/>
          <w:sz w:val="24"/>
          <w:szCs w:val="24"/>
        </w:rPr>
      </w:pPr>
      <w:r w:rsidRPr="00DE45F1">
        <w:rPr>
          <w:rFonts w:ascii="Sylfaen" w:hAnsi="Sylfaen"/>
          <w:sz w:val="24"/>
          <w:szCs w:val="24"/>
        </w:rPr>
        <w:t>территорий государств - членов Евразийского экономического</w:t>
      </w:r>
      <w:r w:rsidR="00A932FB">
        <w:rPr>
          <w:rFonts w:ascii="Sylfaen" w:hAnsi="Sylfaen"/>
          <w:sz w:val="24"/>
          <w:szCs w:val="24"/>
        </w:rPr>
        <w:t xml:space="preserve"> </w:t>
      </w:r>
      <w:r w:rsidRPr="00DE45F1">
        <w:rPr>
          <w:rFonts w:ascii="Sylfaen" w:hAnsi="Sylfaen"/>
          <w:sz w:val="24"/>
          <w:szCs w:val="24"/>
        </w:rPr>
        <w:t>союза, на которые из свободных (специальных, особых)</w:t>
      </w:r>
      <w:r w:rsidR="00A932FB">
        <w:rPr>
          <w:rFonts w:ascii="Sylfaen" w:hAnsi="Sylfaen"/>
          <w:sz w:val="24"/>
          <w:szCs w:val="24"/>
        </w:rPr>
        <w:t xml:space="preserve"> </w:t>
      </w:r>
      <w:r w:rsidRPr="00DE45F1">
        <w:rPr>
          <w:rFonts w:ascii="Sylfaen" w:hAnsi="Sylfaen"/>
          <w:sz w:val="24"/>
          <w:szCs w:val="24"/>
        </w:rPr>
        <w:t>экономических зон допускается вывоз товаров, помещенных</w:t>
      </w:r>
      <w:r w:rsidR="00A932FB">
        <w:rPr>
          <w:rFonts w:ascii="Sylfaen" w:hAnsi="Sylfaen"/>
          <w:sz w:val="24"/>
          <w:szCs w:val="24"/>
        </w:rPr>
        <w:t xml:space="preserve"> </w:t>
      </w:r>
      <w:r w:rsidRPr="00DE45F1">
        <w:rPr>
          <w:rFonts w:ascii="Sylfaen" w:hAnsi="Sylfaen"/>
          <w:sz w:val="24"/>
          <w:szCs w:val="24"/>
        </w:rPr>
        <w:t>под таможенную процедуру свободной таможенной зоны,</w:t>
      </w:r>
      <w:r w:rsidR="00A932FB">
        <w:rPr>
          <w:rFonts w:ascii="Sylfaen" w:hAnsi="Sylfaen"/>
          <w:sz w:val="24"/>
          <w:szCs w:val="24"/>
        </w:rPr>
        <w:t xml:space="preserve"> </w:t>
      </w:r>
      <w:r w:rsidRPr="00DE45F1">
        <w:rPr>
          <w:rFonts w:ascii="Sylfaen" w:hAnsi="Sylfaen"/>
          <w:sz w:val="24"/>
          <w:szCs w:val="24"/>
        </w:rPr>
        <w:t>и (или) товаров, изготовленных (полученных) из товаров,</w:t>
      </w:r>
      <w:r w:rsidR="00A932FB">
        <w:rPr>
          <w:rFonts w:ascii="Sylfaen" w:hAnsi="Sylfaen"/>
          <w:sz w:val="24"/>
          <w:szCs w:val="24"/>
        </w:rPr>
        <w:t xml:space="preserve"> </w:t>
      </w:r>
      <w:r w:rsidRPr="00DE45F1">
        <w:rPr>
          <w:rFonts w:ascii="Sylfaen" w:hAnsi="Sylfaen"/>
          <w:sz w:val="24"/>
          <w:szCs w:val="24"/>
        </w:rPr>
        <w:t>помещенных под таможенную процедуру свободной таможенной</w:t>
      </w:r>
      <w:r w:rsidR="00A932FB">
        <w:rPr>
          <w:rFonts w:ascii="Sylfaen" w:hAnsi="Sylfaen"/>
          <w:sz w:val="24"/>
          <w:szCs w:val="24"/>
        </w:rPr>
        <w:t xml:space="preserve"> </w:t>
      </w:r>
      <w:r w:rsidRPr="00DE45F1">
        <w:rPr>
          <w:rFonts w:ascii="Sylfaen" w:hAnsi="Sylfaen"/>
          <w:sz w:val="24"/>
          <w:szCs w:val="24"/>
        </w:rPr>
        <w:t>зоны, для собственных производственных и технологических нужд</w:t>
      </w:r>
    </w:p>
    <w:p w:rsidR="001B5AD9" w:rsidRPr="00DE45F1" w:rsidRDefault="001B5AD9" w:rsidP="00B221A2">
      <w:pPr>
        <w:spacing w:after="120"/>
      </w:pPr>
    </w:p>
    <w:tbl>
      <w:tblPr>
        <w:tblOverlap w:val="never"/>
        <w:tblW w:w="9644" w:type="dxa"/>
        <w:jc w:val="center"/>
        <w:tblLayout w:type="fixed"/>
        <w:tblCellMar>
          <w:left w:w="10" w:type="dxa"/>
          <w:right w:w="10" w:type="dxa"/>
        </w:tblCellMar>
        <w:tblLook w:val="04A0" w:firstRow="1" w:lastRow="0" w:firstColumn="1" w:lastColumn="0" w:noHBand="0" w:noVBand="1"/>
      </w:tblPr>
      <w:tblGrid>
        <w:gridCol w:w="4685"/>
        <w:gridCol w:w="4938"/>
        <w:gridCol w:w="21"/>
      </w:tblGrid>
      <w:tr w:rsidR="001B5AD9" w:rsidRPr="00DE45F1" w:rsidTr="005F3EF1">
        <w:trPr>
          <w:gridAfter w:val="1"/>
          <w:wAfter w:w="21" w:type="dxa"/>
          <w:tblHeader/>
          <w:jc w:val="center"/>
        </w:trPr>
        <w:tc>
          <w:tcPr>
            <w:tcW w:w="4685" w:type="dxa"/>
            <w:tcBorders>
              <w:top w:val="single" w:sz="4" w:space="0" w:color="auto"/>
              <w:left w:val="single" w:sz="4" w:space="0" w:color="auto"/>
            </w:tcBorders>
            <w:shd w:val="clear" w:color="auto" w:fill="FFFFFF"/>
            <w:vAlign w:val="bottom"/>
          </w:tcPr>
          <w:p w:rsidR="001B5AD9" w:rsidRPr="00DE45F1" w:rsidRDefault="00B73BC6" w:rsidP="00B221A2">
            <w:pPr>
              <w:pStyle w:val="Bodytext20"/>
              <w:shd w:val="clear" w:color="auto" w:fill="auto"/>
              <w:spacing w:before="0" w:after="120" w:line="240" w:lineRule="auto"/>
              <w:ind w:left="412" w:right="688"/>
              <w:jc w:val="center"/>
              <w:rPr>
                <w:rFonts w:ascii="Sylfaen" w:hAnsi="Sylfaen"/>
                <w:sz w:val="24"/>
                <w:szCs w:val="24"/>
              </w:rPr>
            </w:pPr>
            <w:r w:rsidRPr="00DE45F1">
              <w:rPr>
                <w:rStyle w:val="Bodytext212pt"/>
                <w:rFonts w:ascii="Sylfaen" w:hAnsi="Sylfaen"/>
              </w:rPr>
              <w:t>Наименование части территории государства - члена Евразийского экономического союза, на которую допускается вывоз товаров с территории СЭЗ</w:t>
            </w:r>
          </w:p>
        </w:tc>
        <w:tc>
          <w:tcPr>
            <w:tcW w:w="4938" w:type="dxa"/>
            <w:tcBorders>
              <w:top w:val="single" w:sz="4" w:space="0" w:color="auto"/>
              <w:left w:val="single" w:sz="4" w:space="0" w:color="auto"/>
              <w:right w:val="single" w:sz="4" w:space="0" w:color="auto"/>
            </w:tcBorders>
            <w:shd w:val="clear" w:color="auto" w:fill="FFFFFF"/>
          </w:tcPr>
          <w:p w:rsidR="001B5AD9" w:rsidRPr="00DE45F1" w:rsidRDefault="00B73BC6" w:rsidP="00B221A2">
            <w:pPr>
              <w:pStyle w:val="Bodytext20"/>
              <w:shd w:val="clear" w:color="auto" w:fill="auto"/>
              <w:spacing w:before="0" w:after="120" w:line="240" w:lineRule="auto"/>
              <w:ind w:left="426" w:right="402"/>
              <w:jc w:val="center"/>
              <w:rPr>
                <w:rFonts w:ascii="Sylfaen" w:hAnsi="Sylfaen"/>
                <w:sz w:val="24"/>
                <w:szCs w:val="24"/>
              </w:rPr>
            </w:pPr>
            <w:r w:rsidRPr="00DE45F1">
              <w:rPr>
                <w:rStyle w:val="Bodytext212pt"/>
                <w:rFonts w:ascii="Sylfaen" w:hAnsi="Sylfaen"/>
              </w:rPr>
              <w:t>Наименование СЭЗ, с территории которой допускается вывоз товаров для собственных производственных и технологических нужд</w:t>
            </w:r>
          </w:p>
        </w:tc>
      </w:tr>
      <w:tr w:rsidR="001B5AD9" w:rsidRPr="00DE45F1" w:rsidTr="0079459C">
        <w:trPr>
          <w:gridAfter w:val="1"/>
          <w:wAfter w:w="21" w:type="dxa"/>
          <w:jc w:val="center"/>
        </w:trPr>
        <w:tc>
          <w:tcPr>
            <w:tcW w:w="9623" w:type="dxa"/>
            <w:gridSpan w:val="2"/>
            <w:tcBorders>
              <w:top w:val="single" w:sz="4" w:space="0" w:color="auto"/>
            </w:tcBorders>
            <w:shd w:val="clear" w:color="auto" w:fill="FFFFFF"/>
            <w:vAlign w:val="bottom"/>
          </w:tcPr>
          <w:p w:rsidR="001B5AD9" w:rsidRPr="00DE45F1" w:rsidRDefault="00B73BC6" w:rsidP="00B221A2">
            <w:pPr>
              <w:pStyle w:val="Bodytext20"/>
              <w:shd w:val="clear" w:color="auto" w:fill="auto"/>
              <w:spacing w:before="0" w:after="120" w:line="240" w:lineRule="auto"/>
              <w:jc w:val="center"/>
              <w:rPr>
                <w:rFonts w:ascii="Sylfaen" w:hAnsi="Sylfaen"/>
                <w:sz w:val="24"/>
                <w:szCs w:val="24"/>
              </w:rPr>
            </w:pPr>
            <w:r w:rsidRPr="00DE45F1">
              <w:rPr>
                <w:rStyle w:val="Bodytext212pt"/>
                <w:rFonts w:ascii="Sylfaen" w:hAnsi="Sylfaen"/>
              </w:rPr>
              <w:t>В Республике Армения</w:t>
            </w:r>
          </w:p>
        </w:tc>
      </w:tr>
      <w:tr w:rsidR="001B5AD9" w:rsidRPr="00DE45F1" w:rsidTr="005F3EF1">
        <w:trPr>
          <w:gridAfter w:val="1"/>
          <w:wAfter w:w="21" w:type="dxa"/>
          <w:jc w:val="center"/>
        </w:trPr>
        <w:tc>
          <w:tcPr>
            <w:tcW w:w="4685" w:type="dxa"/>
            <w:shd w:val="clear" w:color="auto" w:fill="FFFFFF"/>
            <w:vAlign w:val="center"/>
          </w:tcPr>
          <w:p w:rsidR="001B5AD9" w:rsidRPr="00DE45F1" w:rsidRDefault="00B73BC6" w:rsidP="00B221A2">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 Ереван,</w:t>
            </w:r>
          </w:p>
          <w:p w:rsidR="001B5AD9" w:rsidRPr="00DE45F1" w:rsidRDefault="00B73BC6" w:rsidP="00B221A2">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Арагацотнский марз, Араратский марз, Армавирский марз, Вайоц Дзорский марз, Гегаркуникский марз, Котайский марз, Дорийский марз, Сюникский марз, Тавушский марз, Щиракский марз</w:t>
            </w:r>
          </w:p>
        </w:tc>
        <w:tc>
          <w:tcPr>
            <w:tcW w:w="4938" w:type="dxa"/>
            <w:shd w:val="clear" w:color="auto" w:fill="FFFFFF"/>
          </w:tcPr>
          <w:p w:rsidR="001B5AD9" w:rsidRPr="00DE45F1" w:rsidRDefault="00B73BC6" w:rsidP="00B221A2">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СЭЗ «Альянс», СЭЗ «Меридиан», СЭЗ «Мегри»</w:t>
            </w:r>
          </w:p>
        </w:tc>
      </w:tr>
      <w:tr w:rsidR="0079459C" w:rsidRPr="00DE45F1" w:rsidTr="0079459C">
        <w:trPr>
          <w:gridAfter w:val="1"/>
          <w:wAfter w:w="21" w:type="dxa"/>
          <w:jc w:val="center"/>
        </w:trPr>
        <w:tc>
          <w:tcPr>
            <w:tcW w:w="9623" w:type="dxa"/>
            <w:gridSpan w:val="2"/>
            <w:shd w:val="clear" w:color="auto" w:fill="FFFFFF"/>
            <w:vAlign w:val="center"/>
          </w:tcPr>
          <w:p w:rsidR="0079459C" w:rsidRPr="00DE45F1" w:rsidRDefault="0079459C" w:rsidP="0079459C">
            <w:pPr>
              <w:pStyle w:val="Bodytext20"/>
              <w:shd w:val="clear" w:color="auto" w:fill="auto"/>
              <w:spacing w:before="0" w:after="120" w:line="240" w:lineRule="auto"/>
              <w:jc w:val="center"/>
              <w:rPr>
                <w:rStyle w:val="Bodytext212pt"/>
                <w:rFonts w:ascii="Sylfaen" w:hAnsi="Sylfaen"/>
              </w:rPr>
            </w:pPr>
            <w:r w:rsidRPr="00DE45F1">
              <w:rPr>
                <w:rStyle w:val="Bodytext212pt"/>
                <w:rFonts w:ascii="Sylfaen" w:hAnsi="Sylfaen"/>
              </w:rPr>
              <w:t>В Республике Беларусь</w:t>
            </w:r>
          </w:p>
        </w:tc>
      </w:tr>
      <w:tr w:rsidR="0079459C" w:rsidRPr="00DE45F1" w:rsidTr="005F3EF1">
        <w:trPr>
          <w:gridAfter w:val="1"/>
          <w:wAfter w:w="21" w:type="dxa"/>
          <w:jc w:val="center"/>
        </w:trPr>
        <w:tc>
          <w:tcPr>
            <w:tcW w:w="4685" w:type="dxa"/>
            <w:shd w:val="clear" w:color="auto" w:fill="FFFFFF"/>
            <w:vAlign w:val="bottom"/>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Брестская область (за исключением Каменецкого и Пружанского районов), Витебская область (за исключением Шарковщинского района), Гродненская область (за исключением Свислочского района), Гомельская область (за исключением Лоевского района), г. Минск и Минская область (за исключением Пуховичского района), Могилевская область (за исключением Белыничского района)</w:t>
            </w:r>
          </w:p>
        </w:tc>
        <w:tc>
          <w:tcPr>
            <w:tcW w:w="4938" w:type="dxa"/>
            <w:shd w:val="clear" w:color="auto" w:fill="FFFFFF"/>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СЭЗ «Брест», СЭЗ «Витебск»,</w:t>
            </w:r>
          </w:p>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СЭЗ «Гомель-Ратон»,</w:t>
            </w:r>
          </w:p>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СЭЗ «Гродноинвест», СЭЗ «Минск»,</w:t>
            </w:r>
          </w:p>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СЭЗ «Могилев», Китайско-Белорусский индустриальный парк «Великий камень»</w:t>
            </w:r>
          </w:p>
        </w:tc>
      </w:tr>
      <w:tr w:rsidR="0079459C" w:rsidRPr="00DE45F1" w:rsidTr="0079459C">
        <w:trPr>
          <w:gridAfter w:val="1"/>
          <w:wAfter w:w="21" w:type="dxa"/>
          <w:jc w:val="center"/>
        </w:trPr>
        <w:tc>
          <w:tcPr>
            <w:tcW w:w="9623" w:type="dxa"/>
            <w:gridSpan w:val="2"/>
            <w:shd w:val="clear" w:color="auto" w:fill="FFFFFF"/>
            <w:vAlign w:val="center"/>
          </w:tcPr>
          <w:p w:rsidR="0079459C" w:rsidRPr="00DE45F1" w:rsidRDefault="0079459C" w:rsidP="0079459C">
            <w:pPr>
              <w:pStyle w:val="Bodytext20"/>
              <w:shd w:val="clear" w:color="auto" w:fill="auto"/>
              <w:spacing w:before="0" w:after="120" w:line="240" w:lineRule="auto"/>
              <w:jc w:val="center"/>
              <w:rPr>
                <w:rStyle w:val="Bodytext212pt"/>
                <w:rFonts w:ascii="Sylfaen" w:hAnsi="Sylfaen"/>
              </w:rPr>
            </w:pPr>
            <w:r w:rsidRPr="00DE45F1">
              <w:rPr>
                <w:rStyle w:val="Bodytext212pt"/>
                <w:rFonts w:ascii="Sylfaen" w:hAnsi="Sylfaen"/>
              </w:rPr>
              <w:t>В Республике Казахстан</w:t>
            </w:r>
          </w:p>
        </w:tc>
      </w:tr>
      <w:tr w:rsidR="0079459C" w:rsidRPr="00DE45F1" w:rsidTr="005F3EF1">
        <w:trPr>
          <w:gridAfter w:val="1"/>
          <w:wAfter w:w="21" w:type="dxa"/>
          <w:jc w:val="center"/>
        </w:trPr>
        <w:tc>
          <w:tcPr>
            <w:tcW w:w="4685" w:type="dxa"/>
            <w:shd w:val="clear" w:color="auto" w:fill="FFFFFF"/>
            <w:vAlign w:val="center"/>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 xml:space="preserve">г. Астана и Акмолинская область, </w:t>
            </w:r>
            <w:r w:rsidRPr="00DE45F1">
              <w:rPr>
                <w:rStyle w:val="Bodytext212pt"/>
                <w:rFonts w:ascii="Sylfaen" w:hAnsi="Sylfaen"/>
              </w:rPr>
              <w:lastRenderedPageBreak/>
              <w:t>Мангистауская область, г. Алматы и Алматинская область, Южно-Казахстанская область, Атырауская область, Павлодарская область, Карагандинская область, Жамбылская область, Актюбинская область, Западно-Казахстанская область, Северо-Казахстанская область, Костанайская область, Кызылординская область, Восточно-Казахстанская область</w:t>
            </w:r>
          </w:p>
        </w:tc>
        <w:tc>
          <w:tcPr>
            <w:tcW w:w="4938" w:type="dxa"/>
            <w:shd w:val="clear" w:color="auto" w:fill="FFFFFF"/>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lastRenderedPageBreak/>
              <w:t>СЭЗ «Астана - новый город»,</w:t>
            </w:r>
          </w:p>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lastRenderedPageBreak/>
              <w:t>СЭЗ «Морпорт Актау», СЭЗ «Парк инновационных технологий»,</w:t>
            </w:r>
          </w:p>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СЭЗ «Оцтустш», СЭЗ «Национальный индустриальный нефтехимический технопарк», СЭЗ «Павлодар»,</w:t>
            </w:r>
          </w:p>
          <w:p w:rsidR="0079459C" w:rsidRPr="00DE45F1" w:rsidRDefault="0079459C" w:rsidP="003E488E">
            <w:pPr>
              <w:pStyle w:val="Bodytext20"/>
              <w:shd w:val="clear" w:color="auto" w:fill="auto"/>
              <w:spacing w:before="0" w:after="120" w:line="240" w:lineRule="auto"/>
              <w:rPr>
                <w:rFonts w:ascii="Sylfaen" w:hAnsi="Sylfaen"/>
                <w:sz w:val="24"/>
                <w:szCs w:val="24"/>
              </w:rPr>
            </w:pPr>
            <w:r w:rsidRPr="00DE45F1">
              <w:rPr>
                <w:rStyle w:val="Bodytext212pt"/>
                <w:rFonts w:ascii="Sylfaen" w:hAnsi="Sylfaen"/>
              </w:rPr>
              <w:t>СЭЗ «Сарыарка», СЭЗ «Хоргос - Восточные ворота», СЭЗ «Химический парк Тараз», СЭЗ «Международный центр приграничного сотрудничества «Хоргос»</w:t>
            </w:r>
          </w:p>
        </w:tc>
      </w:tr>
      <w:tr w:rsidR="0079459C" w:rsidRPr="00DE45F1" w:rsidTr="0079459C">
        <w:trPr>
          <w:jc w:val="center"/>
        </w:trPr>
        <w:tc>
          <w:tcPr>
            <w:tcW w:w="9644" w:type="dxa"/>
            <w:gridSpan w:val="3"/>
            <w:shd w:val="clear" w:color="auto" w:fill="FFFFFF"/>
            <w:vAlign w:val="bottom"/>
          </w:tcPr>
          <w:p w:rsidR="0079459C" w:rsidRPr="00DE45F1" w:rsidRDefault="0079459C" w:rsidP="003E488E">
            <w:pPr>
              <w:pStyle w:val="Bodytext20"/>
              <w:shd w:val="clear" w:color="auto" w:fill="auto"/>
              <w:spacing w:before="0" w:after="120" w:line="240" w:lineRule="auto"/>
              <w:jc w:val="center"/>
              <w:rPr>
                <w:rFonts w:ascii="Sylfaen" w:hAnsi="Sylfaen"/>
                <w:sz w:val="24"/>
                <w:szCs w:val="24"/>
              </w:rPr>
            </w:pPr>
            <w:r w:rsidRPr="00DE45F1">
              <w:rPr>
                <w:rStyle w:val="Bodytext212pt"/>
                <w:rFonts w:ascii="Sylfaen" w:hAnsi="Sylfaen"/>
              </w:rPr>
              <w:lastRenderedPageBreak/>
              <w:t>В Кыргызской Республике</w:t>
            </w:r>
          </w:p>
        </w:tc>
      </w:tr>
      <w:tr w:rsidR="0079459C" w:rsidRPr="00DE45F1" w:rsidTr="005F3EF1">
        <w:trPr>
          <w:jc w:val="center"/>
        </w:trPr>
        <w:tc>
          <w:tcPr>
            <w:tcW w:w="4685" w:type="dxa"/>
            <w:shd w:val="clear" w:color="auto" w:fill="FFFFFF"/>
            <w:vAlign w:val="bottom"/>
          </w:tcPr>
          <w:p w:rsidR="0079459C" w:rsidRPr="00DE45F1" w:rsidRDefault="0079459C"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 Бишкек, г. Ош,</w:t>
            </w:r>
          </w:p>
          <w:p w:rsidR="0079459C" w:rsidRPr="00DE45F1" w:rsidRDefault="0079459C"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Чуйская область, Таласская область, Иссык-Кульская область, Нарынская область, Джалал-Абадская область, Ошская область, Баткенская область</w:t>
            </w:r>
          </w:p>
        </w:tc>
        <w:tc>
          <w:tcPr>
            <w:tcW w:w="4959" w:type="dxa"/>
            <w:gridSpan w:val="2"/>
            <w:shd w:val="clear" w:color="auto" w:fill="FFFFFF"/>
          </w:tcPr>
          <w:p w:rsidR="0079459C" w:rsidRPr="00DE45F1" w:rsidRDefault="0079459C"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СЭЗ «Бишкек», СЭЗ «Маймак», СЭЗ «Каракол», СЭЗ «Лейлек», СЭЗ «Нарын»</w:t>
            </w:r>
          </w:p>
        </w:tc>
      </w:tr>
      <w:tr w:rsidR="0079459C" w:rsidRPr="00DE45F1" w:rsidTr="0079459C">
        <w:trPr>
          <w:jc w:val="center"/>
        </w:trPr>
        <w:tc>
          <w:tcPr>
            <w:tcW w:w="9644" w:type="dxa"/>
            <w:gridSpan w:val="3"/>
            <w:shd w:val="clear" w:color="auto" w:fill="FFFFFF"/>
            <w:vAlign w:val="center"/>
          </w:tcPr>
          <w:p w:rsidR="0079459C" w:rsidRPr="00DE45F1" w:rsidRDefault="0079459C" w:rsidP="003E488E">
            <w:pPr>
              <w:pStyle w:val="Bodytext20"/>
              <w:shd w:val="clear" w:color="auto" w:fill="auto"/>
              <w:spacing w:before="0" w:after="120" w:line="240" w:lineRule="auto"/>
              <w:jc w:val="center"/>
              <w:rPr>
                <w:rFonts w:ascii="Sylfaen" w:hAnsi="Sylfaen"/>
                <w:sz w:val="24"/>
                <w:szCs w:val="24"/>
              </w:rPr>
            </w:pPr>
            <w:r w:rsidRPr="00DE45F1">
              <w:rPr>
                <w:rStyle w:val="Bodytext212pt"/>
                <w:rFonts w:ascii="Sylfaen" w:hAnsi="Sylfaen"/>
              </w:rPr>
              <w:t>В Российской Федерации</w:t>
            </w:r>
          </w:p>
        </w:tc>
      </w:tr>
      <w:tr w:rsidR="0079459C" w:rsidRPr="00DE45F1" w:rsidTr="005F3EF1">
        <w:trPr>
          <w:jc w:val="center"/>
        </w:trPr>
        <w:tc>
          <w:tcPr>
            <w:tcW w:w="4685" w:type="dxa"/>
            <w:shd w:val="clear" w:color="auto" w:fill="FFFFFF"/>
            <w:vAlign w:val="center"/>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городской округ г. Белогорск</w:t>
            </w:r>
          </w:p>
        </w:tc>
        <w:tc>
          <w:tcPr>
            <w:tcW w:w="4959" w:type="dxa"/>
            <w:gridSpan w:val="2"/>
            <w:shd w:val="clear" w:color="auto" w:fill="FFFFFF"/>
            <w:vAlign w:val="center"/>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ГОР «Белогорск», Амурская область</w:t>
            </w:r>
          </w:p>
        </w:tc>
      </w:tr>
      <w:tr w:rsidR="0079459C" w:rsidRPr="00DE45F1" w:rsidTr="005F3EF1">
        <w:trPr>
          <w:jc w:val="center"/>
        </w:trPr>
        <w:tc>
          <w:tcPr>
            <w:tcW w:w="4685" w:type="dxa"/>
            <w:shd w:val="clear" w:color="auto" w:fill="FFFFFF"/>
            <w:vAlign w:val="bottom"/>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городской округ г. Южно-Сахалинск, Анивский городской округ, Томаринский городской округ</w:t>
            </w:r>
          </w:p>
        </w:tc>
        <w:tc>
          <w:tcPr>
            <w:tcW w:w="4959" w:type="dxa"/>
            <w:gridSpan w:val="2"/>
            <w:shd w:val="clear" w:color="auto" w:fill="FFFFFF"/>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«Южная», Сахалинская область</w:t>
            </w:r>
          </w:p>
        </w:tc>
      </w:tr>
      <w:tr w:rsidR="0079459C" w:rsidRPr="00DE45F1" w:rsidTr="005F3EF1">
        <w:trPr>
          <w:jc w:val="center"/>
        </w:trPr>
        <w:tc>
          <w:tcPr>
            <w:tcW w:w="4685" w:type="dxa"/>
            <w:shd w:val="clear" w:color="auto" w:fill="FFFFFF"/>
            <w:vAlign w:val="center"/>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городской округ г. Южно-Сахалинск</w:t>
            </w:r>
          </w:p>
        </w:tc>
        <w:tc>
          <w:tcPr>
            <w:tcW w:w="4959" w:type="dxa"/>
            <w:gridSpan w:val="2"/>
            <w:shd w:val="clear" w:color="auto" w:fill="FFFFFF"/>
            <w:vAlign w:val="bottom"/>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«Еорный воздух», Сахалинская область</w:t>
            </w:r>
          </w:p>
        </w:tc>
      </w:tr>
      <w:tr w:rsidR="0079459C" w:rsidRPr="00DE45F1" w:rsidTr="005F3EF1">
        <w:trPr>
          <w:jc w:val="center"/>
        </w:trPr>
        <w:tc>
          <w:tcPr>
            <w:tcW w:w="4685" w:type="dxa"/>
            <w:shd w:val="clear" w:color="auto" w:fill="FFFFFF"/>
            <w:vAlign w:val="center"/>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Нерюнгринский район</w:t>
            </w:r>
          </w:p>
        </w:tc>
        <w:tc>
          <w:tcPr>
            <w:tcW w:w="4959" w:type="dxa"/>
            <w:gridSpan w:val="2"/>
            <w:shd w:val="clear" w:color="auto" w:fill="FFFFFF"/>
            <w:vAlign w:val="center"/>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Южная Якутия, Республика Саха (Якутия)</w:t>
            </w:r>
          </w:p>
        </w:tc>
      </w:tr>
      <w:tr w:rsidR="0079459C" w:rsidRPr="00DE45F1" w:rsidTr="005F3EF1">
        <w:trPr>
          <w:jc w:val="center"/>
        </w:trPr>
        <w:tc>
          <w:tcPr>
            <w:tcW w:w="4685" w:type="dxa"/>
            <w:shd w:val="clear" w:color="auto" w:fill="FFFFFF"/>
            <w:vAlign w:val="center"/>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 xml:space="preserve">Елизовское городское поселение Елизовского муниципального района, Паратунское сельское поселение Елизовского муниципального района, Раздольненское сельское поселение Елизовского муниципального района, Николаевское сельское поселение Елизовского муниципального района, Новоавачинское сельское поселение Елизовского муниципального района, Усть-Большерецкий район, Карагинский </w:t>
            </w:r>
            <w:r w:rsidRPr="00DE45F1">
              <w:rPr>
                <w:rStyle w:val="Bodytext212pt"/>
                <w:rFonts w:ascii="Sylfaen" w:hAnsi="Sylfaen"/>
              </w:rPr>
              <w:lastRenderedPageBreak/>
              <w:t>муниципальный район, Олюторский муниципальный район,</w:t>
            </w:r>
          </w:p>
        </w:tc>
        <w:tc>
          <w:tcPr>
            <w:tcW w:w="4959" w:type="dxa"/>
            <w:gridSpan w:val="2"/>
            <w:shd w:val="clear" w:color="auto" w:fill="FFFFFF"/>
          </w:tcPr>
          <w:p w:rsidR="0079459C" w:rsidRPr="00DE45F1" w:rsidRDefault="0079459C"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lastRenderedPageBreak/>
              <w:t>ГОР «Камчатка», Камчатский край</w:t>
            </w:r>
          </w:p>
        </w:tc>
      </w:tr>
      <w:tr w:rsidR="005F3EF1" w:rsidRPr="00DE45F1" w:rsidTr="005F3EF1">
        <w:trPr>
          <w:jc w:val="center"/>
        </w:trPr>
        <w:tc>
          <w:tcPr>
            <w:tcW w:w="4685" w:type="dxa"/>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Соболевский муниципальный район, Усть-Камчатский муниципальный район,</w:t>
            </w:r>
          </w:p>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Выстринский муниципальный район, Тигильский муниципальный район</w:t>
            </w:r>
          </w:p>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Петропавловск-Камчатский городской округ</w:t>
            </w:r>
          </w:p>
        </w:tc>
        <w:tc>
          <w:tcPr>
            <w:tcW w:w="4959" w:type="dxa"/>
            <w:gridSpan w:val="2"/>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«Камчатка»/свободный порт Владивосток, Камчатский край</w:t>
            </w:r>
          </w:p>
        </w:tc>
      </w:tr>
      <w:tr w:rsidR="005F3EF1" w:rsidRPr="00DE45F1" w:rsidTr="005F3EF1">
        <w:trPr>
          <w:jc w:val="center"/>
        </w:trPr>
        <w:tc>
          <w:tcPr>
            <w:tcW w:w="4685" w:type="dxa"/>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городской округ «г. Якутск»</w:t>
            </w:r>
          </w:p>
        </w:tc>
        <w:tc>
          <w:tcPr>
            <w:tcW w:w="4959" w:type="dxa"/>
            <w:gridSpan w:val="2"/>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«ИП «Кангалассы», Республика Саха (Якутия)</w:t>
            </w:r>
          </w:p>
        </w:tc>
      </w:tr>
      <w:tr w:rsidR="005F3EF1" w:rsidRPr="00DE45F1" w:rsidTr="005F3EF1">
        <w:trPr>
          <w:jc w:val="center"/>
        </w:trPr>
        <w:tc>
          <w:tcPr>
            <w:tcW w:w="4685" w:type="dxa"/>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Михайловский муниципальный район, Спасский муниципальный район, Черниговский муниципальный район, Яковлевский муниципальный район</w:t>
            </w:r>
          </w:p>
        </w:tc>
        <w:tc>
          <w:tcPr>
            <w:tcW w:w="4959" w:type="dxa"/>
            <w:gridSpan w:val="2"/>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«Михайловский», Приморский край</w:t>
            </w:r>
          </w:p>
        </w:tc>
      </w:tr>
      <w:tr w:rsidR="005F3EF1" w:rsidRPr="00DE45F1" w:rsidTr="005F3EF1">
        <w:trPr>
          <w:jc w:val="center"/>
        </w:trPr>
        <w:tc>
          <w:tcPr>
            <w:tcW w:w="4685" w:type="dxa"/>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 Комсомольск-на-Амуре, г. Амурск,</w:t>
            </w:r>
          </w:p>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Солнечный муниципальный район</w:t>
            </w:r>
          </w:p>
        </w:tc>
        <w:tc>
          <w:tcPr>
            <w:tcW w:w="4959" w:type="dxa"/>
            <w:gridSpan w:val="2"/>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«Комсомольск», Хабаровский край</w:t>
            </w:r>
          </w:p>
        </w:tc>
      </w:tr>
      <w:tr w:rsidR="005F3EF1" w:rsidRPr="00DE45F1" w:rsidTr="005F3EF1">
        <w:trPr>
          <w:jc w:val="center"/>
        </w:trPr>
        <w:tc>
          <w:tcPr>
            <w:tcW w:w="4685" w:type="dxa"/>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 Хабаровск,</w:t>
            </w:r>
          </w:p>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Хабаровский муниципальный район, Ракитненское сельское поселение</w:t>
            </w:r>
          </w:p>
        </w:tc>
        <w:tc>
          <w:tcPr>
            <w:tcW w:w="4959" w:type="dxa"/>
            <w:gridSpan w:val="2"/>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«Хабаровск», Хабаровский край</w:t>
            </w:r>
          </w:p>
        </w:tc>
      </w:tr>
      <w:tr w:rsidR="005F3EF1" w:rsidRPr="00DE45F1" w:rsidTr="005F3EF1">
        <w:trPr>
          <w:jc w:val="center"/>
        </w:trPr>
        <w:tc>
          <w:tcPr>
            <w:tcW w:w="4685" w:type="dxa"/>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Надеждинский муниципальный район, Владивостокский городской округ</w:t>
            </w:r>
          </w:p>
        </w:tc>
        <w:tc>
          <w:tcPr>
            <w:tcW w:w="4959" w:type="dxa"/>
            <w:gridSpan w:val="2"/>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«Надеждинская»/свободный порт Владивосток, Приморский край</w:t>
            </w:r>
          </w:p>
        </w:tc>
      </w:tr>
      <w:tr w:rsidR="005F3EF1" w:rsidRPr="00DE45F1" w:rsidTr="005F3EF1">
        <w:trPr>
          <w:jc w:val="center"/>
        </w:trPr>
        <w:tc>
          <w:tcPr>
            <w:tcW w:w="4685" w:type="dxa"/>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Южно-Курильский городской округ</w:t>
            </w:r>
          </w:p>
        </w:tc>
        <w:tc>
          <w:tcPr>
            <w:tcW w:w="4959" w:type="dxa"/>
            <w:gridSpan w:val="2"/>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«Курилы», Сахалинская область</w:t>
            </w:r>
          </w:p>
        </w:tc>
      </w:tr>
      <w:tr w:rsidR="005F3EF1" w:rsidRPr="00DE45F1" w:rsidTr="005F3EF1">
        <w:trPr>
          <w:jc w:val="center"/>
        </w:trPr>
        <w:tc>
          <w:tcPr>
            <w:tcW w:w="4685" w:type="dxa"/>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Свободненский район, г. Свободный, г. Сковородино</w:t>
            </w:r>
          </w:p>
        </w:tc>
        <w:tc>
          <w:tcPr>
            <w:tcW w:w="4959" w:type="dxa"/>
            <w:gridSpan w:val="2"/>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«Свободный», Амурская область</w:t>
            </w:r>
          </w:p>
        </w:tc>
      </w:tr>
      <w:tr w:rsidR="005F3EF1" w:rsidRPr="00DE45F1" w:rsidTr="005F3EF1">
        <w:trPr>
          <w:jc w:val="center"/>
        </w:trPr>
        <w:tc>
          <w:tcPr>
            <w:tcW w:w="4685" w:type="dxa"/>
            <w:shd w:val="clear" w:color="auto" w:fill="FFFFFF"/>
          </w:tcPr>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городское поселение «г. Николаевск-на- Амуре» Николаевского муниципального района,</w:t>
            </w:r>
          </w:p>
          <w:p w:rsidR="005F3EF1" w:rsidRPr="00DE45F1" w:rsidRDefault="005F3EF1" w:rsidP="005F3EF1">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городское поселение «Рабочий поселок Многовершинный» Николаевского муниципального района,</w:t>
            </w:r>
          </w:p>
        </w:tc>
        <w:tc>
          <w:tcPr>
            <w:tcW w:w="4959" w:type="dxa"/>
            <w:gridSpan w:val="2"/>
            <w:shd w:val="clear" w:color="auto" w:fill="FFFFFF"/>
          </w:tcPr>
          <w:p w:rsidR="005F3EF1" w:rsidRPr="005F3EF1" w:rsidRDefault="005F3EF1" w:rsidP="005F3EF1">
            <w:pPr>
              <w:pStyle w:val="Bodytext20"/>
              <w:shd w:val="clear" w:color="auto" w:fill="auto"/>
              <w:spacing w:before="0" w:after="120" w:line="240" w:lineRule="auto"/>
              <w:jc w:val="left"/>
              <w:rPr>
                <w:rFonts w:ascii="Sylfaen" w:hAnsi="Sylfaen"/>
                <w:sz w:val="24"/>
                <w:szCs w:val="24"/>
                <w:lang w:val="en-US"/>
              </w:rPr>
            </w:pPr>
            <w:r w:rsidRPr="00DE45F1">
              <w:rPr>
                <w:rStyle w:val="Bodytext212pt"/>
                <w:rFonts w:ascii="Sylfaen" w:hAnsi="Sylfaen"/>
              </w:rPr>
              <w:t>ГОР «Николаевск», Хабаровский край</w:t>
            </w:r>
          </w:p>
        </w:tc>
      </w:tr>
      <w:tr w:rsidR="005F3EF1" w:rsidRPr="00DE45F1" w:rsidTr="005F3EF1">
        <w:trPr>
          <w:jc w:val="center"/>
        </w:trPr>
        <w:tc>
          <w:tcPr>
            <w:tcW w:w="4685" w:type="dxa"/>
            <w:shd w:val="clear" w:color="auto" w:fill="FFFFFF"/>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 xml:space="preserve">Иннокентьевское сельское поселение Николаевского муниципального района, Красносельское сельское поселение </w:t>
            </w:r>
            <w:r w:rsidRPr="00DE45F1">
              <w:rPr>
                <w:rStyle w:val="Bodytext212pt"/>
                <w:rFonts w:ascii="Sylfaen" w:hAnsi="Sylfaen"/>
              </w:rPr>
              <w:lastRenderedPageBreak/>
              <w:t>Николаевского муниципального района, Оремифское сельское поселение Николаевского муниципального района, Члянское сельское поселение Николаевского муниципального района</w:t>
            </w:r>
          </w:p>
        </w:tc>
        <w:tc>
          <w:tcPr>
            <w:tcW w:w="4959" w:type="dxa"/>
            <w:gridSpan w:val="2"/>
            <w:shd w:val="clear" w:color="auto" w:fill="FFFFFF"/>
          </w:tcPr>
          <w:p w:rsidR="005F3EF1" w:rsidRPr="00DE45F1" w:rsidRDefault="005F3EF1" w:rsidP="003E488E">
            <w:pPr>
              <w:spacing w:after="120"/>
            </w:pPr>
          </w:p>
        </w:tc>
      </w:tr>
      <w:tr w:rsidR="005F3EF1" w:rsidRPr="00DE45F1" w:rsidTr="00C010B3">
        <w:trPr>
          <w:jc w:val="center"/>
        </w:trPr>
        <w:tc>
          <w:tcPr>
            <w:tcW w:w="4685" w:type="dxa"/>
            <w:shd w:val="clear" w:color="auto" w:fill="FFFFFF"/>
            <w:vAlign w:val="center"/>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Партизанский муниципальный район</w:t>
            </w:r>
          </w:p>
        </w:tc>
        <w:tc>
          <w:tcPr>
            <w:tcW w:w="4959" w:type="dxa"/>
            <w:gridSpan w:val="2"/>
            <w:shd w:val="clear" w:color="auto" w:fill="FFFFFF"/>
            <w:vAlign w:val="bottom"/>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«Нефтехимический»/свободный порт Владивосток, Приморский край</w:t>
            </w:r>
          </w:p>
        </w:tc>
      </w:tr>
      <w:tr w:rsidR="005F3EF1" w:rsidRPr="00DE45F1" w:rsidTr="00C010B3">
        <w:trPr>
          <w:jc w:val="center"/>
        </w:trPr>
        <w:tc>
          <w:tcPr>
            <w:tcW w:w="4685" w:type="dxa"/>
            <w:shd w:val="clear" w:color="auto" w:fill="FFFFFF"/>
            <w:vAlign w:val="center"/>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городской округ Большой камень</w:t>
            </w:r>
          </w:p>
        </w:tc>
        <w:tc>
          <w:tcPr>
            <w:tcW w:w="4959" w:type="dxa"/>
            <w:gridSpan w:val="2"/>
            <w:shd w:val="clear" w:color="auto" w:fill="FFFFFF"/>
            <w:vAlign w:val="center"/>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«Большой Камень»/свободный порт Владивосток, Приморский край</w:t>
            </w:r>
          </w:p>
        </w:tc>
      </w:tr>
      <w:tr w:rsidR="005F3EF1" w:rsidRPr="00DE45F1" w:rsidTr="00C010B3">
        <w:trPr>
          <w:jc w:val="center"/>
        </w:trPr>
        <w:tc>
          <w:tcPr>
            <w:tcW w:w="4685" w:type="dxa"/>
            <w:shd w:val="clear" w:color="auto" w:fill="FFFFFF"/>
            <w:vAlign w:val="center"/>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муниципальное образование г. Биробиджан,</w:t>
            </w:r>
          </w:p>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Ленинский муниципальный район, Октябрьский муниципальный район</w:t>
            </w:r>
          </w:p>
        </w:tc>
        <w:tc>
          <w:tcPr>
            <w:tcW w:w="4959" w:type="dxa"/>
            <w:gridSpan w:val="2"/>
            <w:shd w:val="clear" w:color="auto" w:fill="FFFFFF"/>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«Амуро-Хинганская», Еврейская автономная область</w:t>
            </w:r>
          </w:p>
        </w:tc>
      </w:tr>
      <w:tr w:rsidR="005F3EF1" w:rsidRPr="00DE45F1" w:rsidTr="00C010B3">
        <w:trPr>
          <w:jc w:val="center"/>
        </w:trPr>
        <w:tc>
          <w:tcPr>
            <w:tcW w:w="4685" w:type="dxa"/>
            <w:shd w:val="clear" w:color="auto" w:fill="FFFFFF"/>
            <w:vAlign w:val="bottom"/>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Благовещенский район, Ивановский район</w:t>
            </w:r>
          </w:p>
        </w:tc>
        <w:tc>
          <w:tcPr>
            <w:tcW w:w="4959" w:type="dxa"/>
            <w:gridSpan w:val="2"/>
            <w:shd w:val="clear" w:color="auto" w:fill="FFFFFF"/>
            <w:vAlign w:val="center"/>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«Приамурская», Амурская область</w:t>
            </w:r>
          </w:p>
        </w:tc>
      </w:tr>
      <w:tr w:rsidR="005F3EF1" w:rsidRPr="00DE45F1" w:rsidTr="00C010B3">
        <w:trPr>
          <w:jc w:val="center"/>
        </w:trPr>
        <w:tc>
          <w:tcPr>
            <w:tcW w:w="4685" w:type="dxa"/>
            <w:shd w:val="clear" w:color="auto" w:fill="FFFFFF"/>
            <w:vAlign w:val="center"/>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городской округ Анадырь, Анадырский муниципальный район</w:t>
            </w:r>
          </w:p>
        </w:tc>
        <w:tc>
          <w:tcPr>
            <w:tcW w:w="4959" w:type="dxa"/>
            <w:gridSpan w:val="2"/>
            <w:shd w:val="clear" w:color="auto" w:fill="FFFFFF"/>
            <w:vAlign w:val="center"/>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ТОР «Беринговский», Чукотский автономный округ</w:t>
            </w:r>
          </w:p>
        </w:tc>
      </w:tr>
      <w:tr w:rsidR="005F3EF1" w:rsidRPr="00DE45F1" w:rsidTr="00C010B3">
        <w:trPr>
          <w:jc w:val="center"/>
        </w:trPr>
        <w:tc>
          <w:tcPr>
            <w:tcW w:w="4685" w:type="dxa"/>
            <w:shd w:val="clear" w:color="auto" w:fill="FFFFFF"/>
            <w:vAlign w:val="center"/>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Артемовский городской округ, Лазовский муниципальный район, Находкинский городской округ, Партизанский городской округ, городской округ Спасск-Дальний, Уссурийский городской округ, Шкотовский муниципальный район, Октябрьский муниципальный район, Ольгинский муниципальный район, Пограничный муниципальный район, Хасанский муниципальный район, Ханкайский муниципальный район</w:t>
            </w:r>
          </w:p>
        </w:tc>
        <w:tc>
          <w:tcPr>
            <w:tcW w:w="4959" w:type="dxa"/>
            <w:gridSpan w:val="2"/>
            <w:shd w:val="clear" w:color="auto" w:fill="FFFFFF"/>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свободный порт Владивосток, Приморский край</w:t>
            </w:r>
          </w:p>
        </w:tc>
      </w:tr>
      <w:tr w:rsidR="005F3EF1" w:rsidRPr="00DE45F1" w:rsidTr="00354D3B">
        <w:trPr>
          <w:jc w:val="center"/>
        </w:trPr>
        <w:tc>
          <w:tcPr>
            <w:tcW w:w="4685" w:type="dxa"/>
            <w:shd w:val="clear" w:color="auto" w:fill="FFFFFF"/>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Ванинский муниципальный район</w:t>
            </w:r>
          </w:p>
        </w:tc>
        <w:tc>
          <w:tcPr>
            <w:tcW w:w="4959" w:type="dxa"/>
            <w:gridSpan w:val="2"/>
            <w:shd w:val="clear" w:color="auto" w:fill="FFFFFF"/>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свободный порт Владивосток, Хабаровский край</w:t>
            </w:r>
          </w:p>
        </w:tc>
      </w:tr>
      <w:tr w:rsidR="005F3EF1" w:rsidRPr="00DE45F1" w:rsidTr="00354D3B">
        <w:trPr>
          <w:jc w:val="center"/>
        </w:trPr>
        <w:tc>
          <w:tcPr>
            <w:tcW w:w="4685" w:type="dxa"/>
            <w:shd w:val="clear" w:color="auto" w:fill="FFFFFF"/>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Корсаковский городской округ, Углегорский городской округ</w:t>
            </w:r>
          </w:p>
        </w:tc>
        <w:tc>
          <w:tcPr>
            <w:tcW w:w="4959" w:type="dxa"/>
            <w:gridSpan w:val="2"/>
            <w:shd w:val="clear" w:color="auto" w:fill="FFFFFF"/>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свободный порт Владивосток, Сахалинская область</w:t>
            </w:r>
          </w:p>
        </w:tc>
      </w:tr>
      <w:tr w:rsidR="005F3EF1" w:rsidRPr="00DE45F1" w:rsidTr="00354D3B">
        <w:trPr>
          <w:jc w:val="center"/>
        </w:trPr>
        <w:tc>
          <w:tcPr>
            <w:tcW w:w="4685" w:type="dxa"/>
            <w:shd w:val="clear" w:color="auto" w:fill="FFFFFF"/>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городской округ Певек</w:t>
            </w:r>
          </w:p>
        </w:tc>
        <w:tc>
          <w:tcPr>
            <w:tcW w:w="4959" w:type="dxa"/>
            <w:gridSpan w:val="2"/>
            <w:shd w:val="clear" w:color="auto" w:fill="FFFFFF"/>
            <w:vAlign w:val="center"/>
          </w:tcPr>
          <w:p w:rsidR="005F3EF1" w:rsidRPr="00DE45F1" w:rsidRDefault="005F3EF1" w:rsidP="003E488E">
            <w:pPr>
              <w:pStyle w:val="Bodytext20"/>
              <w:shd w:val="clear" w:color="auto" w:fill="auto"/>
              <w:spacing w:before="0" w:after="120" w:line="240" w:lineRule="auto"/>
              <w:jc w:val="left"/>
              <w:rPr>
                <w:rFonts w:ascii="Sylfaen" w:hAnsi="Sylfaen"/>
                <w:sz w:val="24"/>
                <w:szCs w:val="24"/>
              </w:rPr>
            </w:pPr>
            <w:r w:rsidRPr="00DE45F1">
              <w:rPr>
                <w:rStyle w:val="Bodytext212pt"/>
                <w:rFonts w:ascii="Sylfaen" w:hAnsi="Sylfaen"/>
              </w:rPr>
              <w:t>свободный порт Владивосток, Чукотский автономный округ</w:t>
            </w:r>
          </w:p>
        </w:tc>
      </w:tr>
    </w:tbl>
    <w:p w:rsidR="001B5AD9" w:rsidRPr="00DE45F1" w:rsidRDefault="001B5AD9" w:rsidP="00B221A2">
      <w:pPr>
        <w:spacing w:after="120"/>
      </w:pPr>
      <w:bookmarkStart w:id="0" w:name="_GoBack"/>
      <w:bookmarkEnd w:id="0"/>
    </w:p>
    <w:sectPr w:rsidR="001B5AD9" w:rsidRPr="00DE45F1" w:rsidSect="00DE45F1">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31B" w:rsidRDefault="0087731B" w:rsidP="001B5AD9">
      <w:r>
        <w:separator/>
      </w:r>
    </w:p>
  </w:endnote>
  <w:endnote w:type="continuationSeparator" w:id="0">
    <w:p w:rsidR="0087731B" w:rsidRDefault="0087731B" w:rsidP="001B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31B" w:rsidRDefault="0087731B"/>
  </w:footnote>
  <w:footnote w:type="continuationSeparator" w:id="0">
    <w:p w:rsidR="0087731B" w:rsidRDefault="008773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475F"/>
    <w:multiLevelType w:val="multilevel"/>
    <w:tmpl w:val="886C3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D2B27"/>
    <w:multiLevelType w:val="multilevel"/>
    <w:tmpl w:val="68DEA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5330"/>
    <w:multiLevelType w:val="multilevel"/>
    <w:tmpl w:val="4A9A7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DD6F88"/>
    <w:multiLevelType w:val="multilevel"/>
    <w:tmpl w:val="F710D7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01056B"/>
    <w:multiLevelType w:val="multilevel"/>
    <w:tmpl w:val="B4E2F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1017AD"/>
    <w:multiLevelType w:val="multilevel"/>
    <w:tmpl w:val="E3FCEE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ED2704"/>
    <w:multiLevelType w:val="multilevel"/>
    <w:tmpl w:val="E63AED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752B45"/>
    <w:multiLevelType w:val="multilevel"/>
    <w:tmpl w:val="3E547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EB3A8A"/>
    <w:multiLevelType w:val="multilevel"/>
    <w:tmpl w:val="0AF0FA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5AD9"/>
    <w:rsid w:val="001B5AD9"/>
    <w:rsid w:val="00462F20"/>
    <w:rsid w:val="005F3EF1"/>
    <w:rsid w:val="00673382"/>
    <w:rsid w:val="0079459C"/>
    <w:rsid w:val="0085188A"/>
    <w:rsid w:val="00865883"/>
    <w:rsid w:val="0087731B"/>
    <w:rsid w:val="0092183E"/>
    <w:rsid w:val="0092716E"/>
    <w:rsid w:val="00A932FB"/>
    <w:rsid w:val="00B221A2"/>
    <w:rsid w:val="00B73BC6"/>
    <w:rsid w:val="00DE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479C"/>
  <w15:docId w15:val="{F4A58956-68AE-4A7D-BF18-AB5E8DD9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B5AD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5AD9"/>
    <w:rPr>
      <w:color w:val="0066CC"/>
      <w:u w:val="single"/>
    </w:rPr>
  </w:style>
  <w:style w:type="character" w:customStyle="1" w:styleId="Bodytext3">
    <w:name w:val="Body text (3)_"/>
    <w:basedOn w:val="DefaultParagraphFont"/>
    <w:link w:val="Bodytext30"/>
    <w:rsid w:val="001B5AD9"/>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1B5AD9"/>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1B5AD9"/>
    <w:rPr>
      <w:rFonts w:ascii="Times New Roman" w:eastAsia="Times New Roman" w:hAnsi="Times New Roman" w:cs="Times New Roman"/>
      <w:b/>
      <w:bCs/>
      <w:i w:val="0"/>
      <w:iCs w:val="0"/>
      <w:smallCaps w:val="0"/>
      <w:strike w:val="0"/>
      <w:sz w:val="28"/>
      <w:szCs w:val="28"/>
      <w:u w:val="none"/>
    </w:rPr>
  </w:style>
  <w:style w:type="character" w:customStyle="1" w:styleId="Tablecaption2Spacing4pt">
    <w:name w:val="Table caption (2) + Spacing 4 pt"/>
    <w:basedOn w:val="Tablecaption2"/>
    <w:rsid w:val="001B5AD9"/>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Bodytext2">
    <w:name w:val="Body text (2)_"/>
    <w:basedOn w:val="DefaultParagraphFont"/>
    <w:link w:val="Bodytext20"/>
    <w:rsid w:val="001B5AD9"/>
    <w:rPr>
      <w:rFonts w:ascii="Times New Roman" w:eastAsia="Times New Roman" w:hAnsi="Times New Roman" w:cs="Times New Roman"/>
      <w:b w:val="0"/>
      <w:bCs w:val="0"/>
      <w:i w:val="0"/>
      <w:iCs w:val="0"/>
      <w:smallCaps w:val="0"/>
      <w:strike w:val="0"/>
      <w:sz w:val="30"/>
      <w:szCs w:val="30"/>
      <w:u w:val="none"/>
    </w:rPr>
  </w:style>
  <w:style w:type="character" w:customStyle="1" w:styleId="Bodytext2SegoeUI">
    <w:name w:val="Body text (2) + Segoe UI"/>
    <w:aliases w:val="14 pt,Bold,Spacing 1 pt"/>
    <w:basedOn w:val="Bodytext2"/>
    <w:rsid w:val="001B5AD9"/>
    <w:rPr>
      <w:rFonts w:ascii="Segoe UI" w:eastAsia="Segoe UI" w:hAnsi="Segoe UI" w:cs="Segoe UI"/>
      <w:b/>
      <w:bCs/>
      <w:i w:val="0"/>
      <w:iCs w:val="0"/>
      <w:smallCaps w:val="0"/>
      <w:strike w:val="0"/>
      <w:color w:val="000000"/>
      <w:spacing w:val="30"/>
      <w:w w:val="100"/>
      <w:position w:val="0"/>
      <w:sz w:val="28"/>
      <w:szCs w:val="28"/>
      <w:u w:val="none"/>
      <w:lang w:val="ru-RU" w:eastAsia="ru-RU" w:bidi="ru-RU"/>
    </w:rPr>
  </w:style>
  <w:style w:type="character" w:customStyle="1" w:styleId="Bodytext6">
    <w:name w:val="Body text (6)_"/>
    <w:basedOn w:val="DefaultParagraphFont"/>
    <w:link w:val="Bodytext60"/>
    <w:rsid w:val="001B5AD9"/>
    <w:rPr>
      <w:rFonts w:ascii="Times New Roman" w:eastAsia="Times New Roman" w:hAnsi="Times New Roman" w:cs="Times New Roman"/>
      <w:b/>
      <w:bCs/>
      <w:i w:val="0"/>
      <w:iCs w:val="0"/>
      <w:smallCaps w:val="0"/>
      <w:strike w:val="0"/>
      <w:sz w:val="28"/>
      <w:szCs w:val="28"/>
      <w:u w:val="none"/>
    </w:rPr>
  </w:style>
  <w:style w:type="character" w:customStyle="1" w:styleId="Bodytext214pt">
    <w:name w:val="Body text (2) + 14 pt"/>
    <w:aliases w:val="Bold,Spacing 2 pt"/>
    <w:basedOn w:val="Bodytext2"/>
    <w:rsid w:val="001B5AD9"/>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14pt0">
    <w:name w:val="Body text (2) + 14 pt"/>
    <w:aliases w:val="Bold"/>
    <w:basedOn w:val="Bodytext2"/>
    <w:rsid w:val="001B5AD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erorfooter">
    <w:name w:val="Header or footer_"/>
    <w:basedOn w:val="DefaultParagraphFont"/>
    <w:link w:val="Headerorfooter0"/>
    <w:rsid w:val="001B5AD9"/>
    <w:rPr>
      <w:rFonts w:ascii="Times New Roman" w:eastAsia="Times New Roman" w:hAnsi="Times New Roman" w:cs="Times New Roman"/>
      <w:b w:val="0"/>
      <w:bCs w:val="0"/>
      <w:i w:val="0"/>
      <w:iCs w:val="0"/>
      <w:smallCaps w:val="0"/>
      <w:strike w:val="0"/>
      <w:sz w:val="30"/>
      <w:szCs w:val="30"/>
      <w:u w:val="none"/>
    </w:rPr>
  </w:style>
  <w:style w:type="character" w:customStyle="1" w:styleId="Heading2">
    <w:name w:val="Heading #2_"/>
    <w:basedOn w:val="DefaultParagraphFont"/>
    <w:link w:val="Heading20"/>
    <w:rsid w:val="001B5AD9"/>
    <w:rPr>
      <w:rFonts w:ascii="Times New Roman" w:eastAsia="Times New Roman" w:hAnsi="Times New Roman" w:cs="Times New Roman"/>
      <w:b/>
      <w:bCs/>
      <w:i w:val="0"/>
      <w:iCs w:val="0"/>
      <w:smallCaps w:val="0"/>
      <w:strike w:val="0"/>
      <w:sz w:val="30"/>
      <w:szCs w:val="30"/>
      <w:u w:val="none"/>
    </w:rPr>
  </w:style>
  <w:style w:type="character" w:customStyle="1" w:styleId="Heading2Spacing2pt">
    <w:name w:val="Heading #2 + Spacing 2 pt"/>
    <w:basedOn w:val="Heading2"/>
    <w:rsid w:val="001B5AD9"/>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3Spacing2pt">
    <w:name w:val="Body text (3) + Spacing 2 pt"/>
    <w:basedOn w:val="Bodytext3"/>
    <w:rsid w:val="001B5AD9"/>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4">
    <w:name w:val="Body text (4)_"/>
    <w:basedOn w:val="DefaultParagraphFont"/>
    <w:link w:val="Bodytext40"/>
    <w:rsid w:val="001B5AD9"/>
    <w:rPr>
      <w:rFonts w:ascii="Times New Roman" w:eastAsia="Times New Roman" w:hAnsi="Times New Roman" w:cs="Times New Roman"/>
      <w:b/>
      <w:bCs/>
      <w:i w:val="0"/>
      <w:iCs w:val="0"/>
      <w:smallCaps w:val="0"/>
      <w:strike w:val="0"/>
      <w:spacing w:val="80"/>
      <w:sz w:val="30"/>
      <w:szCs w:val="30"/>
      <w:u w:val="none"/>
    </w:rPr>
  </w:style>
  <w:style w:type="character" w:customStyle="1" w:styleId="Heading2Spacing2pt0">
    <w:name w:val="Heading #2 + Spacing 2 pt"/>
    <w:basedOn w:val="Heading2"/>
    <w:rsid w:val="001B5AD9"/>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2pt">
    <w:name w:val="Body text (2) + 12 pt"/>
    <w:basedOn w:val="Bodytext2"/>
    <w:rsid w:val="001B5A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Bodytext30">
    <w:name w:val="Body text (3)"/>
    <w:basedOn w:val="Normal"/>
    <w:link w:val="Bodytext3"/>
    <w:rsid w:val="001B5AD9"/>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B5AD9"/>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1B5AD9"/>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1B5AD9"/>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Bodytext60">
    <w:name w:val="Body text (6)"/>
    <w:basedOn w:val="Normal"/>
    <w:link w:val="Bodytext6"/>
    <w:rsid w:val="001B5AD9"/>
    <w:pPr>
      <w:shd w:val="clear" w:color="auto" w:fill="FFFFFF"/>
      <w:spacing w:before="300" w:after="420" w:line="349" w:lineRule="exact"/>
      <w:jc w:val="center"/>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rsid w:val="001B5AD9"/>
    <w:pPr>
      <w:shd w:val="clear" w:color="auto" w:fill="FFFFFF"/>
      <w:spacing w:line="0" w:lineRule="atLeast"/>
    </w:pPr>
    <w:rPr>
      <w:rFonts w:ascii="Times New Roman" w:eastAsia="Times New Roman" w:hAnsi="Times New Roman" w:cs="Times New Roman"/>
      <w:sz w:val="30"/>
      <w:szCs w:val="30"/>
    </w:rPr>
  </w:style>
  <w:style w:type="paragraph" w:customStyle="1" w:styleId="Heading20">
    <w:name w:val="Heading #2"/>
    <w:basedOn w:val="Normal"/>
    <w:link w:val="Heading2"/>
    <w:rsid w:val="001B5AD9"/>
    <w:pPr>
      <w:shd w:val="clear" w:color="auto" w:fill="FFFFFF"/>
      <w:spacing w:before="1020" w:after="420" w:line="0" w:lineRule="atLeast"/>
      <w:jc w:val="center"/>
      <w:outlineLvl w:val="1"/>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1B5AD9"/>
    <w:pPr>
      <w:shd w:val="clear" w:color="auto" w:fill="FFFFFF"/>
      <w:spacing w:before="660" w:line="346" w:lineRule="exact"/>
      <w:jc w:val="center"/>
    </w:pPr>
    <w:rPr>
      <w:rFonts w:ascii="Times New Roman" w:eastAsia="Times New Roman" w:hAnsi="Times New Roman" w:cs="Times New Roman"/>
      <w:b/>
      <w:bCs/>
      <w:spacing w:val="8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Arpine Khachatryan</cp:lastModifiedBy>
  <cp:revision>4</cp:revision>
  <dcterms:created xsi:type="dcterms:W3CDTF">2018-04-09T12:26:00Z</dcterms:created>
  <dcterms:modified xsi:type="dcterms:W3CDTF">2020-04-21T11:40:00Z</dcterms:modified>
</cp:coreProperties>
</file>