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D2" w:rsidRPr="00ED3B4C" w:rsidRDefault="00C47DD2" w:rsidP="00ED3B4C">
      <w:pPr>
        <w:spacing w:after="120"/>
        <w:jc w:val="both"/>
      </w:pPr>
      <w:bookmarkStart w:id="0" w:name="_GoBack"/>
      <w:bookmarkEnd w:id="0"/>
    </w:p>
    <w:p w:rsidR="00ED3B4C" w:rsidRDefault="00603457" w:rsidP="00ED3B4C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УТВЕРЖДЕНО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Решением Совета</w:t>
      </w:r>
    </w:p>
    <w:p w:rsidR="00ED3B4C" w:rsidRDefault="00603457" w:rsidP="00ED3B4C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Евразийской экономической комиссии</w:t>
      </w:r>
      <w:r w:rsidR="00ED3B4C">
        <w:rPr>
          <w:rFonts w:ascii="Sylfaen" w:hAnsi="Sylfaen"/>
          <w:sz w:val="24"/>
          <w:szCs w:val="24"/>
        </w:rPr>
        <w:t xml:space="preserve"> </w:t>
      </w:r>
    </w:p>
    <w:p w:rsidR="00C47DD2" w:rsidRDefault="00603457" w:rsidP="00ED3B4C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от 22 августа 2017 г. № 46</w:t>
      </w:r>
    </w:p>
    <w:p w:rsidR="00ED3B4C" w:rsidRPr="00ED3B4C" w:rsidRDefault="00ED3B4C" w:rsidP="00ED3B4C">
      <w:pPr>
        <w:pStyle w:val="Bodytext20"/>
        <w:shd w:val="clear" w:color="auto" w:fill="auto"/>
        <w:spacing w:before="0" w:after="120" w:line="240" w:lineRule="auto"/>
        <w:ind w:right="100"/>
        <w:rPr>
          <w:rFonts w:ascii="Sylfaen" w:hAnsi="Sylfaen"/>
          <w:sz w:val="24"/>
          <w:szCs w:val="24"/>
        </w:rPr>
      </w:pPr>
    </w:p>
    <w:p w:rsidR="00C47DD2" w:rsidRPr="00ED3B4C" w:rsidRDefault="00603457" w:rsidP="00ED3B4C">
      <w:pPr>
        <w:pStyle w:val="Bodytext3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ED3B4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C47DD2" w:rsidRDefault="00603457" w:rsidP="00ED3B4C">
      <w:pPr>
        <w:pStyle w:val="Bodytext3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о Международном форуме «Антиконтрафакт»</w:t>
      </w:r>
    </w:p>
    <w:p w:rsidR="00ED3B4C" w:rsidRPr="00ED3B4C" w:rsidRDefault="00ED3B4C" w:rsidP="00ED3B4C">
      <w:pPr>
        <w:pStyle w:val="Bodytext30"/>
        <w:shd w:val="clear" w:color="auto" w:fill="auto"/>
        <w:spacing w:before="0" w:after="120" w:line="240" w:lineRule="auto"/>
        <w:ind w:right="40"/>
        <w:jc w:val="both"/>
        <w:rPr>
          <w:rFonts w:ascii="Sylfaen" w:hAnsi="Sylfaen"/>
          <w:sz w:val="24"/>
          <w:szCs w:val="24"/>
        </w:rPr>
      </w:pP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I. Общие положения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Международный форум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«Антиконтрафакт» (далее Международный форум) является регулярным научно-практическим и выставочным мероприятием в сфере противодействия незаконному обороту промышленной и сельскохозяйственной продукции (далее - продукция), а также в сфере защиты прав на объекты интеллектуальной собственности в рамках Евразийского экономического союза (далее - Союз).</w:t>
      </w:r>
    </w:p>
    <w:p w:rsidR="00C47DD2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Международный форум ориентирован на участие в нем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представителей бизнес-сообществ, государственных органов государств -</w:t>
      </w:r>
      <w:r w:rsidR="00603457" w:rsidRPr="00ED3B4C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членов Союза (далее - государства-члены), международных, научных и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образовательных организаций,</w:t>
      </w:r>
      <w:r w:rsidRPr="00ED3B4C"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правообладателей, производителей и иных заинтересованных в противодействии незаконному обороту продукции и обеспечении прав на объекты интеллектуальной собственности лиц государств-членов и третьих стран.</w:t>
      </w:r>
    </w:p>
    <w:p w:rsidR="00ED3B4C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Цели и задачи Международного форума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Целями проведения Международного форума являются обеспечение конструктивного диалога и обмена опытом государственных органов и бизнес-сообществ государств-членов в сфере противодействия незаконному обороту продукции, а также в сфере защиты прав на объекты интеллектуальной собственности, создание благоприятных условий для добросовестной конкуренции на едином рынке товаров и услуг, обеспечение в рамках Союза свободного движения товаров и услуг, а также развитие международного сотрудничества по данным направлениям.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Задачами Международного форума являются:</w:t>
      </w:r>
    </w:p>
    <w:p w:rsidR="00C47DD2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а)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выработка предложений по совершенствованию права Союза и законодательства государств-членов, а также внедрению в государствах-членах положительного международного опыта противодействия незаконному обороту продукции, в том числе в сфере защиты прав на объекты интеллектуальной собственности;</w:t>
      </w:r>
    </w:p>
    <w:p w:rsidR="00ED3B4C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б)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выработка предложений по повышению в государствах-членах эффективности осуществления государственного контроля и надзора в сфере противодействия незаконному обороту продукции, в том числе в области обеспечения качества и безопасности продукции;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в)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выработка рекомендаций по совершенствованию механизмов защиты прав на объекты интеллектуальной собственности на таможенной территории Союза, подтверждения соответствия продукции, эффективного контроля качества продукции в целях принятия совместных мер государств-членов по защите прав на объекты интеллектуальной собственности;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г) выработка предложений по внедрению инновационных технологий, применению информационных технологий и технических средств в целях идентификации и мониторинга оборота товаров;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д) выработка предложений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по разработке единообразных подходов к урегулированию споров в сфере противодействия незаконному обороту продукции, а также в сфере защиты прав</w:t>
      </w:r>
      <w:r w:rsidR="003347C2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на объекты интеллектуальной собственности, основанных на анализе правоприменительной и судебной практики по делам, связанным с противодействием незаконному обороту продукции;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е)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содействие повышению информационной открытости государственных органов и бизнес-сообществ государств-членов и прозрачности государственного управления в сфере противодействия незаконному обороту продукции, а также в сфере защиты прав на объекты интеллектуальной собственности;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ж)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привлечение средств массовой информации к повышению потребительской грамотности населения, в том числе к формированию негативного отношения к приобретению (потреблению) товаров, находящихся в незаконном обороте, пр</w:t>
      </w:r>
      <w:r w:rsidR="003347C2">
        <w:rPr>
          <w:rFonts w:ascii="Sylfaen" w:hAnsi="Sylfaen"/>
          <w:sz w:val="24"/>
          <w:szCs w:val="24"/>
        </w:rPr>
        <w:t>авосознания граждан государств-</w:t>
      </w:r>
      <w:r w:rsidRPr="00ED3B4C">
        <w:rPr>
          <w:rFonts w:ascii="Sylfaen" w:hAnsi="Sylfaen"/>
          <w:sz w:val="24"/>
          <w:szCs w:val="24"/>
        </w:rPr>
        <w:t>членов в части соблюдения прав на объекты интеллектуальной собственности;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з)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разработка предложений по вопросам гармонизации системы</w:t>
      </w:r>
      <w:r w:rsidR="003347C2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подготовки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и повышения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квалификации кадров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в сфере</w:t>
      </w:r>
      <w:r w:rsidR="003347C2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противодействия незаконному обороту продукции, а также в сфере защиты прав на объекты интеллектуальной собственности;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и)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выработка предложений по внесению изменений в технические</w:t>
      </w:r>
      <w:r w:rsidR="003347C2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регламенты Союза и межгосударственные стандарты в целях исключения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фальсификации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продукции,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повышения качества</w:t>
      </w:r>
      <w:r w:rsidR="003347C2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продукции и обеспечения защиты прав потребителей;</w:t>
      </w:r>
    </w:p>
    <w:p w:rsidR="00C47DD2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к)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выработка предложений по реализации основных направлений промышленного сотрудничества в рамках Союза, касающихся противодействия незаконному обороту продукции, в том числе в сфере защиты прав на объекты интеллектуальной собственности, и по вопросам развития добросовестной конкуренции на едином рынке товаров и услуг;</w:t>
      </w:r>
    </w:p>
    <w:p w:rsidR="003347C2" w:rsidRPr="00ED3B4C" w:rsidRDefault="003347C2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л)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установление контактов представителей государственных органов и бизнес-сообществ государств-членов и третьих стран.</w:t>
      </w:r>
    </w:p>
    <w:p w:rsidR="003347C2" w:rsidRPr="00ED3B4C" w:rsidRDefault="003347C2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Pr="00ED3B4C" w:rsidRDefault="00ED3B4C" w:rsidP="003347C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Тематические направления Международного форума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Международный форум проводится по следующим тематическим направлениям: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а)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таможенные методы защиты товарных рынков;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б)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повышение эффективности контроля качества и безопасности продукции;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в)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охрана и защита прав на объекты интеллектуальной собственности в рамках Союза;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г)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совершенствование условий для развития кадрового потенциала в сфере борьбы с незаконным оборотом продукции;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д)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создание систем прослеживаемости оборота товаров;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е)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противодействие незаконному обороту продукции;</w:t>
      </w:r>
    </w:p>
    <w:p w:rsidR="00C47DD2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ж)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иные направления.</w:t>
      </w:r>
    </w:p>
    <w:p w:rsidR="003347C2" w:rsidRPr="00ED3B4C" w:rsidRDefault="003347C2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Pr="00ED3B4C" w:rsidRDefault="00ED3B4C" w:rsidP="003347C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Организация и проведение Международного форума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Проведение Международного форума в государствах-членах осуществляется ежегодно на ротационной основе.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Организация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и проведение Международного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форума</w:t>
      </w:r>
      <w:r w:rsidR="003347C2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осуществляются государством-членом, представитель которого председательствует в Евразийском межправительственном совете (далее -</w:t>
      </w:r>
      <w:r w:rsidRPr="00ED3B4C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ED3B4C">
        <w:rPr>
          <w:rFonts w:ascii="Sylfaen" w:hAnsi="Sylfaen"/>
          <w:sz w:val="24"/>
          <w:szCs w:val="24"/>
        </w:rPr>
        <w:t>государство-организатор).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В целях обеспечения организации и проведения Международного форума государство-организатор не позднее I квартала года, в котором будет проводиться Международный форум, определяет государственный орган, ответственный за организацию и проведение Международного форума.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В случае невозможности проведения Международного форума в государстве-организаторе Международный форум проводится в другом государстве-члене, заявившем о готовности принять на себя функции государства-организатора.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Информационная и организационная поддержка проведения Международного форума может оказываться государственными органами государств-членов, Евразийской экономической комиссией и Международной ассоциацией организаций, осуществляющих деятельность по противодействию незаконному обороту контрафактной продукции «Антиконтрафакт».</w:t>
      </w:r>
    </w:p>
    <w:p w:rsidR="00C47DD2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К организации и проведению Международного форума могут привлекаться независимые негосударственные организации.</w:t>
      </w:r>
    </w:p>
    <w:p w:rsidR="003347C2" w:rsidRPr="00ED3B4C" w:rsidRDefault="003347C2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По итогам работы Международного форума принимается резолюция, которая направляется в государства-члены в качестве рекомендаций для учета при формировании государственной политики в сфере противодействия незаконному обороту продукции, а также в сфере защиты прав на объекты интеллектуальной собственности.</w:t>
      </w:r>
    </w:p>
    <w:p w:rsidR="003347C2" w:rsidRPr="00ED3B4C" w:rsidRDefault="003347C2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Pr="00ED3B4C" w:rsidRDefault="00ED3B4C" w:rsidP="003347C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Организационный комитет Международного форума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В целях обеспечения организации и проведения Международного форума государство-организатор создает организационный комитет Международного форума (далее организационный комитет) и назначает его председателя.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Состав организационного комитета формируется на основании предложений государств-членов и утверждается председателем организационного комитета не позднее II квартала года, в котором будет проводиться Международный форум.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В состав организационного комитета включаются представители государственного органа государства-организатора, ответственного за организацию и проведение Международного форума, Евразийской экономической комиссии, государственных органов государств-членов, профильных международных, общественных, научных и иных организаций.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В компетенцию организационного комитета, в том числе входят: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а)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решение вопросов, связанных с финансированием проведения Международного форума и распределением соответствующих средств;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б)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определение формата проведения Международного форума (пленарные заседания, конференции, круглые столы, тематические конкурсы, панельные дискуссии, лекции для представителей бизнес- сообществ и др.);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в)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утверждение программы Международного форума;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г)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разработка и размещение в открытом доступе формы заявки на участие в Международном форуме;</w:t>
      </w:r>
    </w:p>
    <w:p w:rsidR="00C47DD2" w:rsidRPr="00ED3B4C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д)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сбор заявок на участие в Международном форуме и взаимодействие с зарегистрированными участниками;</w:t>
      </w:r>
    </w:p>
    <w:p w:rsidR="00C47DD2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е)</w:t>
      </w:r>
      <w:r w:rsidR="00ED3B4C">
        <w:rPr>
          <w:rFonts w:ascii="Sylfaen" w:hAnsi="Sylfaen"/>
          <w:sz w:val="24"/>
          <w:szCs w:val="24"/>
        </w:rPr>
        <w:t xml:space="preserve"> </w:t>
      </w:r>
      <w:r w:rsidRPr="00ED3B4C">
        <w:rPr>
          <w:rFonts w:ascii="Sylfaen" w:hAnsi="Sylfaen"/>
          <w:sz w:val="24"/>
          <w:szCs w:val="24"/>
        </w:rPr>
        <w:t>общее руководство и контроль за ходом подготовки к проведению и проведением Международного форума, а также за соблюдением мер безопасности на территории проведения Международного форума.</w:t>
      </w:r>
    </w:p>
    <w:p w:rsidR="003347C2" w:rsidRPr="00ED3B4C" w:rsidRDefault="003347C2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Pr="00ED3B4C" w:rsidRDefault="00ED3B4C" w:rsidP="003347C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Вопросы финансирования Международного форума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 xml:space="preserve">Источниками финансирования проведения Международного форума могут быть средства бюджетов государств-членов (в том числе республиканских (федеральных) или региональных), безвозмездные пожертвования (спонсорская </w:t>
      </w:r>
      <w:r w:rsidR="00603457" w:rsidRPr="00ED3B4C">
        <w:rPr>
          <w:rFonts w:ascii="Sylfaen" w:hAnsi="Sylfaen"/>
          <w:sz w:val="24"/>
          <w:szCs w:val="24"/>
        </w:rPr>
        <w:lastRenderedPageBreak/>
        <w:t>помощь), средства, вырученные от размещения рекламы, а также иные внебюджетные средства.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Расходы, связанные с участием в заседаниях организационного комитета и в Международном форуме представителей государственных органов государств-членов, несут направляющие их государства-члены.</w:t>
      </w:r>
    </w:p>
    <w:p w:rsidR="00C47DD2" w:rsidRDefault="00603457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Расходы, связанные с участием в заседаниях организационного комитета и в Международном форуме представителей международных, общественных, научных и иных организаций, несут эти организации.</w:t>
      </w:r>
    </w:p>
    <w:p w:rsidR="003347C2" w:rsidRPr="00ED3B4C" w:rsidRDefault="003347C2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47DD2" w:rsidRPr="00ED3B4C" w:rsidRDefault="00ED3B4C" w:rsidP="003347C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Заключительные положения</w:t>
      </w:r>
    </w:p>
    <w:p w:rsidR="00C47DD2" w:rsidRPr="00ED3B4C" w:rsidRDefault="00ED3B4C" w:rsidP="00ED3B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D3B4C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603457" w:rsidRPr="00ED3B4C">
        <w:rPr>
          <w:rFonts w:ascii="Sylfaen" w:hAnsi="Sylfaen"/>
          <w:sz w:val="24"/>
          <w:szCs w:val="24"/>
        </w:rPr>
        <w:t>Все вопросы, не урегулированные в настоящем Положении, решаются организационным комитетом в рамках его компетенции в соответствии с правом Союза и законодательством государств-членов.</w:t>
      </w:r>
    </w:p>
    <w:sectPr w:rsidR="00C47DD2" w:rsidRPr="00ED3B4C" w:rsidSect="00ED3B4C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38" w:rsidRDefault="00314F38" w:rsidP="00C47DD2">
      <w:r>
        <w:separator/>
      </w:r>
    </w:p>
  </w:endnote>
  <w:endnote w:type="continuationSeparator" w:id="0">
    <w:p w:rsidR="00314F38" w:rsidRDefault="00314F38" w:rsidP="00C4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38" w:rsidRDefault="00314F38"/>
  </w:footnote>
  <w:footnote w:type="continuationSeparator" w:id="0">
    <w:p w:rsidR="00314F38" w:rsidRDefault="00314F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1665"/>
    <w:multiLevelType w:val="multilevel"/>
    <w:tmpl w:val="8E28F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436AD5"/>
    <w:multiLevelType w:val="multilevel"/>
    <w:tmpl w:val="9D94B2C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4D700D"/>
    <w:multiLevelType w:val="multilevel"/>
    <w:tmpl w:val="E970F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7DD2"/>
    <w:rsid w:val="00314F38"/>
    <w:rsid w:val="003347C2"/>
    <w:rsid w:val="00603457"/>
    <w:rsid w:val="00864585"/>
    <w:rsid w:val="008F1CA1"/>
    <w:rsid w:val="009A78C1"/>
    <w:rsid w:val="00C47DD2"/>
    <w:rsid w:val="00E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7DD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7DD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47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47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47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47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47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47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Spacing 2 pt,Small Caps"/>
    <w:basedOn w:val="Bodytext2"/>
    <w:rsid w:val="00C47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C47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47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47DD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47DD2"/>
    <w:pPr>
      <w:shd w:val="clear" w:color="auto" w:fill="FFFFFF"/>
      <w:spacing w:before="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47D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47DD2"/>
    <w:pPr>
      <w:shd w:val="clear" w:color="auto" w:fill="FFFFFF"/>
      <w:spacing w:before="6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645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2018-03-29T12:25:00Z</dcterms:created>
  <dcterms:modified xsi:type="dcterms:W3CDTF">2019-03-26T12:32:00Z</dcterms:modified>
</cp:coreProperties>
</file>