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5F" w:rsidRPr="00AB2741" w:rsidRDefault="004D08BA" w:rsidP="00AB2741">
      <w:pPr>
        <w:pStyle w:val="Bodytext20"/>
        <w:shd w:val="clear" w:color="auto" w:fill="auto"/>
        <w:spacing w:before="0" w:after="120" w:line="240" w:lineRule="auto"/>
        <w:ind w:left="9072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B2741">
        <w:rPr>
          <w:rFonts w:ascii="Sylfaen" w:hAnsi="Sylfaen"/>
          <w:sz w:val="24"/>
          <w:szCs w:val="24"/>
        </w:rPr>
        <w:t>УТВЕРЖДЕН</w:t>
      </w:r>
    </w:p>
    <w:p w:rsidR="00AB2741" w:rsidRDefault="004D08BA" w:rsidP="00AB2741">
      <w:pPr>
        <w:pStyle w:val="Bodytext20"/>
        <w:shd w:val="clear" w:color="auto" w:fill="auto"/>
        <w:spacing w:before="0" w:after="120" w:line="240" w:lineRule="auto"/>
        <w:ind w:left="9072" w:firstLine="0"/>
        <w:jc w:val="center"/>
        <w:rPr>
          <w:rFonts w:ascii="Sylfaen" w:hAnsi="Sylfaen"/>
          <w:sz w:val="24"/>
          <w:szCs w:val="24"/>
          <w:lang w:val="en-US"/>
        </w:rPr>
      </w:pPr>
      <w:r w:rsidRPr="00AB2741">
        <w:rPr>
          <w:rFonts w:ascii="Sylfaen" w:hAnsi="Sylfaen"/>
          <w:sz w:val="24"/>
          <w:szCs w:val="24"/>
        </w:rPr>
        <w:t xml:space="preserve">распоряжением Совета Евразийской </w:t>
      </w:r>
      <w:r w:rsidR="00AB2741">
        <w:rPr>
          <w:rFonts w:ascii="Sylfaen" w:hAnsi="Sylfaen"/>
          <w:sz w:val="24"/>
          <w:szCs w:val="24"/>
        </w:rPr>
        <w:t>экономической комиссии</w:t>
      </w:r>
    </w:p>
    <w:p w:rsidR="0026185F" w:rsidRDefault="004D08BA" w:rsidP="00AB2741">
      <w:pPr>
        <w:pStyle w:val="Bodytext20"/>
        <w:shd w:val="clear" w:color="auto" w:fill="auto"/>
        <w:spacing w:before="0" w:after="120" w:line="240" w:lineRule="auto"/>
        <w:ind w:left="9072" w:firstLine="0"/>
        <w:jc w:val="center"/>
        <w:rPr>
          <w:rFonts w:ascii="Sylfaen" w:hAnsi="Sylfaen"/>
          <w:sz w:val="24"/>
          <w:szCs w:val="24"/>
          <w:lang w:val="en-US"/>
        </w:rPr>
      </w:pPr>
      <w:r w:rsidRPr="00AB2741">
        <w:rPr>
          <w:rFonts w:ascii="Sylfaen" w:hAnsi="Sylfaen"/>
          <w:sz w:val="24"/>
          <w:szCs w:val="24"/>
        </w:rPr>
        <w:t>от 20 декабря 2017 г. № 37</w:t>
      </w:r>
    </w:p>
    <w:p w:rsidR="00AB2741" w:rsidRPr="00AB2741" w:rsidRDefault="00AB2741" w:rsidP="00AB2741">
      <w:pPr>
        <w:pStyle w:val="Bodytext20"/>
        <w:shd w:val="clear" w:color="auto" w:fill="auto"/>
        <w:spacing w:before="0" w:after="120" w:line="240" w:lineRule="auto"/>
        <w:ind w:left="9072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26185F" w:rsidRPr="00AB2741" w:rsidRDefault="004D08BA" w:rsidP="00AB2741">
      <w:pPr>
        <w:pStyle w:val="Heading20"/>
        <w:shd w:val="clear" w:color="auto" w:fill="auto"/>
        <w:spacing w:line="240" w:lineRule="auto"/>
        <w:ind w:right="100"/>
        <w:rPr>
          <w:rFonts w:ascii="Sylfaen" w:hAnsi="Sylfaen"/>
          <w:sz w:val="24"/>
          <w:szCs w:val="24"/>
        </w:rPr>
      </w:pPr>
      <w:r w:rsidRPr="00AB2741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26185F" w:rsidRPr="00AB2741" w:rsidRDefault="004D08BA" w:rsidP="00AB2741">
      <w:pPr>
        <w:pStyle w:val="Bodytext30"/>
        <w:shd w:val="clear" w:color="auto" w:fill="auto"/>
        <w:spacing w:before="0" w:after="120" w:line="240" w:lineRule="auto"/>
        <w:ind w:right="100"/>
        <w:rPr>
          <w:rFonts w:ascii="Sylfaen" w:hAnsi="Sylfaen"/>
          <w:sz w:val="24"/>
          <w:szCs w:val="24"/>
        </w:rPr>
      </w:pPr>
      <w:r w:rsidRPr="00AB2741">
        <w:rPr>
          <w:rFonts w:ascii="Sylfaen" w:hAnsi="Sylfaen"/>
          <w:sz w:val="24"/>
          <w:szCs w:val="24"/>
        </w:rPr>
        <w:t>мероприятий («дорожная карта») по определению последовательности осуществления</w:t>
      </w:r>
      <w:r w:rsidR="00AB2741" w:rsidRPr="00AB2741">
        <w:rPr>
          <w:rFonts w:ascii="Sylfaen" w:hAnsi="Sylfaen"/>
          <w:sz w:val="24"/>
          <w:szCs w:val="24"/>
        </w:rPr>
        <w:t xml:space="preserve"> </w:t>
      </w:r>
      <w:r w:rsidRPr="00AB2741">
        <w:rPr>
          <w:rFonts w:ascii="Sylfaen" w:hAnsi="Sylfaen"/>
          <w:sz w:val="24"/>
          <w:szCs w:val="24"/>
        </w:rPr>
        <w:t>соответствующих мер по гармонизации законодательства государств - членов Евразийского</w:t>
      </w:r>
      <w:r w:rsidR="00AB2741" w:rsidRPr="00AB2741">
        <w:rPr>
          <w:rFonts w:ascii="Sylfaen" w:hAnsi="Sylfaen"/>
          <w:sz w:val="24"/>
          <w:szCs w:val="24"/>
        </w:rPr>
        <w:t xml:space="preserve"> </w:t>
      </w:r>
      <w:r w:rsidRPr="00AB2741">
        <w:rPr>
          <w:rFonts w:ascii="Sylfaen" w:hAnsi="Sylfaen"/>
          <w:sz w:val="24"/>
          <w:szCs w:val="24"/>
        </w:rPr>
        <w:t>экономического союза в сфере естественных монополий</w:t>
      </w:r>
    </w:p>
    <w:tbl>
      <w:tblPr>
        <w:tblOverlap w:val="never"/>
        <w:tblW w:w="14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9"/>
        <w:gridCol w:w="39"/>
        <w:gridCol w:w="3004"/>
        <w:gridCol w:w="2420"/>
        <w:gridCol w:w="2830"/>
        <w:gridCol w:w="18"/>
      </w:tblGrid>
      <w:tr w:rsidR="0026185F" w:rsidRPr="00AB2741" w:rsidTr="00AB2741"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Срок</w:t>
            </w:r>
            <w:r w:rsidR="00AB274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реализации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Ответственный</w:t>
            </w:r>
            <w:r w:rsidR="00AB274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Ожидаемый результат</w:t>
            </w:r>
          </w:p>
        </w:tc>
      </w:tr>
      <w:tr w:rsidR="0026185F" w:rsidRPr="00AB2741" w:rsidTr="00AB2741">
        <w:tc>
          <w:tcPr>
            <w:tcW w:w="14980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Этап I. Проведение сравнительного анализа системы и практики регулирования деятельности субъектов естественных монополий и</w:t>
            </w:r>
            <w:r w:rsidR="00AB2741" w:rsidRPr="00AB274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законотворческой работы государств - членов Евразийского экономического союза</w:t>
            </w:r>
          </w:p>
        </w:tc>
      </w:tr>
      <w:tr w:rsidR="0026185F" w:rsidRPr="00AB2741" w:rsidTr="00AB2741">
        <w:tc>
          <w:tcPr>
            <w:tcW w:w="6671" w:type="dxa"/>
            <w:shd w:val="clear" w:color="auto" w:fill="FFFFFF"/>
            <w:vAlign w:val="bottom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1. Анализ информации, представленной уполномоченными органами государств - членов Евразийского экономического союза (далее соответственно - государства-члены, Союз):</w:t>
            </w:r>
          </w:p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="00AB274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о планах законотворческой работы государств-членов, в том числе о планируемых направлениях совершенствования законодательства государств-членов в сфере естественных монополий</w:t>
            </w:r>
          </w:p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="00AB274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о практике регулирования и (или) контроля в сферах естественных монополий государств-членов</w:t>
            </w:r>
          </w:p>
        </w:tc>
        <w:tc>
          <w:tcPr>
            <w:tcW w:w="3045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ежегодно</w:t>
            </w:r>
          </w:p>
        </w:tc>
        <w:tc>
          <w:tcPr>
            <w:tcW w:w="2422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Евразийская экономическая комиссия (далее - Комиссия)</w:t>
            </w:r>
          </w:p>
        </w:tc>
        <w:tc>
          <w:tcPr>
            <w:tcW w:w="2842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аналитический доклад, информация государств- членов</w:t>
            </w:r>
          </w:p>
        </w:tc>
      </w:tr>
      <w:tr w:rsidR="0026185F" w:rsidRPr="00AB2741" w:rsidTr="00AB2741">
        <w:tc>
          <w:tcPr>
            <w:tcW w:w="6671" w:type="dxa"/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2. Анализ законодательных и иных актов государств-членов в сфере естественных монополий в целях гармонизации, в том числе:</w:t>
            </w:r>
          </w:p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а)</w:t>
            </w:r>
            <w:r w:rsidR="00AB274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основных понятий и определений, используемых в сфере естественных монополий (с разработкой справочника)</w:t>
            </w:r>
          </w:p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="00AB274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вопросов формирования тарифов на услуги субъектов естественных монополий (тарифная политика)</w:t>
            </w:r>
          </w:p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в)</w:t>
            </w:r>
            <w:r w:rsidR="00AB274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общих принципов регулирования деятельности субъектов естественных монополий в государствах-членах</w:t>
            </w:r>
          </w:p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г)</w:t>
            </w:r>
            <w:r w:rsidR="00AB274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правил и порядка доступа к услугам субъектов естественных монополий</w:t>
            </w:r>
          </w:p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д)</w:t>
            </w:r>
            <w:r w:rsidR="00AB274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перечня услуг субъектов естественных монополий и особенностей предоставления данных услуг</w:t>
            </w:r>
          </w:p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е)</w:t>
            </w:r>
            <w:r w:rsidR="00AB274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критериев отнесения услуг к сфере естественных монополий</w:t>
            </w:r>
          </w:p>
        </w:tc>
        <w:tc>
          <w:tcPr>
            <w:tcW w:w="3045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2018-2019 годы</w:t>
            </w:r>
          </w:p>
        </w:tc>
        <w:tc>
          <w:tcPr>
            <w:tcW w:w="2422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842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аналитический доклад, согласованный с государствами-членами</w:t>
            </w:r>
          </w:p>
        </w:tc>
      </w:tr>
      <w:tr w:rsidR="0026185F" w:rsidRPr="00AB2741" w:rsidTr="00AB2741">
        <w:tc>
          <w:tcPr>
            <w:tcW w:w="6671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 Анализ проблем и перспектив гармонизации законодательства государств-членов в сфере естественных монополий с учетом результатов анализа, проведенного в соответствии с пунктом 2 настоящего плана.</w:t>
            </w:r>
          </w:p>
        </w:tc>
        <w:tc>
          <w:tcPr>
            <w:tcW w:w="3045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2018-2019 годы</w:t>
            </w:r>
          </w:p>
        </w:tc>
        <w:tc>
          <w:tcPr>
            <w:tcW w:w="2422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842" w:type="dxa"/>
            <w:gridSpan w:val="2"/>
            <w:shd w:val="clear" w:color="auto" w:fill="FFFFFF"/>
            <w:vAlign w:val="bottom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включение соответствующей информации в аналитический доклад, предусмотренный пунктом 2 настоящего плана</w:t>
            </w:r>
          </w:p>
        </w:tc>
      </w:tr>
      <w:tr w:rsidR="0026185F" w:rsidRPr="00AB2741" w:rsidTr="00AB2741">
        <w:trPr>
          <w:gridAfter w:val="1"/>
          <w:wAfter w:w="10" w:type="dxa"/>
        </w:trPr>
        <w:tc>
          <w:tcPr>
            <w:tcW w:w="6671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4. Анализ правоприменительной практики государств-членов в сфере естественных монополий с учетом результатов анализа, проведенного в соответствии с пунктом 2 настоящего плана</w:t>
            </w:r>
          </w:p>
        </w:tc>
        <w:tc>
          <w:tcPr>
            <w:tcW w:w="3045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2018 - 2019 годы</w:t>
            </w:r>
          </w:p>
        </w:tc>
        <w:tc>
          <w:tcPr>
            <w:tcW w:w="2422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832" w:type="dxa"/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 xml:space="preserve">включение соответствующей информации в аналитический доклад, предусмотренный пунктом 2 настоящего </w:t>
            </w: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плана</w:t>
            </w:r>
          </w:p>
        </w:tc>
      </w:tr>
      <w:tr w:rsidR="0026185F" w:rsidRPr="00AB2741" w:rsidTr="00AB2741">
        <w:trPr>
          <w:gridAfter w:val="1"/>
          <w:wAfter w:w="10" w:type="dxa"/>
        </w:trPr>
        <w:tc>
          <w:tcPr>
            <w:tcW w:w="6671" w:type="dxa"/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5. Анализ состояния рынка услуг субъектов естественных монополий, целесообразности и возможности сокращения сфер естественных монополий</w:t>
            </w:r>
          </w:p>
        </w:tc>
        <w:tc>
          <w:tcPr>
            <w:tcW w:w="3045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по мере необходимости</w:t>
            </w:r>
          </w:p>
        </w:tc>
        <w:tc>
          <w:tcPr>
            <w:tcW w:w="2422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</w:p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832" w:type="dxa"/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аналитический доклад, информация государств- членов</w:t>
            </w:r>
          </w:p>
        </w:tc>
      </w:tr>
      <w:tr w:rsidR="0026185F" w:rsidRPr="00AB2741" w:rsidTr="00AB2741">
        <w:trPr>
          <w:gridAfter w:val="1"/>
          <w:wAfter w:w="10" w:type="dxa"/>
        </w:trPr>
        <w:tc>
          <w:tcPr>
            <w:tcW w:w="14970" w:type="dxa"/>
            <w:gridSpan w:val="5"/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Этап II. Выработка согласованных подходов и принятие актов органов Союза, направленных на гармонизацию законодательства государств-членов в сфере регулирования естественных монополий, после их рассмотрения Консультативным комитетом по естественным монополиям</w:t>
            </w:r>
          </w:p>
        </w:tc>
      </w:tr>
      <w:tr w:rsidR="0026185F" w:rsidRPr="00AB2741" w:rsidTr="00AB2741">
        <w:trPr>
          <w:gridAfter w:val="1"/>
          <w:wAfter w:w="10" w:type="dxa"/>
        </w:trPr>
        <w:tc>
          <w:tcPr>
            <w:tcW w:w="6671" w:type="dxa"/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6. Подготовка на основе результатов анализа, предусмотренного этапом I настоящего плана, предложений, направленных на формирование согласованных подходов при отнесении услуг к сфере естественных монополий, применении установленных принципов и правил регулирования деятельности субъектов естественных монополий и оценке гармонизации законодательства государств-членов в сфере естественных монополий</w:t>
            </w:r>
          </w:p>
        </w:tc>
        <w:tc>
          <w:tcPr>
            <w:tcW w:w="3045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до 1 октября 2020 г.</w:t>
            </w:r>
          </w:p>
        </w:tc>
        <w:tc>
          <w:tcPr>
            <w:tcW w:w="2422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832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предложения, согласованные с уполномоченными органами государств- членов</w:t>
            </w:r>
          </w:p>
        </w:tc>
      </w:tr>
      <w:tr w:rsidR="0026185F" w:rsidRPr="00AB2741" w:rsidTr="00AB2741">
        <w:trPr>
          <w:gridAfter w:val="1"/>
          <w:wAfter w:w="10" w:type="dxa"/>
        </w:trPr>
        <w:tc>
          <w:tcPr>
            <w:tcW w:w="6671" w:type="dxa"/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7. Принятие рекомендации об основных критериях и условиях отнесения услуг к сфере естественных монополий</w:t>
            </w:r>
          </w:p>
        </w:tc>
        <w:tc>
          <w:tcPr>
            <w:tcW w:w="3045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I квартал 2021 г.</w:t>
            </w:r>
          </w:p>
        </w:tc>
        <w:tc>
          <w:tcPr>
            <w:tcW w:w="2422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832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рекомендация Комиссии</w:t>
            </w:r>
          </w:p>
        </w:tc>
      </w:tr>
      <w:tr w:rsidR="0026185F" w:rsidRPr="00AB2741" w:rsidTr="00AB2741">
        <w:trPr>
          <w:gridAfter w:val="1"/>
          <w:wAfter w:w="10" w:type="dxa"/>
        </w:trPr>
        <w:tc>
          <w:tcPr>
            <w:tcW w:w="6671" w:type="dxa"/>
            <w:shd w:val="clear" w:color="auto" w:fill="FFFFFF"/>
            <w:vAlign w:val="bottom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8. Принятие количественных и качественных показателей оценки гармонизации законодательства государств-членов в сфере естественных монополий</w:t>
            </w:r>
          </w:p>
        </w:tc>
        <w:tc>
          <w:tcPr>
            <w:tcW w:w="3045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I квартал 2021 г.</w:t>
            </w:r>
          </w:p>
        </w:tc>
        <w:tc>
          <w:tcPr>
            <w:tcW w:w="2422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832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рекомендация Комиссии</w:t>
            </w:r>
          </w:p>
        </w:tc>
      </w:tr>
      <w:tr w:rsidR="0026185F" w:rsidRPr="00AB2741" w:rsidTr="00AB2741">
        <w:tc>
          <w:tcPr>
            <w:tcW w:w="66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9. Принятие рекомендации, обеспечивающей применение единых принципов и правил регулирования деятельности субъектов естественных монополий (рекомендуемых для включения в законодательство государств-членов), с учетом особенностей сфер естественных монополий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IV квартал 2021 г.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рекомендация Комиссии</w:t>
            </w:r>
          </w:p>
        </w:tc>
      </w:tr>
      <w:tr w:rsidR="0026185F" w:rsidRPr="00AB2741" w:rsidTr="00AB2741">
        <w:tc>
          <w:tcPr>
            <w:tcW w:w="6673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10. Принятие перечня нормативных правовых актов государств-членов, подлежащих сближению (с указанием норм и положений)</w:t>
            </w:r>
          </w:p>
        </w:tc>
        <w:tc>
          <w:tcPr>
            <w:tcW w:w="3038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IV квартал 2021 г.</w:t>
            </w:r>
          </w:p>
        </w:tc>
        <w:tc>
          <w:tcPr>
            <w:tcW w:w="2419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850" w:type="dxa"/>
            <w:gridSpan w:val="2"/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проект перечня нормативных правовых актов государств-членов, решение Высшего Евразийского экономического совета</w:t>
            </w:r>
          </w:p>
        </w:tc>
      </w:tr>
      <w:tr w:rsidR="0026185F" w:rsidRPr="00AB2741" w:rsidTr="00AB2741">
        <w:tc>
          <w:tcPr>
            <w:tcW w:w="14980" w:type="dxa"/>
            <w:gridSpan w:val="6"/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Этап III. Гармонизация законодательства государств-членов в сфере естественных монополий</w:t>
            </w:r>
          </w:p>
        </w:tc>
      </w:tr>
      <w:tr w:rsidR="0026185F" w:rsidRPr="00AB2741" w:rsidTr="00AB2741">
        <w:tc>
          <w:tcPr>
            <w:tcW w:w="6712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11. Реализация государствами-членами актов органов Союза, предусмотренных этапом II настоящего плана</w:t>
            </w:r>
          </w:p>
        </w:tc>
        <w:tc>
          <w:tcPr>
            <w:tcW w:w="2999" w:type="dxa"/>
            <w:shd w:val="clear" w:color="auto" w:fill="FFFFFF"/>
            <w:vAlign w:val="center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в соответствии со сроками, установленными государствами-членами</w:t>
            </w:r>
          </w:p>
        </w:tc>
        <w:tc>
          <w:tcPr>
            <w:tcW w:w="2419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850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нормативные правовые акты государств-членов</w:t>
            </w:r>
          </w:p>
        </w:tc>
      </w:tr>
      <w:tr w:rsidR="0026185F" w:rsidRPr="00AB2741" w:rsidTr="00AB2741">
        <w:tc>
          <w:tcPr>
            <w:tcW w:w="6712" w:type="dxa"/>
            <w:gridSpan w:val="2"/>
            <w:shd w:val="clear" w:color="auto" w:fill="FFFFFF"/>
            <w:vAlign w:val="bottom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12. Мониторинг исполнения государствами-членами решения Высшего Евразийского экономического совета о гармонизации законодательства государств-членов в сфере естественных монополий</w:t>
            </w:r>
          </w:p>
        </w:tc>
        <w:tc>
          <w:tcPr>
            <w:tcW w:w="2999" w:type="dxa"/>
            <w:shd w:val="clear" w:color="auto" w:fill="FFFFFF"/>
            <w:vAlign w:val="bottom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в соответствии со сроками, установленными ВьхсцщмЕвразийским эковбм^еейим советом</w:t>
            </w:r>
          </w:p>
        </w:tc>
        <w:tc>
          <w:tcPr>
            <w:tcW w:w="2419" w:type="dxa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850" w:type="dxa"/>
            <w:gridSpan w:val="2"/>
            <w:shd w:val="clear" w:color="auto" w:fill="FFFFFF"/>
          </w:tcPr>
          <w:p w:rsidR="0026185F" w:rsidRPr="00AB2741" w:rsidRDefault="004D08BA" w:rsidP="00AB274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B2741">
              <w:rPr>
                <w:rStyle w:val="Bodytext211pt"/>
                <w:rFonts w:ascii="Sylfaen" w:hAnsi="Sylfaen"/>
                <w:sz w:val="24"/>
                <w:szCs w:val="24"/>
              </w:rPr>
              <w:t>аналитический отчет</w:t>
            </w:r>
          </w:p>
        </w:tc>
      </w:tr>
    </w:tbl>
    <w:p w:rsidR="0026185F" w:rsidRPr="00AB2741" w:rsidRDefault="0026185F" w:rsidP="00AB2741">
      <w:pPr>
        <w:spacing w:after="120"/>
        <w:rPr>
          <w:rFonts w:ascii="Sylfaen" w:hAnsi="Sylfaen"/>
        </w:rPr>
      </w:pPr>
    </w:p>
    <w:p w:rsidR="004736A2" w:rsidRPr="00AB2741" w:rsidRDefault="004736A2">
      <w:pPr>
        <w:spacing w:after="120"/>
        <w:rPr>
          <w:rFonts w:ascii="Sylfaen" w:hAnsi="Sylfaen"/>
        </w:rPr>
      </w:pPr>
    </w:p>
    <w:sectPr w:rsidR="004736A2" w:rsidRPr="00AB2741" w:rsidSect="00AB2741">
      <w:pgSz w:w="16840" w:h="11909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6F" w:rsidRDefault="00AF386F" w:rsidP="0026185F">
      <w:r>
        <w:separator/>
      </w:r>
    </w:p>
  </w:endnote>
  <w:endnote w:type="continuationSeparator" w:id="0">
    <w:p w:rsidR="00AF386F" w:rsidRDefault="00AF386F" w:rsidP="0026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6F" w:rsidRDefault="00AF386F"/>
  </w:footnote>
  <w:footnote w:type="continuationSeparator" w:id="0">
    <w:p w:rsidR="00AF386F" w:rsidRDefault="00AF38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4ACB"/>
    <w:multiLevelType w:val="multilevel"/>
    <w:tmpl w:val="3B1E5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185F"/>
    <w:rsid w:val="0026185F"/>
    <w:rsid w:val="004736A2"/>
    <w:rsid w:val="004D08BA"/>
    <w:rsid w:val="007A3F98"/>
    <w:rsid w:val="00AB2741"/>
    <w:rsid w:val="00A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185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185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6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26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26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26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26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26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6185F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26185F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618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26185F"/>
    <w:pPr>
      <w:shd w:val="clear" w:color="auto" w:fill="FFFFFF"/>
      <w:spacing w:before="30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26185F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2pt">
    <w:name w:val="Body text (2) + 12 pt"/>
    <w:aliases w:val="Spacing -1 pt"/>
    <w:basedOn w:val="Bodytext2"/>
    <w:rsid w:val="00AB2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9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cp:lastPrinted>2018-10-03T11:39:00Z</cp:lastPrinted>
  <dcterms:created xsi:type="dcterms:W3CDTF">2018-03-27T13:00:00Z</dcterms:created>
  <dcterms:modified xsi:type="dcterms:W3CDTF">2018-10-03T11:50:00Z</dcterms:modified>
</cp:coreProperties>
</file>